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25953BD0" w14:textId="588ED2A8">
      <w:pPr>
        <w:jc w:val="center"/>
        <w:rPr>
          <w:rFonts w:eastAsia="Calibri"/>
        </w:rPr>
      </w:pPr>
      <w:r>
        <w:rPr>
          <w:rFonts w:eastAsia="Calibri"/>
        </w:rPr>
        <w:t>UNITED STATES FOOD &amp; DRUG ADMINISTRATOIN</w:t>
      </w:r>
    </w:p>
    <w:p w:rsidR="001324A2" w:rsidP="00357C8A" w14:paraId="45821C00" w14:textId="77777777">
      <w:pPr>
        <w:jc w:val="center"/>
        <w:rPr>
          <w:rFonts w:eastAsia="Calibri"/>
        </w:rPr>
      </w:pPr>
    </w:p>
    <w:p w:rsidR="00357C8A" w:rsidP="00357C8A" w14:paraId="69244FFC" w14:textId="7A345A88">
      <w:pPr>
        <w:jc w:val="center"/>
        <w:rPr>
          <w:rFonts w:eastAsia="Calibri"/>
        </w:rPr>
      </w:pPr>
      <w:r w:rsidRPr="00325FBD">
        <w:rPr>
          <w:rFonts w:eastAsia="Calibri"/>
        </w:rPr>
        <w:t>New Plant Varieties Intended for Food Use</w:t>
      </w:r>
    </w:p>
    <w:p w:rsidR="001324A2" w:rsidP="00357C8A" w14:paraId="00949E97" w14:textId="77777777">
      <w:pPr>
        <w:jc w:val="center"/>
        <w:rPr>
          <w:rFonts w:eastAsia="Calibri"/>
        </w:rPr>
      </w:pPr>
    </w:p>
    <w:p w:rsidR="00357C8A" w:rsidRPr="001324A2" w:rsidP="00357C8A" w14:paraId="311D63F2" w14:textId="04577B6A">
      <w:pPr>
        <w:jc w:val="center"/>
        <w:rPr>
          <w:rFonts w:eastAsia="Calibri"/>
        </w:rPr>
      </w:pPr>
      <w:r w:rsidRPr="001324A2">
        <w:rPr>
          <w:rFonts w:eastAsia="Calibri"/>
          <w:u w:val="single"/>
        </w:rPr>
        <w:t>OMB Control No. 0910</w:t>
      </w:r>
      <w:r w:rsidRPr="001324A2" w:rsidR="00B952A0">
        <w:rPr>
          <w:rFonts w:eastAsia="Calibri"/>
          <w:u w:val="single"/>
        </w:rPr>
        <w:t>-</w:t>
      </w:r>
      <w:r w:rsidRPr="001324A2" w:rsidR="00325FBD">
        <w:rPr>
          <w:rFonts w:eastAsia="Calibri"/>
          <w:u w:val="single"/>
        </w:rPr>
        <w:t>0583</w:t>
      </w:r>
      <w:r w:rsidR="001324A2">
        <w:rPr>
          <w:rFonts w:eastAsia="Calibri"/>
        </w:rPr>
        <w:t xml:space="preserve"> - </w:t>
      </w:r>
      <w:r w:rsidR="00954DD7">
        <w:rPr>
          <w:rFonts w:eastAsia="Calibri"/>
        </w:rPr>
        <w:t>Extension</w:t>
      </w:r>
    </w:p>
    <w:p w:rsidR="00357C8A" w:rsidP="00357C8A" w14:paraId="4F8FF5E2" w14:textId="77777777">
      <w:pPr>
        <w:jc w:val="center"/>
        <w:rPr>
          <w:rFonts w:eastAsia="Calibri"/>
        </w:rPr>
      </w:pPr>
    </w:p>
    <w:p w:rsidR="00357C8A" w:rsidP="00357C8A" w14:paraId="60D8B711" w14:textId="77777777">
      <w:pPr>
        <w:jc w:val="center"/>
        <w:rPr>
          <w:rFonts w:eastAsia="Calibri"/>
        </w:rPr>
      </w:pPr>
      <w:r w:rsidRPr="00357C8A">
        <w:rPr>
          <w:rFonts w:eastAsia="Calibri"/>
        </w:rPr>
        <w:t>SUPPORTING STATEMENT</w:t>
      </w:r>
    </w:p>
    <w:p w:rsidR="00F0410B" w:rsidP="00357C8A" w14:paraId="0E2EE03D" w14:textId="77777777">
      <w:pPr>
        <w:jc w:val="center"/>
        <w:rPr>
          <w:rFonts w:eastAsia="Calibri"/>
        </w:rPr>
      </w:pPr>
    </w:p>
    <w:p w:rsidR="009B4DF2" w:rsidP="00357C8A" w14:paraId="74F3EA74" w14:textId="77777777">
      <w:pPr>
        <w:jc w:val="center"/>
        <w:rPr>
          <w:rFonts w:eastAsia="Calibri"/>
        </w:rPr>
      </w:pPr>
    </w:p>
    <w:p w:rsidR="00357C8A" w:rsidP="000D79CC" w14:paraId="4C7657D4" w14:textId="77777777">
      <w:pPr>
        <w:rPr>
          <w:rFonts w:eastAsia="Calibri"/>
        </w:rPr>
      </w:pPr>
      <w:r w:rsidRPr="00357C8A">
        <w:rPr>
          <w:rFonts w:eastAsia="Calibri"/>
          <w:b/>
        </w:rPr>
        <w:t>Part A:  Justification</w:t>
      </w:r>
      <w:r w:rsidRPr="00357C8A">
        <w:rPr>
          <w:rFonts w:eastAsia="Calibri"/>
        </w:rPr>
        <w:t>:</w:t>
      </w:r>
    </w:p>
    <w:p w:rsidR="000D79CC" w:rsidRPr="00357C8A" w:rsidP="000D79CC" w14:paraId="73144B3C" w14:textId="77777777">
      <w:pPr>
        <w:rPr>
          <w:rFonts w:eastAsia="Calibri"/>
        </w:rPr>
      </w:pPr>
    </w:p>
    <w:p w:rsidR="00357C8A" w:rsidRPr="00357C8A" w:rsidP="006705EA" w14:paraId="6C973A39"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325FBD" w:rsidRPr="00ED0346" w:rsidP="006516E6" w14:paraId="00A19F9C" w14:textId="712F01C1">
      <w:r w:rsidRPr="005C71CA">
        <w:rPr>
          <w:rFonts w:eastAsia="Calibri"/>
        </w:rPr>
        <w:t xml:space="preserve">This information collection supports </w:t>
      </w:r>
      <w:r w:rsidR="002C087C">
        <w:rPr>
          <w:rFonts w:eastAsia="Calibri"/>
        </w:rPr>
        <w:t xml:space="preserve">implementation of </w:t>
      </w:r>
      <w:r w:rsidRPr="00F039E0">
        <w:t>recommendations found in</w:t>
      </w:r>
      <w:r>
        <w:t xml:space="preserve"> Food and Drug Administration (FDA, agency, or we) </w:t>
      </w:r>
      <w:r w:rsidRPr="00F039E0">
        <w:t>guidance pertaining to new plant varieties intended for food use.</w:t>
      </w:r>
      <w:r w:rsidRPr="006516E6" w:rsidR="006516E6">
        <w:t xml:space="preserve"> </w:t>
      </w:r>
      <w:r w:rsidR="006516E6">
        <w:t xml:space="preserve"> The information collections </w:t>
      </w:r>
      <w:r w:rsidR="006A1CE0">
        <w:t>involve</w:t>
      </w:r>
      <w:r w:rsidR="006516E6">
        <w:t xml:space="preserve"> FDA’s</w:t>
      </w:r>
      <w:r w:rsidR="008D72C4">
        <w:t xml:space="preserve"> </w:t>
      </w:r>
      <w:r w:rsidR="006516E6">
        <w:t>procedures for early food safety</w:t>
      </w:r>
      <w:r w:rsidR="008D72C4">
        <w:t xml:space="preserve"> </w:t>
      </w:r>
      <w:r w:rsidR="006516E6">
        <w:t>evaluation and</w:t>
      </w:r>
      <w:r w:rsidR="008D72C4">
        <w:t xml:space="preserve"> </w:t>
      </w:r>
      <w:r w:rsidR="006516E6">
        <w:t>consultations for new</w:t>
      </w:r>
      <w:r w:rsidR="008D72C4">
        <w:t xml:space="preserve"> </w:t>
      </w:r>
      <w:r w:rsidR="006516E6">
        <w:t>plant varieties intended for food use,</w:t>
      </w:r>
      <w:r w:rsidR="008D72C4">
        <w:t xml:space="preserve"> </w:t>
      </w:r>
      <w:r w:rsidR="006516E6">
        <w:t>including biotechnology-derived food</w:t>
      </w:r>
      <w:r w:rsidR="008D72C4">
        <w:t xml:space="preserve"> </w:t>
      </w:r>
      <w:r w:rsidR="006516E6">
        <w:t>plants.</w:t>
      </w:r>
      <w:r w:rsidRPr="00F039E0">
        <w:t xml:space="preserve">  </w:t>
      </w:r>
    </w:p>
    <w:p w:rsidR="00F27367" w:rsidRPr="00F039E0" w:rsidP="00325FBD" w14:paraId="5374E3BC" w14:textId="77777777"/>
    <w:p w:rsidR="00325FBD" w:rsidRPr="00ED0346" w:rsidP="00ED0346" w14:paraId="465188C0" w14:textId="78762190">
      <w:pPr>
        <w:pStyle w:val="ListParagraph"/>
        <w:numPr>
          <w:ilvl w:val="0"/>
          <w:numId w:val="9"/>
        </w:numPr>
        <w:rPr>
          <w:i/>
          <w:iCs/>
        </w:rPr>
      </w:pPr>
      <w:r w:rsidRPr="00ED0346">
        <w:rPr>
          <w:i/>
          <w:iCs/>
        </w:rPr>
        <w:t xml:space="preserve">Consultation Procedures:  Foods Derived </w:t>
      </w:r>
      <w:r w:rsidRPr="00ED0346" w:rsidR="00B65C60">
        <w:rPr>
          <w:i/>
          <w:iCs/>
        </w:rPr>
        <w:t>from</w:t>
      </w:r>
      <w:r w:rsidRPr="00ED0346">
        <w:rPr>
          <w:i/>
          <w:iCs/>
        </w:rPr>
        <w:t xml:space="preserve"> New Plant Varieties; Form FDA 3665</w:t>
      </w:r>
    </w:p>
    <w:p w:rsidR="00325FBD" w:rsidRPr="00F039E0" w:rsidP="00325FBD" w14:paraId="40F810CE" w14:textId="77777777"/>
    <w:p w:rsidR="00501AEB" w:rsidP="00325FBD" w14:paraId="07A98DA0" w14:textId="7BD54AB0">
      <w:r w:rsidRPr="00F039E0">
        <w:t xml:space="preserve">The </w:t>
      </w:r>
      <w:r w:rsidR="00496CA8">
        <w:t xml:space="preserve">FDA </w:t>
      </w:r>
      <w:r w:rsidRPr="00F039E0">
        <w:t>guidance document entitled “</w:t>
      </w:r>
      <w:r w:rsidRPr="00ED0346">
        <w:t>Consultation Procedures</w:t>
      </w:r>
      <w:r w:rsidRPr="00ED0346" w:rsidR="00A24105">
        <w:t xml:space="preserve"> under</w:t>
      </w:r>
      <w:r w:rsidRPr="00ED0346" w:rsidR="00DD7409">
        <w:t xml:space="preserve"> FDA’s 1992 Statement of Policy</w:t>
      </w:r>
      <w:r w:rsidR="00C3340C">
        <w:t xml:space="preserve">: </w:t>
      </w:r>
      <w:r w:rsidR="00034B50">
        <w:t xml:space="preserve"> </w:t>
      </w:r>
      <w:r w:rsidRPr="00ED0346">
        <w:t xml:space="preserve">Foods Derived </w:t>
      </w:r>
      <w:r w:rsidR="00C3340C">
        <w:t>f</w:t>
      </w:r>
      <w:r w:rsidRPr="00ED0346">
        <w:t>rom New Plant Varieties,”</w:t>
      </w:r>
      <w:r w:rsidRPr="006A1CE0">
        <w:t xml:space="preserve"> </w:t>
      </w:r>
      <w:r>
        <w:t>(October 1997)</w:t>
      </w:r>
      <w:r w:rsidR="001E61EF">
        <w:t>, which is</w:t>
      </w:r>
      <w:r>
        <w:t xml:space="preserve"> </w:t>
      </w:r>
      <w:r w:rsidRPr="00F039E0">
        <w:t>available on our website at</w:t>
      </w:r>
      <w:r w:rsidR="00723BFF">
        <w:t xml:space="preserve"> </w:t>
      </w:r>
      <w:hyperlink r:id="rId5" w:history="1">
        <w:r w:rsidRPr="00D22511" w:rsidR="00DA76A4">
          <w:rPr>
            <w:rStyle w:val="Hyperlink"/>
          </w:rPr>
          <w:t>https://www.fda.gov/regulatory-information/search-fda-guidance-documents/guidance-industry-consultation-procedures-under-fdas-1992-statement-policy-foods-derived-new-plant</w:t>
        </w:r>
      </w:hyperlink>
      <w:r w:rsidR="00641188">
        <w:t>,</w:t>
      </w:r>
      <w:r w:rsidR="00DA76A4">
        <w:t xml:space="preserve"> </w:t>
      </w:r>
      <w:r w:rsidRPr="00F039E0">
        <w:t>describes our consultation process for the evaluation of information on new plant varieties provided by developers.  We believe this consultation process will help ensure that human and animal food safety issues or other regulatory issues (e.g., labeling) are resolved prior to commercial distribution.</w:t>
      </w:r>
      <w:r>
        <w:t xml:space="preserve">  </w:t>
      </w:r>
      <w:r w:rsidRPr="00F039E0">
        <w:t>Additionally, such communication will help to ensure that any potential food safety issues regarding a new plant variety are resolved during development and will help to ensure that all market entry decisions by the industry are made consistently and in full compliance with the standards of the Federal Food, Drug, and Cosmetic Act (FD&amp;C Act).</w:t>
      </w:r>
      <w:r>
        <w:t xml:space="preserve">  </w:t>
      </w:r>
    </w:p>
    <w:p w:rsidR="00501AEB" w:rsidP="00325FBD" w14:paraId="0EAADDFD" w14:textId="77777777"/>
    <w:p w:rsidR="00501AEB" w:rsidP="00463AE1" w14:paraId="4C12E27D" w14:textId="2018D1EC">
      <w:r w:rsidRPr="00F039E0">
        <w:t xml:space="preserve">Since 1992, when </w:t>
      </w:r>
      <w:r w:rsidR="00F66565">
        <w:t>we</w:t>
      </w:r>
      <w:r w:rsidRPr="00F039E0" w:rsidR="00F66565">
        <w:t xml:space="preserve"> </w:t>
      </w:r>
      <w:r w:rsidRPr="00F039E0">
        <w:t xml:space="preserve">issued </w:t>
      </w:r>
      <w:r w:rsidR="00F66565">
        <w:t>our</w:t>
      </w:r>
      <w:r w:rsidRPr="00F039E0">
        <w:t xml:space="preserve"> “</w:t>
      </w:r>
      <w:r w:rsidRPr="00ED0346">
        <w:t xml:space="preserve">Statement of Policy:  Foods Derived </w:t>
      </w:r>
      <w:r w:rsidR="00C3340C">
        <w:t>f</w:t>
      </w:r>
      <w:r w:rsidRPr="00ED0346">
        <w:t>rom New Plant Varieties”</w:t>
      </w:r>
      <w:r w:rsidRPr="00F039E0">
        <w:t xml:space="preserve"> (the 1992 policy) (57 FR 22984</w:t>
      </w:r>
      <w:r w:rsidR="001A0A01">
        <w:t>;</w:t>
      </w:r>
      <w:r w:rsidRPr="00F039E0">
        <w:t xml:space="preserve"> May 29, 1992), we have encouraged developers of new plant varieties, including those varieties that are developed through biotechnology, to consult with FDA during the plant development process to discuss possible scientific and regulatory issues that might arise.  In the 1992 policy, we explained that under the FD&amp;C Act developers of new foods (in this document </w:t>
      </w:r>
      <w:r w:rsidR="00BB4CD3">
        <w:t>“</w:t>
      </w:r>
      <w:r w:rsidRPr="00F039E0">
        <w:t>food</w:t>
      </w:r>
      <w:r w:rsidR="00BB4CD3">
        <w:t>”</w:t>
      </w:r>
      <w:r w:rsidRPr="00F039E0">
        <w:t xml:space="preserve"> refers to both human and animal food) have a responsibility to ensure that the foods they offer to consumers are safe and in compliance with all requirements of the</w:t>
      </w:r>
      <w:r>
        <w:t xml:space="preserve"> F</w:t>
      </w:r>
      <w:r w:rsidRPr="00F039E0">
        <w:t>D&amp;C Act (57 FR at 22985).</w:t>
      </w:r>
      <w:r>
        <w:t xml:space="preserve">  </w:t>
      </w:r>
      <w:r w:rsidR="00463AE1">
        <w:t xml:space="preserve">To initiate a New Plant Variety consultation (also known as a Biotechnology Notification File (BNF)), developers are encouraged to electronically submit their scientific information and data following a step-by-step process to complete Form FDA 3665, assemble their notification, and send fully electronic submissions to FDA via </w:t>
      </w:r>
      <w:r w:rsidR="00656836">
        <w:t>an</w:t>
      </w:r>
      <w:r w:rsidR="00463AE1">
        <w:t xml:space="preserve"> </w:t>
      </w:r>
      <w:r w:rsidR="00656836">
        <w:t>o</w:t>
      </w:r>
      <w:r w:rsidR="00463AE1">
        <w:t xml:space="preserve">nline </w:t>
      </w:r>
      <w:r w:rsidR="00656836">
        <w:t>s</w:t>
      </w:r>
      <w:r w:rsidR="00463AE1">
        <w:t xml:space="preserve">ubmission </w:t>
      </w:r>
      <w:r w:rsidR="00656836">
        <w:t>m</w:t>
      </w:r>
      <w:r w:rsidR="00463AE1">
        <w:t xml:space="preserve">odule </w:t>
      </w:r>
      <w:r w:rsidR="002720CD">
        <w:t>(</w:t>
      </w:r>
      <w:r w:rsidR="000C3595">
        <w:t xml:space="preserve">also known as </w:t>
      </w:r>
      <w:r w:rsidR="00463AE1">
        <w:t>COSM</w:t>
      </w:r>
      <w:r w:rsidR="002720CD">
        <w:t>)</w:t>
      </w:r>
      <w:r w:rsidR="00463AE1">
        <w:t xml:space="preserve">, which may be accessed at </w:t>
      </w:r>
      <w:hyperlink r:id="rId6" w:history="1">
        <w:r w:rsidRPr="00723BFF" w:rsidR="00723BFF">
          <w:rPr>
            <w:rStyle w:val="Hyperlink"/>
          </w:rPr>
          <w:t>https://www.fda.gov/food/registration-food-facilities-and-other-submissions/cfsan-online-submission-module-cosm</w:t>
        </w:r>
      </w:hyperlink>
      <w:r w:rsidR="00463AE1">
        <w:t xml:space="preserve">.  Firms that prefer to submit a paper notification in a format of their choosing or as electronic files on physical media </w:t>
      </w:r>
      <w:r w:rsidR="00463AE1">
        <w:t xml:space="preserve">with a paper signature page, have the option to do so; however, Form FDA 3665 prompts a notifier to input the elements of a BNF in a standard format that we will be able to review efficiently. </w:t>
      </w:r>
      <w:r w:rsidR="006C161C">
        <w:t xml:space="preserve"> </w:t>
      </w:r>
      <w:r w:rsidR="00463AE1">
        <w:t xml:space="preserve">Form FDA 3665 may be accessed at </w:t>
      </w:r>
      <w:bookmarkStart w:id="0" w:name="_Hlk167114174"/>
      <w:hyperlink r:id="rId7" w:history="1">
        <w:r w:rsidRPr="00463AE1" w:rsidR="00463AE1">
          <w:rPr>
            <w:rStyle w:val="Hyperlink"/>
          </w:rPr>
          <w:t>https://www.fda.gov/about-fda/reports-manuals-forms/forms</w:t>
        </w:r>
      </w:hyperlink>
      <w:bookmarkEnd w:id="0"/>
      <w:r w:rsidR="00463AE1">
        <w:t>.</w:t>
      </w:r>
    </w:p>
    <w:p w:rsidR="00501AEB" w:rsidP="00325FBD" w14:paraId="0B87BC5D" w14:textId="77777777"/>
    <w:p w:rsidR="00325FBD" w:rsidRPr="00ED0346" w:rsidP="00ED0346" w14:paraId="7152054A" w14:textId="239863A9">
      <w:pPr>
        <w:pStyle w:val="ListParagraph"/>
        <w:numPr>
          <w:ilvl w:val="0"/>
          <w:numId w:val="9"/>
        </w:numPr>
        <w:rPr>
          <w:i/>
          <w:iCs/>
        </w:rPr>
      </w:pPr>
      <w:r w:rsidRPr="00ED0346">
        <w:rPr>
          <w:i/>
          <w:iCs/>
        </w:rPr>
        <w:t>Early Food Safety Evaluation of New Non-Pesticidal Proteins Produced by New Plant Varieties Intended for Food Use; Form FDA 3666</w:t>
      </w:r>
    </w:p>
    <w:p w:rsidR="00325FBD" w:rsidP="00325FBD" w14:paraId="72A1C8FD" w14:textId="77777777"/>
    <w:p w:rsidR="00765030" w:rsidP="00B53827" w14:paraId="00A77777" w14:textId="10F25665">
      <w:r>
        <w:t xml:space="preserve">Since we issued the 1992 policy on foods derived from new plant varieties, including those varieties that are developed through biotechnology, we have encouraged developers of new plant varieties to consult with us early in the development process to discuss possible scientific and regulatory issues that might arise.  </w:t>
      </w:r>
      <w:r w:rsidRPr="00F039E0" w:rsidR="00325FBD">
        <w:t>The guidance entitled “</w:t>
      </w:r>
      <w:r w:rsidRPr="00ED0346" w:rsidR="00325FBD">
        <w:t>Recommendations for the Early Food Safety Evaluation of New Non-Pesticidal Proteins Produced by New Plant Varieties Intended for Food Use</w:t>
      </w:r>
      <w:r w:rsidRPr="00F039E0" w:rsidR="00325FBD">
        <w:t xml:space="preserve">” </w:t>
      </w:r>
      <w:r w:rsidR="00325FBD">
        <w:t>(June 2006)</w:t>
      </w:r>
      <w:r>
        <w:t>, which is available on our websit</w:t>
      </w:r>
      <w:r w:rsidR="00274C25">
        <w:t>e</w:t>
      </w:r>
      <w:r>
        <w:t xml:space="preserve"> at </w:t>
      </w:r>
      <w:hyperlink r:id="rId8" w:history="1">
        <w:r w:rsidRPr="00E74C83" w:rsidR="00E74C83">
          <w:rPr>
            <w:rStyle w:val="Hyperlink"/>
          </w:rPr>
          <w:t>https://www.fda.gov/regulatory-information/search-fda-guidance-documents/guidance-industry-recommendations-early-food-safety-evaluation-new-non-pesticidal-proteins-produced</w:t>
        </w:r>
      </w:hyperlink>
      <w:r w:rsidR="00E74C83">
        <w:t>,</w:t>
      </w:r>
      <w:r w:rsidRPr="00F039E0" w:rsidR="00325FBD">
        <w:t xml:space="preserve"> continues to foster early communication by encouraging developers to submit to us their evaluation of the food safety of their new proteins.</w:t>
      </w:r>
      <w:r w:rsidR="00325FBD">
        <w:t xml:space="preserve">  </w:t>
      </w:r>
      <w:r w:rsidRPr="00F039E0" w:rsidR="00325FBD">
        <w:t>Such communication helps to ensure that any potential food safety issues regarding a new protein in a new plant variety are resolved early in development, prior to any possible inadvertent introduction into the food supply of the new protein.</w:t>
      </w:r>
      <w:r w:rsidR="00325FBD">
        <w:t xml:space="preserve">  </w:t>
      </w:r>
    </w:p>
    <w:p w:rsidR="004304ED" w:rsidP="00463AE1" w14:paraId="31386F0B" w14:textId="77777777"/>
    <w:p w:rsidR="00325FBD" w:rsidRPr="00F039E0" w:rsidP="00463AE1" w14:paraId="0A16CFC2" w14:textId="5D08D7C7">
      <w:r>
        <w:tab/>
      </w:r>
      <w:r w:rsidR="00B53827">
        <w:t>To initiate an Early Food Safety Evaluation consultation (also known as a New Protein Consultation (NPC)), developers are encouraged to electronically submit their scientific information and data following a step-by-step process to complete Form FDA 3666, assemble their notification, and send fully electronic submissions to FDA via COSM, which may be accessed at</w:t>
      </w:r>
      <w:r w:rsidR="00E961C0">
        <w:t xml:space="preserve"> </w:t>
      </w:r>
      <w:hyperlink r:id="rId6" w:history="1">
        <w:r w:rsidRPr="00D22511" w:rsidR="005F5F43">
          <w:rPr>
            <w:rStyle w:val="Hyperlink"/>
          </w:rPr>
          <w:t>https://www.fda.gov/food/registration-food-facilities-and-other-submissions/cfsan-online-submission-module-cosm</w:t>
        </w:r>
      </w:hyperlink>
      <w:r w:rsidR="00B53827">
        <w:t>.  Firms that prefer to submit a paper NPC in a format of their choosing or as electronic files on physical media with a paper signature page, have the option to do so; however, Form FDA 3666 prompts a notifier to input the elements of an NPC in a standard format that we will be able to review efficiently.  Form FDA 3666 may be accessed at</w:t>
      </w:r>
      <w:hyperlink r:id="rId9" w:history="1">
        <w:r w:rsidRPr="00B53827" w:rsidR="00B53827">
          <w:rPr>
            <w:rStyle w:val="Hyperlink"/>
          </w:rPr>
          <w:t xml:space="preserve"> </w:t>
        </w:r>
      </w:hyperlink>
      <w:hyperlink r:id="rId7" w:history="1">
        <w:r w:rsidRPr="00463AE1" w:rsidR="007A1BB5">
          <w:rPr>
            <w:rStyle w:val="Hyperlink"/>
          </w:rPr>
          <w:t>https://www.fda.gov/about-fda/reports-manuals-forms/forms</w:t>
        </w:r>
      </w:hyperlink>
      <w:r w:rsidRPr="00F039E0">
        <w:t>.</w:t>
      </w:r>
    </w:p>
    <w:p w:rsidR="00D72F40" w:rsidRPr="00AF72CC" w:rsidP="00D72F40" w14:paraId="059FE9AB" w14:textId="77777777">
      <w:pPr>
        <w:rPr>
          <w:rFonts w:eastAsia="Calibri"/>
          <w:color w:val="000000"/>
        </w:rPr>
      </w:pPr>
    </w:p>
    <w:p w:rsidR="00357C8A" w:rsidRPr="00357C8A" w:rsidP="006705EA" w14:paraId="62D3F107"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25FBD" w:rsidP="00325FBD" w14:paraId="77D28450" w14:textId="154CD319">
      <w:r>
        <w:t>The purpose of the information collection is to provide consultation</w:t>
      </w:r>
      <w:r w:rsidR="00BA6CBD">
        <w:t>s</w:t>
      </w:r>
      <w:r>
        <w:t xml:space="preserve"> to developers, businesses, and not-for-profit businesses and institutions.  </w:t>
      </w:r>
      <w:r w:rsidRPr="000C55B4">
        <w:t xml:space="preserve">FDA reviews NPCs </w:t>
      </w:r>
      <w:r w:rsidR="00ED5B7C">
        <w:t xml:space="preserve">and BNFs </w:t>
      </w:r>
      <w:r w:rsidRPr="000C55B4">
        <w:t>to ensure that foods are safe, wholesome, sanitary, and properly labeled, in accordance with s</w:t>
      </w:r>
      <w:r>
        <w:t>tatutory requirements.  Under the</w:t>
      </w:r>
      <w:r w:rsidR="00ED5B7C">
        <w:t>se</w:t>
      </w:r>
      <w:r>
        <w:t xml:space="preserve"> consultation procedures, any person who is responsible for the development, distribution, importation, or sale of a food derived from a new plant variety may voluntarily consult with us and eventually submit summary safety and nutritional analysis which would form the basis of a</w:t>
      </w:r>
      <w:r w:rsidR="00665D26">
        <w:t>n NPC or</w:t>
      </w:r>
      <w:r>
        <w:t xml:space="preserve"> BNF.  Based on our experience, we expect that ordinarily it will be </w:t>
      </w:r>
      <w:r w:rsidR="0000561F">
        <w:t xml:space="preserve">plant </w:t>
      </w:r>
      <w:r>
        <w:t>developers and purveyors who notify the agency about food derived from new plant varieties developed through the use of biotechnology.</w:t>
      </w:r>
    </w:p>
    <w:p w:rsidR="00325FBD" w:rsidP="00325FBD" w14:paraId="622AEB0B" w14:textId="77777777"/>
    <w:p w:rsidR="00325FBD" w:rsidP="00325FBD" w14:paraId="2387FA1C" w14:textId="20FA1F18">
      <w:r>
        <w:t xml:space="preserve">Under the consultation procedures, a notifier submits an initial request for consultation </w:t>
      </w:r>
      <w:r w:rsidR="003B1907">
        <w:t>to FDA</w:t>
      </w:r>
      <w:r w:rsidR="000C3595">
        <w:t xml:space="preserve">  </w:t>
      </w:r>
      <w:r w:rsidR="003B1907">
        <w:t xml:space="preserve"> </w:t>
      </w:r>
      <w:r w:rsidR="000C3595">
        <w:t>v</w:t>
      </w:r>
      <w:r w:rsidR="003B1907">
        <w:t>ia</w:t>
      </w:r>
      <w:r w:rsidR="000C3595">
        <w:t xml:space="preserve"> the Office of Food Chemical Safety, Dietary Supplements and Innovation (OFCSDSI)</w:t>
      </w:r>
      <w:r>
        <w:t xml:space="preserve">.  Subsequently, after a consultation has been initiated, the developer submits a summary of its </w:t>
      </w:r>
      <w:r>
        <w:t xml:space="preserve">safety and nutritional assessment in support of its product (final consultation).  </w:t>
      </w:r>
      <w:r w:rsidR="000C3595">
        <w:t xml:space="preserve">OFCSDSI </w:t>
      </w:r>
      <w:r>
        <w:t>receives the requests for final consultation and shares all</w:t>
      </w:r>
      <w:r w:rsidR="00C341A6">
        <w:t xml:space="preserve"> NPC and</w:t>
      </w:r>
      <w:r>
        <w:t xml:space="preserve"> BNF submissions with FDA’s Center for Veterinary Medicine (CVM).  Thus, we have a single point of contact for industry.  Depending on the plant and how it will be used as food for humans or animals, either </w:t>
      </w:r>
      <w:r w:rsidR="000C3595">
        <w:t xml:space="preserve">OFCSDSI </w:t>
      </w:r>
      <w:r>
        <w:t xml:space="preserve">or CVM may take a leadership role in the consultation.  CVM reviews all </w:t>
      </w:r>
      <w:r w:rsidR="009F72AA">
        <w:t xml:space="preserve">submissions </w:t>
      </w:r>
      <w:r>
        <w:t>with animal food uses</w:t>
      </w:r>
      <w:r w:rsidR="00FB0AA4">
        <w:t>,</w:t>
      </w:r>
      <w:r w:rsidR="00BB4CD3">
        <w:t xml:space="preserve"> and</w:t>
      </w:r>
      <w:r>
        <w:t xml:space="preserve"> </w:t>
      </w:r>
      <w:r w:rsidR="000C3595">
        <w:t xml:space="preserve">OFCSDSI </w:t>
      </w:r>
      <w:r>
        <w:t xml:space="preserve">reviews all </w:t>
      </w:r>
      <w:r w:rsidR="009F72AA">
        <w:t xml:space="preserve">submissions </w:t>
      </w:r>
      <w:r>
        <w:t xml:space="preserve">with human food uses.  Most </w:t>
      </w:r>
      <w:r w:rsidR="009F72AA">
        <w:t xml:space="preserve">submissions </w:t>
      </w:r>
      <w:r>
        <w:t xml:space="preserve">have both human and animal food uses.  Files are established and records are maintained by </w:t>
      </w:r>
      <w:r w:rsidR="000C3595">
        <w:t>OFCSDSI</w:t>
      </w:r>
      <w:r>
        <w:t>. After reviewing this submission, we may, as needed, request information to clarify particular points</w:t>
      </w:r>
      <w:r w:rsidR="0000561F">
        <w:t xml:space="preserve"> in the submission</w:t>
      </w:r>
      <w:r>
        <w:t xml:space="preserve">.  When we have no further questions about the safety or regulatory status of </w:t>
      </w:r>
      <w:r w:rsidR="009F72AA">
        <w:t xml:space="preserve">food from </w:t>
      </w:r>
      <w:r>
        <w:t>the new plant variety, we send a letter to that effect to the developer and the consultation is complete.</w:t>
      </w:r>
    </w:p>
    <w:p w:rsidR="00B952A0" w:rsidP="00325FBD" w14:paraId="3292DA57" w14:textId="77777777"/>
    <w:p w:rsidR="00357C8A" w:rsidP="00BF67AD" w14:paraId="46CF1119" w14:textId="3E6C5B33">
      <w:r>
        <w:rPr>
          <w:i/>
        </w:rPr>
        <w:t>Description of Respondents</w:t>
      </w:r>
      <w:r>
        <w:t xml:space="preserve">: </w:t>
      </w:r>
      <w:r w:rsidR="00115940">
        <w:t xml:space="preserve"> </w:t>
      </w:r>
      <w:r w:rsidRPr="00B952A0" w:rsidR="00B952A0">
        <w:t>Respondents to the collection of information are developers of new plant varieties intended for food</w:t>
      </w:r>
      <w:r w:rsidR="0000561F">
        <w:t xml:space="preserve"> (including food for humans and food for animals)</w:t>
      </w:r>
      <w:r w:rsidRPr="00B952A0" w:rsidR="00B952A0">
        <w:t xml:space="preserve"> use.</w:t>
      </w:r>
    </w:p>
    <w:p w:rsidR="00D72F40" w:rsidRPr="00AF72CC" w:rsidP="00D72F40" w14:paraId="10CFCF97" w14:textId="77777777">
      <w:pPr>
        <w:rPr>
          <w:rFonts w:eastAsia="Calibri"/>
          <w:color w:val="000000"/>
        </w:rPr>
      </w:pPr>
    </w:p>
    <w:p w:rsidR="00357C8A" w:rsidRPr="00357C8A" w:rsidP="006705EA" w14:paraId="0F5B8FBA"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P="00BF67AD" w14:paraId="46A58B11" w14:textId="7A469A01">
      <w:r w:rsidRPr="0006446C">
        <w:t>Form</w:t>
      </w:r>
      <w:r>
        <w:t>s</w:t>
      </w:r>
      <w:r w:rsidRPr="0006446C">
        <w:t xml:space="preserve"> FDA </w:t>
      </w:r>
      <w:r>
        <w:t>3665</w:t>
      </w:r>
      <w:r w:rsidR="00676E0E">
        <w:t xml:space="preserve"> (for BNF submissions)</w:t>
      </w:r>
      <w:r>
        <w:t xml:space="preserve"> and FDA </w:t>
      </w:r>
      <w:r w:rsidRPr="0006446C">
        <w:t>3666</w:t>
      </w:r>
      <w:r w:rsidR="00676E0E">
        <w:t xml:space="preserve"> (for NPC submissions)</w:t>
      </w:r>
      <w:r w:rsidRPr="0006446C">
        <w:t xml:space="preserve">, and elements prepared as attachments, may be submitted in electronic format via </w:t>
      </w:r>
      <w:r w:rsidR="00774930">
        <w:t>COSM</w:t>
      </w:r>
      <w:r w:rsidRPr="0006446C">
        <w:t xml:space="preserve">, or may be submitted in paper format, or as electronic files on physical media with paper signature page.  </w:t>
      </w:r>
      <w:r>
        <w:t xml:space="preserve">We </w:t>
      </w:r>
      <w:r w:rsidRPr="0006446C">
        <w:t xml:space="preserve">estimate that all </w:t>
      </w:r>
      <w:r w:rsidR="00E33130">
        <w:t>BNFs and</w:t>
      </w:r>
      <w:r w:rsidRPr="0006446C" w:rsidR="00E33130">
        <w:t xml:space="preserve"> </w:t>
      </w:r>
      <w:r w:rsidRPr="0006446C">
        <w:t>NPCs (100%) will be submitted electronically.</w:t>
      </w:r>
    </w:p>
    <w:p w:rsidR="00184084" w:rsidP="00BF67AD" w14:paraId="25705FB7" w14:textId="77777777"/>
    <w:p w:rsidR="00184084" w:rsidP="00BF67AD" w14:paraId="73E13DE8" w14:textId="6BCE3364">
      <w:r w:rsidRPr="00184084">
        <w:t>We encourag</w:t>
      </w:r>
      <w:r>
        <w:t>e</w:t>
      </w:r>
      <w:r w:rsidRPr="00184084">
        <w:t xml:space="preserve"> use of COSM as it is a web-based portal that will save submitters time by walking them step</w:t>
      </w:r>
      <w:r w:rsidR="00D44698">
        <w:t>-</w:t>
      </w:r>
      <w:r w:rsidRPr="00184084">
        <w:t>by</w:t>
      </w:r>
      <w:r w:rsidR="00D44698">
        <w:t>-</w:t>
      </w:r>
      <w:r w:rsidRPr="00184084">
        <w:t xml:space="preserve">step through the information assembly and submission process. </w:t>
      </w:r>
      <w:r w:rsidR="00D44698">
        <w:t xml:space="preserve"> </w:t>
      </w:r>
      <w:r w:rsidRPr="00184084">
        <w:t>Use of COSM will facilitate FDA</w:t>
      </w:r>
      <w:r w:rsidR="00D44698">
        <w:t>’</w:t>
      </w:r>
      <w:r w:rsidRPr="00184084">
        <w:t>s review of the submission and will allow the submitter to access real-time status updates.</w:t>
      </w:r>
    </w:p>
    <w:p w:rsidR="00D72F40" w:rsidRPr="00AF72CC" w:rsidP="00D72F40" w14:paraId="57D4E35E" w14:textId="77777777">
      <w:pPr>
        <w:rPr>
          <w:rFonts w:eastAsia="Calibri"/>
          <w:color w:val="000000"/>
        </w:rPr>
      </w:pPr>
    </w:p>
    <w:p w:rsidR="00357C8A" w:rsidRPr="00357C8A" w:rsidP="006705EA" w14:paraId="1D235EF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BF67AD" w:rsidRPr="0006446C" w:rsidP="00325FBD" w14:paraId="70FF376B" w14:textId="30AA1ACB">
      <w:r>
        <w:t xml:space="preserve">FDA continues to work </w:t>
      </w:r>
      <w:r w:rsidRPr="0006446C">
        <w:t xml:space="preserve">with the U.S. Environmental Protection Agency (EPA) and the U.S. Department of Agriculture (USDA) to eliminate areas of duplicate data collection and evaluation.  Under the Federal Insecticide, Fungicide, and Rodenticide Act (FIFRA) (7 U.S.C. 136 et seq.), EPA has authority to regulate all pesticides, regardless of how they are made or their mode of action.  FDA’s NPC applies to non-pesticidal proteins and is not duplicative </w:t>
      </w:r>
      <w:r w:rsidR="0000561F">
        <w:t>of</w:t>
      </w:r>
      <w:r w:rsidRPr="0006446C" w:rsidR="0000561F">
        <w:t xml:space="preserve"> </w:t>
      </w:r>
      <w:r w:rsidRPr="0006446C">
        <w:t xml:space="preserve">EPA responsibilities.  Meanwhile, many plants developed using recombinant DNA (rDNA) technology are considered “regulated articles” under regulations of USDA’s Animal and Plant Health Inspection Service (APHIS) (7 CFR </w:t>
      </w:r>
      <w:r w:rsidR="00F02D59">
        <w:t>p</w:t>
      </w:r>
      <w:r w:rsidRPr="0006446C">
        <w:t xml:space="preserve">art 340), which </w:t>
      </w:r>
      <w:r w:rsidR="00935233">
        <w:t xml:space="preserve">uses its authority over plant pests to </w:t>
      </w:r>
      <w:r w:rsidRPr="0006446C">
        <w:t xml:space="preserve">regulate the </w:t>
      </w:r>
      <w:r w:rsidR="00935233">
        <w:t xml:space="preserve">movement and environmental </w:t>
      </w:r>
      <w:r w:rsidRPr="0006446C">
        <w:t>introduction of certain</w:t>
      </w:r>
      <w:r w:rsidR="00935233">
        <w:t xml:space="preserve"> plant varieties. </w:t>
      </w:r>
      <w:r w:rsidR="00AA2D66">
        <w:t xml:space="preserve"> </w:t>
      </w:r>
      <w:r w:rsidRPr="0006446C">
        <w:t xml:space="preserve">In contrast, FDA requests a submission of data and information concerning the food safety </w:t>
      </w:r>
      <w:r w:rsidR="00935233">
        <w:t>related to</w:t>
      </w:r>
      <w:r w:rsidRPr="0006446C" w:rsidR="00935233">
        <w:t xml:space="preserve"> </w:t>
      </w:r>
      <w:r w:rsidRPr="0006446C">
        <w:t xml:space="preserve">a specific new protein </w:t>
      </w:r>
      <w:r w:rsidR="00935233">
        <w:t xml:space="preserve">or food </w:t>
      </w:r>
      <w:r w:rsidRPr="0006446C">
        <w:t xml:space="preserve">produced </w:t>
      </w:r>
      <w:r w:rsidR="00935233">
        <w:t>by</w:t>
      </w:r>
      <w:r w:rsidRPr="0006446C" w:rsidR="00935233">
        <w:t xml:space="preserve"> </w:t>
      </w:r>
      <w:r w:rsidRPr="0006446C">
        <w:t>a new plant variety.  Therefore, although a submission to APHIS would include some information, such as the name of the company and the identity of the protein, which would be included in the information requested by FDA in a</w:t>
      </w:r>
      <w:r w:rsidR="00657746">
        <w:t>n</w:t>
      </w:r>
      <w:r w:rsidRPr="0006446C">
        <w:t xml:space="preserve"> NPC</w:t>
      </w:r>
      <w:r w:rsidR="00657746">
        <w:t xml:space="preserve"> or a BNF</w:t>
      </w:r>
      <w:r w:rsidRPr="0006446C">
        <w:t>, the submission is not duplicative.</w:t>
      </w:r>
    </w:p>
    <w:p w:rsidR="00D72F40" w:rsidRPr="00AF72CC" w:rsidP="00D72F40" w14:paraId="09FDF039" w14:textId="77777777">
      <w:pPr>
        <w:rPr>
          <w:color w:val="000000"/>
        </w:rPr>
      </w:pPr>
    </w:p>
    <w:p w:rsidR="00F0410B" w14:paraId="6C6104D1" w14:textId="77777777">
      <w:pPr>
        <w:rPr>
          <w:rFonts w:eastAsia="Calibri"/>
          <w:u w:val="single"/>
        </w:rPr>
      </w:pPr>
      <w:r>
        <w:rPr>
          <w:rFonts w:eastAsia="Calibri"/>
          <w:u w:val="single"/>
        </w:rPr>
        <w:br w:type="page"/>
      </w:r>
    </w:p>
    <w:p w:rsidR="00357C8A" w:rsidRPr="00357C8A" w:rsidP="006705EA" w14:paraId="6DF560FE" w14:textId="140058F2">
      <w:pPr>
        <w:numPr>
          <w:ilvl w:val="0"/>
          <w:numId w:val="6"/>
        </w:numPr>
        <w:spacing w:after="200" w:line="276" w:lineRule="auto"/>
        <w:rPr>
          <w:rFonts w:eastAsia="Calibri"/>
        </w:rPr>
      </w:pPr>
      <w:r w:rsidRPr="00357C8A">
        <w:rPr>
          <w:rFonts w:eastAsia="Calibri"/>
          <w:u w:val="single"/>
        </w:rPr>
        <w:t>Impact on Small Businesses or Other Small Entities</w:t>
      </w:r>
    </w:p>
    <w:p w:rsidR="005C75D4" w:rsidRPr="005C75D4" w:rsidP="005C75D4" w14:paraId="7996E981" w14:textId="7FC35413">
      <w:r>
        <w:t xml:space="preserve">We </w:t>
      </w:r>
      <w:r w:rsidRPr="0006446C">
        <w:t>estimate five percent (</w:t>
      </w:r>
      <w:r w:rsidR="00FE1969">
        <w:t>5</w:t>
      </w:r>
      <w:r w:rsidRPr="0006446C">
        <w:t>%) of respondents are small businesses.</w:t>
      </w:r>
      <w:r>
        <w:t xml:space="preserve">  We believe </w:t>
      </w:r>
      <w:r w:rsidR="007522F0">
        <w:t>the</w:t>
      </w:r>
      <w:r w:rsidR="004B0D35">
        <w:t xml:space="preserve"> consultation procedures for</w:t>
      </w:r>
      <w:r w:rsidR="007522F0">
        <w:t xml:space="preserve"> BNF</w:t>
      </w:r>
      <w:r w:rsidR="004B0D35">
        <w:t>s</w:t>
      </w:r>
      <w:r w:rsidR="007522F0">
        <w:t xml:space="preserve"> and</w:t>
      </w:r>
      <w:r>
        <w:t xml:space="preserve"> </w:t>
      </w:r>
      <w:r w:rsidRPr="0006446C">
        <w:t>NPC</w:t>
      </w:r>
      <w:r w:rsidR="004B0D35">
        <w:t>s</w:t>
      </w:r>
      <w:r w:rsidRPr="0006446C">
        <w:t xml:space="preserve"> minimize the reporting burden on all businesses, including small businesses, by providing that the developer submits a summary of data and information, rather than the data and information itself.  </w:t>
      </w:r>
      <w:r>
        <w:t xml:space="preserve">We estimate </w:t>
      </w:r>
      <w:r w:rsidRPr="0006446C">
        <w:t xml:space="preserve">no burden to respondents for developing the data and information that underlie the new protein evaluation </w:t>
      </w:r>
      <w:r>
        <w:t xml:space="preserve">regarding this activity as usual and customary to those engaged in the development of these products.  At the same time, we assist </w:t>
      </w:r>
      <w:r w:rsidRPr="0006446C">
        <w:t>small businesses in complying with</w:t>
      </w:r>
      <w:r>
        <w:t xml:space="preserve"> FD&amp;C Act </w:t>
      </w:r>
      <w:r w:rsidRPr="0006446C">
        <w:t>requirements through Regional Small Business Representatives within the agency.</w:t>
      </w:r>
      <w:r>
        <w:t xml:space="preserve">  </w:t>
      </w:r>
      <w:r w:rsidRPr="005C75D4">
        <w:t xml:space="preserve">Additional assistance is available for small businesses via the agency’s website at </w:t>
      </w:r>
      <w:hyperlink r:id="rId10" w:history="1">
        <w:r w:rsidRPr="005C75D4">
          <w:rPr>
            <w:rStyle w:val="Hyperlink"/>
          </w:rPr>
          <w:t>https://www.fda.gov/industry/small-business-assistance</w:t>
        </w:r>
      </w:hyperlink>
      <w:r w:rsidRPr="005C75D4">
        <w:t>.</w:t>
      </w:r>
    </w:p>
    <w:p w:rsidR="00357C8A" w:rsidRPr="00357C8A" w:rsidP="00D72F40" w14:paraId="2D88F62C" w14:textId="77777777">
      <w:pPr>
        <w:rPr>
          <w:rFonts w:eastAsia="Calibri"/>
        </w:rPr>
      </w:pPr>
    </w:p>
    <w:p w:rsidR="00357C8A" w:rsidRPr="00357C8A" w:rsidP="006705EA" w14:paraId="7A58B6A5"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BF67AD" w:rsidP="00325FBD" w14:paraId="3863CEC7" w14:textId="27D73D52">
      <w:r w:rsidRPr="0006446C">
        <w:t>Data collection occurs occasionally</w:t>
      </w:r>
      <w:r w:rsidR="00935233">
        <w:t xml:space="preserve"> as developers wish to participate in these processes</w:t>
      </w:r>
      <w:r w:rsidRPr="0006446C">
        <w:t>.</w:t>
      </w:r>
    </w:p>
    <w:p w:rsidR="00357C8A" w:rsidRPr="00AF72CC" w:rsidP="00D72F40" w14:paraId="6800856D" w14:textId="77777777">
      <w:pPr>
        <w:rPr>
          <w:rFonts w:eastAsia="Calibri"/>
          <w:color w:val="000000"/>
        </w:rPr>
      </w:pPr>
    </w:p>
    <w:p w:rsidR="00357C8A" w:rsidRPr="00357C8A" w:rsidP="006705EA" w14:paraId="770B9E5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BF67AD" w:rsidRPr="0006446C" w:rsidP="00325FBD" w14:paraId="13C606C3" w14:textId="77777777">
      <w:r w:rsidRPr="0006446C">
        <w:t>There are no special circumstances for this collection of information.</w:t>
      </w:r>
    </w:p>
    <w:p w:rsidR="00357C8A" w:rsidRPr="00357C8A" w:rsidP="00D72F40" w14:paraId="2EFE1F43" w14:textId="77777777">
      <w:pPr>
        <w:rPr>
          <w:rFonts w:eastAsia="Calibri"/>
        </w:rPr>
      </w:pPr>
    </w:p>
    <w:p w:rsidR="00357C8A" w:rsidRPr="00357C8A" w:rsidP="006705EA" w14:paraId="66021E8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AF72CC" w:rsidP="00357C8A" w14:paraId="7A5B5041" w14:textId="34C3F2C7">
      <w:pPr>
        <w:spacing w:after="200"/>
        <w:rPr>
          <w:rFonts w:eastAsia="Calibri"/>
          <w:color w:val="000000"/>
        </w:rPr>
      </w:pPr>
      <w:r w:rsidRPr="00F27367">
        <w:t xml:space="preserve">In accordance with 5 CFR 1320.8(d), we published a 60-day notice for public comment in the </w:t>
      </w:r>
      <w:r w:rsidRPr="00067D5A">
        <w:rPr>
          <w:i/>
          <w:iCs/>
        </w:rPr>
        <w:t>Federal Register</w:t>
      </w:r>
      <w:r w:rsidRPr="00F27367">
        <w:t xml:space="preserve"> of </w:t>
      </w:r>
      <w:r w:rsidR="00792E30">
        <w:t>March</w:t>
      </w:r>
      <w:r w:rsidRPr="00F27367" w:rsidR="00792E30">
        <w:t xml:space="preserve"> </w:t>
      </w:r>
      <w:r w:rsidR="00792E30">
        <w:t>12</w:t>
      </w:r>
      <w:r w:rsidRPr="00F27367">
        <w:t xml:space="preserve">, 2024 (89 FR </w:t>
      </w:r>
      <w:r w:rsidR="00792E30">
        <w:t>17854</w:t>
      </w:r>
      <w:r w:rsidRPr="00F27367">
        <w:t xml:space="preserve">).  </w:t>
      </w:r>
      <w:r w:rsidR="00876D76">
        <w:t>Seventeen</w:t>
      </w:r>
      <w:r w:rsidRPr="00F27367">
        <w:t xml:space="preserve"> comments were received. </w:t>
      </w:r>
      <w:r w:rsidR="00876D76">
        <w:t xml:space="preserve"> </w:t>
      </w:r>
      <w:r w:rsidR="000679F7">
        <w:t xml:space="preserve">The majority of </w:t>
      </w:r>
      <w:r w:rsidR="00876D76">
        <w:t xml:space="preserve">the comments indicated that the information collected was necessary and </w:t>
      </w:r>
      <w:r w:rsidR="000679F7">
        <w:t>had</w:t>
      </w:r>
      <w:r w:rsidR="00876D76">
        <w:t xml:space="preserve"> practical utility </w:t>
      </w:r>
      <w:r w:rsidR="000679F7">
        <w:t>which allows</w:t>
      </w:r>
      <w:r w:rsidR="00876D76">
        <w:t xml:space="preserve"> FDA to make decisions regarding food safety and protection of the public’s health.  </w:t>
      </w:r>
      <w:r w:rsidR="00B53827">
        <w:t>S</w:t>
      </w:r>
      <w:r w:rsidR="00876D76">
        <w:t xml:space="preserve">ome of the comments </w:t>
      </w:r>
      <w:r w:rsidR="00B53827">
        <w:t xml:space="preserve">also </w:t>
      </w:r>
      <w:r w:rsidR="00876D76">
        <w:t xml:space="preserve">indicated that the use of </w:t>
      </w:r>
      <w:r w:rsidR="000679F7">
        <w:t xml:space="preserve">automation such as </w:t>
      </w:r>
      <w:r w:rsidR="00876D76">
        <w:t xml:space="preserve">electronic forms made the process of submitting information </w:t>
      </w:r>
      <w:r w:rsidR="000679F7">
        <w:t xml:space="preserve">much </w:t>
      </w:r>
      <w:r w:rsidR="00B53827">
        <w:t xml:space="preserve">quicker and </w:t>
      </w:r>
      <w:r w:rsidR="000679F7">
        <w:t xml:space="preserve">smoother </w:t>
      </w:r>
      <w:r w:rsidR="00B53827">
        <w:t>for the respondent.</w:t>
      </w:r>
      <w:r w:rsidR="000679F7">
        <w:t xml:space="preserve">  Two comments </w:t>
      </w:r>
      <w:r w:rsidR="00B53827">
        <w:t xml:space="preserve">received </w:t>
      </w:r>
      <w:r w:rsidR="000679F7">
        <w:t>were not related to the PRA and will not be addressed here.</w:t>
      </w:r>
      <w:r w:rsidR="00876D76">
        <w:t xml:space="preserve"> </w:t>
      </w:r>
    </w:p>
    <w:p w:rsidR="00357C8A" w:rsidRPr="00357C8A" w:rsidP="006705EA" w14:paraId="1C22B491"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BF67AD" w:rsidRPr="0006446C" w:rsidP="00325FBD" w14:paraId="7A75E854" w14:textId="77777777">
      <w:r w:rsidRPr="0006446C">
        <w:t>No gifts or payments are provided to respondents.</w:t>
      </w:r>
    </w:p>
    <w:p w:rsidR="00357C8A" w:rsidRPr="00AF72CC" w:rsidP="00D72F40" w14:paraId="185ECD90" w14:textId="77777777">
      <w:pPr>
        <w:rPr>
          <w:rFonts w:eastAsia="Calibri"/>
          <w:color w:val="000000"/>
        </w:rPr>
      </w:pPr>
    </w:p>
    <w:p w:rsidR="00357C8A" w:rsidRPr="00357C8A" w:rsidP="006705EA" w14:paraId="0800C84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83270B" w:rsidRPr="00F0410B" w:rsidP="00876D76" w14:paraId="1241AF98" w14:textId="77777777">
      <w:pPr>
        <w:rPr>
          <w:rFonts w:eastAsia="Calibri"/>
          <w:i/>
          <w:iCs/>
        </w:rPr>
      </w:pPr>
      <w:r w:rsidRPr="00F0410B">
        <w:rPr>
          <w:rFonts w:eastAsia="Calibri"/>
          <w:i/>
          <w:iCs/>
        </w:rPr>
        <w:t>The Privacy Act of 1974</w:t>
      </w:r>
    </w:p>
    <w:p w:rsidR="0083270B" w:rsidP="00876D76" w14:paraId="5C634390" w14:textId="77777777">
      <w:pPr>
        <w:rPr>
          <w:rFonts w:eastAsia="Calibri"/>
        </w:rPr>
      </w:pPr>
    </w:p>
    <w:p w:rsidR="00876D76" w:rsidP="00876D76" w14:paraId="3D1C23D3" w14:textId="5EF4F51A">
      <w:pPr>
        <w:rPr>
          <w:rFonts w:eastAsia="Calibri"/>
        </w:rPr>
      </w:pPr>
      <w:r w:rsidRPr="00876D76">
        <w:rPr>
          <w:rFonts w:eastAsia="Calibri"/>
        </w:rPr>
        <w:t xml:space="preserve">In preparing this </w:t>
      </w:r>
      <w:r w:rsidR="0072684B">
        <w:rPr>
          <w:rFonts w:eastAsia="Calibri"/>
        </w:rPr>
        <w:t>s</w:t>
      </w:r>
      <w:r w:rsidRPr="00876D76">
        <w:rPr>
          <w:rFonts w:eastAsia="Calibri"/>
        </w:rPr>
        <w:t xml:space="preserve">upporting </w:t>
      </w:r>
      <w:r w:rsidR="0072684B">
        <w:rPr>
          <w:rFonts w:eastAsia="Calibri"/>
        </w:rPr>
        <w:t>s</w:t>
      </w:r>
      <w:r w:rsidRPr="00876D76">
        <w:rPr>
          <w:rFonts w:eastAsia="Calibri"/>
        </w:rPr>
        <w:t>tatement, we consulted our Privacy Office to ensure appropriate identification and handling of information collected.</w:t>
      </w:r>
      <w:r w:rsidR="0083270B">
        <w:rPr>
          <w:rFonts w:eastAsia="Calibri"/>
        </w:rPr>
        <w:t xml:space="preserve">  </w:t>
      </w:r>
      <w:r w:rsidRPr="00876D76">
        <w:rPr>
          <w:rFonts w:eastAsia="Calibri"/>
        </w:rPr>
        <w:t xml:space="preserve">This </w:t>
      </w:r>
      <w:r w:rsidR="00DF0983">
        <w:rPr>
          <w:rFonts w:eastAsia="Calibri"/>
        </w:rPr>
        <w:t>i</w:t>
      </w:r>
      <w:r w:rsidR="003D424E">
        <w:rPr>
          <w:rFonts w:eastAsia="Calibri"/>
        </w:rPr>
        <w:t xml:space="preserve">nformation </w:t>
      </w:r>
      <w:r w:rsidR="00DF0983">
        <w:rPr>
          <w:rFonts w:eastAsia="Calibri"/>
        </w:rPr>
        <w:t>c</w:t>
      </w:r>
      <w:r w:rsidR="003D424E">
        <w:rPr>
          <w:rFonts w:eastAsia="Calibri"/>
        </w:rPr>
        <w:t xml:space="preserve">ollection </w:t>
      </w:r>
      <w:r w:rsidR="00DF0983">
        <w:rPr>
          <w:rFonts w:eastAsia="Calibri"/>
        </w:rPr>
        <w:t>r</w:t>
      </w:r>
      <w:r w:rsidR="003D424E">
        <w:rPr>
          <w:rFonts w:eastAsia="Calibri"/>
        </w:rPr>
        <w:t>equest (</w:t>
      </w:r>
      <w:r w:rsidRPr="00876D76">
        <w:rPr>
          <w:rFonts w:eastAsia="Calibri"/>
        </w:rPr>
        <w:t>ICR</w:t>
      </w:r>
      <w:r w:rsidR="003D424E">
        <w:rPr>
          <w:rFonts w:eastAsia="Calibri"/>
        </w:rPr>
        <w:t>)</w:t>
      </w:r>
      <w:r w:rsidRPr="00876D76">
        <w:rPr>
          <w:rFonts w:eastAsia="Calibri"/>
        </w:rPr>
        <w:t xml:space="preserve"> collects personally identifiable information (PII).  PII is collected in the context of the subject individuals’ professional capacity and the FDA-related work perform</w:t>
      </w:r>
      <w:r w:rsidR="0083270B">
        <w:rPr>
          <w:rFonts w:eastAsia="Calibri"/>
        </w:rPr>
        <w:t>ed</w:t>
      </w:r>
      <w:r w:rsidRPr="00876D76">
        <w:rPr>
          <w:rFonts w:eastAsia="Calibri"/>
        </w:rPr>
        <w:t xml:space="preserve"> for their employer (e.g., point of contact at a regulated entity).  The PII submitted via Form FDA 3665 (Final Consultation for Food Derived from a New Plant Variety (Biotechnology Final Consultation)) and Form FDA 3666 (Early Food Safety Evaluation of a New Non-Pesticidal Protein Produced by a New Plant Variety (New Protein Consultation)) is point of contact name, business address, business phone number, business fax number, and business email address. </w:t>
      </w:r>
      <w:r w:rsidR="00F84937">
        <w:rPr>
          <w:rFonts w:eastAsia="Calibri"/>
        </w:rPr>
        <w:t xml:space="preserve"> </w:t>
      </w:r>
      <w:r w:rsidR="0083270B">
        <w:rPr>
          <w:rFonts w:eastAsia="Calibri"/>
        </w:rPr>
        <w:t xml:space="preserve">We have </w:t>
      </w:r>
      <w:r w:rsidRPr="00876D76">
        <w:rPr>
          <w:rFonts w:eastAsia="Calibri"/>
        </w:rPr>
        <w:t xml:space="preserve">determined that although PII </w:t>
      </w:r>
      <w:r w:rsidRPr="00876D76">
        <w:rPr>
          <w:rFonts w:eastAsia="Calibri"/>
        </w:rPr>
        <w:t xml:space="preserve">is collected, the collection is not subject to the Privacy Act of 1974 and the particular notice and other requirements of the </w:t>
      </w:r>
      <w:r w:rsidR="0083270B">
        <w:rPr>
          <w:rFonts w:eastAsia="Calibri"/>
        </w:rPr>
        <w:t xml:space="preserve">Privacy </w:t>
      </w:r>
      <w:r w:rsidRPr="00876D76">
        <w:rPr>
          <w:rFonts w:eastAsia="Calibri"/>
        </w:rPr>
        <w:t xml:space="preserve">Act do not apply. </w:t>
      </w:r>
      <w:r>
        <w:rPr>
          <w:rFonts w:eastAsia="Calibri"/>
        </w:rPr>
        <w:t xml:space="preserve"> </w:t>
      </w:r>
      <w:r w:rsidRPr="00876D76">
        <w:rPr>
          <w:rFonts w:eastAsia="Calibri"/>
        </w:rPr>
        <w:t xml:space="preserve">Specifically, FDA does not use name or any other personal identifier to retrieve records from the information collected. </w:t>
      </w:r>
      <w:r>
        <w:rPr>
          <w:rFonts w:eastAsia="Calibri"/>
        </w:rPr>
        <w:t xml:space="preserve"> </w:t>
      </w:r>
      <w:r w:rsidRPr="00876D76">
        <w:rPr>
          <w:rFonts w:eastAsia="Calibri"/>
        </w:rPr>
        <w:t>Through appropriate form and webpage design, FDA limited submission fields and minimized the PII collected to protect the privacy of the individuals.</w:t>
      </w:r>
    </w:p>
    <w:p w:rsidR="0083270B" w:rsidP="00876D76" w14:paraId="2C8CF20F" w14:textId="1AE4C79E">
      <w:pPr>
        <w:rPr>
          <w:rFonts w:eastAsia="Calibri"/>
        </w:rPr>
      </w:pPr>
    </w:p>
    <w:p w:rsidR="0083270B" w:rsidRPr="00F0410B" w:rsidP="00876D76" w14:paraId="55CABE3B" w14:textId="7D3487F2">
      <w:pPr>
        <w:rPr>
          <w:rFonts w:eastAsia="Calibri"/>
          <w:i/>
          <w:iCs/>
        </w:rPr>
      </w:pPr>
      <w:r w:rsidRPr="00F0410B">
        <w:rPr>
          <w:rFonts w:eastAsia="Calibri"/>
          <w:i/>
          <w:iCs/>
        </w:rPr>
        <w:t>The Freedom of Information Act (FOIA)</w:t>
      </w:r>
    </w:p>
    <w:p w:rsidR="00876D76" w:rsidRPr="00F0410B" w:rsidP="00876D76" w14:paraId="7B971A82" w14:textId="77777777">
      <w:pPr>
        <w:rPr>
          <w:rFonts w:eastAsia="Calibri"/>
          <w:i/>
          <w:iCs/>
        </w:rPr>
      </w:pPr>
    </w:p>
    <w:p w:rsidR="00357C8A" w:rsidRPr="00AF72CC" w:rsidP="0022425B" w14:paraId="6EE0EAA7" w14:textId="22AD74CD">
      <w:pPr>
        <w:rPr>
          <w:rFonts w:eastAsia="Calibri"/>
          <w:color w:val="000000"/>
        </w:rPr>
      </w:pPr>
      <w:r w:rsidRPr="00876D76">
        <w:rPr>
          <w:rFonts w:eastAsia="Calibri"/>
        </w:rPr>
        <w:t>Under FOIA (5 U.S.C. 552), the public has broad access to government documents.</w:t>
      </w:r>
      <w:r>
        <w:rPr>
          <w:rFonts w:eastAsia="Calibri"/>
        </w:rPr>
        <w:t xml:space="preserve"> </w:t>
      </w:r>
      <w:r w:rsidRPr="00876D76">
        <w:rPr>
          <w:rFonts w:eastAsia="Calibri"/>
        </w:rPr>
        <w:t xml:space="preserve">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075D3" w:rsidRPr="001075D3" w:rsidP="001075D3" w14:paraId="45970B91" w14:textId="77777777">
      <w:pPr>
        <w:ind w:left="720"/>
      </w:pPr>
    </w:p>
    <w:p w:rsidR="00357C8A" w:rsidRPr="00357C8A" w:rsidP="006705EA" w14:paraId="4EA3A01A" w14:textId="77777777">
      <w:pPr>
        <w:numPr>
          <w:ilvl w:val="0"/>
          <w:numId w:val="6"/>
        </w:numPr>
        <w:spacing w:after="200" w:line="276" w:lineRule="auto"/>
        <w:rPr>
          <w:rFonts w:eastAsia="Calibri"/>
        </w:rPr>
      </w:pPr>
      <w:r w:rsidRPr="00357C8A">
        <w:rPr>
          <w:rFonts w:eastAsia="Calibri"/>
          <w:u w:val="single"/>
        </w:rPr>
        <w:t>Justification for Sensitive Questions</w:t>
      </w:r>
    </w:p>
    <w:p w:rsidR="00BF67AD" w:rsidRPr="0006446C" w:rsidP="00325FBD" w14:paraId="7641EAE5" w14:textId="77777777">
      <w:r w:rsidRPr="0006446C">
        <w:t>This information collection does not ask questions of a sensitive nature.</w:t>
      </w:r>
    </w:p>
    <w:p w:rsidR="00357C8A" w:rsidRPr="00AF72CC" w:rsidP="00D72F40" w14:paraId="59DD5125" w14:textId="77777777">
      <w:pPr>
        <w:rPr>
          <w:rFonts w:eastAsia="Calibri"/>
          <w:color w:val="000000"/>
        </w:rPr>
      </w:pPr>
    </w:p>
    <w:p w:rsidR="00357C8A" w:rsidRPr="00357C8A" w:rsidP="006705EA" w14:paraId="1A7EDF52"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F0410B" w:rsidP="0022425B" w14:paraId="104A0F54" w14:textId="77777777">
      <w:pPr>
        <w:spacing w:after="200"/>
        <w:ind w:left="360"/>
        <w:rPr>
          <w:rFonts w:eastAsia="Calibri"/>
          <w:i/>
          <w:iCs/>
        </w:rPr>
      </w:pPr>
      <w:r w:rsidRPr="00F0410B">
        <w:rPr>
          <w:rFonts w:eastAsia="Calibri"/>
          <w:i/>
          <w:iCs/>
        </w:rPr>
        <w:t>12a.  Annualized Hour Burden Estimate</w:t>
      </w:r>
    </w:p>
    <w:p w:rsidR="001637C4" w:rsidRPr="001637C4" w:rsidP="001637C4" w14:paraId="043AC862" w14:textId="77777777">
      <w:pPr>
        <w:jc w:val="center"/>
        <w:rPr>
          <w:sz w:val="20"/>
          <w:szCs w:val="20"/>
          <w:vertAlign w:val="superscript"/>
        </w:rPr>
      </w:pPr>
      <w:bookmarkStart w:id="1" w:name="_Hlk144363394"/>
      <w:r w:rsidRPr="001637C4">
        <w:rPr>
          <w:sz w:val="20"/>
          <w:szCs w:val="20"/>
        </w:rPr>
        <w:t>Table 1.--Estimated Annual Reporting Burden</w:t>
      </w:r>
      <w:r w:rsidRPr="001637C4">
        <w:rPr>
          <w:sz w:val="20"/>
          <w:szCs w:val="20"/>
          <w:vertAlign w:val="superscript"/>
        </w:rPr>
        <w:t>1</w:t>
      </w:r>
    </w:p>
    <w:tbl>
      <w:tblPr>
        <w:tblW w:w="9540" w:type="dxa"/>
        <w:tblInd w:w="82" w:type="dxa"/>
        <w:tblLayout w:type="fixed"/>
        <w:tblCellMar>
          <w:left w:w="101" w:type="dxa"/>
          <w:right w:w="101" w:type="dxa"/>
        </w:tblCellMar>
        <w:tblLook w:val="04A0"/>
      </w:tblPr>
      <w:tblGrid>
        <w:gridCol w:w="2970"/>
        <w:gridCol w:w="990"/>
        <w:gridCol w:w="1080"/>
        <w:gridCol w:w="1440"/>
        <w:gridCol w:w="1080"/>
        <w:gridCol w:w="1170"/>
        <w:gridCol w:w="810"/>
      </w:tblGrid>
      <w:tr w14:paraId="1734B1B8" w14:textId="77777777" w:rsidTr="008318FD">
        <w:tblPrEx>
          <w:tblW w:w="9540" w:type="dxa"/>
          <w:tblInd w:w="82" w:type="dxa"/>
          <w:tblLayout w:type="fixed"/>
          <w:tblCellMar>
            <w:left w:w="101" w:type="dxa"/>
            <w:right w:w="101" w:type="dxa"/>
          </w:tblCellMar>
          <w:tblLook w:val="04A0"/>
        </w:tblPrEx>
        <w:trPr>
          <w:trHeight w:val="750"/>
        </w:trPr>
        <w:tc>
          <w:tcPr>
            <w:tcW w:w="2970" w:type="dxa"/>
            <w:tcBorders>
              <w:top w:val="single" w:sz="6" w:space="0" w:color="auto"/>
              <w:left w:val="single" w:sz="6" w:space="0" w:color="auto"/>
              <w:bottom w:val="single" w:sz="6" w:space="0" w:color="auto"/>
              <w:right w:val="nil"/>
            </w:tcBorders>
            <w:hideMark/>
          </w:tcPr>
          <w:p w:rsidR="001637C4" w:rsidRPr="001637C4" w:rsidP="001637C4" w14:paraId="5E261A49" w14:textId="77777777">
            <w:pPr>
              <w:jc w:val="center"/>
              <w:rPr>
                <w:sz w:val="20"/>
                <w:szCs w:val="20"/>
              </w:rPr>
            </w:pPr>
            <w:r w:rsidRPr="001637C4">
              <w:rPr>
                <w:sz w:val="20"/>
                <w:szCs w:val="20"/>
              </w:rPr>
              <w:t>Agency Guidance Recommendations; Information Collection</w:t>
            </w:r>
          </w:p>
        </w:tc>
        <w:tc>
          <w:tcPr>
            <w:tcW w:w="990" w:type="dxa"/>
            <w:tcBorders>
              <w:top w:val="single" w:sz="6" w:space="0" w:color="auto"/>
              <w:left w:val="single" w:sz="6" w:space="0" w:color="auto"/>
              <w:bottom w:val="single" w:sz="6" w:space="0" w:color="auto"/>
              <w:right w:val="nil"/>
            </w:tcBorders>
            <w:hideMark/>
          </w:tcPr>
          <w:p w:rsidR="001637C4" w:rsidRPr="001637C4" w:rsidP="001637C4" w14:paraId="76CB55AE" w14:textId="77777777">
            <w:pPr>
              <w:jc w:val="center"/>
              <w:rPr>
                <w:sz w:val="20"/>
                <w:szCs w:val="20"/>
              </w:rPr>
            </w:pPr>
            <w:r w:rsidRPr="001637C4">
              <w:rPr>
                <w:sz w:val="20"/>
                <w:szCs w:val="20"/>
              </w:rPr>
              <w:t>Form FDA No.</w:t>
            </w:r>
          </w:p>
        </w:tc>
        <w:tc>
          <w:tcPr>
            <w:tcW w:w="1080" w:type="dxa"/>
            <w:tcBorders>
              <w:top w:val="single" w:sz="6" w:space="0" w:color="auto"/>
              <w:left w:val="single" w:sz="6" w:space="0" w:color="auto"/>
              <w:bottom w:val="single" w:sz="6" w:space="0" w:color="auto"/>
              <w:right w:val="nil"/>
            </w:tcBorders>
            <w:hideMark/>
          </w:tcPr>
          <w:p w:rsidR="001637C4" w:rsidRPr="001637C4" w:rsidP="001637C4" w14:paraId="71A2FB61" w14:textId="77777777">
            <w:pPr>
              <w:jc w:val="center"/>
              <w:rPr>
                <w:sz w:val="20"/>
                <w:szCs w:val="20"/>
              </w:rPr>
            </w:pPr>
            <w:r w:rsidRPr="001637C4">
              <w:rPr>
                <w:sz w:val="20"/>
                <w:szCs w:val="20"/>
              </w:rPr>
              <w:t xml:space="preserve">No. of Responses </w:t>
            </w:r>
          </w:p>
        </w:tc>
        <w:tc>
          <w:tcPr>
            <w:tcW w:w="1440" w:type="dxa"/>
            <w:tcBorders>
              <w:top w:val="single" w:sz="6" w:space="0" w:color="auto"/>
              <w:left w:val="single" w:sz="6" w:space="0" w:color="auto"/>
              <w:bottom w:val="single" w:sz="6" w:space="0" w:color="auto"/>
              <w:right w:val="nil"/>
            </w:tcBorders>
            <w:hideMark/>
          </w:tcPr>
          <w:p w:rsidR="001637C4" w:rsidRPr="001637C4" w:rsidP="001637C4" w14:paraId="1492AC28" w14:textId="77777777">
            <w:pPr>
              <w:jc w:val="center"/>
              <w:rPr>
                <w:sz w:val="20"/>
                <w:szCs w:val="20"/>
              </w:rPr>
            </w:pPr>
            <w:r w:rsidRPr="001637C4">
              <w:rPr>
                <w:sz w:val="20"/>
                <w:szCs w:val="20"/>
              </w:rPr>
              <w:t>No. of Responses per Respondent</w:t>
            </w:r>
          </w:p>
        </w:tc>
        <w:tc>
          <w:tcPr>
            <w:tcW w:w="1080" w:type="dxa"/>
            <w:tcBorders>
              <w:top w:val="single" w:sz="6" w:space="0" w:color="auto"/>
              <w:left w:val="single" w:sz="6" w:space="0" w:color="auto"/>
              <w:bottom w:val="single" w:sz="6" w:space="0" w:color="auto"/>
              <w:right w:val="nil"/>
            </w:tcBorders>
            <w:hideMark/>
          </w:tcPr>
          <w:p w:rsidR="001637C4" w:rsidRPr="001637C4" w:rsidP="001637C4" w14:paraId="59E32E01" w14:textId="77777777">
            <w:pPr>
              <w:jc w:val="center"/>
              <w:rPr>
                <w:sz w:val="20"/>
                <w:szCs w:val="20"/>
              </w:rPr>
            </w:pPr>
            <w:r w:rsidRPr="001637C4">
              <w:rPr>
                <w:sz w:val="20"/>
                <w:szCs w:val="20"/>
              </w:rPr>
              <w:t>Total Annual Responses</w:t>
            </w:r>
          </w:p>
        </w:tc>
        <w:tc>
          <w:tcPr>
            <w:tcW w:w="1170" w:type="dxa"/>
            <w:tcBorders>
              <w:top w:val="single" w:sz="6" w:space="0" w:color="auto"/>
              <w:left w:val="single" w:sz="6" w:space="0" w:color="auto"/>
              <w:bottom w:val="single" w:sz="6" w:space="0" w:color="auto"/>
              <w:right w:val="single" w:sz="6" w:space="0" w:color="auto"/>
            </w:tcBorders>
            <w:hideMark/>
          </w:tcPr>
          <w:p w:rsidR="001637C4" w:rsidRPr="001637C4" w:rsidP="001637C4" w14:paraId="7B68D465" w14:textId="77777777">
            <w:pPr>
              <w:jc w:val="center"/>
              <w:rPr>
                <w:sz w:val="20"/>
                <w:szCs w:val="20"/>
              </w:rPr>
            </w:pPr>
            <w:r w:rsidRPr="001637C4">
              <w:rPr>
                <w:sz w:val="20"/>
                <w:szCs w:val="20"/>
              </w:rPr>
              <w:t>Average Burden per Response</w:t>
            </w:r>
          </w:p>
        </w:tc>
        <w:tc>
          <w:tcPr>
            <w:tcW w:w="810" w:type="dxa"/>
            <w:tcBorders>
              <w:top w:val="single" w:sz="6" w:space="0" w:color="auto"/>
              <w:left w:val="single" w:sz="6" w:space="0" w:color="auto"/>
              <w:bottom w:val="single" w:sz="6" w:space="0" w:color="auto"/>
              <w:right w:val="single" w:sz="6" w:space="0" w:color="auto"/>
            </w:tcBorders>
            <w:hideMark/>
          </w:tcPr>
          <w:p w:rsidR="001637C4" w:rsidRPr="001637C4" w:rsidP="001637C4" w14:paraId="7FA92671" w14:textId="77777777">
            <w:pPr>
              <w:jc w:val="center"/>
              <w:rPr>
                <w:sz w:val="20"/>
                <w:szCs w:val="20"/>
              </w:rPr>
            </w:pPr>
            <w:r w:rsidRPr="001637C4">
              <w:rPr>
                <w:sz w:val="20"/>
                <w:szCs w:val="20"/>
              </w:rPr>
              <w:t>Total Hours</w:t>
            </w:r>
          </w:p>
        </w:tc>
      </w:tr>
      <w:tr w14:paraId="201C4E9F" w14:textId="77777777" w:rsidTr="008318FD">
        <w:tblPrEx>
          <w:tblW w:w="9540" w:type="dxa"/>
          <w:tblInd w:w="82" w:type="dxa"/>
          <w:tblLayout w:type="fixed"/>
          <w:tblCellMar>
            <w:left w:w="101" w:type="dxa"/>
            <w:right w:w="101" w:type="dxa"/>
          </w:tblCellMar>
          <w:tblLook w:val="04A0"/>
        </w:tblPrEx>
        <w:trPr>
          <w:trHeight w:val="255"/>
        </w:trPr>
        <w:tc>
          <w:tcPr>
            <w:tcW w:w="9540" w:type="dxa"/>
            <w:gridSpan w:val="7"/>
            <w:tcBorders>
              <w:top w:val="single" w:sz="6" w:space="0" w:color="auto"/>
              <w:left w:val="single" w:sz="6" w:space="0" w:color="auto"/>
              <w:bottom w:val="single" w:sz="6" w:space="0" w:color="auto"/>
              <w:right w:val="single" w:sz="6" w:space="0" w:color="auto"/>
            </w:tcBorders>
            <w:hideMark/>
          </w:tcPr>
          <w:p w:rsidR="001637C4" w:rsidRPr="001637C4" w:rsidP="001637C4" w14:paraId="5B928C46" w14:textId="66F294A9">
            <w:pPr>
              <w:rPr>
                <w:i/>
                <w:iCs/>
                <w:sz w:val="20"/>
                <w:szCs w:val="20"/>
              </w:rPr>
            </w:pPr>
            <w:r w:rsidRPr="001637C4">
              <w:rPr>
                <w:i/>
                <w:iCs/>
                <w:sz w:val="20"/>
                <w:szCs w:val="20"/>
              </w:rPr>
              <w:t xml:space="preserve">Consultation Procedures:  Foods Derived </w:t>
            </w:r>
            <w:r w:rsidRPr="001637C4" w:rsidR="00E33AD2">
              <w:rPr>
                <w:i/>
                <w:iCs/>
                <w:sz w:val="20"/>
                <w:szCs w:val="20"/>
              </w:rPr>
              <w:t>from</w:t>
            </w:r>
            <w:r w:rsidRPr="001637C4">
              <w:rPr>
                <w:i/>
                <w:iCs/>
                <w:sz w:val="20"/>
                <w:szCs w:val="20"/>
              </w:rPr>
              <w:t xml:space="preserve"> New Plant Varieties</w:t>
            </w:r>
          </w:p>
        </w:tc>
      </w:tr>
      <w:tr w14:paraId="664664D6" w14:textId="77777777" w:rsidTr="008318FD">
        <w:tblPrEx>
          <w:tblW w:w="9540" w:type="dxa"/>
          <w:tblInd w:w="82" w:type="dxa"/>
          <w:tblLayout w:type="fixed"/>
          <w:tblCellMar>
            <w:left w:w="101" w:type="dxa"/>
            <w:right w:w="101" w:type="dxa"/>
          </w:tblCellMar>
          <w:tblLook w:val="04A0"/>
        </w:tblPrEx>
        <w:trPr>
          <w:trHeight w:val="255"/>
        </w:trPr>
        <w:tc>
          <w:tcPr>
            <w:tcW w:w="2970" w:type="dxa"/>
            <w:tcBorders>
              <w:top w:val="single" w:sz="6" w:space="0" w:color="auto"/>
              <w:left w:val="single" w:sz="6" w:space="0" w:color="auto"/>
              <w:bottom w:val="single" w:sz="6" w:space="0" w:color="auto"/>
              <w:right w:val="nil"/>
            </w:tcBorders>
            <w:vAlign w:val="bottom"/>
            <w:hideMark/>
          </w:tcPr>
          <w:p w:rsidR="001637C4" w:rsidRPr="001637C4" w:rsidP="001637C4" w14:paraId="7900E088" w14:textId="77777777">
            <w:pPr>
              <w:rPr>
                <w:sz w:val="20"/>
                <w:szCs w:val="20"/>
              </w:rPr>
            </w:pPr>
            <w:r w:rsidRPr="001637C4">
              <w:rPr>
                <w:sz w:val="20"/>
                <w:szCs w:val="20"/>
              </w:rPr>
              <w:t>Initial consultation</w:t>
            </w:r>
          </w:p>
        </w:tc>
        <w:tc>
          <w:tcPr>
            <w:tcW w:w="990" w:type="dxa"/>
            <w:tcBorders>
              <w:top w:val="single" w:sz="6" w:space="0" w:color="auto"/>
              <w:left w:val="single" w:sz="6" w:space="0" w:color="auto"/>
              <w:bottom w:val="single" w:sz="6" w:space="0" w:color="auto"/>
              <w:right w:val="nil"/>
            </w:tcBorders>
            <w:vAlign w:val="bottom"/>
            <w:hideMark/>
          </w:tcPr>
          <w:p w:rsidR="001637C4" w:rsidRPr="001637C4" w:rsidP="001637C4" w14:paraId="31B2B925" w14:textId="77777777">
            <w:pPr>
              <w:jc w:val="right"/>
              <w:rPr>
                <w:sz w:val="20"/>
                <w:szCs w:val="20"/>
              </w:rPr>
            </w:pPr>
            <w:r w:rsidRPr="001637C4">
              <w:rPr>
                <w:sz w:val="20"/>
                <w:szCs w:val="20"/>
              </w:rPr>
              <w:t>None</w:t>
            </w:r>
          </w:p>
        </w:tc>
        <w:tc>
          <w:tcPr>
            <w:tcW w:w="1080" w:type="dxa"/>
            <w:tcBorders>
              <w:top w:val="single" w:sz="6" w:space="0" w:color="auto"/>
              <w:left w:val="single" w:sz="6" w:space="0" w:color="auto"/>
              <w:bottom w:val="single" w:sz="6" w:space="0" w:color="auto"/>
              <w:right w:val="nil"/>
            </w:tcBorders>
            <w:vAlign w:val="bottom"/>
            <w:hideMark/>
          </w:tcPr>
          <w:p w:rsidR="001637C4" w:rsidRPr="001637C4" w:rsidP="001637C4" w14:paraId="30757E1C" w14:textId="77777777">
            <w:pPr>
              <w:jc w:val="right"/>
              <w:rPr>
                <w:sz w:val="20"/>
                <w:szCs w:val="20"/>
              </w:rPr>
            </w:pPr>
            <w:r w:rsidRPr="001637C4">
              <w:rPr>
                <w:sz w:val="20"/>
                <w:szCs w:val="20"/>
              </w:rPr>
              <w:t>30</w:t>
            </w:r>
          </w:p>
        </w:tc>
        <w:tc>
          <w:tcPr>
            <w:tcW w:w="1440" w:type="dxa"/>
            <w:tcBorders>
              <w:top w:val="single" w:sz="6" w:space="0" w:color="auto"/>
              <w:left w:val="single" w:sz="6" w:space="0" w:color="auto"/>
              <w:bottom w:val="single" w:sz="6" w:space="0" w:color="auto"/>
              <w:right w:val="nil"/>
            </w:tcBorders>
            <w:vAlign w:val="bottom"/>
            <w:hideMark/>
          </w:tcPr>
          <w:p w:rsidR="001637C4" w:rsidRPr="001637C4" w:rsidP="001637C4" w14:paraId="2673BE75" w14:textId="77777777">
            <w:pPr>
              <w:jc w:val="right"/>
              <w:rPr>
                <w:sz w:val="20"/>
                <w:szCs w:val="20"/>
              </w:rPr>
            </w:pPr>
            <w:r w:rsidRPr="001637C4">
              <w:rPr>
                <w:sz w:val="20"/>
                <w:szCs w:val="20"/>
              </w:rPr>
              <w:t>2</w:t>
            </w:r>
          </w:p>
        </w:tc>
        <w:tc>
          <w:tcPr>
            <w:tcW w:w="1080" w:type="dxa"/>
            <w:tcBorders>
              <w:top w:val="single" w:sz="6" w:space="0" w:color="auto"/>
              <w:left w:val="single" w:sz="6" w:space="0" w:color="auto"/>
              <w:bottom w:val="single" w:sz="6" w:space="0" w:color="auto"/>
              <w:right w:val="nil"/>
            </w:tcBorders>
            <w:vAlign w:val="bottom"/>
            <w:hideMark/>
          </w:tcPr>
          <w:p w:rsidR="001637C4" w:rsidRPr="001637C4" w:rsidP="001637C4" w14:paraId="415E5084" w14:textId="77777777">
            <w:pPr>
              <w:jc w:val="right"/>
              <w:rPr>
                <w:sz w:val="20"/>
                <w:szCs w:val="20"/>
              </w:rPr>
            </w:pPr>
            <w:r w:rsidRPr="001637C4">
              <w:rPr>
                <w:sz w:val="20"/>
                <w:szCs w:val="20"/>
              </w:rPr>
              <w:t>60</w:t>
            </w:r>
          </w:p>
        </w:tc>
        <w:tc>
          <w:tcPr>
            <w:tcW w:w="1170" w:type="dxa"/>
            <w:tcBorders>
              <w:top w:val="single" w:sz="6" w:space="0" w:color="auto"/>
              <w:left w:val="single" w:sz="6" w:space="0" w:color="auto"/>
              <w:bottom w:val="single" w:sz="6" w:space="0" w:color="auto"/>
              <w:right w:val="single" w:sz="6" w:space="0" w:color="auto"/>
            </w:tcBorders>
            <w:vAlign w:val="bottom"/>
            <w:hideMark/>
          </w:tcPr>
          <w:p w:rsidR="001637C4" w:rsidRPr="001637C4" w:rsidP="001637C4" w14:paraId="5A43B2C4" w14:textId="77777777">
            <w:pPr>
              <w:jc w:val="right"/>
              <w:rPr>
                <w:sz w:val="20"/>
                <w:szCs w:val="20"/>
              </w:rPr>
            </w:pPr>
            <w:r w:rsidRPr="001637C4">
              <w:rPr>
                <w:sz w:val="20"/>
                <w:szCs w:val="20"/>
              </w:rPr>
              <w:t>4</w:t>
            </w:r>
          </w:p>
        </w:tc>
        <w:tc>
          <w:tcPr>
            <w:tcW w:w="810" w:type="dxa"/>
            <w:tcBorders>
              <w:top w:val="single" w:sz="6" w:space="0" w:color="auto"/>
              <w:left w:val="single" w:sz="6" w:space="0" w:color="auto"/>
              <w:bottom w:val="single" w:sz="6" w:space="0" w:color="auto"/>
              <w:right w:val="single" w:sz="6" w:space="0" w:color="auto"/>
            </w:tcBorders>
            <w:vAlign w:val="bottom"/>
            <w:hideMark/>
          </w:tcPr>
          <w:p w:rsidR="001637C4" w:rsidRPr="001637C4" w:rsidP="001637C4" w14:paraId="722DE8BC" w14:textId="77777777">
            <w:pPr>
              <w:jc w:val="right"/>
              <w:rPr>
                <w:sz w:val="20"/>
                <w:szCs w:val="20"/>
              </w:rPr>
            </w:pPr>
            <w:r w:rsidRPr="001637C4">
              <w:rPr>
                <w:sz w:val="20"/>
                <w:szCs w:val="20"/>
              </w:rPr>
              <w:t>240</w:t>
            </w:r>
          </w:p>
        </w:tc>
      </w:tr>
      <w:tr w14:paraId="657386C4" w14:textId="77777777" w:rsidTr="008318FD">
        <w:tblPrEx>
          <w:tblW w:w="9540" w:type="dxa"/>
          <w:tblInd w:w="82" w:type="dxa"/>
          <w:tblLayout w:type="fixed"/>
          <w:tblCellMar>
            <w:left w:w="101" w:type="dxa"/>
            <w:right w:w="101" w:type="dxa"/>
          </w:tblCellMar>
          <w:tblLook w:val="04A0"/>
        </w:tblPrEx>
        <w:trPr>
          <w:trHeight w:val="255"/>
        </w:trPr>
        <w:tc>
          <w:tcPr>
            <w:tcW w:w="2970" w:type="dxa"/>
            <w:tcBorders>
              <w:top w:val="single" w:sz="6" w:space="0" w:color="auto"/>
              <w:left w:val="single" w:sz="6" w:space="0" w:color="auto"/>
              <w:bottom w:val="single" w:sz="6" w:space="0" w:color="auto"/>
              <w:right w:val="nil"/>
            </w:tcBorders>
            <w:vAlign w:val="bottom"/>
            <w:hideMark/>
          </w:tcPr>
          <w:p w:rsidR="001637C4" w:rsidRPr="001637C4" w:rsidP="001637C4" w14:paraId="35975F5A" w14:textId="77777777">
            <w:pPr>
              <w:rPr>
                <w:sz w:val="20"/>
                <w:szCs w:val="20"/>
              </w:rPr>
            </w:pPr>
            <w:r w:rsidRPr="001637C4">
              <w:rPr>
                <w:sz w:val="20"/>
                <w:szCs w:val="20"/>
              </w:rPr>
              <w:t>Final consultation</w:t>
            </w:r>
          </w:p>
        </w:tc>
        <w:tc>
          <w:tcPr>
            <w:tcW w:w="990" w:type="dxa"/>
            <w:tcBorders>
              <w:top w:val="single" w:sz="6" w:space="0" w:color="auto"/>
              <w:left w:val="single" w:sz="6" w:space="0" w:color="auto"/>
              <w:bottom w:val="single" w:sz="6" w:space="0" w:color="auto"/>
              <w:right w:val="nil"/>
            </w:tcBorders>
            <w:vAlign w:val="bottom"/>
            <w:hideMark/>
          </w:tcPr>
          <w:p w:rsidR="001637C4" w:rsidRPr="001637C4" w:rsidP="001637C4" w14:paraId="0B31D1F8" w14:textId="77777777">
            <w:pPr>
              <w:jc w:val="right"/>
              <w:rPr>
                <w:sz w:val="20"/>
                <w:szCs w:val="20"/>
              </w:rPr>
            </w:pPr>
            <w:r w:rsidRPr="001637C4">
              <w:rPr>
                <w:sz w:val="20"/>
                <w:szCs w:val="20"/>
              </w:rPr>
              <w:t>3665</w:t>
            </w:r>
          </w:p>
        </w:tc>
        <w:tc>
          <w:tcPr>
            <w:tcW w:w="1080" w:type="dxa"/>
            <w:tcBorders>
              <w:top w:val="single" w:sz="6" w:space="0" w:color="auto"/>
              <w:left w:val="single" w:sz="6" w:space="0" w:color="auto"/>
              <w:bottom w:val="single" w:sz="6" w:space="0" w:color="auto"/>
              <w:right w:val="nil"/>
            </w:tcBorders>
            <w:vAlign w:val="bottom"/>
            <w:hideMark/>
          </w:tcPr>
          <w:p w:rsidR="001637C4" w:rsidRPr="001637C4" w:rsidP="001637C4" w14:paraId="1150DB82" w14:textId="77777777">
            <w:pPr>
              <w:jc w:val="right"/>
              <w:rPr>
                <w:sz w:val="20"/>
                <w:szCs w:val="20"/>
              </w:rPr>
            </w:pPr>
            <w:r w:rsidRPr="001637C4">
              <w:rPr>
                <w:sz w:val="20"/>
                <w:szCs w:val="20"/>
              </w:rPr>
              <w:t>12</w:t>
            </w:r>
          </w:p>
        </w:tc>
        <w:tc>
          <w:tcPr>
            <w:tcW w:w="1440" w:type="dxa"/>
            <w:tcBorders>
              <w:top w:val="single" w:sz="6" w:space="0" w:color="auto"/>
              <w:left w:val="single" w:sz="6" w:space="0" w:color="auto"/>
              <w:bottom w:val="single" w:sz="6" w:space="0" w:color="auto"/>
              <w:right w:val="nil"/>
            </w:tcBorders>
            <w:vAlign w:val="bottom"/>
            <w:hideMark/>
          </w:tcPr>
          <w:p w:rsidR="001637C4" w:rsidRPr="001637C4" w:rsidP="001637C4" w14:paraId="6601B77B" w14:textId="77777777">
            <w:pPr>
              <w:jc w:val="right"/>
              <w:rPr>
                <w:sz w:val="20"/>
                <w:szCs w:val="20"/>
              </w:rPr>
            </w:pPr>
            <w:r w:rsidRPr="001637C4">
              <w:rPr>
                <w:sz w:val="20"/>
                <w:szCs w:val="20"/>
              </w:rPr>
              <w:t>1</w:t>
            </w:r>
          </w:p>
        </w:tc>
        <w:tc>
          <w:tcPr>
            <w:tcW w:w="1080" w:type="dxa"/>
            <w:tcBorders>
              <w:top w:val="single" w:sz="6" w:space="0" w:color="auto"/>
              <w:left w:val="single" w:sz="6" w:space="0" w:color="auto"/>
              <w:bottom w:val="single" w:sz="6" w:space="0" w:color="auto"/>
              <w:right w:val="nil"/>
            </w:tcBorders>
            <w:vAlign w:val="bottom"/>
            <w:hideMark/>
          </w:tcPr>
          <w:p w:rsidR="001637C4" w:rsidRPr="001637C4" w:rsidP="001637C4" w14:paraId="6AE8DECB" w14:textId="77777777">
            <w:pPr>
              <w:jc w:val="right"/>
              <w:rPr>
                <w:sz w:val="20"/>
                <w:szCs w:val="20"/>
              </w:rPr>
            </w:pPr>
            <w:r w:rsidRPr="001637C4">
              <w:rPr>
                <w:sz w:val="20"/>
                <w:szCs w:val="20"/>
              </w:rPr>
              <w:t>12</w:t>
            </w:r>
          </w:p>
        </w:tc>
        <w:tc>
          <w:tcPr>
            <w:tcW w:w="1170" w:type="dxa"/>
            <w:tcBorders>
              <w:top w:val="single" w:sz="6" w:space="0" w:color="auto"/>
              <w:left w:val="single" w:sz="6" w:space="0" w:color="auto"/>
              <w:bottom w:val="single" w:sz="6" w:space="0" w:color="auto"/>
              <w:right w:val="single" w:sz="6" w:space="0" w:color="auto"/>
            </w:tcBorders>
            <w:vAlign w:val="bottom"/>
            <w:hideMark/>
          </w:tcPr>
          <w:p w:rsidR="001637C4" w:rsidRPr="001637C4" w:rsidP="001637C4" w14:paraId="02B80E48" w14:textId="77777777">
            <w:pPr>
              <w:jc w:val="right"/>
              <w:rPr>
                <w:sz w:val="20"/>
                <w:szCs w:val="20"/>
              </w:rPr>
            </w:pPr>
            <w:r w:rsidRPr="001637C4">
              <w:rPr>
                <w:sz w:val="20"/>
                <w:szCs w:val="20"/>
              </w:rPr>
              <w:t>150</w:t>
            </w:r>
          </w:p>
        </w:tc>
        <w:tc>
          <w:tcPr>
            <w:tcW w:w="810" w:type="dxa"/>
            <w:tcBorders>
              <w:top w:val="single" w:sz="6" w:space="0" w:color="auto"/>
              <w:left w:val="single" w:sz="6" w:space="0" w:color="auto"/>
              <w:bottom w:val="single" w:sz="6" w:space="0" w:color="auto"/>
              <w:right w:val="single" w:sz="6" w:space="0" w:color="auto"/>
            </w:tcBorders>
            <w:vAlign w:val="bottom"/>
            <w:hideMark/>
          </w:tcPr>
          <w:p w:rsidR="001637C4" w:rsidRPr="001637C4" w:rsidP="001637C4" w14:paraId="6A088F6F" w14:textId="77777777">
            <w:pPr>
              <w:jc w:val="right"/>
              <w:rPr>
                <w:sz w:val="20"/>
                <w:szCs w:val="20"/>
              </w:rPr>
            </w:pPr>
            <w:r w:rsidRPr="001637C4">
              <w:rPr>
                <w:sz w:val="20"/>
                <w:szCs w:val="20"/>
              </w:rPr>
              <w:t>1,800</w:t>
            </w:r>
          </w:p>
        </w:tc>
      </w:tr>
      <w:tr w14:paraId="2CF59AB5" w14:textId="77777777" w:rsidTr="008318FD">
        <w:tblPrEx>
          <w:tblW w:w="9540" w:type="dxa"/>
          <w:tblInd w:w="82" w:type="dxa"/>
          <w:tblLayout w:type="fixed"/>
          <w:tblCellMar>
            <w:left w:w="101" w:type="dxa"/>
            <w:right w:w="101" w:type="dxa"/>
          </w:tblCellMar>
          <w:tblLook w:val="04A0"/>
        </w:tblPrEx>
        <w:trPr>
          <w:trHeight w:val="435"/>
        </w:trPr>
        <w:tc>
          <w:tcPr>
            <w:tcW w:w="9540" w:type="dxa"/>
            <w:gridSpan w:val="7"/>
            <w:tcBorders>
              <w:top w:val="single" w:sz="6" w:space="0" w:color="auto"/>
              <w:left w:val="single" w:sz="6" w:space="0" w:color="auto"/>
              <w:bottom w:val="single" w:sz="6" w:space="0" w:color="auto"/>
              <w:right w:val="single" w:sz="6" w:space="0" w:color="auto"/>
            </w:tcBorders>
            <w:vAlign w:val="bottom"/>
            <w:hideMark/>
          </w:tcPr>
          <w:p w:rsidR="001637C4" w:rsidRPr="001637C4" w:rsidP="001637C4" w14:paraId="1C05FE33" w14:textId="77777777">
            <w:pPr>
              <w:rPr>
                <w:i/>
                <w:iCs/>
                <w:sz w:val="20"/>
                <w:szCs w:val="20"/>
              </w:rPr>
            </w:pPr>
            <w:r w:rsidRPr="001637C4">
              <w:rPr>
                <w:i/>
                <w:iCs/>
                <w:sz w:val="20"/>
                <w:szCs w:val="20"/>
              </w:rPr>
              <w:t>Early Food Safety Evaluation of New Non-Pesticidal Proteins Produced by New Plant Varieties Intended for Food Use</w:t>
            </w:r>
          </w:p>
        </w:tc>
      </w:tr>
      <w:tr w14:paraId="4F357BF3" w14:textId="77777777" w:rsidTr="008318FD">
        <w:tblPrEx>
          <w:tblW w:w="9540" w:type="dxa"/>
          <w:tblInd w:w="82" w:type="dxa"/>
          <w:tblLayout w:type="fixed"/>
          <w:tblCellMar>
            <w:left w:w="101" w:type="dxa"/>
            <w:right w:w="101" w:type="dxa"/>
          </w:tblCellMar>
          <w:tblLook w:val="04A0"/>
        </w:tblPrEx>
        <w:trPr>
          <w:trHeight w:val="255"/>
        </w:trPr>
        <w:tc>
          <w:tcPr>
            <w:tcW w:w="2970" w:type="dxa"/>
            <w:tcBorders>
              <w:top w:val="single" w:sz="6" w:space="0" w:color="auto"/>
              <w:left w:val="single" w:sz="6" w:space="0" w:color="auto"/>
              <w:bottom w:val="single" w:sz="6" w:space="0" w:color="auto"/>
              <w:right w:val="nil"/>
            </w:tcBorders>
            <w:hideMark/>
          </w:tcPr>
          <w:p w:rsidR="001637C4" w:rsidRPr="001637C4" w:rsidP="001637C4" w14:paraId="653CE3B9" w14:textId="77777777">
            <w:pPr>
              <w:rPr>
                <w:sz w:val="20"/>
                <w:szCs w:val="20"/>
              </w:rPr>
            </w:pPr>
            <w:r w:rsidRPr="001637C4">
              <w:rPr>
                <w:sz w:val="20"/>
                <w:szCs w:val="20"/>
              </w:rPr>
              <w:t>Six data components</w:t>
            </w:r>
          </w:p>
        </w:tc>
        <w:tc>
          <w:tcPr>
            <w:tcW w:w="990" w:type="dxa"/>
            <w:tcBorders>
              <w:top w:val="single" w:sz="6" w:space="0" w:color="auto"/>
              <w:left w:val="single" w:sz="6" w:space="0" w:color="auto"/>
              <w:bottom w:val="single" w:sz="6" w:space="0" w:color="auto"/>
              <w:right w:val="nil"/>
            </w:tcBorders>
            <w:hideMark/>
          </w:tcPr>
          <w:p w:rsidR="001637C4" w:rsidRPr="001637C4" w:rsidP="001637C4" w14:paraId="6BF92578" w14:textId="77777777">
            <w:pPr>
              <w:jc w:val="right"/>
              <w:rPr>
                <w:sz w:val="20"/>
                <w:szCs w:val="20"/>
              </w:rPr>
            </w:pPr>
            <w:r w:rsidRPr="001637C4">
              <w:rPr>
                <w:sz w:val="20"/>
                <w:szCs w:val="20"/>
              </w:rPr>
              <w:t>3666</w:t>
            </w:r>
          </w:p>
        </w:tc>
        <w:tc>
          <w:tcPr>
            <w:tcW w:w="1080" w:type="dxa"/>
            <w:tcBorders>
              <w:top w:val="single" w:sz="6" w:space="0" w:color="auto"/>
              <w:left w:val="single" w:sz="6" w:space="0" w:color="auto"/>
              <w:bottom w:val="single" w:sz="6" w:space="0" w:color="auto"/>
              <w:right w:val="nil"/>
            </w:tcBorders>
            <w:hideMark/>
          </w:tcPr>
          <w:p w:rsidR="001637C4" w:rsidRPr="001637C4" w:rsidP="001637C4" w14:paraId="501F50B3" w14:textId="77777777">
            <w:pPr>
              <w:jc w:val="right"/>
              <w:rPr>
                <w:sz w:val="20"/>
                <w:szCs w:val="20"/>
              </w:rPr>
            </w:pPr>
            <w:r w:rsidRPr="001637C4">
              <w:rPr>
                <w:sz w:val="20"/>
                <w:szCs w:val="20"/>
              </w:rPr>
              <w:t>6</w:t>
            </w:r>
          </w:p>
        </w:tc>
        <w:tc>
          <w:tcPr>
            <w:tcW w:w="1440" w:type="dxa"/>
            <w:tcBorders>
              <w:top w:val="single" w:sz="6" w:space="0" w:color="auto"/>
              <w:left w:val="single" w:sz="6" w:space="0" w:color="auto"/>
              <w:bottom w:val="single" w:sz="6" w:space="0" w:color="auto"/>
              <w:right w:val="nil"/>
            </w:tcBorders>
            <w:hideMark/>
          </w:tcPr>
          <w:p w:rsidR="001637C4" w:rsidRPr="001637C4" w:rsidP="001637C4" w14:paraId="5C67B047" w14:textId="77777777">
            <w:pPr>
              <w:jc w:val="right"/>
              <w:rPr>
                <w:sz w:val="20"/>
                <w:szCs w:val="20"/>
              </w:rPr>
            </w:pPr>
            <w:r w:rsidRPr="001637C4">
              <w:rPr>
                <w:sz w:val="20"/>
                <w:szCs w:val="20"/>
              </w:rPr>
              <w:t>1</w:t>
            </w:r>
          </w:p>
        </w:tc>
        <w:tc>
          <w:tcPr>
            <w:tcW w:w="1080" w:type="dxa"/>
            <w:tcBorders>
              <w:top w:val="single" w:sz="6" w:space="0" w:color="auto"/>
              <w:left w:val="single" w:sz="6" w:space="0" w:color="auto"/>
              <w:bottom w:val="single" w:sz="6" w:space="0" w:color="auto"/>
              <w:right w:val="nil"/>
            </w:tcBorders>
            <w:hideMark/>
          </w:tcPr>
          <w:p w:rsidR="001637C4" w:rsidRPr="001637C4" w:rsidP="001637C4" w14:paraId="10E2780D" w14:textId="77777777">
            <w:pPr>
              <w:jc w:val="right"/>
              <w:rPr>
                <w:sz w:val="20"/>
                <w:szCs w:val="20"/>
              </w:rPr>
            </w:pPr>
            <w:r w:rsidRPr="001637C4">
              <w:rPr>
                <w:sz w:val="20"/>
                <w:szCs w:val="20"/>
              </w:rPr>
              <w:t>6</w:t>
            </w:r>
          </w:p>
        </w:tc>
        <w:tc>
          <w:tcPr>
            <w:tcW w:w="1170" w:type="dxa"/>
            <w:tcBorders>
              <w:top w:val="single" w:sz="6" w:space="0" w:color="auto"/>
              <w:left w:val="single" w:sz="6" w:space="0" w:color="auto"/>
              <w:bottom w:val="single" w:sz="6" w:space="0" w:color="auto"/>
              <w:right w:val="single" w:sz="6" w:space="0" w:color="auto"/>
            </w:tcBorders>
            <w:hideMark/>
          </w:tcPr>
          <w:p w:rsidR="001637C4" w:rsidRPr="001637C4" w:rsidP="001637C4" w14:paraId="5B243F8C" w14:textId="77777777">
            <w:pPr>
              <w:jc w:val="right"/>
              <w:rPr>
                <w:sz w:val="20"/>
                <w:szCs w:val="20"/>
              </w:rPr>
            </w:pPr>
            <w:r w:rsidRPr="001637C4">
              <w:rPr>
                <w:sz w:val="20"/>
                <w:szCs w:val="20"/>
              </w:rPr>
              <w:t>20</w:t>
            </w:r>
          </w:p>
        </w:tc>
        <w:tc>
          <w:tcPr>
            <w:tcW w:w="810" w:type="dxa"/>
            <w:tcBorders>
              <w:top w:val="single" w:sz="6" w:space="0" w:color="auto"/>
              <w:left w:val="single" w:sz="6" w:space="0" w:color="auto"/>
              <w:bottom w:val="single" w:sz="6" w:space="0" w:color="auto"/>
              <w:right w:val="single" w:sz="6" w:space="0" w:color="auto"/>
            </w:tcBorders>
            <w:hideMark/>
          </w:tcPr>
          <w:p w:rsidR="001637C4" w:rsidRPr="001637C4" w:rsidP="001637C4" w14:paraId="18A6B9E0" w14:textId="77777777">
            <w:pPr>
              <w:jc w:val="right"/>
              <w:rPr>
                <w:sz w:val="20"/>
                <w:szCs w:val="20"/>
              </w:rPr>
            </w:pPr>
            <w:r w:rsidRPr="001637C4">
              <w:rPr>
                <w:sz w:val="20"/>
                <w:szCs w:val="20"/>
              </w:rPr>
              <w:t>120</w:t>
            </w:r>
          </w:p>
        </w:tc>
      </w:tr>
      <w:tr w14:paraId="4A6F78DD" w14:textId="77777777" w:rsidTr="008318FD">
        <w:tblPrEx>
          <w:tblW w:w="9540" w:type="dxa"/>
          <w:tblInd w:w="82" w:type="dxa"/>
          <w:tblLayout w:type="fixed"/>
          <w:tblCellMar>
            <w:left w:w="101" w:type="dxa"/>
            <w:right w:w="101" w:type="dxa"/>
          </w:tblCellMar>
          <w:tblLook w:val="04A0"/>
        </w:tblPrEx>
        <w:trPr>
          <w:trHeight w:val="255"/>
        </w:trPr>
        <w:tc>
          <w:tcPr>
            <w:tcW w:w="2970" w:type="dxa"/>
            <w:tcBorders>
              <w:top w:val="single" w:sz="6" w:space="0" w:color="auto"/>
              <w:left w:val="single" w:sz="6" w:space="0" w:color="auto"/>
              <w:bottom w:val="single" w:sz="6" w:space="0" w:color="auto"/>
              <w:right w:val="nil"/>
            </w:tcBorders>
            <w:hideMark/>
          </w:tcPr>
          <w:p w:rsidR="001637C4" w:rsidRPr="001637C4" w:rsidP="001637C4" w14:paraId="51E0EE3F" w14:textId="77777777">
            <w:pPr>
              <w:rPr>
                <w:sz w:val="20"/>
                <w:szCs w:val="20"/>
              </w:rPr>
            </w:pPr>
            <w:r w:rsidRPr="001637C4">
              <w:rPr>
                <w:sz w:val="20"/>
                <w:szCs w:val="20"/>
              </w:rPr>
              <w:t>Total</w:t>
            </w:r>
          </w:p>
        </w:tc>
        <w:tc>
          <w:tcPr>
            <w:tcW w:w="990" w:type="dxa"/>
            <w:tcBorders>
              <w:top w:val="single" w:sz="6" w:space="0" w:color="auto"/>
              <w:left w:val="single" w:sz="6" w:space="0" w:color="auto"/>
              <w:bottom w:val="single" w:sz="6" w:space="0" w:color="auto"/>
              <w:right w:val="nil"/>
            </w:tcBorders>
          </w:tcPr>
          <w:p w:rsidR="001637C4" w:rsidRPr="001637C4" w:rsidP="001637C4" w14:paraId="3D20BFFA" w14:textId="77777777">
            <w:pPr>
              <w:jc w:val="right"/>
              <w:rPr>
                <w:sz w:val="20"/>
                <w:szCs w:val="20"/>
              </w:rPr>
            </w:pPr>
          </w:p>
        </w:tc>
        <w:tc>
          <w:tcPr>
            <w:tcW w:w="1080" w:type="dxa"/>
            <w:tcBorders>
              <w:top w:val="single" w:sz="6" w:space="0" w:color="auto"/>
              <w:left w:val="single" w:sz="6" w:space="0" w:color="auto"/>
              <w:bottom w:val="single" w:sz="6" w:space="0" w:color="auto"/>
              <w:right w:val="nil"/>
            </w:tcBorders>
          </w:tcPr>
          <w:p w:rsidR="001637C4" w:rsidRPr="001637C4" w:rsidP="001637C4" w14:paraId="2C71B289" w14:textId="77777777">
            <w:pPr>
              <w:jc w:val="right"/>
              <w:rPr>
                <w:sz w:val="20"/>
                <w:szCs w:val="20"/>
              </w:rPr>
            </w:pPr>
          </w:p>
        </w:tc>
        <w:tc>
          <w:tcPr>
            <w:tcW w:w="1440" w:type="dxa"/>
            <w:tcBorders>
              <w:top w:val="single" w:sz="6" w:space="0" w:color="auto"/>
              <w:left w:val="single" w:sz="6" w:space="0" w:color="auto"/>
              <w:bottom w:val="single" w:sz="6" w:space="0" w:color="auto"/>
              <w:right w:val="nil"/>
            </w:tcBorders>
          </w:tcPr>
          <w:p w:rsidR="001637C4" w:rsidRPr="001637C4" w:rsidP="001637C4" w14:paraId="20DB0E02" w14:textId="77777777">
            <w:pPr>
              <w:jc w:val="right"/>
              <w:rPr>
                <w:sz w:val="20"/>
                <w:szCs w:val="20"/>
              </w:rPr>
            </w:pPr>
          </w:p>
        </w:tc>
        <w:tc>
          <w:tcPr>
            <w:tcW w:w="1080" w:type="dxa"/>
            <w:tcBorders>
              <w:top w:val="single" w:sz="6" w:space="0" w:color="auto"/>
              <w:left w:val="single" w:sz="6" w:space="0" w:color="auto"/>
              <w:bottom w:val="single" w:sz="6" w:space="0" w:color="auto"/>
              <w:right w:val="nil"/>
            </w:tcBorders>
            <w:hideMark/>
          </w:tcPr>
          <w:p w:rsidR="001637C4" w:rsidRPr="001637C4" w:rsidP="001637C4" w14:paraId="0EB52D35" w14:textId="77777777">
            <w:pPr>
              <w:jc w:val="right"/>
              <w:rPr>
                <w:sz w:val="20"/>
                <w:szCs w:val="20"/>
              </w:rPr>
            </w:pPr>
            <w:r w:rsidRPr="001637C4">
              <w:rPr>
                <w:sz w:val="20"/>
                <w:szCs w:val="20"/>
              </w:rPr>
              <w:t>78</w:t>
            </w:r>
          </w:p>
        </w:tc>
        <w:tc>
          <w:tcPr>
            <w:tcW w:w="1170" w:type="dxa"/>
            <w:tcBorders>
              <w:top w:val="single" w:sz="6" w:space="0" w:color="auto"/>
              <w:left w:val="single" w:sz="6" w:space="0" w:color="auto"/>
              <w:bottom w:val="single" w:sz="6" w:space="0" w:color="auto"/>
              <w:right w:val="single" w:sz="6" w:space="0" w:color="auto"/>
            </w:tcBorders>
          </w:tcPr>
          <w:p w:rsidR="001637C4" w:rsidRPr="001637C4" w:rsidP="001637C4" w14:paraId="579412DC" w14:textId="77777777">
            <w:pPr>
              <w:jc w:val="right"/>
              <w:rPr>
                <w:sz w:val="20"/>
                <w:szCs w:val="20"/>
              </w:rPr>
            </w:pPr>
          </w:p>
        </w:tc>
        <w:tc>
          <w:tcPr>
            <w:tcW w:w="810" w:type="dxa"/>
            <w:tcBorders>
              <w:top w:val="single" w:sz="6" w:space="0" w:color="auto"/>
              <w:left w:val="single" w:sz="6" w:space="0" w:color="auto"/>
              <w:bottom w:val="single" w:sz="6" w:space="0" w:color="auto"/>
              <w:right w:val="single" w:sz="6" w:space="0" w:color="auto"/>
            </w:tcBorders>
            <w:hideMark/>
          </w:tcPr>
          <w:p w:rsidR="001637C4" w:rsidRPr="001637C4" w:rsidP="001637C4" w14:paraId="66A45C22" w14:textId="7F113028">
            <w:pPr>
              <w:jc w:val="right"/>
              <w:rPr>
                <w:sz w:val="20"/>
                <w:szCs w:val="20"/>
              </w:rPr>
            </w:pPr>
            <w:r w:rsidRPr="001637C4">
              <w:rPr>
                <w:sz w:val="20"/>
                <w:szCs w:val="20"/>
              </w:rPr>
              <w:t>2</w:t>
            </w:r>
            <w:r w:rsidR="0036271F">
              <w:rPr>
                <w:sz w:val="20"/>
                <w:szCs w:val="20"/>
              </w:rPr>
              <w:t>,</w:t>
            </w:r>
            <w:r w:rsidRPr="001637C4">
              <w:rPr>
                <w:sz w:val="20"/>
                <w:szCs w:val="20"/>
              </w:rPr>
              <w:t>160</w:t>
            </w:r>
          </w:p>
        </w:tc>
      </w:tr>
    </w:tbl>
    <w:p w:rsidR="001637C4" w:rsidRPr="001637C4" w:rsidP="00ED0346" w14:paraId="317CA16F" w14:textId="77777777">
      <w:pPr>
        <w:autoSpaceDE w:val="0"/>
        <w:autoSpaceDN w:val="0"/>
        <w:adjustRightInd w:val="0"/>
        <w:ind w:left="360"/>
        <w:rPr>
          <w:sz w:val="20"/>
          <w:szCs w:val="20"/>
        </w:rPr>
      </w:pPr>
      <w:r w:rsidRPr="001637C4">
        <w:rPr>
          <w:sz w:val="20"/>
          <w:szCs w:val="20"/>
          <w:vertAlign w:val="superscript"/>
        </w:rPr>
        <w:t>1</w:t>
      </w:r>
      <w:r w:rsidRPr="001637C4">
        <w:rPr>
          <w:sz w:val="20"/>
          <w:szCs w:val="20"/>
        </w:rPr>
        <w:t xml:space="preserve"> There are no capital costs or operating and maintenance costs associated with this collection of information.</w:t>
      </w:r>
    </w:p>
    <w:p w:rsidR="001637C4" w:rsidRPr="00067D5A" w:rsidP="001637C4" w14:paraId="1549EF6D" w14:textId="77777777"/>
    <w:p w:rsidR="00E04A92" w:rsidRPr="00067D5A" w:rsidP="00F0410B" w14:paraId="5072E2BE" w14:textId="73669AE3">
      <w:r w:rsidRPr="00067D5A">
        <w:t xml:space="preserve">Based on a review of the information collection since our last request for OMB approval, we have made minor adjustments to update our burden estimate to reflect recent annual response rates (increased initial consultations under the New Plant Variety consultation procedures) and to clarify the total number of responses under the Early Food Safety Evaluation procedures.  </w:t>
      </w:r>
    </w:p>
    <w:p w:rsidR="00BF67AD" w:rsidRPr="00067D5A" w:rsidP="001637C4" w14:paraId="62716B10" w14:textId="77777777"/>
    <w:bookmarkEnd w:id="1"/>
    <w:p w:rsidR="00E04A92" w:rsidRPr="00F0410B" w:rsidP="00ED0346" w14:paraId="26707F0D" w14:textId="214970BD">
      <w:pPr>
        <w:spacing w:after="200"/>
        <w:ind w:left="360"/>
        <w:rPr>
          <w:i/>
          <w:iCs/>
        </w:rPr>
      </w:pPr>
      <w:r w:rsidRPr="00F0410B">
        <w:rPr>
          <w:rFonts w:eastAsia="Calibri"/>
          <w:i/>
          <w:iCs/>
        </w:rPr>
        <w:t>12b.  Annualized Cost Burden Estimate</w:t>
      </w:r>
    </w:p>
    <w:p w:rsidR="00E04A92" w:rsidRPr="0006446C" w:rsidP="008318FD" w14:paraId="44C6E945" w14:textId="36E5EA45">
      <w:r w:rsidRPr="0006446C">
        <w:t xml:space="preserve">Gathering information for the </w:t>
      </w:r>
      <w:r w:rsidR="0037417F">
        <w:t>consultat</w:t>
      </w:r>
      <w:r w:rsidR="002A254D">
        <w:t xml:space="preserve">ions </w:t>
      </w:r>
      <w:r w:rsidRPr="0006446C">
        <w:t xml:space="preserve">and </w:t>
      </w:r>
      <w:r w:rsidR="002A254D">
        <w:t xml:space="preserve">then </w:t>
      </w:r>
      <w:r w:rsidRPr="0006446C">
        <w:t xml:space="preserve">providing it to the agency requires a team of employees, which may include toxicologists, chemists, and lawyers.  </w:t>
      </w:r>
      <w:r>
        <w:t xml:space="preserve">We assume an </w:t>
      </w:r>
      <w:r w:rsidRPr="0006446C">
        <w:t xml:space="preserve">average hourly wage for these employees </w:t>
      </w:r>
      <w:r w:rsidR="00454E73">
        <w:t xml:space="preserve">to be </w:t>
      </w:r>
      <w:r w:rsidRPr="0006446C">
        <w:t xml:space="preserve">equivalent to a GS-14/Step-1 in the locality pay area of Washington-Baltimore in </w:t>
      </w:r>
      <w:r w:rsidR="00115E15">
        <w:t>2024</w:t>
      </w:r>
      <w:r w:rsidRPr="0006446C">
        <w:t>, approximately $</w:t>
      </w:r>
      <w:r w:rsidR="00115E15">
        <w:t>66.79</w:t>
      </w:r>
      <w:r w:rsidRPr="0006446C">
        <w:t>/hour.</w:t>
      </w:r>
      <w:r>
        <w:t xml:space="preserve">  </w:t>
      </w:r>
      <w:r w:rsidRPr="0006446C">
        <w:t>Doubling this wage to account for overhead costs, FDA estimates the average hourly cost to respondents to be $</w:t>
      </w:r>
      <w:r w:rsidR="00115E15">
        <w:t>133.58</w:t>
      </w:r>
      <w:r w:rsidRPr="0006446C">
        <w:t>/hour.  Thus, the overall estimated cost incurred by the respondents is $</w:t>
      </w:r>
      <w:r w:rsidRPr="00AE13D9" w:rsidR="00AE13D9">
        <w:t>288,532.80</w:t>
      </w:r>
      <w:r w:rsidRPr="0006446C">
        <w:t xml:space="preserve"> (</w:t>
      </w:r>
      <w:r w:rsidR="00EF4294">
        <w:t>2,160</w:t>
      </w:r>
      <w:r w:rsidRPr="0006446C" w:rsidR="00EF4294">
        <w:t xml:space="preserve"> </w:t>
      </w:r>
      <w:r w:rsidRPr="0006446C">
        <w:t>burden hours x $</w:t>
      </w:r>
      <w:r w:rsidR="007971F8">
        <w:t>133.58</w:t>
      </w:r>
      <w:r w:rsidRPr="0006446C">
        <w:t xml:space="preserve">/hour).  </w:t>
      </w:r>
    </w:p>
    <w:p w:rsidR="00E04A92" w:rsidP="00E04A92" w14:paraId="1DEFC3DA" w14:textId="77777777"/>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1909"/>
        <w:gridCol w:w="2430"/>
        <w:gridCol w:w="2209"/>
      </w:tblGrid>
      <w:tr w14:paraId="37DE1862" w14:textId="77777777" w:rsidTr="008318FD">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9409" w:type="dxa"/>
            <w:gridSpan w:val="4"/>
            <w:tcBorders>
              <w:top w:val="single" w:sz="4" w:space="0" w:color="auto"/>
              <w:left w:val="single" w:sz="4" w:space="0" w:color="auto"/>
              <w:bottom w:val="single" w:sz="4" w:space="0" w:color="auto"/>
              <w:right w:val="single" w:sz="4" w:space="0" w:color="auto"/>
            </w:tcBorders>
            <w:hideMark/>
          </w:tcPr>
          <w:p w:rsidR="00E04A92" w:rsidRPr="001F2E87" w:rsidP="00A13EC4" w14:paraId="12393620" w14:textId="418AF22E">
            <w:pPr>
              <w:jc w:val="center"/>
              <w:rPr>
                <w:sz w:val="20"/>
                <w:szCs w:val="20"/>
              </w:rPr>
            </w:pPr>
            <w:r w:rsidRPr="001F2E87">
              <w:rPr>
                <w:sz w:val="20"/>
                <w:szCs w:val="20"/>
              </w:rPr>
              <w:t>Table 2</w:t>
            </w:r>
            <w:r w:rsidR="00F65815">
              <w:rPr>
                <w:sz w:val="20"/>
                <w:szCs w:val="20"/>
              </w:rPr>
              <w:t>.</w:t>
            </w:r>
            <w:r w:rsidR="006532A0">
              <w:rPr>
                <w:sz w:val="20"/>
                <w:szCs w:val="20"/>
              </w:rPr>
              <w:t>--</w:t>
            </w:r>
            <w:r w:rsidR="00BD4F69">
              <w:rPr>
                <w:sz w:val="20"/>
                <w:szCs w:val="20"/>
              </w:rPr>
              <w:t xml:space="preserve">Estimated </w:t>
            </w:r>
            <w:r w:rsidR="00792E30">
              <w:rPr>
                <w:sz w:val="20"/>
                <w:szCs w:val="20"/>
              </w:rPr>
              <w:t xml:space="preserve">Annual </w:t>
            </w:r>
            <w:r w:rsidR="00BD4F69">
              <w:rPr>
                <w:sz w:val="20"/>
                <w:szCs w:val="20"/>
              </w:rPr>
              <w:t xml:space="preserve">Cost </w:t>
            </w:r>
            <w:r w:rsidRPr="001F2E87">
              <w:rPr>
                <w:sz w:val="20"/>
                <w:szCs w:val="20"/>
              </w:rPr>
              <w:t>Burden</w:t>
            </w:r>
          </w:p>
        </w:tc>
      </w:tr>
      <w:tr w14:paraId="43DD86F8" w14:textId="77777777" w:rsidTr="008318FD">
        <w:tblPrEx>
          <w:tblW w:w="0" w:type="auto"/>
          <w:tblInd w:w="85" w:type="dxa"/>
          <w:tblLook w:val="01E0"/>
        </w:tblPrEx>
        <w:trPr>
          <w:trHeight w:val="269"/>
        </w:trPr>
        <w:tc>
          <w:tcPr>
            <w:tcW w:w="2861" w:type="dxa"/>
            <w:tcBorders>
              <w:top w:val="single" w:sz="4" w:space="0" w:color="auto"/>
              <w:left w:val="single" w:sz="4" w:space="0" w:color="auto"/>
              <w:bottom w:val="single" w:sz="4" w:space="0" w:color="auto"/>
              <w:right w:val="single" w:sz="4" w:space="0" w:color="auto"/>
            </w:tcBorders>
            <w:hideMark/>
          </w:tcPr>
          <w:p w:rsidR="00E04A92" w:rsidRPr="001F2E87" w:rsidP="00A13EC4" w14:paraId="5E5A2843" w14:textId="77777777">
            <w:pPr>
              <w:rPr>
                <w:sz w:val="20"/>
                <w:szCs w:val="20"/>
              </w:rPr>
            </w:pPr>
            <w:r w:rsidRPr="001F2E87">
              <w:rPr>
                <w:sz w:val="20"/>
                <w:szCs w:val="20"/>
              </w:rPr>
              <w:t>Category</w:t>
            </w:r>
          </w:p>
        </w:tc>
        <w:tc>
          <w:tcPr>
            <w:tcW w:w="1909" w:type="dxa"/>
            <w:tcBorders>
              <w:top w:val="single" w:sz="4" w:space="0" w:color="auto"/>
              <w:left w:val="single" w:sz="4" w:space="0" w:color="auto"/>
              <w:bottom w:val="single" w:sz="4" w:space="0" w:color="auto"/>
              <w:right w:val="single" w:sz="4" w:space="0" w:color="auto"/>
            </w:tcBorders>
            <w:hideMark/>
          </w:tcPr>
          <w:p w:rsidR="00E04A92" w:rsidRPr="001F2E87" w:rsidP="00ED0346" w14:paraId="43C7892D" w14:textId="77777777">
            <w:pPr>
              <w:jc w:val="center"/>
              <w:rPr>
                <w:sz w:val="20"/>
                <w:szCs w:val="20"/>
              </w:rPr>
            </w:pPr>
            <w:r w:rsidRPr="001F2E87">
              <w:rPr>
                <w:sz w:val="20"/>
                <w:szCs w:val="20"/>
              </w:rPr>
              <w:t>Total Burden Hours</w:t>
            </w:r>
          </w:p>
        </w:tc>
        <w:tc>
          <w:tcPr>
            <w:tcW w:w="2430" w:type="dxa"/>
            <w:tcBorders>
              <w:top w:val="single" w:sz="4" w:space="0" w:color="auto"/>
              <w:left w:val="single" w:sz="4" w:space="0" w:color="auto"/>
              <w:bottom w:val="single" w:sz="4" w:space="0" w:color="auto"/>
              <w:right w:val="single" w:sz="4" w:space="0" w:color="auto"/>
            </w:tcBorders>
            <w:hideMark/>
          </w:tcPr>
          <w:p w:rsidR="00E04A92" w:rsidRPr="001F2E87" w:rsidP="00ED0346" w14:paraId="58E66055" w14:textId="77777777">
            <w:pPr>
              <w:jc w:val="center"/>
              <w:rPr>
                <w:sz w:val="20"/>
                <w:szCs w:val="20"/>
              </w:rPr>
            </w:pPr>
            <w:r w:rsidRPr="001F2E87">
              <w:rPr>
                <w:sz w:val="20"/>
                <w:szCs w:val="20"/>
              </w:rPr>
              <w:t>Hourly Wage Rate</w:t>
            </w:r>
          </w:p>
        </w:tc>
        <w:tc>
          <w:tcPr>
            <w:tcW w:w="2209" w:type="dxa"/>
            <w:tcBorders>
              <w:top w:val="single" w:sz="4" w:space="0" w:color="auto"/>
              <w:left w:val="single" w:sz="4" w:space="0" w:color="auto"/>
              <w:bottom w:val="single" w:sz="4" w:space="0" w:color="auto"/>
              <w:right w:val="single" w:sz="4" w:space="0" w:color="auto"/>
            </w:tcBorders>
            <w:hideMark/>
          </w:tcPr>
          <w:p w:rsidR="00E04A92" w:rsidRPr="001F2E87" w:rsidP="00ED0346" w14:paraId="190A86AE" w14:textId="77777777">
            <w:pPr>
              <w:jc w:val="center"/>
              <w:rPr>
                <w:sz w:val="20"/>
                <w:szCs w:val="20"/>
              </w:rPr>
            </w:pPr>
            <w:r w:rsidRPr="001F2E87">
              <w:rPr>
                <w:sz w:val="20"/>
                <w:szCs w:val="20"/>
              </w:rPr>
              <w:t>Total Respondent Costs</w:t>
            </w:r>
          </w:p>
        </w:tc>
      </w:tr>
      <w:tr w14:paraId="1D18BE40" w14:textId="77777777" w:rsidTr="008318FD">
        <w:tblPrEx>
          <w:tblW w:w="0" w:type="auto"/>
          <w:tblInd w:w="85" w:type="dxa"/>
          <w:tblLook w:val="01E0"/>
        </w:tblPrEx>
        <w:trPr>
          <w:trHeight w:val="350"/>
        </w:trPr>
        <w:tc>
          <w:tcPr>
            <w:tcW w:w="9409" w:type="dxa"/>
            <w:gridSpan w:val="4"/>
            <w:shd w:val="clear" w:color="auto" w:fill="auto"/>
            <w:vAlign w:val="center"/>
          </w:tcPr>
          <w:p w:rsidR="00E258AA" w:rsidRPr="00F163D5" w:rsidP="00F163D5" w14:paraId="7B5C4039" w14:textId="136A48DD">
            <w:pPr>
              <w:rPr>
                <w:i/>
                <w:iCs/>
                <w:sz w:val="20"/>
                <w:szCs w:val="20"/>
              </w:rPr>
            </w:pPr>
            <w:r w:rsidRPr="00F163D5">
              <w:rPr>
                <w:i/>
                <w:iCs/>
                <w:sz w:val="20"/>
                <w:szCs w:val="20"/>
              </w:rPr>
              <w:t>Consultation Procedures: Foods Derived from New Plant Varieties</w:t>
            </w:r>
          </w:p>
        </w:tc>
      </w:tr>
      <w:tr w14:paraId="72777DD3" w14:textId="77777777" w:rsidTr="008318FD">
        <w:tblPrEx>
          <w:tblW w:w="0" w:type="auto"/>
          <w:tblInd w:w="85" w:type="dxa"/>
          <w:tblLook w:val="01E0"/>
        </w:tblPrEx>
        <w:trPr>
          <w:trHeight w:val="260"/>
        </w:trPr>
        <w:tc>
          <w:tcPr>
            <w:tcW w:w="2861" w:type="dxa"/>
            <w:shd w:val="clear" w:color="auto" w:fill="auto"/>
          </w:tcPr>
          <w:p w:rsidR="00C2178B" w:rsidRPr="001F2E87" w:rsidP="00C2178B" w14:paraId="295C6605" w14:textId="0AD7303B">
            <w:pPr>
              <w:rPr>
                <w:sz w:val="20"/>
                <w:szCs w:val="20"/>
              </w:rPr>
            </w:pPr>
            <w:r w:rsidRPr="00F04C62">
              <w:rPr>
                <w:sz w:val="20"/>
                <w:szCs w:val="20"/>
              </w:rPr>
              <w:t>Initial Consultation</w:t>
            </w:r>
          </w:p>
        </w:tc>
        <w:tc>
          <w:tcPr>
            <w:tcW w:w="1909" w:type="dxa"/>
            <w:shd w:val="clear" w:color="auto" w:fill="auto"/>
          </w:tcPr>
          <w:p w:rsidR="00C2178B" w:rsidRPr="001F2E87" w:rsidP="00ED0346" w14:paraId="58C2A628" w14:textId="7C61EEB1">
            <w:pPr>
              <w:jc w:val="right"/>
              <w:rPr>
                <w:sz w:val="20"/>
                <w:szCs w:val="20"/>
              </w:rPr>
            </w:pPr>
            <w:r>
              <w:rPr>
                <w:sz w:val="20"/>
                <w:szCs w:val="20"/>
              </w:rPr>
              <w:t>240</w:t>
            </w:r>
          </w:p>
        </w:tc>
        <w:tc>
          <w:tcPr>
            <w:tcW w:w="2430" w:type="dxa"/>
            <w:shd w:val="clear" w:color="auto" w:fill="auto"/>
          </w:tcPr>
          <w:p w:rsidR="00C2178B" w:rsidRPr="001F2E87" w:rsidP="00ED0346" w14:paraId="3E6D2C4A" w14:textId="540F0365">
            <w:pPr>
              <w:jc w:val="right"/>
              <w:rPr>
                <w:sz w:val="20"/>
                <w:szCs w:val="20"/>
              </w:rPr>
            </w:pPr>
            <w:r w:rsidRPr="00F04C62">
              <w:rPr>
                <w:sz w:val="20"/>
                <w:szCs w:val="20"/>
              </w:rPr>
              <w:t>$</w:t>
            </w:r>
            <w:r>
              <w:rPr>
                <w:sz w:val="20"/>
                <w:szCs w:val="20"/>
              </w:rPr>
              <w:t>133.58</w:t>
            </w:r>
          </w:p>
        </w:tc>
        <w:tc>
          <w:tcPr>
            <w:tcW w:w="2209" w:type="dxa"/>
            <w:shd w:val="clear" w:color="auto" w:fill="auto"/>
          </w:tcPr>
          <w:p w:rsidR="00C2178B" w:rsidRPr="001F2E87" w:rsidP="00ED0346" w14:paraId="7D48F1F7" w14:textId="5F0226B6">
            <w:pPr>
              <w:jc w:val="right"/>
              <w:rPr>
                <w:sz w:val="20"/>
                <w:szCs w:val="20"/>
              </w:rPr>
            </w:pPr>
            <w:r w:rsidRPr="00F04C62">
              <w:rPr>
                <w:sz w:val="20"/>
                <w:szCs w:val="20"/>
              </w:rPr>
              <w:t>$</w:t>
            </w:r>
            <w:r>
              <w:rPr>
                <w:sz w:val="20"/>
                <w:szCs w:val="20"/>
              </w:rPr>
              <w:t>32,059.20</w:t>
            </w:r>
          </w:p>
        </w:tc>
      </w:tr>
      <w:tr w14:paraId="447B5635" w14:textId="77777777" w:rsidTr="008318FD">
        <w:tblPrEx>
          <w:tblW w:w="0" w:type="auto"/>
          <w:tblInd w:w="85" w:type="dxa"/>
          <w:tblLook w:val="01E0"/>
        </w:tblPrEx>
        <w:trPr>
          <w:trHeight w:val="260"/>
        </w:trPr>
        <w:tc>
          <w:tcPr>
            <w:tcW w:w="2861" w:type="dxa"/>
            <w:shd w:val="clear" w:color="auto" w:fill="auto"/>
          </w:tcPr>
          <w:p w:rsidR="00C2178B" w:rsidRPr="001F2E87" w:rsidP="00C2178B" w14:paraId="3D3E27BC" w14:textId="0FF15592">
            <w:pPr>
              <w:rPr>
                <w:sz w:val="20"/>
                <w:szCs w:val="20"/>
              </w:rPr>
            </w:pPr>
            <w:r w:rsidRPr="00F04C62">
              <w:rPr>
                <w:sz w:val="20"/>
                <w:szCs w:val="20"/>
              </w:rPr>
              <w:t>Final Consultation</w:t>
            </w:r>
          </w:p>
        </w:tc>
        <w:tc>
          <w:tcPr>
            <w:tcW w:w="1909" w:type="dxa"/>
            <w:shd w:val="clear" w:color="auto" w:fill="auto"/>
          </w:tcPr>
          <w:p w:rsidR="00C2178B" w:rsidRPr="001F2E87" w:rsidP="00ED0346" w14:paraId="1487242D" w14:textId="386C7631">
            <w:pPr>
              <w:jc w:val="right"/>
              <w:rPr>
                <w:sz w:val="20"/>
                <w:szCs w:val="20"/>
              </w:rPr>
            </w:pPr>
            <w:r w:rsidRPr="00F04C62">
              <w:rPr>
                <w:sz w:val="20"/>
                <w:szCs w:val="20"/>
              </w:rPr>
              <w:t>1,800</w:t>
            </w:r>
          </w:p>
        </w:tc>
        <w:tc>
          <w:tcPr>
            <w:tcW w:w="2430" w:type="dxa"/>
            <w:shd w:val="clear" w:color="auto" w:fill="auto"/>
          </w:tcPr>
          <w:p w:rsidR="00C2178B" w:rsidRPr="001F2E87" w:rsidP="00ED0346" w14:paraId="1F8393C3" w14:textId="33FEF976">
            <w:pPr>
              <w:jc w:val="right"/>
              <w:rPr>
                <w:sz w:val="20"/>
                <w:szCs w:val="20"/>
              </w:rPr>
            </w:pPr>
            <w:r w:rsidRPr="00F04C62">
              <w:rPr>
                <w:sz w:val="20"/>
                <w:szCs w:val="20"/>
              </w:rPr>
              <w:t>$</w:t>
            </w:r>
            <w:r>
              <w:rPr>
                <w:sz w:val="20"/>
                <w:szCs w:val="20"/>
              </w:rPr>
              <w:t>133.58</w:t>
            </w:r>
          </w:p>
        </w:tc>
        <w:tc>
          <w:tcPr>
            <w:tcW w:w="2209" w:type="dxa"/>
            <w:shd w:val="clear" w:color="auto" w:fill="auto"/>
          </w:tcPr>
          <w:p w:rsidR="00C2178B" w:rsidRPr="001F2E87" w:rsidP="00ED0346" w14:paraId="15C86946" w14:textId="57B4FE88">
            <w:pPr>
              <w:jc w:val="right"/>
              <w:rPr>
                <w:sz w:val="20"/>
                <w:szCs w:val="20"/>
              </w:rPr>
            </w:pPr>
            <w:r w:rsidRPr="00F04C62">
              <w:rPr>
                <w:sz w:val="20"/>
                <w:szCs w:val="20"/>
              </w:rPr>
              <w:t>$</w:t>
            </w:r>
            <w:r>
              <w:rPr>
                <w:sz w:val="20"/>
                <w:szCs w:val="20"/>
              </w:rPr>
              <w:t>240,444.00</w:t>
            </w:r>
          </w:p>
        </w:tc>
      </w:tr>
      <w:tr w14:paraId="4C328D4D" w14:textId="77777777" w:rsidTr="008318FD">
        <w:tblPrEx>
          <w:tblW w:w="0" w:type="auto"/>
          <w:tblInd w:w="85" w:type="dxa"/>
          <w:tblLook w:val="01E0"/>
        </w:tblPrEx>
        <w:trPr>
          <w:trHeight w:val="530"/>
        </w:trPr>
        <w:tc>
          <w:tcPr>
            <w:tcW w:w="9409" w:type="dxa"/>
            <w:gridSpan w:val="4"/>
            <w:tcBorders>
              <w:top w:val="single" w:sz="4" w:space="0" w:color="auto"/>
              <w:left w:val="single" w:sz="4" w:space="0" w:color="auto"/>
              <w:bottom w:val="single" w:sz="4" w:space="0" w:color="auto"/>
              <w:right w:val="single" w:sz="4" w:space="0" w:color="auto"/>
            </w:tcBorders>
          </w:tcPr>
          <w:p w:rsidR="00915688" w:rsidRPr="001F2E87" w:rsidP="00F163D5" w14:paraId="76984F99" w14:textId="0310D430">
            <w:pPr>
              <w:rPr>
                <w:sz w:val="20"/>
                <w:szCs w:val="20"/>
              </w:rPr>
            </w:pPr>
            <w:r w:rsidRPr="001637C4">
              <w:rPr>
                <w:i/>
                <w:iCs/>
                <w:sz w:val="20"/>
                <w:szCs w:val="20"/>
              </w:rPr>
              <w:t>Early Food Safety Evaluation of New Non-Pesticidal Proteins Produced by New Plant Varieties Intended for Food Use</w:t>
            </w:r>
          </w:p>
        </w:tc>
      </w:tr>
      <w:tr w14:paraId="542A011D" w14:textId="77777777" w:rsidTr="008318FD">
        <w:tblPrEx>
          <w:tblW w:w="0" w:type="auto"/>
          <w:tblInd w:w="85" w:type="dxa"/>
          <w:tblLook w:val="01E0"/>
        </w:tblPrEx>
        <w:trPr>
          <w:trHeight w:val="260"/>
        </w:trPr>
        <w:tc>
          <w:tcPr>
            <w:tcW w:w="2861" w:type="dxa"/>
            <w:tcBorders>
              <w:top w:val="single" w:sz="4" w:space="0" w:color="auto"/>
              <w:left w:val="single" w:sz="4" w:space="0" w:color="auto"/>
              <w:bottom w:val="single" w:sz="4" w:space="0" w:color="auto"/>
              <w:right w:val="single" w:sz="4" w:space="0" w:color="auto"/>
            </w:tcBorders>
            <w:hideMark/>
          </w:tcPr>
          <w:p w:rsidR="00C2178B" w:rsidRPr="001F2E87" w:rsidP="00C2178B" w14:paraId="248FB60E" w14:textId="77777777">
            <w:pPr>
              <w:rPr>
                <w:sz w:val="20"/>
                <w:szCs w:val="20"/>
              </w:rPr>
            </w:pPr>
            <w:r>
              <w:rPr>
                <w:sz w:val="20"/>
                <w:szCs w:val="20"/>
              </w:rPr>
              <w:t>Six</w:t>
            </w:r>
            <w:r w:rsidRPr="001F2E87">
              <w:rPr>
                <w:sz w:val="20"/>
                <w:szCs w:val="20"/>
              </w:rPr>
              <w:t xml:space="preserve"> data components</w:t>
            </w:r>
          </w:p>
        </w:tc>
        <w:tc>
          <w:tcPr>
            <w:tcW w:w="1909" w:type="dxa"/>
            <w:tcBorders>
              <w:top w:val="single" w:sz="4" w:space="0" w:color="auto"/>
              <w:left w:val="single" w:sz="4" w:space="0" w:color="auto"/>
              <w:bottom w:val="single" w:sz="4" w:space="0" w:color="auto"/>
              <w:right w:val="single" w:sz="4" w:space="0" w:color="auto"/>
            </w:tcBorders>
            <w:hideMark/>
          </w:tcPr>
          <w:p w:rsidR="00C2178B" w:rsidRPr="001F2E87" w:rsidP="00C2178B" w14:paraId="38480862" w14:textId="77777777">
            <w:pPr>
              <w:jc w:val="right"/>
              <w:rPr>
                <w:sz w:val="20"/>
                <w:szCs w:val="20"/>
              </w:rPr>
            </w:pPr>
            <w:r>
              <w:rPr>
                <w:sz w:val="20"/>
                <w:szCs w:val="20"/>
              </w:rPr>
              <w:t>1</w:t>
            </w:r>
            <w:r w:rsidRPr="001F2E87">
              <w:rPr>
                <w:sz w:val="20"/>
                <w:szCs w:val="20"/>
              </w:rPr>
              <w:t>2</w:t>
            </w:r>
            <w:r>
              <w:rPr>
                <w:sz w:val="20"/>
                <w:szCs w:val="20"/>
              </w:rPr>
              <w:t>0</w:t>
            </w:r>
          </w:p>
        </w:tc>
        <w:tc>
          <w:tcPr>
            <w:tcW w:w="2430" w:type="dxa"/>
            <w:tcBorders>
              <w:top w:val="single" w:sz="4" w:space="0" w:color="auto"/>
              <w:left w:val="single" w:sz="4" w:space="0" w:color="auto"/>
              <w:bottom w:val="single" w:sz="4" w:space="0" w:color="auto"/>
              <w:right w:val="single" w:sz="4" w:space="0" w:color="auto"/>
            </w:tcBorders>
            <w:hideMark/>
          </w:tcPr>
          <w:p w:rsidR="00C2178B" w:rsidRPr="001F2E87" w:rsidP="00C2178B" w14:paraId="3E767483" w14:textId="77777777">
            <w:pPr>
              <w:jc w:val="right"/>
              <w:rPr>
                <w:sz w:val="20"/>
                <w:szCs w:val="20"/>
              </w:rPr>
            </w:pPr>
            <w:r w:rsidRPr="001F2E87">
              <w:rPr>
                <w:sz w:val="20"/>
                <w:szCs w:val="20"/>
              </w:rPr>
              <w:t>$</w:t>
            </w:r>
            <w:r>
              <w:rPr>
                <w:sz w:val="20"/>
                <w:szCs w:val="20"/>
              </w:rPr>
              <w:t>133.58</w:t>
            </w:r>
          </w:p>
        </w:tc>
        <w:tc>
          <w:tcPr>
            <w:tcW w:w="2209" w:type="dxa"/>
            <w:tcBorders>
              <w:top w:val="single" w:sz="4" w:space="0" w:color="auto"/>
              <w:left w:val="single" w:sz="4" w:space="0" w:color="auto"/>
              <w:bottom w:val="single" w:sz="4" w:space="0" w:color="auto"/>
              <w:right w:val="single" w:sz="4" w:space="0" w:color="auto"/>
            </w:tcBorders>
            <w:hideMark/>
          </w:tcPr>
          <w:p w:rsidR="00C2178B" w:rsidRPr="001F2E87" w:rsidP="00C2178B" w14:paraId="6160A86B" w14:textId="77777777">
            <w:pPr>
              <w:jc w:val="right"/>
              <w:rPr>
                <w:sz w:val="20"/>
                <w:szCs w:val="20"/>
              </w:rPr>
            </w:pPr>
            <w:r w:rsidRPr="001F2E87">
              <w:rPr>
                <w:sz w:val="20"/>
                <w:szCs w:val="20"/>
              </w:rPr>
              <w:t>$</w:t>
            </w:r>
            <w:r>
              <w:rPr>
                <w:sz w:val="20"/>
                <w:szCs w:val="20"/>
              </w:rPr>
              <w:t>16,029.60</w:t>
            </w:r>
          </w:p>
        </w:tc>
      </w:tr>
      <w:tr w14:paraId="3E686D5D" w14:textId="77777777" w:rsidTr="008318FD">
        <w:tblPrEx>
          <w:tblW w:w="0" w:type="auto"/>
          <w:tblInd w:w="85" w:type="dxa"/>
          <w:tblLook w:val="01E0"/>
        </w:tblPrEx>
        <w:trPr>
          <w:trHeight w:val="251"/>
        </w:trPr>
        <w:tc>
          <w:tcPr>
            <w:tcW w:w="7200" w:type="dxa"/>
            <w:gridSpan w:val="3"/>
            <w:tcBorders>
              <w:top w:val="single" w:sz="4" w:space="0" w:color="auto"/>
              <w:left w:val="single" w:sz="4" w:space="0" w:color="auto"/>
              <w:bottom w:val="single" w:sz="4" w:space="0" w:color="auto"/>
              <w:right w:val="single" w:sz="4" w:space="0" w:color="auto"/>
            </w:tcBorders>
          </w:tcPr>
          <w:p w:rsidR="008A7156" w:rsidRPr="001F2E87" w:rsidP="00ED0346" w14:paraId="390A272E" w14:textId="48F96497">
            <w:pPr>
              <w:rPr>
                <w:sz w:val="20"/>
                <w:szCs w:val="20"/>
              </w:rPr>
            </w:pPr>
            <w:r>
              <w:rPr>
                <w:sz w:val="20"/>
                <w:szCs w:val="20"/>
              </w:rPr>
              <w:t>Total</w:t>
            </w:r>
          </w:p>
        </w:tc>
        <w:tc>
          <w:tcPr>
            <w:tcW w:w="2209" w:type="dxa"/>
            <w:tcBorders>
              <w:top w:val="single" w:sz="4" w:space="0" w:color="auto"/>
              <w:left w:val="single" w:sz="4" w:space="0" w:color="auto"/>
              <w:bottom w:val="single" w:sz="4" w:space="0" w:color="auto"/>
              <w:right w:val="single" w:sz="4" w:space="0" w:color="auto"/>
            </w:tcBorders>
          </w:tcPr>
          <w:p w:rsidR="008A7156" w:rsidRPr="001F2E87" w:rsidP="00C2178B" w14:paraId="558DDD1C" w14:textId="333B41C0">
            <w:pPr>
              <w:jc w:val="right"/>
              <w:rPr>
                <w:sz w:val="20"/>
                <w:szCs w:val="20"/>
              </w:rPr>
            </w:pPr>
            <w:r>
              <w:rPr>
                <w:sz w:val="20"/>
                <w:szCs w:val="20"/>
              </w:rPr>
              <w:t>$</w:t>
            </w:r>
            <w:bookmarkStart w:id="2" w:name="_Hlk167274576"/>
            <w:r w:rsidR="00CF4D64">
              <w:rPr>
                <w:sz w:val="20"/>
                <w:szCs w:val="20"/>
              </w:rPr>
              <w:t>288,532.80</w:t>
            </w:r>
            <w:bookmarkEnd w:id="2"/>
          </w:p>
        </w:tc>
      </w:tr>
    </w:tbl>
    <w:p w:rsidR="00E04A92" w:rsidRPr="0006446C" w:rsidP="00E04A92" w14:paraId="36B2BC8F" w14:textId="77777777"/>
    <w:p w:rsidR="00357C8A" w:rsidRPr="00357C8A" w:rsidP="00867076" w14:paraId="01F894E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72F40" w:rsidRPr="00AF72CC" w:rsidP="00E04A92" w14:paraId="38759C1E" w14:textId="77777777">
      <w:pPr>
        <w:rPr>
          <w:rFonts w:eastAsia="Calibri"/>
          <w:color w:val="000000"/>
        </w:rPr>
      </w:pPr>
      <w:r w:rsidRPr="0006446C">
        <w:t>There are no capital, start-up, operating, or maintenance costs associated with this collection</w:t>
      </w:r>
      <w:r>
        <w:rPr>
          <w:rFonts w:eastAsia="Calibri"/>
          <w:color w:val="FF0000"/>
        </w:rPr>
        <w:t>.</w:t>
      </w:r>
    </w:p>
    <w:p w:rsidR="0022425B" w:rsidP="00D72F40" w14:paraId="12F2ECD7" w14:textId="77777777">
      <w:pPr>
        <w:rPr>
          <w:rFonts w:eastAsia="Calibri"/>
          <w:u w:val="single"/>
        </w:rPr>
      </w:pPr>
    </w:p>
    <w:p w:rsidR="00357C8A" w:rsidRPr="00357C8A" w:rsidP="006705EA" w14:paraId="0C74B89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5036E1" w:rsidP="008318FD" w14:paraId="3FC77664" w14:textId="781F936E">
      <w:r>
        <w:t xml:space="preserve">We assume staffing burden for review of an NPC to be 80 hours per submission and assume costs for 6 NPCs annually. </w:t>
      </w:r>
      <w:r w:rsidR="00F55A2C">
        <w:t xml:space="preserve"> </w:t>
      </w:r>
      <w:r>
        <w:t>Using the total of 480 hours, we estimate the annual cost for Consultation Procedures by multiplying this figure by $</w:t>
      </w:r>
      <w:r w:rsidR="00D74563">
        <w:t>62.17</w:t>
      </w:r>
      <w:r>
        <w:t>/hour, the GS-13/Step-</w:t>
      </w:r>
      <w:r w:rsidR="003A0607">
        <w:t xml:space="preserve">4 </w:t>
      </w:r>
      <w:r>
        <w:t xml:space="preserve">rate for the Washington- Baltimore locality pay area for the year </w:t>
      </w:r>
      <w:r w:rsidR="00142FD3">
        <w:t xml:space="preserve">2024 </w:t>
      </w:r>
      <w:r>
        <w:t>(480 hours x $</w:t>
      </w:r>
      <w:r w:rsidR="004A0C2A">
        <w:t>62.17</w:t>
      </w:r>
      <w:r>
        <w:t>/hour = $</w:t>
      </w:r>
      <w:r w:rsidR="00E8792F">
        <w:t>29,841.60</w:t>
      </w:r>
      <w:r>
        <w:t>.</w:t>
      </w:r>
      <w:r w:rsidR="008015F8">
        <w:t>)</w:t>
      </w:r>
      <w:r>
        <w:t xml:space="preserve">  To account for overhead, this cost is increased by 100%, for a total of $</w:t>
      </w:r>
      <w:r w:rsidR="0022198A">
        <w:t>59,683.20</w:t>
      </w:r>
      <w:r>
        <w:t xml:space="preserve">.  </w:t>
      </w:r>
    </w:p>
    <w:p w:rsidR="005036E1" w:rsidP="008318FD" w14:paraId="3CC52365" w14:textId="77777777"/>
    <w:p w:rsidR="00D72F40" w:rsidRPr="0006446C" w:rsidP="008318FD" w14:paraId="74DA5371" w14:textId="71E0C8E1">
      <w:r>
        <w:t xml:space="preserve">Regarding </w:t>
      </w:r>
      <w:r w:rsidR="003E3C22">
        <w:t xml:space="preserve">BNF </w:t>
      </w:r>
      <w:r w:rsidR="00D134BA">
        <w:t>review</w:t>
      </w:r>
      <w:r w:rsidR="003E3C22">
        <w:t>s,</w:t>
      </w:r>
      <w:r>
        <w:t xml:space="preserve"> we </w:t>
      </w:r>
      <w:r w:rsidRPr="00810DA6">
        <w:t>estimate</w:t>
      </w:r>
      <w:r>
        <w:t xml:space="preserve"> that </w:t>
      </w:r>
      <w:r w:rsidR="005E510B">
        <w:t xml:space="preserve">OFCSDSI </w:t>
      </w:r>
      <w:r>
        <w:t xml:space="preserve">allocates </w:t>
      </w:r>
      <w:r w:rsidRPr="00810DA6">
        <w:t>four (4) full</w:t>
      </w:r>
      <w:r w:rsidR="00D143F1">
        <w:t>-</w:t>
      </w:r>
      <w:r w:rsidRPr="00810DA6">
        <w:t xml:space="preserve">time equivalent positions (FTEs) </w:t>
      </w:r>
      <w:r>
        <w:t xml:space="preserve">for the review of </w:t>
      </w:r>
      <w:r w:rsidR="00830A7C">
        <w:t xml:space="preserve">the </w:t>
      </w:r>
      <w:r w:rsidR="00683B15">
        <w:t>submission</w:t>
      </w:r>
      <w:r w:rsidRPr="00810DA6">
        <w:t xml:space="preserve"> for human </w:t>
      </w:r>
      <w:r w:rsidRPr="00810DA6" w:rsidR="00683B15">
        <w:t>food</w:t>
      </w:r>
      <w:r w:rsidR="00683B15">
        <w:t xml:space="preserve"> safety</w:t>
      </w:r>
      <w:r>
        <w:t xml:space="preserve">, and that </w:t>
      </w:r>
      <w:r w:rsidRPr="00810DA6">
        <w:t xml:space="preserve">CVM will </w:t>
      </w:r>
      <w:r>
        <w:t xml:space="preserve">allocate </w:t>
      </w:r>
      <w:r w:rsidRPr="00810DA6">
        <w:t xml:space="preserve">two (2) FTEs </w:t>
      </w:r>
      <w:r>
        <w:t xml:space="preserve">for the review of </w:t>
      </w:r>
      <w:r w:rsidR="00683B15">
        <w:t>the submission</w:t>
      </w:r>
      <w:r w:rsidRPr="00810DA6">
        <w:t xml:space="preserve"> for animal food</w:t>
      </w:r>
      <w:r w:rsidR="00683B15">
        <w:t xml:space="preserve"> </w:t>
      </w:r>
      <w:r w:rsidR="004A35AD">
        <w:t>sa</w:t>
      </w:r>
      <w:r w:rsidR="00683B15">
        <w:t>fety</w:t>
      </w:r>
      <w:r w:rsidRPr="00810DA6">
        <w:t>.  Based on an average cost of $</w:t>
      </w:r>
      <w:r w:rsidR="00926E0B">
        <w:t>129.759</w:t>
      </w:r>
      <w:r w:rsidRPr="00810DA6">
        <w:t xml:space="preserve"> per fully supported position and six (6) dedicated positions for review (4 for </w:t>
      </w:r>
      <w:r w:rsidR="005E510B">
        <w:t xml:space="preserve">OFCSDSI </w:t>
      </w:r>
      <w:r w:rsidR="00EA7AF9">
        <w:t>and</w:t>
      </w:r>
      <w:r w:rsidRPr="00810DA6">
        <w:t xml:space="preserve"> 2 for CVM), the cost of processing </w:t>
      </w:r>
      <w:r w:rsidR="00CC2D6C">
        <w:t xml:space="preserve">BNF </w:t>
      </w:r>
      <w:r w:rsidRPr="00810DA6">
        <w:t>consultations would be $</w:t>
      </w:r>
      <w:r w:rsidR="00926E0B">
        <w:t>778,554</w:t>
      </w:r>
      <w:r>
        <w:t xml:space="preserve"> annually.  Together this reflects an annual cost of $</w:t>
      </w:r>
      <w:r w:rsidR="00926E0B">
        <w:t>838,237</w:t>
      </w:r>
      <w:r>
        <w:t>.</w:t>
      </w:r>
    </w:p>
    <w:p w:rsidR="00D72F40" w:rsidRPr="00357C8A" w:rsidP="00D72F40" w14:paraId="76C0070A" w14:textId="77777777">
      <w:pPr>
        <w:rPr>
          <w:rFonts w:eastAsia="Calibri"/>
        </w:rPr>
      </w:pPr>
    </w:p>
    <w:p w:rsidR="00357C8A" w:rsidP="006705EA" w14:paraId="3FDB078A" w14:textId="2DDFD610">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357C8A" w14:paraId="50BD0B2E" w14:textId="2BB8D436">
      <w:pPr>
        <w:spacing w:after="200"/>
        <w:rPr>
          <w:rFonts w:eastAsia="Calibri"/>
        </w:rPr>
      </w:pPr>
      <w:r w:rsidRPr="00E04A92">
        <w:rPr>
          <w:rFonts w:eastAsia="Calibri"/>
        </w:rPr>
        <w:t>Based on a review of the information collection since our last request for OMB approval, we have made minor adjustments to update our burden estimate to reflect recent annual response rates (increased initial consultations under the New Plant Variety consultation procedures</w:t>
      </w:r>
      <w:r w:rsidR="00C530A8">
        <w:rPr>
          <w:rFonts w:eastAsia="Calibri"/>
        </w:rPr>
        <w:t xml:space="preserve"> by 20 responses</w:t>
      </w:r>
      <w:r w:rsidR="00863C76">
        <w:rPr>
          <w:rFonts w:eastAsia="Calibri"/>
        </w:rPr>
        <w:t>, which resulted in an additional 80 burden hours</w:t>
      </w:r>
      <w:r w:rsidRPr="00E04A92">
        <w:rPr>
          <w:rFonts w:eastAsia="Calibri"/>
        </w:rPr>
        <w:t xml:space="preserve">) and to clarify the total number of responses under </w:t>
      </w:r>
      <w:r w:rsidR="00696FF0">
        <w:rPr>
          <w:rFonts w:eastAsia="Calibri"/>
        </w:rPr>
        <w:t xml:space="preserve">the Early Food Safety Evaluation </w:t>
      </w:r>
      <w:r w:rsidRPr="00E04A92">
        <w:rPr>
          <w:rFonts w:eastAsia="Calibri"/>
        </w:rPr>
        <w:t>procedures.</w:t>
      </w:r>
    </w:p>
    <w:p w:rsidR="00541BBF" w:rsidRPr="00AF72CC" w:rsidP="00357C8A" w14:paraId="6489ACB5" w14:textId="10391268">
      <w:pPr>
        <w:spacing w:after="200"/>
        <w:rPr>
          <w:rFonts w:eastAsia="Calibri"/>
          <w:color w:val="000000"/>
        </w:rPr>
      </w:pPr>
      <w:r>
        <w:rPr>
          <w:rFonts w:eastAsia="Calibri"/>
        </w:rPr>
        <w:t xml:space="preserve">We have also made minor modifications </w:t>
      </w:r>
      <w:r w:rsidR="002A2441">
        <w:rPr>
          <w:rFonts w:eastAsia="Calibri"/>
        </w:rPr>
        <w:t xml:space="preserve">to the associated forms </w:t>
      </w:r>
      <w:r w:rsidR="0027494A">
        <w:rPr>
          <w:rFonts w:eastAsia="Calibri"/>
        </w:rPr>
        <w:t xml:space="preserve">and their instructions </w:t>
      </w:r>
      <w:r w:rsidR="002A2441">
        <w:rPr>
          <w:rFonts w:eastAsia="Calibri"/>
        </w:rPr>
        <w:t>to reflect</w:t>
      </w:r>
      <w:r w:rsidR="0027494A">
        <w:rPr>
          <w:rFonts w:eastAsia="Calibri"/>
        </w:rPr>
        <w:t xml:space="preserve"> </w:t>
      </w:r>
      <w:r w:rsidR="006F14BC">
        <w:rPr>
          <w:rFonts w:eastAsia="Calibri"/>
        </w:rPr>
        <w:t>the change</w:t>
      </w:r>
      <w:r w:rsidR="00A42675">
        <w:rPr>
          <w:rFonts w:eastAsia="Calibri"/>
        </w:rPr>
        <w:t xml:space="preserve"> from the Electronic Submission Gateway to the COSM online submission module</w:t>
      </w:r>
      <w:r w:rsidR="0007275E">
        <w:rPr>
          <w:rFonts w:eastAsia="Calibri"/>
        </w:rPr>
        <w:t xml:space="preserve">.  Another minor change </w:t>
      </w:r>
      <w:r w:rsidR="004E3AB3">
        <w:rPr>
          <w:rFonts w:eastAsia="Calibri"/>
        </w:rPr>
        <w:t xml:space="preserve">to the forms and instructions </w:t>
      </w:r>
      <w:r w:rsidR="004447A8">
        <w:rPr>
          <w:rFonts w:eastAsia="Calibri"/>
        </w:rPr>
        <w:t xml:space="preserve">involves </w:t>
      </w:r>
      <w:r w:rsidR="00A90F00">
        <w:rPr>
          <w:rFonts w:eastAsia="Calibri"/>
        </w:rPr>
        <w:t>the FDA re-organization</w:t>
      </w:r>
      <w:r w:rsidR="006F5120">
        <w:rPr>
          <w:rFonts w:eastAsia="Calibri"/>
        </w:rPr>
        <w:t xml:space="preserve"> which will change</w:t>
      </w:r>
      <w:r w:rsidR="00577043">
        <w:rPr>
          <w:rFonts w:eastAsia="Calibri"/>
        </w:rPr>
        <w:t xml:space="preserve"> the </w:t>
      </w:r>
      <w:r w:rsidR="00546283">
        <w:rPr>
          <w:rFonts w:eastAsia="Calibri"/>
        </w:rPr>
        <w:t>Office of Food Additive Safety</w:t>
      </w:r>
      <w:r w:rsidR="004C1E08">
        <w:rPr>
          <w:rFonts w:eastAsia="Calibri"/>
        </w:rPr>
        <w:t xml:space="preserve"> – </w:t>
      </w:r>
      <w:r w:rsidR="00577043">
        <w:rPr>
          <w:rFonts w:eastAsia="Calibri"/>
        </w:rPr>
        <w:t xml:space="preserve">Center for Food Safety and Applied </w:t>
      </w:r>
      <w:r w:rsidR="00546283">
        <w:rPr>
          <w:rFonts w:eastAsia="Calibri"/>
        </w:rPr>
        <w:t>Nutrition</w:t>
      </w:r>
      <w:r w:rsidR="004C1E08">
        <w:rPr>
          <w:rFonts w:eastAsia="Calibri"/>
        </w:rPr>
        <w:t xml:space="preserve"> to </w:t>
      </w:r>
      <w:r w:rsidR="004C1E08">
        <w:t>OFCSDSI – Human Food Program.</w:t>
      </w:r>
      <w:r w:rsidR="003206F7">
        <w:t xml:space="preserve">  Neither of these changes </w:t>
      </w:r>
      <w:r w:rsidR="000C21FE">
        <w:t xml:space="preserve">affects the burden estimate. </w:t>
      </w:r>
      <w:r w:rsidR="006F5120">
        <w:rPr>
          <w:rFonts w:eastAsia="Calibri"/>
        </w:rPr>
        <w:t xml:space="preserve"> </w:t>
      </w:r>
      <w:r w:rsidR="00A90F00">
        <w:rPr>
          <w:rFonts w:eastAsia="Calibri"/>
        </w:rPr>
        <w:t xml:space="preserve"> </w:t>
      </w:r>
      <w:r w:rsidR="002A2441">
        <w:rPr>
          <w:rFonts w:eastAsia="Calibri"/>
        </w:rPr>
        <w:t xml:space="preserve"> </w:t>
      </w:r>
    </w:p>
    <w:p w:rsidR="00357C8A" w:rsidRPr="00357C8A" w:rsidP="00867076" w14:paraId="7F62B993"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CD22FB" w:rsidP="006F75AE" w14:paraId="050D43A4" w14:textId="737A3028">
      <w:pPr>
        <w:spacing w:after="200"/>
      </w:pPr>
      <w:r>
        <w:t xml:space="preserve">Upon the completion of a </w:t>
      </w:r>
      <w:r w:rsidR="00160B52">
        <w:t xml:space="preserve">BNF </w:t>
      </w:r>
      <w:r>
        <w:t>consultation,</w:t>
      </w:r>
      <w:r w:rsidR="006F75AE">
        <w:t xml:space="preserve"> we publish on our website a copy of the agency response to the submitter as well as scientific memoranda.  An inventory of completed </w:t>
      </w:r>
      <w:r w:rsidR="006F75AE">
        <w:t>consultations can be seen at</w:t>
      </w:r>
      <w:r w:rsidR="001017F2">
        <w:t xml:space="preserve"> </w:t>
      </w:r>
      <w:hyperlink r:id="rId11" w:history="1">
        <w:r w:rsidRPr="009148A4" w:rsidR="001017F2">
          <w:rPr>
            <w:rStyle w:val="Hyperlink"/>
          </w:rPr>
          <w:t>https://www.cfsanappsexternal.fda.gov/scripts/fdcc/?set=NewPlantVarietyConsultations</w:t>
        </w:r>
      </w:hyperlink>
      <w:r w:rsidR="006F75AE">
        <w:t xml:space="preserve">.  Upon completion of an NPC, </w:t>
      </w:r>
      <w:r>
        <w:t xml:space="preserve">we publish a </w:t>
      </w:r>
      <w:r w:rsidRPr="0006446C">
        <w:t xml:space="preserve">redacted copy of the NPC and an electronic version of the agency response to the submitter </w:t>
      </w:r>
      <w:r>
        <w:t xml:space="preserve">on our website at </w:t>
      </w:r>
      <w:hyperlink r:id="rId12" w:history="1">
        <w:r w:rsidRPr="009148A4" w:rsidR="00584604">
          <w:rPr>
            <w:rStyle w:val="Hyperlink"/>
          </w:rPr>
          <w:t>https://www.cfsanappsexternal.fda.gov/scripts/fdcc/?set=NewProteinConsultations</w:t>
        </w:r>
      </w:hyperlink>
      <w:r w:rsidR="006F75AE">
        <w:t xml:space="preserve">.  </w:t>
      </w:r>
    </w:p>
    <w:p w:rsidR="00357C8A" w:rsidRPr="00357C8A" w:rsidP="00F163D5" w14:paraId="18EB8D74" w14:textId="77777777">
      <w:pPr>
        <w:pStyle w:val="ListParagraph"/>
        <w:numPr>
          <w:ilvl w:val="0"/>
          <w:numId w:val="6"/>
        </w:numPr>
        <w:spacing w:after="200"/>
        <w:rPr>
          <w:rFonts w:eastAsia="Calibri"/>
          <w:u w:val="single"/>
        </w:rPr>
      </w:pPr>
      <w:r w:rsidRPr="00357C8A">
        <w:rPr>
          <w:rFonts w:eastAsia="Calibri"/>
          <w:u w:val="single"/>
        </w:rPr>
        <w:t>Reason(s) Display of OMB Expiration Date is Inappropriate</w:t>
      </w:r>
    </w:p>
    <w:p w:rsidR="00357C8A" w:rsidRPr="00AF72CC" w:rsidP="00357C8A" w14:paraId="77EF72B3" w14:textId="272D6CB2">
      <w:pPr>
        <w:spacing w:after="200"/>
        <w:rPr>
          <w:rFonts w:eastAsia="Calibri"/>
          <w:color w:val="000000"/>
        </w:rPr>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w:t>
      </w:r>
      <w:r w:rsidR="009B5466">
        <w:rPr>
          <w:rFonts w:eastAsia="Calibri"/>
        </w:rPr>
        <w:t>ese</w:t>
      </w:r>
      <w:r w:rsidRPr="00744525">
        <w:rPr>
          <w:rFonts w:eastAsia="Calibri"/>
        </w:rPr>
        <w:t xml:space="preserve"> guidance document</w:t>
      </w:r>
      <w:r w:rsidR="009B5466">
        <w:rPr>
          <w:rFonts w:eastAsia="Calibri"/>
        </w:rPr>
        <w:t>s</w:t>
      </w:r>
      <w:r w:rsidRPr="00744525">
        <w:rPr>
          <w:rFonts w:eastAsia="Calibri"/>
        </w:rPr>
        <w:t xml:space="preserve"> and will display in that notice both the OMB control number and its current expiration date. </w:t>
      </w:r>
      <w:r w:rsidR="008015F8">
        <w:rPr>
          <w:rFonts w:eastAsia="Calibri"/>
        </w:rPr>
        <w:t xml:space="preserve"> </w:t>
      </w:r>
      <w:r w:rsidRPr="00744525">
        <w:rPr>
          <w:rFonts w:eastAsia="Calibri"/>
        </w:rPr>
        <w:t>In addition, the OMB control number will be displayed on the guidance document</w:t>
      </w:r>
      <w:r w:rsidR="006070D5">
        <w:rPr>
          <w:rFonts w:eastAsia="Calibri"/>
        </w:rPr>
        <w:t>s’</w:t>
      </w:r>
      <w:r w:rsidRPr="00744525">
        <w:rPr>
          <w:rFonts w:eastAsia="Calibri"/>
        </w:rPr>
        <w:t xml:space="preserve"> cover page and include a link to </w:t>
      </w:r>
      <w:hyperlink r:id="rId13" w:history="1">
        <w:r w:rsidRPr="009148A4" w:rsidR="00F17CA9">
          <w:rPr>
            <w:rStyle w:val="Hyperlink"/>
            <w:rFonts w:eastAsia="Calibri"/>
          </w:rPr>
          <w:t>https://www.reginfo.gov/public/do/PRAMain</w:t>
        </w:r>
      </w:hyperlink>
      <w:r w:rsidRPr="00744525">
        <w:rPr>
          <w:rFonts w:eastAsia="Calibri"/>
        </w:rPr>
        <w:t xml:space="preserve"> to identify the current expiration date.</w:t>
      </w:r>
    </w:p>
    <w:p w:rsidR="00357C8A" w:rsidRPr="00357C8A" w:rsidP="006705EA" w14:paraId="38102A3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E04A92" w:rsidRPr="0006446C" w:rsidP="00E04A92" w14:paraId="5F2FB307" w14:textId="77777777">
      <w:r w:rsidRPr="0006446C">
        <w:t>There are no exceptions to the certification.</w:t>
      </w:r>
    </w:p>
    <w:p w:rsidR="00544138" w:rsidRPr="00C20690" w:rsidP="00E04A92" w14:paraId="43F3FED7" w14:textId="77777777">
      <w:pPr>
        <w:spacing w:after="200"/>
        <w:rPr>
          <w:rFonts w:eastAsia="Calibri"/>
        </w:rPr>
      </w:pPr>
    </w:p>
    <w:sectPr w:rsidSect="00696FF0">
      <w:footerReference w:type="even" r:id="rId14"/>
      <w:footerReference w:type="default" r:id="rId15"/>
      <w:pgSz w:w="12240" w:h="15840" w:code="1"/>
      <w:pgMar w:top="1296"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63862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52A0">
      <w:rPr>
        <w:rStyle w:val="PageNumber"/>
        <w:noProof/>
      </w:rPr>
      <w:t>3</w:t>
    </w:r>
    <w:r>
      <w:rPr>
        <w:rStyle w:val="PageNumber"/>
      </w:rPr>
      <w:fldChar w:fldCharType="end"/>
    </w:r>
  </w:p>
  <w:p w:rsidR="00E63DE5" w14:paraId="4C32C1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11C74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BBB09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05B1E86"/>
    <w:multiLevelType w:val="hybridMultilevel"/>
    <w:tmpl w:val="D55CA66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7D20EB3"/>
    <w:multiLevelType w:val="hybridMultilevel"/>
    <w:tmpl w:val="0E66BC2C"/>
    <w:lvl w:ilvl="0">
      <w:start w:val="1"/>
      <w:numFmt w:val="upp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9650409">
    <w:abstractNumId w:val="7"/>
  </w:num>
  <w:num w:numId="2" w16cid:durableId="1224759827">
    <w:abstractNumId w:val="1"/>
  </w:num>
  <w:num w:numId="3" w16cid:durableId="1642495702">
    <w:abstractNumId w:val="8"/>
  </w:num>
  <w:num w:numId="4" w16cid:durableId="575626652">
    <w:abstractNumId w:val="3"/>
  </w:num>
  <w:num w:numId="5" w16cid:durableId="2071804696">
    <w:abstractNumId w:val="9"/>
  </w:num>
  <w:num w:numId="6" w16cid:durableId="1143473413">
    <w:abstractNumId w:val="0"/>
  </w:num>
  <w:num w:numId="7" w16cid:durableId="1242181307">
    <w:abstractNumId w:val="2"/>
  </w:num>
  <w:num w:numId="8" w16cid:durableId="131362420">
    <w:abstractNumId w:val="6"/>
  </w:num>
  <w:num w:numId="9" w16cid:durableId="406652914">
    <w:abstractNumId w:val="5"/>
  </w:num>
  <w:num w:numId="10" w16cid:durableId="109035287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FF0"/>
    <w:rsid w:val="00004E51"/>
    <w:rsid w:val="0000561F"/>
    <w:rsid w:val="00005914"/>
    <w:rsid w:val="0000624F"/>
    <w:rsid w:val="00031A2C"/>
    <w:rsid w:val="00034B50"/>
    <w:rsid w:val="00041F8F"/>
    <w:rsid w:val="00042B93"/>
    <w:rsid w:val="00043C7F"/>
    <w:rsid w:val="000467A8"/>
    <w:rsid w:val="00054C3A"/>
    <w:rsid w:val="00055253"/>
    <w:rsid w:val="0006446C"/>
    <w:rsid w:val="0006570F"/>
    <w:rsid w:val="000679F7"/>
    <w:rsid w:val="00067D5A"/>
    <w:rsid w:val="0007275E"/>
    <w:rsid w:val="00075DE8"/>
    <w:rsid w:val="00087439"/>
    <w:rsid w:val="00091276"/>
    <w:rsid w:val="000A5B5A"/>
    <w:rsid w:val="000B38C8"/>
    <w:rsid w:val="000C1260"/>
    <w:rsid w:val="000C21FE"/>
    <w:rsid w:val="000C3595"/>
    <w:rsid w:val="000C55B4"/>
    <w:rsid w:val="000C560C"/>
    <w:rsid w:val="000D080B"/>
    <w:rsid w:val="000D48FD"/>
    <w:rsid w:val="000D79CC"/>
    <w:rsid w:val="000E1C64"/>
    <w:rsid w:val="000E67C4"/>
    <w:rsid w:val="000F7119"/>
    <w:rsid w:val="00100739"/>
    <w:rsid w:val="001017F2"/>
    <w:rsid w:val="0010493E"/>
    <w:rsid w:val="001075D3"/>
    <w:rsid w:val="00107885"/>
    <w:rsid w:val="00114FC4"/>
    <w:rsid w:val="00115940"/>
    <w:rsid w:val="00115E15"/>
    <w:rsid w:val="0012329C"/>
    <w:rsid w:val="00125418"/>
    <w:rsid w:val="001324A2"/>
    <w:rsid w:val="00134FA7"/>
    <w:rsid w:val="00135783"/>
    <w:rsid w:val="00137950"/>
    <w:rsid w:val="00142FD3"/>
    <w:rsid w:val="00152F29"/>
    <w:rsid w:val="00160B52"/>
    <w:rsid w:val="001637C4"/>
    <w:rsid w:val="00174D54"/>
    <w:rsid w:val="0017702C"/>
    <w:rsid w:val="00177816"/>
    <w:rsid w:val="001778C7"/>
    <w:rsid w:val="00183A2C"/>
    <w:rsid w:val="00184084"/>
    <w:rsid w:val="00185270"/>
    <w:rsid w:val="00185B96"/>
    <w:rsid w:val="00191947"/>
    <w:rsid w:val="001A0A01"/>
    <w:rsid w:val="001A3B5A"/>
    <w:rsid w:val="001A458C"/>
    <w:rsid w:val="001B2F68"/>
    <w:rsid w:val="001B7CE9"/>
    <w:rsid w:val="001D495A"/>
    <w:rsid w:val="001D4C7F"/>
    <w:rsid w:val="001E244C"/>
    <w:rsid w:val="001E61EF"/>
    <w:rsid w:val="001E74B1"/>
    <w:rsid w:val="001F1437"/>
    <w:rsid w:val="001F2E87"/>
    <w:rsid w:val="002022BD"/>
    <w:rsid w:val="00206799"/>
    <w:rsid w:val="002074FE"/>
    <w:rsid w:val="00213B55"/>
    <w:rsid w:val="0022198A"/>
    <w:rsid w:val="0022425B"/>
    <w:rsid w:val="002259EF"/>
    <w:rsid w:val="0023603D"/>
    <w:rsid w:val="00236412"/>
    <w:rsid w:val="00242ED1"/>
    <w:rsid w:val="002444BB"/>
    <w:rsid w:val="00251E9E"/>
    <w:rsid w:val="00254069"/>
    <w:rsid w:val="00270748"/>
    <w:rsid w:val="00271CA3"/>
    <w:rsid w:val="002720CD"/>
    <w:rsid w:val="002734E5"/>
    <w:rsid w:val="0027372E"/>
    <w:rsid w:val="002746DB"/>
    <w:rsid w:val="0027494A"/>
    <w:rsid w:val="00274C25"/>
    <w:rsid w:val="00280CAF"/>
    <w:rsid w:val="00282F09"/>
    <w:rsid w:val="002877D2"/>
    <w:rsid w:val="00291810"/>
    <w:rsid w:val="00294D62"/>
    <w:rsid w:val="00297532"/>
    <w:rsid w:val="00297FFD"/>
    <w:rsid w:val="002A1210"/>
    <w:rsid w:val="002A2441"/>
    <w:rsid w:val="002A254D"/>
    <w:rsid w:val="002A3CAC"/>
    <w:rsid w:val="002A47D2"/>
    <w:rsid w:val="002A7FB5"/>
    <w:rsid w:val="002B2074"/>
    <w:rsid w:val="002C087C"/>
    <w:rsid w:val="002D0F0A"/>
    <w:rsid w:val="002D14D8"/>
    <w:rsid w:val="002D4799"/>
    <w:rsid w:val="002D770C"/>
    <w:rsid w:val="002E0461"/>
    <w:rsid w:val="002E3FA4"/>
    <w:rsid w:val="002E53A5"/>
    <w:rsid w:val="002E64B8"/>
    <w:rsid w:val="002E6834"/>
    <w:rsid w:val="003113FF"/>
    <w:rsid w:val="00312622"/>
    <w:rsid w:val="00314A41"/>
    <w:rsid w:val="003206F7"/>
    <w:rsid w:val="003209D9"/>
    <w:rsid w:val="0032277F"/>
    <w:rsid w:val="00325FBD"/>
    <w:rsid w:val="00336B69"/>
    <w:rsid w:val="00341D4D"/>
    <w:rsid w:val="0034302B"/>
    <w:rsid w:val="00344F2F"/>
    <w:rsid w:val="00350523"/>
    <w:rsid w:val="0035189D"/>
    <w:rsid w:val="00355B62"/>
    <w:rsid w:val="00357C8A"/>
    <w:rsid w:val="0036271F"/>
    <w:rsid w:val="003740BC"/>
    <w:rsid w:val="0037417F"/>
    <w:rsid w:val="0037456B"/>
    <w:rsid w:val="003801A3"/>
    <w:rsid w:val="00380472"/>
    <w:rsid w:val="00383D90"/>
    <w:rsid w:val="003870AE"/>
    <w:rsid w:val="003A0607"/>
    <w:rsid w:val="003A1A27"/>
    <w:rsid w:val="003A50CC"/>
    <w:rsid w:val="003B1907"/>
    <w:rsid w:val="003B42B3"/>
    <w:rsid w:val="003B6384"/>
    <w:rsid w:val="003C0FE2"/>
    <w:rsid w:val="003C2ECB"/>
    <w:rsid w:val="003C4EBB"/>
    <w:rsid w:val="003D1531"/>
    <w:rsid w:val="003D424E"/>
    <w:rsid w:val="003D7CC2"/>
    <w:rsid w:val="003E3C22"/>
    <w:rsid w:val="003E4EC6"/>
    <w:rsid w:val="003E527E"/>
    <w:rsid w:val="003E553E"/>
    <w:rsid w:val="003E7078"/>
    <w:rsid w:val="003F3DF5"/>
    <w:rsid w:val="003F73B8"/>
    <w:rsid w:val="0040297E"/>
    <w:rsid w:val="00411D11"/>
    <w:rsid w:val="004120E0"/>
    <w:rsid w:val="00414494"/>
    <w:rsid w:val="00415E23"/>
    <w:rsid w:val="0041670D"/>
    <w:rsid w:val="00423272"/>
    <w:rsid w:val="00424061"/>
    <w:rsid w:val="004304ED"/>
    <w:rsid w:val="00430C94"/>
    <w:rsid w:val="00442A3C"/>
    <w:rsid w:val="00443969"/>
    <w:rsid w:val="004447A8"/>
    <w:rsid w:val="00446947"/>
    <w:rsid w:val="00447D74"/>
    <w:rsid w:val="00450A74"/>
    <w:rsid w:val="004546BF"/>
    <w:rsid w:val="00454E73"/>
    <w:rsid w:val="00463AE1"/>
    <w:rsid w:val="00465350"/>
    <w:rsid w:val="00472CA9"/>
    <w:rsid w:val="00473A7F"/>
    <w:rsid w:val="004758A5"/>
    <w:rsid w:val="00475E60"/>
    <w:rsid w:val="00476B91"/>
    <w:rsid w:val="004846BF"/>
    <w:rsid w:val="00494912"/>
    <w:rsid w:val="00496CA8"/>
    <w:rsid w:val="004A0C2A"/>
    <w:rsid w:val="004A35AD"/>
    <w:rsid w:val="004A5323"/>
    <w:rsid w:val="004A5A99"/>
    <w:rsid w:val="004B0D35"/>
    <w:rsid w:val="004B6FC1"/>
    <w:rsid w:val="004C1001"/>
    <w:rsid w:val="004C1E08"/>
    <w:rsid w:val="004C6979"/>
    <w:rsid w:val="004D13A2"/>
    <w:rsid w:val="004D3E7A"/>
    <w:rsid w:val="004D5B71"/>
    <w:rsid w:val="004D6A68"/>
    <w:rsid w:val="004E3AB3"/>
    <w:rsid w:val="004F281F"/>
    <w:rsid w:val="004F594B"/>
    <w:rsid w:val="004F61E1"/>
    <w:rsid w:val="004F6E48"/>
    <w:rsid w:val="00501AEB"/>
    <w:rsid w:val="005036E1"/>
    <w:rsid w:val="005056BB"/>
    <w:rsid w:val="0052421D"/>
    <w:rsid w:val="0053380B"/>
    <w:rsid w:val="00541BBF"/>
    <w:rsid w:val="00543194"/>
    <w:rsid w:val="00544138"/>
    <w:rsid w:val="00546283"/>
    <w:rsid w:val="00554E34"/>
    <w:rsid w:val="00560596"/>
    <w:rsid w:val="0056743C"/>
    <w:rsid w:val="00567CA5"/>
    <w:rsid w:val="00577043"/>
    <w:rsid w:val="00584583"/>
    <w:rsid w:val="00584604"/>
    <w:rsid w:val="00590E90"/>
    <w:rsid w:val="00590EEB"/>
    <w:rsid w:val="005A4099"/>
    <w:rsid w:val="005C38B2"/>
    <w:rsid w:val="005C5029"/>
    <w:rsid w:val="005C55C2"/>
    <w:rsid w:val="005C71CA"/>
    <w:rsid w:val="005C745C"/>
    <w:rsid w:val="005C75D4"/>
    <w:rsid w:val="005D4DF5"/>
    <w:rsid w:val="005E42BA"/>
    <w:rsid w:val="005E510B"/>
    <w:rsid w:val="005F30EE"/>
    <w:rsid w:val="005F5F43"/>
    <w:rsid w:val="006070D5"/>
    <w:rsid w:val="00611D6B"/>
    <w:rsid w:val="00617FF1"/>
    <w:rsid w:val="00625CFD"/>
    <w:rsid w:val="006326EC"/>
    <w:rsid w:val="00641188"/>
    <w:rsid w:val="006516E6"/>
    <w:rsid w:val="006532A0"/>
    <w:rsid w:val="00656836"/>
    <w:rsid w:val="00657746"/>
    <w:rsid w:val="00663A42"/>
    <w:rsid w:val="006641C7"/>
    <w:rsid w:val="00665D26"/>
    <w:rsid w:val="006705EA"/>
    <w:rsid w:val="00670BE2"/>
    <w:rsid w:val="00671C2A"/>
    <w:rsid w:val="00676E0E"/>
    <w:rsid w:val="00680361"/>
    <w:rsid w:val="00683B15"/>
    <w:rsid w:val="006916D9"/>
    <w:rsid w:val="00696FF0"/>
    <w:rsid w:val="006A0E05"/>
    <w:rsid w:val="006A1CE0"/>
    <w:rsid w:val="006A26C6"/>
    <w:rsid w:val="006A444E"/>
    <w:rsid w:val="006A465A"/>
    <w:rsid w:val="006A7211"/>
    <w:rsid w:val="006A7D5D"/>
    <w:rsid w:val="006C161C"/>
    <w:rsid w:val="006D0C12"/>
    <w:rsid w:val="006D0EE2"/>
    <w:rsid w:val="006D5D57"/>
    <w:rsid w:val="006E2538"/>
    <w:rsid w:val="006E302F"/>
    <w:rsid w:val="006F14BC"/>
    <w:rsid w:val="006F1797"/>
    <w:rsid w:val="006F48D0"/>
    <w:rsid w:val="006F4D6D"/>
    <w:rsid w:val="006F5120"/>
    <w:rsid w:val="006F75AE"/>
    <w:rsid w:val="00702F5E"/>
    <w:rsid w:val="00705086"/>
    <w:rsid w:val="00705E95"/>
    <w:rsid w:val="00707DF1"/>
    <w:rsid w:val="00722001"/>
    <w:rsid w:val="00723133"/>
    <w:rsid w:val="00723BFF"/>
    <w:rsid w:val="0072684B"/>
    <w:rsid w:val="00742D35"/>
    <w:rsid w:val="00744525"/>
    <w:rsid w:val="00751E66"/>
    <w:rsid w:val="007522F0"/>
    <w:rsid w:val="00754497"/>
    <w:rsid w:val="00765030"/>
    <w:rsid w:val="00773201"/>
    <w:rsid w:val="00773297"/>
    <w:rsid w:val="00774930"/>
    <w:rsid w:val="007760D0"/>
    <w:rsid w:val="00787C39"/>
    <w:rsid w:val="00792947"/>
    <w:rsid w:val="00792E30"/>
    <w:rsid w:val="00795DF3"/>
    <w:rsid w:val="007971F8"/>
    <w:rsid w:val="007A1BB5"/>
    <w:rsid w:val="007A373C"/>
    <w:rsid w:val="007B17BC"/>
    <w:rsid w:val="007B20D5"/>
    <w:rsid w:val="007B225C"/>
    <w:rsid w:val="007C75B1"/>
    <w:rsid w:val="007C7B48"/>
    <w:rsid w:val="007D3DFC"/>
    <w:rsid w:val="007D6159"/>
    <w:rsid w:val="007E2F07"/>
    <w:rsid w:val="007E59A8"/>
    <w:rsid w:val="007F7246"/>
    <w:rsid w:val="008015F8"/>
    <w:rsid w:val="0080776D"/>
    <w:rsid w:val="00810145"/>
    <w:rsid w:val="008108FA"/>
    <w:rsid w:val="00810DA6"/>
    <w:rsid w:val="00810FF1"/>
    <w:rsid w:val="00822336"/>
    <w:rsid w:val="00823DFA"/>
    <w:rsid w:val="00830A7C"/>
    <w:rsid w:val="008318FD"/>
    <w:rsid w:val="0083270B"/>
    <w:rsid w:val="00842DB7"/>
    <w:rsid w:val="00843752"/>
    <w:rsid w:val="00844192"/>
    <w:rsid w:val="0084479F"/>
    <w:rsid w:val="0085725E"/>
    <w:rsid w:val="00863C76"/>
    <w:rsid w:val="00867076"/>
    <w:rsid w:val="00871DF7"/>
    <w:rsid w:val="00872CA6"/>
    <w:rsid w:val="00873D4F"/>
    <w:rsid w:val="0087509F"/>
    <w:rsid w:val="00876D76"/>
    <w:rsid w:val="00885237"/>
    <w:rsid w:val="00885B09"/>
    <w:rsid w:val="00892400"/>
    <w:rsid w:val="008A0C79"/>
    <w:rsid w:val="008A209D"/>
    <w:rsid w:val="008A22BB"/>
    <w:rsid w:val="008A4910"/>
    <w:rsid w:val="008A7156"/>
    <w:rsid w:val="008B035D"/>
    <w:rsid w:val="008B0E29"/>
    <w:rsid w:val="008B0EFA"/>
    <w:rsid w:val="008B30AB"/>
    <w:rsid w:val="008C3BB8"/>
    <w:rsid w:val="008C4B65"/>
    <w:rsid w:val="008C59DC"/>
    <w:rsid w:val="008D72C4"/>
    <w:rsid w:val="008E5F55"/>
    <w:rsid w:val="008F27DC"/>
    <w:rsid w:val="009009E7"/>
    <w:rsid w:val="00905DEF"/>
    <w:rsid w:val="00906056"/>
    <w:rsid w:val="00907F3A"/>
    <w:rsid w:val="00910736"/>
    <w:rsid w:val="009122AE"/>
    <w:rsid w:val="00913B43"/>
    <w:rsid w:val="009148A4"/>
    <w:rsid w:val="00915688"/>
    <w:rsid w:val="00925423"/>
    <w:rsid w:val="00926E0B"/>
    <w:rsid w:val="00930203"/>
    <w:rsid w:val="009311D2"/>
    <w:rsid w:val="009311E6"/>
    <w:rsid w:val="00931275"/>
    <w:rsid w:val="009335B4"/>
    <w:rsid w:val="00935233"/>
    <w:rsid w:val="00936AC7"/>
    <w:rsid w:val="0095042C"/>
    <w:rsid w:val="00953B64"/>
    <w:rsid w:val="00954DD7"/>
    <w:rsid w:val="009646A7"/>
    <w:rsid w:val="009663AE"/>
    <w:rsid w:val="00970A88"/>
    <w:rsid w:val="009818A1"/>
    <w:rsid w:val="00983247"/>
    <w:rsid w:val="009A1674"/>
    <w:rsid w:val="009B38BE"/>
    <w:rsid w:val="009B4DF2"/>
    <w:rsid w:val="009B4E42"/>
    <w:rsid w:val="009B5466"/>
    <w:rsid w:val="009C684F"/>
    <w:rsid w:val="009D074C"/>
    <w:rsid w:val="009D6E73"/>
    <w:rsid w:val="009E091E"/>
    <w:rsid w:val="009E72B4"/>
    <w:rsid w:val="009F1F1D"/>
    <w:rsid w:val="009F2B4F"/>
    <w:rsid w:val="009F3C63"/>
    <w:rsid w:val="009F66B5"/>
    <w:rsid w:val="009F72AA"/>
    <w:rsid w:val="00A02F10"/>
    <w:rsid w:val="00A1060C"/>
    <w:rsid w:val="00A13EC4"/>
    <w:rsid w:val="00A16221"/>
    <w:rsid w:val="00A178C3"/>
    <w:rsid w:val="00A20A7D"/>
    <w:rsid w:val="00A24105"/>
    <w:rsid w:val="00A3401E"/>
    <w:rsid w:val="00A35D42"/>
    <w:rsid w:val="00A42675"/>
    <w:rsid w:val="00A46CCF"/>
    <w:rsid w:val="00A46E4B"/>
    <w:rsid w:val="00A46E97"/>
    <w:rsid w:val="00A47CE2"/>
    <w:rsid w:val="00A506DE"/>
    <w:rsid w:val="00A53451"/>
    <w:rsid w:val="00A64E5A"/>
    <w:rsid w:val="00A70426"/>
    <w:rsid w:val="00A707CC"/>
    <w:rsid w:val="00A71410"/>
    <w:rsid w:val="00A71576"/>
    <w:rsid w:val="00A7604A"/>
    <w:rsid w:val="00A90F00"/>
    <w:rsid w:val="00A91E9A"/>
    <w:rsid w:val="00A93ED9"/>
    <w:rsid w:val="00A96221"/>
    <w:rsid w:val="00AA2D66"/>
    <w:rsid w:val="00AC2DBB"/>
    <w:rsid w:val="00AC6A99"/>
    <w:rsid w:val="00AD053E"/>
    <w:rsid w:val="00AD6048"/>
    <w:rsid w:val="00AE13D9"/>
    <w:rsid w:val="00AF6003"/>
    <w:rsid w:val="00AF72CC"/>
    <w:rsid w:val="00B046BE"/>
    <w:rsid w:val="00B055EF"/>
    <w:rsid w:val="00B06B5B"/>
    <w:rsid w:val="00B167D9"/>
    <w:rsid w:val="00B20237"/>
    <w:rsid w:val="00B23769"/>
    <w:rsid w:val="00B2492B"/>
    <w:rsid w:val="00B35013"/>
    <w:rsid w:val="00B41789"/>
    <w:rsid w:val="00B43D97"/>
    <w:rsid w:val="00B53827"/>
    <w:rsid w:val="00B54D0D"/>
    <w:rsid w:val="00B65C60"/>
    <w:rsid w:val="00B7171B"/>
    <w:rsid w:val="00B81808"/>
    <w:rsid w:val="00B8580C"/>
    <w:rsid w:val="00B86DFA"/>
    <w:rsid w:val="00B936D0"/>
    <w:rsid w:val="00B952A0"/>
    <w:rsid w:val="00BA6CBD"/>
    <w:rsid w:val="00BB15FB"/>
    <w:rsid w:val="00BB4CD3"/>
    <w:rsid w:val="00BB5432"/>
    <w:rsid w:val="00BB6678"/>
    <w:rsid w:val="00BD3D5B"/>
    <w:rsid w:val="00BD417C"/>
    <w:rsid w:val="00BD4F69"/>
    <w:rsid w:val="00BE1276"/>
    <w:rsid w:val="00BE1649"/>
    <w:rsid w:val="00BE3600"/>
    <w:rsid w:val="00BF67AD"/>
    <w:rsid w:val="00C01F6F"/>
    <w:rsid w:val="00C041EA"/>
    <w:rsid w:val="00C13BBD"/>
    <w:rsid w:val="00C149AB"/>
    <w:rsid w:val="00C1558E"/>
    <w:rsid w:val="00C16929"/>
    <w:rsid w:val="00C20690"/>
    <w:rsid w:val="00C2178B"/>
    <w:rsid w:val="00C269DC"/>
    <w:rsid w:val="00C3340C"/>
    <w:rsid w:val="00C341A6"/>
    <w:rsid w:val="00C36020"/>
    <w:rsid w:val="00C40694"/>
    <w:rsid w:val="00C451B9"/>
    <w:rsid w:val="00C479BF"/>
    <w:rsid w:val="00C50001"/>
    <w:rsid w:val="00C5124B"/>
    <w:rsid w:val="00C530A8"/>
    <w:rsid w:val="00C70542"/>
    <w:rsid w:val="00C75CBF"/>
    <w:rsid w:val="00CC2894"/>
    <w:rsid w:val="00CC2D6C"/>
    <w:rsid w:val="00CD22FB"/>
    <w:rsid w:val="00CD77C3"/>
    <w:rsid w:val="00CE112C"/>
    <w:rsid w:val="00CF4D64"/>
    <w:rsid w:val="00CF55D4"/>
    <w:rsid w:val="00CF6FA5"/>
    <w:rsid w:val="00D134BA"/>
    <w:rsid w:val="00D143F1"/>
    <w:rsid w:val="00D15818"/>
    <w:rsid w:val="00D22511"/>
    <w:rsid w:val="00D25032"/>
    <w:rsid w:val="00D44698"/>
    <w:rsid w:val="00D608DA"/>
    <w:rsid w:val="00D60977"/>
    <w:rsid w:val="00D609B7"/>
    <w:rsid w:val="00D72F40"/>
    <w:rsid w:val="00D730BF"/>
    <w:rsid w:val="00D74563"/>
    <w:rsid w:val="00D852F4"/>
    <w:rsid w:val="00DA76A4"/>
    <w:rsid w:val="00DB1110"/>
    <w:rsid w:val="00DB3730"/>
    <w:rsid w:val="00DC371B"/>
    <w:rsid w:val="00DC3788"/>
    <w:rsid w:val="00DC76C7"/>
    <w:rsid w:val="00DD0601"/>
    <w:rsid w:val="00DD09F5"/>
    <w:rsid w:val="00DD0E02"/>
    <w:rsid w:val="00DD4201"/>
    <w:rsid w:val="00DD5E9F"/>
    <w:rsid w:val="00DD61E8"/>
    <w:rsid w:val="00DD7409"/>
    <w:rsid w:val="00DE55D7"/>
    <w:rsid w:val="00DE5711"/>
    <w:rsid w:val="00DF0983"/>
    <w:rsid w:val="00DF2C11"/>
    <w:rsid w:val="00E00EA0"/>
    <w:rsid w:val="00E021CB"/>
    <w:rsid w:val="00E04A92"/>
    <w:rsid w:val="00E138F1"/>
    <w:rsid w:val="00E201C8"/>
    <w:rsid w:val="00E2309D"/>
    <w:rsid w:val="00E258AA"/>
    <w:rsid w:val="00E26758"/>
    <w:rsid w:val="00E33130"/>
    <w:rsid w:val="00E33AD2"/>
    <w:rsid w:val="00E33CA7"/>
    <w:rsid w:val="00E36367"/>
    <w:rsid w:val="00E4357B"/>
    <w:rsid w:val="00E443A7"/>
    <w:rsid w:val="00E45124"/>
    <w:rsid w:val="00E45904"/>
    <w:rsid w:val="00E473BE"/>
    <w:rsid w:val="00E63DE5"/>
    <w:rsid w:val="00E647AF"/>
    <w:rsid w:val="00E647C7"/>
    <w:rsid w:val="00E65A37"/>
    <w:rsid w:val="00E65EF7"/>
    <w:rsid w:val="00E74A54"/>
    <w:rsid w:val="00E74C83"/>
    <w:rsid w:val="00E77B48"/>
    <w:rsid w:val="00E857FB"/>
    <w:rsid w:val="00E8792F"/>
    <w:rsid w:val="00E91799"/>
    <w:rsid w:val="00E961C0"/>
    <w:rsid w:val="00E97DF8"/>
    <w:rsid w:val="00EA21FE"/>
    <w:rsid w:val="00EA34E3"/>
    <w:rsid w:val="00EA7AF9"/>
    <w:rsid w:val="00EB1128"/>
    <w:rsid w:val="00EB45E7"/>
    <w:rsid w:val="00EB65CF"/>
    <w:rsid w:val="00EB7538"/>
    <w:rsid w:val="00EB7733"/>
    <w:rsid w:val="00EC1868"/>
    <w:rsid w:val="00ED0346"/>
    <w:rsid w:val="00ED5B7C"/>
    <w:rsid w:val="00EE2F58"/>
    <w:rsid w:val="00EE6468"/>
    <w:rsid w:val="00EF3F4A"/>
    <w:rsid w:val="00EF4294"/>
    <w:rsid w:val="00F02D59"/>
    <w:rsid w:val="00F039E0"/>
    <w:rsid w:val="00F0410B"/>
    <w:rsid w:val="00F04C62"/>
    <w:rsid w:val="00F11FE1"/>
    <w:rsid w:val="00F1299B"/>
    <w:rsid w:val="00F163D5"/>
    <w:rsid w:val="00F17CA9"/>
    <w:rsid w:val="00F207A4"/>
    <w:rsid w:val="00F25173"/>
    <w:rsid w:val="00F2543B"/>
    <w:rsid w:val="00F27367"/>
    <w:rsid w:val="00F348B4"/>
    <w:rsid w:val="00F355AC"/>
    <w:rsid w:val="00F40CF7"/>
    <w:rsid w:val="00F44194"/>
    <w:rsid w:val="00F55A2C"/>
    <w:rsid w:val="00F65815"/>
    <w:rsid w:val="00F66565"/>
    <w:rsid w:val="00F71A5A"/>
    <w:rsid w:val="00F73A1A"/>
    <w:rsid w:val="00F769E0"/>
    <w:rsid w:val="00F84937"/>
    <w:rsid w:val="00F93D72"/>
    <w:rsid w:val="00FA4A46"/>
    <w:rsid w:val="00FA6B38"/>
    <w:rsid w:val="00FA75FE"/>
    <w:rsid w:val="00FB0AA4"/>
    <w:rsid w:val="00FB1032"/>
    <w:rsid w:val="00FB39BC"/>
    <w:rsid w:val="00FB56EE"/>
    <w:rsid w:val="00FB6A53"/>
    <w:rsid w:val="00FB7B3E"/>
    <w:rsid w:val="00FC11CA"/>
    <w:rsid w:val="00FC6BDE"/>
    <w:rsid w:val="00FD3198"/>
    <w:rsid w:val="00FE1969"/>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B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325FBD"/>
    <w:rPr>
      <w:sz w:val="24"/>
      <w:szCs w:val="24"/>
    </w:rPr>
  </w:style>
  <w:style w:type="character" w:customStyle="1" w:styleId="BodyText2Char">
    <w:name w:val="Body Text 2 Char"/>
    <w:link w:val="BodyText2"/>
    <w:rsid w:val="00E04A92"/>
    <w:rPr>
      <w:sz w:val="24"/>
    </w:rPr>
  </w:style>
  <w:style w:type="character" w:styleId="CommentReference">
    <w:name w:val="annotation reference"/>
    <w:basedOn w:val="DefaultParagraphFont"/>
    <w:rsid w:val="00DD61E8"/>
    <w:rPr>
      <w:sz w:val="16"/>
      <w:szCs w:val="16"/>
    </w:rPr>
  </w:style>
  <w:style w:type="paragraph" w:styleId="CommentText">
    <w:name w:val="annotation text"/>
    <w:basedOn w:val="Normal"/>
    <w:link w:val="CommentTextChar"/>
    <w:rsid w:val="00DD61E8"/>
    <w:rPr>
      <w:sz w:val="20"/>
      <w:szCs w:val="20"/>
    </w:rPr>
  </w:style>
  <w:style w:type="character" w:customStyle="1" w:styleId="CommentTextChar">
    <w:name w:val="Comment Text Char"/>
    <w:basedOn w:val="DefaultParagraphFont"/>
    <w:link w:val="CommentText"/>
    <w:rsid w:val="00DD61E8"/>
  </w:style>
  <w:style w:type="paragraph" w:styleId="CommentSubject">
    <w:name w:val="annotation subject"/>
    <w:basedOn w:val="CommentText"/>
    <w:next w:val="CommentText"/>
    <w:link w:val="CommentSubjectChar"/>
    <w:rsid w:val="00DD61E8"/>
    <w:rPr>
      <w:b/>
      <w:bCs/>
    </w:rPr>
  </w:style>
  <w:style w:type="character" w:customStyle="1" w:styleId="CommentSubjectChar">
    <w:name w:val="Comment Subject Char"/>
    <w:basedOn w:val="CommentTextChar"/>
    <w:link w:val="CommentSubject"/>
    <w:rsid w:val="00DD6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industry/small-business-assistance" TargetMode="External" /><Relationship Id="rId11" Type="http://schemas.openxmlformats.org/officeDocument/2006/relationships/hyperlink" Target="https://www.cfsanappsexternal.fda.gov/scripts/fdcc/?set=NewPlantVarietyConsultations" TargetMode="External" /><Relationship Id="rId12" Type="http://schemas.openxmlformats.org/officeDocument/2006/relationships/hyperlink" Target="https://www.cfsanappsexternal.fda.gov/scripts/fdcc/?set=NewProteinConsultations" TargetMode="External" /><Relationship Id="rId13" Type="http://schemas.openxmlformats.org/officeDocument/2006/relationships/hyperlink" Target="https://www.reginfo.gov/public/do/PRAMain"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regulatory-information/search-fda-guidance-documents/guidance-industry-consultation-procedures-under-fdas-1992-statement-policy-foods-derived-new-plant" TargetMode="External" /><Relationship Id="rId6" Type="http://schemas.openxmlformats.org/officeDocument/2006/relationships/hyperlink" Target="https://www.fda.gov/food/registration-food-facilities-and-other-submissions/cfsan-online-submission-module-cosm" TargetMode="External" /><Relationship Id="rId7" Type="http://schemas.openxmlformats.org/officeDocument/2006/relationships/hyperlink" Target="https://www.fda.gov/about-fda/reports-manuals-forms/forms" TargetMode="External" /><Relationship Id="rId8" Type="http://schemas.openxmlformats.org/officeDocument/2006/relationships/hyperlink" Target="https://www.fda.gov/regulatory-information/search-fda-guidance-documents/guidance-industry-recommendations-early-food-safety-evaluation-new-non-pesticidal-proteins-produced" TargetMode="External" /><Relationship Id="rId9" Type="http://schemas.openxmlformats.org/officeDocument/2006/relationships/hyperlink" Target="%20https:/www.fda.gov/about-fda/reportsmanuals-form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4AE7-5362-4759-9916-ADA4435BE08F}">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3047</Words>
  <Characters>17368</Characters>
  <Application>Microsoft Office Word</Application>
  <DocSecurity>0</DocSecurity>
  <Lines>144</Lines>
  <Paragraphs>40</Paragraphs>
  <ScaleCrop>false</ScaleCrop>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2024-07-28T18:31:00Z</dcterms:created>
  <dcterms:modified xsi:type="dcterms:W3CDTF">2024-07-28T18:32:00Z</dcterms:modified>
</cp:coreProperties>
</file>