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1C9" w:rsidP="00F66D32" w14:paraId="6AEBBA96" w14:textId="4E30E70C">
      <w:pPr>
        <w:spacing w:after="0" w:line="240" w:lineRule="auto"/>
        <w:jc w:val="center"/>
        <w:rPr>
          <w:rFonts w:ascii="Times New Roman" w:hAnsi="Times New Roman"/>
          <w:sz w:val="24"/>
          <w:szCs w:val="24"/>
        </w:rPr>
      </w:pPr>
      <w:r>
        <w:rPr>
          <w:rFonts w:ascii="Times New Roman" w:hAnsi="Times New Roman"/>
          <w:sz w:val="24"/>
          <w:szCs w:val="24"/>
        </w:rPr>
        <w:t xml:space="preserve">FOOD </w:t>
      </w:r>
      <w:r w:rsidR="007352D9">
        <w:rPr>
          <w:rFonts w:ascii="Times New Roman" w:hAnsi="Times New Roman"/>
          <w:sz w:val="24"/>
          <w:szCs w:val="24"/>
        </w:rPr>
        <w:t xml:space="preserve">&amp; </w:t>
      </w:r>
      <w:r>
        <w:rPr>
          <w:rFonts w:ascii="Times New Roman" w:hAnsi="Times New Roman"/>
          <w:sz w:val="24"/>
          <w:szCs w:val="24"/>
        </w:rPr>
        <w:t>DRUG ADMINISTRATION</w:t>
      </w:r>
    </w:p>
    <w:p w:rsidR="00ED1F53" w:rsidRPr="000F11C9" w:rsidP="008E1A54" w14:paraId="7AF328F7" w14:textId="77777777">
      <w:pPr>
        <w:spacing w:after="0" w:line="240" w:lineRule="auto"/>
        <w:jc w:val="center"/>
        <w:rPr>
          <w:rFonts w:ascii="Times New Roman" w:hAnsi="Times New Roman"/>
          <w:sz w:val="24"/>
          <w:szCs w:val="24"/>
        </w:rPr>
      </w:pPr>
    </w:p>
    <w:p w:rsidR="00DA065D" w:rsidP="008E1A54" w14:paraId="2E8B2B75" w14:textId="43A727CF">
      <w:pPr>
        <w:spacing w:after="0" w:line="240" w:lineRule="auto"/>
        <w:jc w:val="center"/>
        <w:rPr>
          <w:rFonts w:ascii="Times New Roman" w:hAnsi="Times New Roman"/>
          <w:sz w:val="24"/>
          <w:szCs w:val="24"/>
        </w:rPr>
      </w:pPr>
      <w:r w:rsidRPr="00862CDB">
        <w:rPr>
          <w:rFonts w:ascii="Times New Roman" w:hAnsi="Times New Roman"/>
          <w:sz w:val="24"/>
          <w:szCs w:val="24"/>
        </w:rPr>
        <w:t>Drug Supply Chain Security Act</w:t>
      </w:r>
      <w:r w:rsidR="00320DCD">
        <w:rPr>
          <w:rFonts w:ascii="Times New Roman" w:hAnsi="Times New Roman"/>
          <w:sz w:val="24"/>
          <w:szCs w:val="24"/>
        </w:rPr>
        <w:t xml:space="preserve"> </w:t>
      </w:r>
      <w:r w:rsidR="00CA7418">
        <w:rPr>
          <w:rFonts w:ascii="Times New Roman" w:hAnsi="Times New Roman"/>
          <w:sz w:val="24"/>
          <w:szCs w:val="24"/>
        </w:rPr>
        <w:t>Requirements</w:t>
      </w:r>
    </w:p>
    <w:p w:rsidR="000F11C9" w:rsidP="008E1A54" w14:paraId="4D873C3C" w14:textId="77777777">
      <w:pPr>
        <w:spacing w:after="0" w:line="240" w:lineRule="auto"/>
        <w:jc w:val="center"/>
        <w:rPr>
          <w:rFonts w:ascii="Times New Roman" w:hAnsi="Times New Roman"/>
          <w:sz w:val="24"/>
          <w:szCs w:val="24"/>
        </w:rPr>
      </w:pPr>
    </w:p>
    <w:p w:rsidR="00926886" w:rsidRPr="00EF34FE" w:rsidP="00E301AD" w14:paraId="6BBD88E5" w14:textId="555A9385">
      <w:pPr>
        <w:spacing w:line="240" w:lineRule="auto"/>
        <w:jc w:val="center"/>
        <w:rPr>
          <w:rFonts w:ascii="Times New Roman" w:hAnsi="Times New Roman"/>
          <w:sz w:val="24"/>
          <w:szCs w:val="24"/>
          <w:u w:val="single"/>
        </w:rPr>
      </w:pPr>
      <w:r w:rsidRPr="00EF34FE">
        <w:rPr>
          <w:rFonts w:ascii="Times New Roman" w:hAnsi="Times New Roman"/>
          <w:sz w:val="24"/>
          <w:szCs w:val="24"/>
          <w:u w:val="single"/>
        </w:rPr>
        <w:t xml:space="preserve">OMB Control No. </w:t>
      </w:r>
      <w:r w:rsidRPr="00EF34FE" w:rsidR="00596FC7">
        <w:rPr>
          <w:rFonts w:ascii="Times New Roman" w:hAnsi="Times New Roman"/>
          <w:sz w:val="24"/>
          <w:szCs w:val="24"/>
          <w:u w:val="single"/>
        </w:rPr>
        <w:t>0910</w:t>
      </w:r>
      <w:r w:rsidRPr="00EF34FE">
        <w:rPr>
          <w:rFonts w:ascii="Times New Roman" w:hAnsi="Times New Roman"/>
          <w:sz w:val="24"/>
          <w:szCs w:val="24"/>
          <w:u w:val="single"/>
        </w:rPr>
        <w:t>-</w:t>
      </w:r>
      <w:r w:rsidRPr="00EF34FE" w:rsidR="009E4488">
        <w:rPr>
          <w:rFonts w:ascii="Times New Roman" w:hAnsi="Times New Roman"/>
          <w:sz w:val="24"/>
          <w:szCs w:val="24"/>
          <w:u w:val="single"/>
        </w:rPr>
        <w:t>08</w:t>
      </w:r>
      <w:r w:rsidRPr="00EF34FE" w:rsidR="00EF34FE">
        <w:rPr>
          <w:rFonts w:ascii="Times New Roman" w:hAnsi="Times New Roman"/>
          <w:sz w:val="24"/>
          <w:szCs w:val="24"/>
          <w:u w:val="single"/>
        </w:rPr>
        <w:t>06</w:t>
      </w:r>
      <w:r w:rsidR="002766F1">
        <w:rPr>
          <w:rFonts w:ascii="Times New Roman" w:hAnsi="Times New Roman"/>
          <w:sz w:val="24"/>
          <w:szCs w:val="24"/>
          <w:u w:val="single"/>
        </w:rPr>
        <w:t xml:space="preserve"> - </w:t>
      </w:r>
      <w:r w:rsidRPr="00EF34FE" w:rsidR="00F11F37">
        <w:rPr>
          <w:rFonts w:ascii="Times New Roman" w:hAnsi="Times New Roman"/>
          <w:sz w:val="24"/>
          <w:szCs w:val="24"/>
          <w:u w:val="single"/>
        </w:rPr>
        <w:t>Revision</w:t>
      </w:r>
    </w:p>
    <w:p w:rsidR="00A8734D" w:rsidP="008E1A54" w14:paraId="4469E743" w14:textId="77777777">
      <w:pPr>
        <w:spacing w:line="240" w:lineRule="auto"/>
        <w:rPr>
          <w:rFonts w:ascii="Times New Roman" w:hAnsi="Times New Roman"/>
          <w:sz w:val="24"/>
          <w:szCs w:val="24"/>
        </w:rPr>
      </w:pPr>
    </w:p>
    <w:p w:rsidR="00ED1F53" w:rsidRPr="002766F1" w:rsidP="008E1A54" w14:paraId="4DF6B1F0" w14:textId="11B413D7">
      <w:pPr>
        <w:spacing w:line="240" w:lineRule="auto"/>
        <w:rPr>
          <w:rFonts w:ascii="Times New Roman" w:hAnsi="Times New Roman"/>
          <w:sz w:val="24"/>
          <w:szCs w:val="24"/>
        </w:rPr>
      </w:pPr>
      <w:r w:rsidRPr="000F11C9">
        <w:rPr>
          <w:rFonts w:ascii="Times New Roman" w:hAnsi="Times New Roman"/>
          <w:sz w:val="24"/>
          <w:szCs w:val="24"/>
        </w:rPr>
        <w:t>SUPPORTING STATEMENT</w:t>
      </w:r>
      <w:r w:rsidR="002766F1">
        <w:rPr>
          <w:rFonts w:ascii="Times New Roman" w:hAnsi="Times New Roman"/>
          <w:sz w:val="24"/>
          <w:szCs w:val="24"/>
        </w:rPr>
        <w:t xml:space="preserve"> – </w:t>
      </w:r>
      <w:r w:rsidRPr="00ED1F53">
        <w:rPr>
          <w:rFonts w:ascii="Times New Roman" w:hAnsi="Times New Roman"/>
          <w:b/>
          <w:sz w:val="24"/>
          <w:szCs w:val="24"/>
        </w:rPr>
        <w:t>Part A</w:t>
      </w:r>
      <w:r>
        <w:rPr>
          <w:rFonts w:ascii="Times New Roman" w:hAnsi="Times New Roman"/>
          <w:b/>
          <w:sz w:val="24"/>
          <w:szCs w:val="24"/>
        </w:rPr>
        <w:t xml:space="preserve">:  </w:t>
      </w:r>
      <w:r w:rsidRPr="003454A2" w:rsidR="00A259A6">
        <w:rPr>
          <w:rFonts w:ascii="Times New Roman" w:hAnsi="Times New Roman"/>
          <w:b/>
          <w:sz w:val="24"/>
          <w:szCs w:val="24"/>
        </w:rPr>
        <w:t>Justification</w:t>
      </w:r>
    </w:p>
    <w:p w:rsidR="00A259A6" w:rsidP="008E1A54" w14:paraId="337795CF" w14:textId="4B2F478C">
      <w:pPr>
        <w:spacing w:after="0" w:line="240" w:lineRule="auto"/>
        <w:rPr>
          <w:rFonts w:ascii="Times New Roman" w:hAnsi="Times New Roman"/>
          <w:sz w:val="24"/>
          <w:szCs w:val="24"/>
          <w:u w:val="single"/>
        </w:rPr>
      </w:pPr>
      <w:r w:rsidRPr="00006A9F">
        <w:rPr>
          <w:rFonts w:ascii="Times New Roman" w:hAnsi="Times New Roman"/>
          <w:sz w:val="24"/>
          <w:szCs w:val="24"/>
        </w:rPr>
        <w:t xml:space="preserve">1. </w:t>
      </w:r>
      <w:r w:rsidRPr="00CA7418">
        <w:rPr>
          <w:rFonts w:ascii="Times New Roman" w:hAnsi="Times New Roman"/>
          <w:sz w:val="24"/>
          <w:szCs w:val="24"/>
          <w:u w:val="single"/>
        </w:rPr>
        <w:t>Circumstances Making the Collection of Information Necessary</w:t>
      </w:r>
    </w:p>
    <w:p w:rsidR="000F11C9" w:rsidRPr="00006A9F" w:rsidP="008E1A54" w14:paraId="2144780F" w14:textId="77777777">
      <w:pPr>
        <w:spacing w:after="0" w:line="240" w:lineRule="auto"/>
        <w:ind w:left="720" w:hanging="360"/>
        <w:rPr>
          <w:rFonts w:ascii="Times New Roman" w:hAnsi="Times New Roman"/>
          <w:sz w:val="24"/>
          <w:szCs w:val="24"/>
        </w:rPr>
      </w:pPr>
    </w:p>
    <w:p w:rsidR="00777E5B" w:rsidRPr="00777E5B" w:rsidP="00777E5B" w14:paraId="29C4145B" w14:textId="77777777">
      <w:pPr>
        <w:spacing w:after="0" w:line="240" w:lineRule="auto"/>
        <w:rPr>
          <w:rFonts w:ascii="Times New Roman" w:hAnsi="Times New Roman"/>
          <w:sz w:val="24"/>
          <w:szCs w:val="24"/>
        </w:rPr>
      </w:pPr>
      <w:r w:rsidRPr="00777E5B">
        <w:rPr>
          <w:rFonts w:ascii="Times New Roman" w:hAnsi="Times New Roman"/>
          <w:sz w:val="24"/>
          <w:szCs w:val="24"/>
        </w:rPr>
        <w:t>This information collection helps support implementation of sections 581 and 582 (21 U.S.C. 360eee and U.S.C. 360eee-1) of the Federal Food, Drug, and Cosmetic Act (FD&amp;C Act), which govern the pharmaceutical distribution supply chain.  Definitions set forth in section 581 of the FD&amp;C Act prescribe specific activities that apply to the individuals identified in section 582, including recordkeeping requirements intended to effectuate the tracing of certain pharmaceutical drugs as they are distributed within the United States.  The recordkeeping provisions expressly provided for in sections 582(b) through (e) of the FD&amp;C Act cover tasks associated with product identification, product tracing, transaction data, record verification, and disclosures (exchange) of information.  Submissions to FDA, as provided for in section 582, include making specific product notifications, requesting exemption and/or waiver from any of the statutory requirements, and requesting termination of a notification in consultation with FDA.</w:t>
      </w:r>
    </w:p>
    <w:p w:rsidR="00777E5B" w:rsidRPr="00777E5B" w:rsidP="00777E5B" w14:paraId="624DB7FB" w14:textId="77777777">
      <w:pPr>
        <w:spacing w:after="0" w:line="240" w:lineRule="auto"/>
        <w:rPr>
          <w:rFonts w:ascii="Times New Roman" w:hAnsi="Times New Roman"/>
          <w:sz w:val="24"/>
          <w:szCs w:val="24"/>
        </w:rPr>
      </w:pPr>
    </w:p>
    <w:p w:rsidR="00777E5B" w:rsidRPr="00777E5B" w:rsidP="00777E5B" w14:paraId="5A97F89D" w14:textId="77777777">
      <w:pPr>
        <w:spacing w:after="0" w:line="240" w:lineRule="auto"/>
        <w:rPr>
          <w:rFonts w:ascii="Times New Roman" w:hAnsi="Times New Roman"/>
          <w:sz w:val="24"/>
          <w:szCs w:val="24"/>
        </w:rPr>
      </w:pPr>
      <w:r w:rsidRPr="00777E5B">
        <w:rPr>
          <w:rFonts w:ascii="Times New Roman" w:hAnsi="Times New Roman"/>
          <w:sz w:val="24"/>
          <w:szCs w:val="24"/>
        </w:rPr>
        <w:t xml:space="preserve">The requirements of section 582 of the FD&amp;C Act included in the information collection are self-executing.  We regard most of the information collection activities required by the statute to be usual and customary recordkeeping activities by respondents and have therefore excluded from our estimated burden the time, effort, and financial resources attributable to those activities consistent with 5 CFR 1320.3(b)(2).  Additionally, we note that some respondents are also subject to related reporting, recordkeeping, and disclosure requirements applicable under the Controlled Substances Act, for which currently active information collection approvals are maintained by the Department of Justice’s Drug Enforcement Administration.  At the same time, we account for notifications submitted to FDA, and estimate recordkeeping burden attributable to activities corresponding with illegitimate product notifications, including coordination of investigations of suspect products, among trading partners, as required by the statute.  </w:t>
      </w:r>
    </w:p>
    <w:p w:rsidR="00777E5B" w:rsidRPr="00777E5B" w:rsidP="00777E5B" w14:paraId="13299679" w14:textId="77777777">
      <w:pPr>
        <w:spacing w:after="0" w:line="240" w:lineRule="auto"/>
        <w:rPr>
          <w:rFonts w:ascii="Times New Roman" w:hAnsi="Times New Roman"/>
          <w:sz w:val="24"/>
          <w:szCs w:val="24"/>
        </w:rPr>
      </w:pPr>
    </w:p>
    <w:p w:rsidR="00777E5B" w:rsidRPr="00777E5B" w:rsidP="00777E5B" w14:paraId="3D7E67F7" w14:textId="2E3AB9EF">
      <w:pPr>
        <w:spacing w:after="0" w:line="240" w:lineRule="auto"/>
        <w:rPr>
          <w:rFonts w:ascii="Times New Roman" w:hAnsi="Times New Roman"/>
          <w:sz w:val="24"/>
          <w:szCs w:val="24"/>
        </w:rPr>
      </w:pPr>
      <w:r w:rsidRPr="00777E5B">
        <w:rPr>
          <w:rFonts w:ascii="Times New Roman" w:hAnsi="Times New Roman"/>
          <w:sz w:val="24"/>
          <w:szCs w:val="24"/>
        </w:rPr>
        <w:t xml:space="preserve">To assist respondents with submitting specific product notifications to FDA regarding illegitimate product and product with a high-risk of illegitimacy, we have developed and utilize </w:t>
      </w:r>
      <w:r w:rsidRPr="00777E5B">
        <w:rPr>
          <w:rFonts w:ascii="Times New Roman" w:hAnsi="Times New Roman"/>
          <w:b/>
          <w:bCs/>
          <w:sz w:val="24"/>
          <w:szCs w:val="24"/>
        </w:rPr>
        <w:t>Form FDA 3911</w:t>
      </w:r>
      <w:r w:rsidRPr="00777E5B">
        <w:rPr>
          <w:rFonts w:ascii="Times New Roman" w:hAnsi="Times New Roman"/>
          <w:sz w:val="24"/>
          <w:szCs w:val="24"/>
        </w:rPr>
        <w:t xml:space="preserve"> entitled “</w:t>
      </w:r>
      <w:r w:rsidRPr="00777E5B">
        <w:rPr>
          <w:rFonts w:ascii="Times New Roman" w:hAnsi="Times New Roman"/>
          <w:i/>
          <w:iCs/>
          <w:sz w:val="24"/>
          <w:szCs w:val="24"/>
        </w:rPr>
        <w:t>Drug Notification</w:t>
      </w:r>
      <w:r w:rsidRPr="00777E5B">
        <w:rPr>
          <w:rFonts w:ascii="Times New Roman" w:hAnsi="Times New Roman"/>
          <w:sz w:val="24"/>
          <w:szCs w:val="24"/>
        </w:rPr>
        <w:t xml:space="preserve">” and the corresponding instructional document “INSTRUCTIONS FOR COMPLETION OF FORM FDA 3911--DRUG NOTIFICATION.”  Instruction regarding the submission of Form FDA 3911 using the Center for Drug Evaluation and Research “NextGen” portal is available from our website at </w:t>
      </w:r>
      <w:hyperlink r:id="rId6" w:history="1">
        <w:r w:rsidRPr="00777E5B">
          <w:rPr>
            <w:rFonts w:ascii="Times New Roman" w:hAnsi="Times New Roman"/>
            <w:color w:val="0563C1"/>
            <w:sz w:val="24"/>
            <w:szCs w:val="24"/>
            <w:u w:val="single"/>
          </w:rPr>
          <w:t>https://www.fda.gov/drugs/drug-supply-chain-security-act-dscsa/notify-fda-illegitimate-products</w:t>
        </w:r>
      </w:hyperlink>
      <w:r w:rsidRPr="00777E5B">
        <w:rPr>
          <w:rFonts w:ascii="Times New Roman" w:hAnsi="Times New Roman"/>
          <w:sz w:val="24"/>
          <w:szCs w:val="24"/>
        </w:rPr>
        <w:t xml:space="preserve">.  Form FDA 3911 is intended to provide a uniform format for initial notifications, follow-up notifications, and requests for the termination of a notification.  We believe follow-up activities regarding suspect and/or illegitimate drug products includes information obtained during the conduct of an official Agency investigation and thus not covered by the PRA.  Please see 5 CFR 1320.4(a)(2) and FDA </w:t>
      </w:r>
      <w:r w:rsidRPr="00777E5B">
        <w:rPr>
          <w:rFonts w:ascii="Times New Roman" w:hAnsi="Times New Roman"/>
          <w:sz w:val="24"/>
          <w:szCs w:val="24"/>
        </w:rPr>
        <w:t>“</w:t>
      </w:r>
      <w:r w:rsidRPr="00777E5B">
        <w:rPr>
          <w:rFonts w:ascii="Times New Roman" w:hAnsi="Times New Roman"/>
          <w:i/>
          <w:iCs/>
          <w:sz w:val="24"/>
          <w:szCs w:val="24"/>
        </w:rPr>
        <w:t>General Enforcement Regulations</w:t>
      </w:r>
      <w:r w:rsidRPr="00777E5B">
        <w:rPr>
          <w:rFonts w:ascii="Times New Roman" w:hAnsi="Times New Roman"/>
          <w:sz w:val="24"/>
          <w:szCs w:val="24"/>
        </w:rPr>
        <w:t xml:space="preserve">” in </w:t>
      </w:r>
      <w:r w:rsidRPr="00777E5B">
        <w:rPr>
          <w:rFonts w:ascii="Times New Roman" w:hAnsi="Times New Roman"/>
          <w:b/>
          <w:bCs/>
          <w:sz w:val="24"/>
          <w:szCs w:val="24"/>
        </w:rPr>
        <w:t>21 CFR part 1</w:t>
      </w:r>
      <w:r w:rsidRPr="00777E5B">
        <w:rPr>
          <w:rFonts w:ascii="Times New Roman" w:hAnsi="Times New Roman"/>
          <w:sz w:val="24"/>
          <w:szCs w:val="24"/>
        </w:rPr>
        <w:t xml:space="preserve">.  We have revised Form FDA 3911, and the instructions for completing the form, to add a new field requesting information about the geographic location of the incident that is the subject of the notification.  </w:t>
      </w:r>
    </w:p>
    <w:p w:rsidR="00547CA0" w:rsidP="00777E5B" w14:paraId="3A1884F1" w14:textId="77777777">
      <w:pPr>
        <w:spacing w:after="0" w:line="240" w:lineRule="auto"/>
        <w:rPr>
          <w:rFonts w:ascii="Times New Roman" w:hAnsi="Times New Roman"/>
          <w:sz w:val="24"/>
          <w:szCs w:val="24"/>
        </w:rPr>
      </w:pPr>
    </w:p>
    <w:p w:rsidR="00777E5B" w:rsidRPr="00777E5B" w:rsidP="00777E5B" w14:paraId="53CB5811" w14:textId="1195C7A3">
      <w:pPr>
        <w:spacing w:after="0" w:line="240" w:lineRule="auto"/>
        <w:rPr>
          <w:rFonts w:ascii="Times New Roman" w:hAnsi="Times New Roman"/>
          <w:sz w:val="24"/>
          <w:szCs w:val="24"/>
        </w:rPr>
      </w:pPr>
      <w:r w:rsidRPr="00777E5B">
        <w:rPr>
          <w:rFonts w:ascii="Times New Roman" w:hAnsi="Times New Roman"/>
          <w:sz w:val="24"/>
          <w:szCs w:val="24"/>
        </w:rPr>
        <w:t>We have also published guidance documents, as provided for in section 582 of the FD&amp;C Act, developed specifically to facilitate the efficient adoption of secure interoperable product tracing at the package level by respondents.  The guidance documents discuss the recordkeeping activities expressly provided for in section 582 of the FD&amp;C Act.  To date we have developed and issued the following guidance documents:</w:t>
      </w:r>
    </w:p>
    <w:p w:rsidR="00777E5B" w:rsidRPr="00777E5B" w:rsidP="00777E5B" w14:paraId="3AFE6C54" w14:textId="77777777">
      <w:pPr>
        <w:spacing w:after="0" w:line="240" w:lineRule="auto"/>
        <w:rPr>
          <w:rFonts w:ascii="Times New Roman" w:hAnsi="Times New Roman"/>
          <w:sz w:val="24"/>
          <w:szCs w:val="24"/>
        </w:rPr>
      </w:pPr>
    </w:p>
    <w:p w:rsidR="00777E5B" w:rsidRPr="00777E5B" w:rsidP="00777E5B" w14:paraId="4D8E986C"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DSCSA Standards for the Interoperable Exchange of Information for Tracing of Certain Human, Finished, Prescription Drugs</w:t>
      </w:r>
      <w:r w:rsidRPr="00777E5B">
        <w:rPr>
          <w:rFonts w:ascii="Times New Roman" w:hAnsi="Times New Roman"/>
          <w:sz w:val="24"/>
          <w:szCs w:val="24"/>
        </w:rPr>
        <w:t>” guidance (2023 Standards for Interoperable Exchange Guidance) (September 6, 2023)</w:t>
      </w:r>
    </w:p>
    <w:p w:rsidR="00777E5B" w:rsidRPr="00777E5B" w:rsidP="00777E5B" w14:paraId="727A5321" w14:textId="77777777">
      <w:pPr>
        <w:spacing w:after="0" w:line="240" w:lineRule="auto"/>
        <w:ind w:left="720"/>
        <w:rPr>
          <w:rFonts w:ascii="Times New Roman" w:hAnsi="Times New Roman"/>
          <w:sz w:val="24"/>
          <w:szCs w:val="24"/>
        </w:rPr>
      </w:pPr>
    </w:p>
    <w:p w:rsidR="00777E5B" w:rsidRPr="00777E5B" w:rsidP="00777E5B" w14:paraId="59D40868"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bookmarkStart w:id="0" w:name="_Hlk188126300"/>
      <w:r w:rsidRPr="00777E5B">
        <w:rPr>
          <w:rFonts w:ascii="Times New Roman" w:hAnsi="Times New Roman"/>
          <w:i/>
          <w:iCs/>
          <w:sz w:val="24"/>
          <w:szCs w:val="24"/>
        </w:rPr>
        <w:t>Standardization of Data and Documentation Practices for Product Tracing</w:t>
      </w:r>
      <w:bookmarkEnd w:id="0"/>
      <w:r w:rsidRPr="00777E5B">
        <w:rPr>
          <w:rFonts w:ascii="Times New Roman" w:hAnsi="Times New Roman"/>
          <w:sz w:val="24"/>
          <w:szCs w:val="24"/>
        </w:rPr>
        <w:t>” draft guidance (Standardization of Data Guidance) (February 28, 2018)</w:t>
      </w:r>
    </w:p>
    <w:p w:rsidR="00777E5B" w:rsidRPr="00777E5B" w:rsidP="00777E5B" w14:paraId="36535B84" w14:textId="77777777">
      <w:pPr>
        <w:spacing w:after="0" w:line="240" w:lineRule="auto"/>
        <w:ind w:left="720"/>
        <w:rPr>
          <w:rFonts w:ascii="Times New Roman" w:hAnsi="Times New Roman"/>
          <w:sz w:val="24"/>
          <w:szCs w:val="24"/>
        </w:rPr>
      </w:pPr>
    </w:p>
    <w:p w:rsidR="00777E5B" w:rsidRPr="00777E5B" w:rsidP="00777E5B" w14:paraId="36EAB9B6"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Enhanced Drug Distribution Security at the Package Level Under the Drug Supply Chain Security Act</w:t>
      </w:r>
      <w:r w:rsidRPr="00777E5B">
        <w:rPr>
          <w:rFonts w:ascii="Times New Roman" w:hAnsi="Times New Roman"/>
          <w:sz w:val="24"/>
          <w:szCs w:val="24"/>
        </w:rPr>
        <w:t>” guidance (Enhanced Drug Distribution Security Guidance) (August 31, 2023)</w:t>
      </w:r>
    </w:p>
    <w:p w:rsidR="00777E5B" w:rsidRPr="00777E5B" w:rsidP="00777E5B" w14:paraId="65E33E07" w14:textId="77777777">
      <w:pPr>
        <w:spacing w:after="0" w:line="240" w:lineRule="auto"/>
        <w:ind w:left="720"/>
        <w:rPr>
          <w:rFonts w:ascii="Times New Roman" w:hAnsi="Times New Roman"/>
          <w:sz w:val="24"/>
          <w:szCs w:val="24"/>
        </w:rPr>
      </w:pPr>
    </w:p>
    <w:p w:rsidR="00777E5B" w:rsidRPr="00777E5B" w:rsidP="00777E5B" w14:paraId="59CF7440"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Verification Systems Under the Drug Supply Chain Security [DSCSA] Act for Certain Prescription Drugs</w:t>
      </w:r>
      <w:r w:rsidRPr="00777E5B">
        <w:rPr>
          <w:rFonts w:ascii="Times New Roman" w:hAnsi="Times New Roman"/>
          <w:sz w:val="24"/>
          <w:szCs w:val="24"/>
        </w:rPr>
        <w:t>” guidance (Verification Guidance) (December 7, 2023)</w:t>
      </w:r>
    </w:p>
    <w:p w:rsidR="00777E5B" w:rsidRPr="00777E5B" w:rsidP="00777E5B" w14:paraId="06AB8FB3" w14:textId="77777777">
      <w:pPr>
        <w:spacing w:after="0" w:line="240" w:lineRule="auto"/>
        <w:ind w:left="720"/>
        <w:rPr>
          <w:rFonts w:ascii="Times New Roman" w:hAnsi="Times New Roman"/>
          <w:sz w:val="24"/>
          <w:szCs w:val="24"/>
        </w:rPr>
      </w:pPr>
    </w:p>
    <w:p w:rsidR="00777E5B" w:rsidRPr="00777E5B" w:rsidP="00777E5B" w14:paraId="7EB46E56"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Definitions of Suspect Product and Illegitimate Product for Verification Obligations Under the Drug Supply Chain Security Act</w:t>
      </w:r>
      <w:r w:rsidRPr="00777E5B">
        <w:rPr>
          <w:rFonts w:ascii="Times New Roman" w:hAnsi="Times New Roman"/>
          <w:sz w:val="24"/>
          <w:szCs w:val="24"/>
        </w:rPr>
        <w:t>” guidance (Definitions Guidance) (March 16, 2023)</w:t>
      </w:r>
    </w:p>
    <w:p w:rsidR="00777E5B" w:rsidRPr="00777E5B" w:rsidP="00777E5B" w14:paraId="6AF9CECD" w14:textId="77777777">
      <w:pPr>
        <w:spacing w:after="0" w:line="240" w:lineRule="auto"/>
        <w:ind w:left="720"/>
        <w:rPr>
          <w:rFonts w:ascii="Times New Roman" w:hAnsi="Times New Roman"/>
          <w:sz w:val="24"/>
          <w:szCs w:val="24"/>
        </w:rPr>
      </w:pPr>
    </w:p>
    <w:p w:rsidR="00777E5B" w:rsidRPr="00777E5B" w:rsidP="00777E5B" w14:paraId="0C7F8E87"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Product Identifiers Under the Drug Supply Chain Security Act--Questions and Answers</w:t>
      </w:r>
      <w:r w:rsidRPr="00777E5B">
        <w:rPr>
          <w:rFonts w:ascii="Times New Roman" w:hAnsi="Times New Roman"/>
          <w:sz w:val="24"/>
          <w:szCs w:val="24"/>
        </w:rPr>
        <w:t>” guidance (Product Identifier Guidance) (June 3, 2021)</w:t>
      </w:r>
    </w:p>
    <w:p w:rsidR="00777E5B" w:rsidRPr="00777E5B" w:rsidP="00777E5B" w14:paraId="148B94DB" w14:textId="77777777">
      <w:pPr>
        <w:spacing w:after="0" w:line="240" w:lineRule="auto"/>
        <w:ind w:left="720"/>
        <w:rPr>
          <w:rFonts w:ascii="Times New Roman" w:hAnsi="Times New Roman"/>
          <w:sz w:val="24"/>
          <w:szCs w:val="24"/>
        </w:rPr>
      </w:pPr>
    </w:p>
    <w:p w:rsidR="00777E5B" w:rsidRPr="00777E5B" w:rsidP="00777E5B" w14:paraId="49DA57CC"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Drug Supply Chain Security Act Implementation:  Identification of Suspect Product and Notification</w:t>
      </w:r>
      <w:r w:rsidRPr="00777E5B">
        <w:rPr>
          <w:rFonts w:ascii="Times New Roman" w:hAnsi="Times New Roman"/>
          <w:sz w:val="24"/>
          <w:szCs w:val="24"/>
        </w:rPr>
        <w:t>” guidance (Suspect Product Guidance) (June 6, 2021)</w:t>
      </w:r>
    </w:p>
    <w:p w:rsidR="00777E5B" w:rsidRPr="00777E5B" w:rsidP="00777E5B" w14:paraId="5866F677" w14:textId="77777777">
      <w:pPr>
        <w:spacing w:after="0" w:line="240" w:lineRule="auto"/>
        <w:ind w:left="720"/>
        <w:rPr>
          <w:rFonts w:ascii="Times New Roman" w:hAnsi="Times New Roman"/>
          <w:sz w:val="24"/>
          <w:szCs w:val="24"/>
        </w:rPr>
      </w:pPr>
    </w:p>
    <w:p w:rsidR="00777E5B" w:rsidRPr="00777E5B" w:rsidP="00777E5B" w14:paraId="010A0668" w14:textId="77777777">
      <w:pPr>
        <w:numPr>
          <w:ilvl w:val="0"/>
          <w:numId w:val="6"/>
        </w:numPr>
        <w:spacing w:after="0" w:line="240" w:lineRule="auto"/>
        <w:rPr>
          <w:rFonts w:ascii="Times New Roman" w:hAnsi="Times New Roman"/>
          <w:sz w:val="24"/>
          <w:szCs w:val="24"/>
        </w:rPr>
      </w:pPr>
      <w:r w:rsidRPr="00777E5B">
        <w:rPr>
          <w:rFonts w:ascii="Times New Roman" w:hAnsi="Times New Roman"/>
          <w:sz w:val="24"/>
          <w:szCs w:val="24"/>
        </w:rPr>
        <w:t>“</w:t>
      </w:r>
      <w:r w:rsidRPr="00777E5B">
        <w:rPr>
          <w:rFonts w:ascii="Times New Roman" w:hAnsi="Times New Roman"/>
          <w:i/>
          <w:iCs/>
          <w:sz w:val="24"/>
          <w:szCs w:val="24"/>
        </w:rPr>
        <w:t>Waivers, Exceptions, and Exemptions from the Requirements of Section 582 of the Federal Food, Drug, and Cosmetic Act</w:t>
      </w:r>
      <w:r w:rsidRPr="00777E5B">
        <w:rPr>
          <w:rFonts w:ascii="Times New Roman" w:hAnsi="Times New Roman"/>
          <w:sz w:val="24"/>
          <w:szCs w:val="24"/>
        </w:rPr>
        <w:t>” guidance (Waivers Guidance) (August 4, 2023).</w:t>
      </w:r>
    </w:p>
    <w:p w:rsidR="00777E5B" w:rsidRPr="00777E5B" w:rsidP="00777E5B" w14:paraId="78A468B8" w14:textId="77777777">
      <w:pPr>
        <w:spacing w:after="0" w:line="240" w:lineRule="auto"/>
        <w:rPr>
          <w:rFonts w:ascii="Times New Roman" w:hAnsi="Times New Roman"/>
          <w:sz w:val="24"/>
          <w:szCs w:val="24"/>
        </w:rPr>
      </w:pPr>
    </w:p>
    <w:p w:rsidR="00777E5B" w:rsidRPr="00777E5B" w:rsidP="00777E5B" w14:paraId="565249BD" w14:textId="06FC974A">
      <w:pPr>
        <w:spacing w:after="0" w:line="240" w:lineRule="auto"/>
        <w:rPr>
          <w:rFonts w:ascii="Times New Roman" w:hAnsi="Times New Roman"/>
          <w:sz w:val="24"/>
          <w:szCs w:val="24"/>
        </w:rPr>
      </w:pPr>
      <w:r w:rsidRPr="00777E5B">
        <w:rPr>
          <w:rFonts w:ascii="Times New Roman" w:hAnsi="Times New Roman"/>
          <w:sz w:val="24"/>
          <w:szCs w:val="24"/>
        </w:rPr>
        <w:t xml:space="preserve">All </w:t>
      </w:r>
      <w:r w:rsidR="00547CA0">
        <w:rPr>
          <w:rFonts w:ascii="Times New Roman" w:hAnsi="Times New Roman"/>
          <w:sz w:val="24"/>
          <w:szCs w:val="24"/>
        </w:rPr>
        <w:t xml:space="preserve">FDA </w:t>
      </w:r>
      <w:r w:rsidRPr="00777E5B">
        <w:rPr>
          <w:rFonts w:ascii="Times New Roman" w:hAnsi="Times New Roman"/>
          <w:sz w:val="24"/>
          <w:szCs w:val="24"/>
        </w:rPr>
        <w:t xml:space="preserve">guidance documents are issued in accordance with our Good Guidance Practice regulations in 21 CFR 10.115, which provide for public comment at any time.  We maintain a searchable guidance database on our website at </w:t>
      </w:r>
      <w:hyperlink r:id="rId7" w:history="1">
        <w:r w:rsidRPr="00777E5B">
          <w:rPr>
            <w:rFonts w:ascii="Times New Roman" w:hAnsi="Times New Roman"/>
            <w:color w:val="0563C1"/>
            <w:sz w:val="24"/>
            <w:szCs w:val="24"/>
            <w:u w:val="single"/>
          </w:rPr>
          <w:t>https://www.fda.gov/regulatory-information/search-fda-guidance-documents</w:t>
        </w:r>
      </w:hyperlink>
      <w:r w:rsidRPr="00777E5B">
        <w:rPr>
          <w:rFonts w:ascii="Times New Roman" w:hAnsi="Times New Roman"/>
          <w:sz w:val="24"/>
          <w:szCs w:val="24"/>
        </w:rPr>
        <w:t xml:space="preserve"> that utilizes topic specific search terms.</w:t>
      </w:r>
    </w:p>
    <w:p w:rsidR="00BB42E2" w:rsidP="00D57EF5" w14:paraId="2BC4CE3B" w14:textId="77777777">
      <w:pPr>
        <w:pStyle w:val="BodyText"/>
        <w:ind w:left="0"/>
        <w:rPr>
          <w:rFonts w:eastAsia="Calibri" w:cs="Times New Roman"/>
        </w:rPr>
      </w:pPr>
    </w:p>
    <w:p w:rsidR="000F11C9" w:rsidP="00D57EF5" w14:paraId="5D5CDB51" w14:textId="0A59A2BC">
      <w:pPr>
        <w:pStyle w:val="BodyText"/>
        <w:ind w:left="0"/>
        <w:rPr>
          <w:color w:val="000000"/>
          <w:lang w:val="en"/>
        </w:rPr>
      </w:pPr>
      <w:r w:rsidRPr="00777E5B">
        <w:rPr>
          <w:rFonts w:eastAsia="Calibri" w:cs="Times New Roman"/>
        </w:rPr>
        <w:t xml:space="preserve">We therefore request OMB approval of the information collection provisions found in section 582 of the FD&amp;C Act (21 U.S.C. 360eee-1), information collection discussed in the associated topic-specific guidance issued in accordance with section 582(h) as referenced in this supporting </w:t>
      </w:r>
      <w:r w:rsidRPr="00777E5B">
        <w:rPr>
          <w:rFonts w:eastAsia="Calibri" w:cs="Times New Roman"/>
        </w:rPr>
        <w:t>statement, and FDA Form 3911</w:t>
      </w:r>
      <w:r w:rsidR="00966141">
        <w:rPr>
          <w:color w:val="000000"/>
          <w:lang w:val="en"/>
        </w:rPr>
        <w:t>.</w:t>
      </w:r>
      <w:r w:rsidRPr="00D601BC" w:rsidR="00A97E03">
        <w:rPr>
          <w:color w:val="000000"/>
          <w:lang w:val="en"/>
        </w:rPr>
        <w:t xml:space="preserve"> </w:t>
      </w:r>
    </w:p>
    <w:p w:rsidR="00B0620D" w:rsidP="008E1A54" w14:paraId="3152CFE7" w14:textId="77777777">
      <w:pPr>
        <w:spacing w:after="0" w:line="240" w:lineRule="auto"/>
        <w:rPr>
          <w:rFonts w:ascii="Times New Roman" w:hAnsi="Times New Roman"/>
          <w:color w:val="000000"/>
          <w:sz w:val="24"/>
          <w:szCs w:val="24"/>
          <w:lang w:val="en"/>
        </w:rPr>
      </w:pPr>
    </w:p>
    <w:p w:rsidR="00A259A6" w:rsidP="008E1A54" w14:paraId="337795D1" w14:textId="36145BF0">
      <w:pPr>
        <w:spacing w:after="0" w:line="240" w:lineRule="auto"/>
        <w:rPr>
          <w:rFonts w:ascii="Times New Roman" w:hAnsi="Times New Roman"/>
          <w:sz w:val="24"/>
          <w:szCs w:val="24"/>
          <w:u w:val="single"/>
        </w:rPr>
      </w:pPr>
      <w:r>
        <w:rPr>
          <w:rFonts w:ascii="Times New Roman" w:hAnsi="Times New Roman"/>
          <w:sz w:val="24"/>
          <w:szCs w:val="24"/>
        </w:rPr>
        <w:t xml:space="preserve">2. </w:t>
      </w:r>
      <w:r>
        <w:rPr>
          <w:rFonts w:ascii="Times New Roman" w:hAnsi="Times New Roman"/>
          <w:sz w:val="24"/>
          <w:szCs w:val="24"/>
          <w:u w:val="single"/>
        </w:rPr>
        <w:t>Purpose and Use of the Information Collection</w:t>
      </w:r>
    </w:p>
    <w:p w:rsidR="00AD5274" w:rsidP="008E1A54" w14:paraId="4617E918" w14:textId="77777777">
      <w:pPr>
        <w:spacing w:after="0" w:line="240" w:lineRule="auto"/>
        <w:rPr>
          <w:rFonts w:ascii="Times New Roman" w:hAnsi="Times New Roman"/>
          <w:sz w:val="24"/>
          <w:szCs w:val="24"/>
          <w:u w:val="single"/>
        </w:rPr>
      </w:pPr>
    </w:p>
    <w:p w:rsidR="00681689" w:rsidRPr="002063D5" w:rsidP="002063D5" w14:paraId="3CD196C9" w14:textId="46BBF912">
      <w:pPr>
        <w:spacing w:after="0" w:line="240" w:lineRule="auto"/>
        <w:ind w:right="86"/>
        <w:rPr>
          <w:rFonts w:ascii="Times New Roman" w:eastAsia="Times New Roman" w:hAnsi="Times New Roman" w:cstheme="minorBidi"/>
          <w:sz w:val="24"/>
          <w:szCs w:val="24"/>
        </w:rPr>
      </w:pPr>
      <w:r w:rsidRPr="00EA764D">
        <w:rPr>
          <w:rFonts w:ascii="Times New Roman" w:eastAsia="Times New Roman" w:hAnsi="Times New Roman" w:cstheme="minorBidi"/>
          <w:sz w:val="24"/>
          <w:szCs w:val="24"/>
        </w:rPr>
        <w:t xml:space="preserve">Respondents to the information collection are manufacturers, wholesale distributors (“wholesalers”), dispensers, and repackagers, as defined </w:t>
      </w:r>
      <w:r w:rsidRPr="00EA764D" w:rsidR="00A85EB5">
        <w:rPr>
          <w:rFonts w:ascii="Times New Roman" w:eastAsia="Times New Roman" w:hAnsi="Times New Roman" w:cstheme="minorBidi"/>
          <w:sz w:val="24"/>
          <w:szCs w:val="24"/>
        </w:rPr>
        <w:t>in section 581 of the FD&amp;C Act</w:t>
      </w:r>
      <w:r w:rsidR="00A85EB5">
        <w:rPr>
          <w:rFonts w:ascii="Times New Roman" w:eastAsia="Times New Roman" w:hAnsi="Times New Roman" w:cstheme="minorBidi"/>
          <w:sz w:val="24"/>
          <w:szCs w:val="24"/>
        </w:rPr>
        <w:t>,</w:t>
      </w:r>
      <w:r w:rsidRPr="00EA764D">
        <w:rPr>
          <w:rFonts w:ascii="Times New Roman" w:eastAsia="Times New Roman" w:hAnsi="Times New Roman" w:cstheme="minorBidi"/>
          <w:sz w:val="24"/>
          <w:szCs w:val="24"/>
        </w:rPr>
        <w:t xml:space="preserve"> of pharmaceutical drug products.</w:t>
      </w:r>
      <w:r w:rsidR="002063D5">
        <w:rPr>
          <w:rFonts w:ascii="Times New Roman" w:eastAsia="Times New Roman" w:hAnsi="Times New Roman" w:cstheme="minorBidi"/>
          <w:sz w:val="24"/>
          <w:szCs w:val="24"/>
        </w:rPr>
        <w:t xml:space="preserve">  </w:t>
      </w:r>
      <w:r w:rsidRPr="002063D5" w:rsidR="002063D5">
        <w:rPr>
          <w:rFonts w:ascii="Times New Roman" w:eastAsia="Times New Roman" w:hAnsi="Times New Roman" w:cstheme="minorBidi"/>
          <w:sz w:val="24"/>
          <w:szCs w:val="24"/>
        </w:rPr>
        <w:t>Based on</w:t>
      </w:r>
      <w:r w:rsidR="002063D5">
        <w:rPr>
          <w:rFonts w:ascii="Times New Roman" w:eastAsia="Times New Roman" w:hAnsi="Times New Roman" w:cstheme="minorBidi"/>
          <w:sz w:val="24"/>
          <w:szCs w:val="24"/>
        </w:rPr>
        <w:t xml:space="preserve"> agency</w:t>
      </w:r>
      <w:r w:rsidRPr="002063D5" w:rsidR="002063D5">
        <w:rPr>
          <w:rFonts w:ascii="Times New Roman" w:eastAsia="Times New Roman" w:hAnsi="Times New Roman" w:cstheme="minorBidi"/>
          <w:sz w:val="24"/>
          <w:szCs w:val="24"/>
        </w:rPr>
        <w:t xml:space="preserve"> data, we assume 70,000 respondents:  1,230 manufacturers and 170 repackagers, (1,400 cumulatively); 1,600 distributors; and 67,000 dispensers (including online and chain pharmacies).  This information collection is intended to ensure the security and integrity of the pharmaceutical distribution supply chain</w:t>
      </w:r>
      <w:r w:rsidRPr="00260052">
        <w:rPr>
          <w:rFonts w:ascii="Times New Roman" w:eastAsia="Times New Roman" w:hAnsi="Times New Roman"/>
          <w:sz w:val="24"/>
          <w:szCs w:val="24"/>
        </w:rPr>
        <w:t>.</w:t>
      </w:r>
    </w:p>
    <w:p w:rsidR="00260052" w:rsidRPr="00260052" w:rsidP="00681689" w14:paraId="6BE7FDB8" w14:textId="4403199E">
      <w:pPr>
        <w:spacing w:after="0" w:line="240" w:lineRule="auto"/>
        <w:rPr>
          <w:rFonts w:ascii="Times New Roman" w:eastAsia="Times New Roman" w:hAnsi="Times New Roman"/>
          <w:sz w:val="24"/>
          <w:szCs w:val="24"/>
        </w:rPr>
      </w:pPr>
    </w:p>
    <w:p w:rsidR="00A259A6" w:rsidP="008E1A54" w14:paraId="337795D4" w14:textId="29AFF00E">
      <w:pPr>
        <w:spacing w:after="0" w:line="240" w:lineRule="auto"/>
        <w:rPr>
          <w:rFonts w:ascii="Times New Roman" w:hAnsi="Times New Roman"/>
          <w:sz w:val="24"/>
          <w:szCs w:val="24"/>
          <w:u w:val="single"/>
        </w:rPr>
      </w:pPr>
      <w:r>
        <w:rPr>
          <w:rFonts w:ascii="Times New Roman" w:hAnsi="Times New Roman"/>
          <w:sz w:val="24"/>
          <w:szCs w:val="24"/>
        </w:rPr>
        <w:t xml:space="preserve">3. </w:t>
      </w:r>
      <w:r>
        <w:rPr>
          <w:rFonts w:ascii="Times New Roman" w:hAnsi="Times New Roman"/>
          <w:sz w:val="24"/>
          <w:szCs w:val="24"/>
          <w:u w:val="single"/>
        </w:rPr>
        <w:t>Use of Improved Information Technology and Burden Reduction</w:t>
      </w:r>
    </w:p>
    <w:p w:rsidR="000F11C9" w:rsidP="008E1A54" w14:paraId="2B861048" w14:textId="77777777">
      <w:pPr>
        <w:spacing w:after="0" w:line="240" w:lineRule="auto"/>
        <w:rPr>
          <w:rFonts w:ascii="Times New Roman" w:hAnsi="Times New Roman"/>
          <w:sz w:val="24"/>
          <w:szCs w:val="24"/>
          <w:u w:val="single"/>
        </w:rPr>
      </w:pPr>
    </w:p>
    <w:p w:rsidR="000F11C9" w:rsidP="009E0E08" w14:paraId="611FC21E" w14:textId="3DE4E884">
      <w:pPr>
        <w:spacing w:after="0" w:line="240" w:lineRule="auto"/>
        <w:rPr>
          <w:rFonts w:ascii="Times New Roman" w:hAnsi="Times New Roman"/>
          <w:color w:val="000000"/>
          <w:sz w:val="24"/>
          <w:szCs w:val="24"/>
          <w:lang w:val="en"/>
        </w:rPr>
      </w:pPr>
      <w:r w:rsidRPr="00A658AD">
        <w:rPr>
          <w:rFonts w:ascii="Times New Roman" w:hAnsi="Times New Roman"/>
          <w:color w:val="000000"/>
          <w:sz w:val="24"/>
          <w:szCs w:val="24"/>
          <w:lang w:val="en"/>
        </w:rPr>
        <w:t>Enhanced drug distribution security requires interoperable, electronic tracing of product at the package level.</w:t>
      </w:r>
      <w:r>
        <w:rPr>
          <w:rFonts w:ascii="Times New Roman" w:hAnsi="Times New Roman"/>
          <w:color w:val="000000"/>
          <w:sz w:val="24"/>
          <w:szCs w:val="24"/>
          <w:lang w:val="en"/>
        </w:rPr>
        <w:t xml:space="preserve">  </w:t>
      </w:r>
      <w:r w:rsidRPr="00A658AD">
        <w:rPr>
          <w:rFonts w:ascii="Times New Roman" w:hAnsi="Times New Roman"/>
          <w:color w:val="000000"/>
          <w:sz w:val="24"/>
          <w:szCs w:val="24"/>
          <w:lang w:val="en"/>
        </w:rPr>
        <w:t>This includes elements such as electronic exchange of transaction information, systems and processes for verification, responding to requests from FDA, facilitating the gathering of information necessary to produce the transaction information, and systems to process saleable returns.</w:t>
      </w:r>
      <w:r w:rsidR="0001665A">
        <w:rPr>
          <w:rFonts w:ascii="Times New Roman" w:hAnsi="Times New Roman"/>
          <w:color w:val="000000"/>
          <w:sz w:val="24"/>
          <w:szCs w:val="24"/>
          <w:lang w:val="en"/>
        </w:rPr>
        <w:t xml:space="preserve">  Our Center for Drug Evaluation and Research has developed </w:t>
      </w:r>
      <w:r w:rsidR="00993F28">
        <w:rPr>
          <w:rFonts w:ascii="Times New Roman" w:hAnsi="Times New Roman"/>
          <w:color w:val="000000"/>
          <w:sz w:val="24"/>
          <w:szCs w:val="24"/>
          <w:lang w:val="en"/>
        </w:rPr>
        <w:t xml:space="preserve">the </w:t>
      </w:r>
      <w:r w:rsidRPr="00A658AD">
        <w:rPr>
          <w:rFonts w:ascii="Times New Roman" w:hAnsi="Times New Roman"/>
          <w:color w:val="000000"/>
          <w:sz w:val="24"/>
          <w:szCs w:val="24"/>
          <w:lang w:val="en"/>
        </w:rPr>
        <w:t xml:space="preserve">DSCSA Portal, available on our CDER NextGen website at </w:t>
      </w:r>
      <w:hyperlink r:id="rId8" w:history="1">
        <w:r w:rsidRPr="00B67806">
          <w:rPr>
            <w:rStyle w:val="Hyperlink"/>
            <w:rFonts w:ascii="Times New Roman" w:hAnsi="Times New Roman"/>
            <w:sz w:val="24"/>
            <w:szCs w:val="24"/>
            <w:lang w:val="en"/>
          </w:rPr>
          <w:t>https://cdernextgenportal.fda.gov/Login_CDER?ec=302&amp;startURL=%2Fs%2F</w:t>
        </w:r>
      </w:hyperlink>
      <w:r>
        <w:rPr>
          <w:rFonts w:ascii="Times New Roman" w:hAnsi="Times New Roman"/>
          <w:color w:val="000000"/>
          <w:sz w:val="24"/>
          <w:szCs w:val="24"/>
          <w:lang w:val="en"/>
        </w:rPr>
        <w:t xml:space="preserve">, </w:t>
      </w:r>
      <w:r w:rsidR="00504CA3">
        <w:rPr>
          <w:rFonts w:ascii="Times New Roman" w:hAnsi="Times New Roman"/>
          <w:color w:val="000000"/>
          <w:sz w:val="24"/>
          <w:szCs w:val="24"/>
          <w:lang w:val="en"/>
        </w:rPr>
        <w:t xml:space="preserve">to </w:t>
      </w:r>
      <w:r w:rsidRPr="00A658AD">
        <w:rPr>
          <w:rFonts w:ascii="Times New Roman" w:hAnsi="Times New Roman"/>
          <w:color w:val="000000"/>
          <w:sz w:val="24"/>
          <w:szCs w:val="24"/>
          <w:lang w:val="en"/>
        </w:rPr>
        <w:t>communicate with respondents</w:t>
      </w:r>
      <w:r w:rsidR="00504CA3">
        <w:rPr>
          <w:rFonts w:ascii="Times New Roman" w:hAnsi="Times New Roman"/>
          <w:color w:val="000000"/>
          <w:sz w:val="24"/>
          <w:szCs w:val="24"/>
          <w:lang w:val="en"/>
        </w:rPr>
        <w:t xml:space="preserve"> and </w:t>
      </w:r>
      <w:r w:rsidR="003250DD">
        <w:rPr>
          <w:rFonts w:ascii="Times New Roman" w:hAnsi="Times New Roman"/>
          <w:color w:val="000000"/>
          <w:sz w:val="24"/>
          <w:szCs w:val="24"/>
          <w:lang w:val="en"/>
        </w:rPr>
        <w:t xml:space="preserve">facilitate the </w:t>
      </w:r>
      <w:r w:rsidR="00504CA3">
        <w:rPr>
          <w:rFonts w:ascii="Times New Roman" w:hAnsi="Times New Roman"/>
          <w:color w:val="000000"/>
          <w:sz w:val="24"/>
          <w:szCs w:val="24"/>
          <w:lang w:val="en"/>
        </w:rPr>
        <w:t>exchange information</w:t>
      </w:r>
      <w:r w:rsidRPr="00A658AD">
        <w:rPr>
          <w:rFonts w:ascii="Times New Roman" w:hAnsi="Times New Roman"/>
          <w:color w:val="000000"/>
          <w:sz w:val="24"/>
          <w:szCs w:val="24"/>
          <w:lang w:val="en"/>
        </w:rPr>
        <w:t xml:space="preserve"> in compliance with section 582 requirements</w:t>
      </w:r>
      <w:r w:rsidR="009E0E08">
        <w:rPr>
          <w:rFonts w:ascii="Times New Roman" w:hAnsi="Times New Roman"/>
          <w:color w:val="000000"/>
          <w:sz w:val="24"/>
          <w:szCs w:val="24"/>
          <w:lang w:val="en"/>
        </w:rPr>
        <w:t>.</w:t>
      </w:r>
      <w:r w:rsidR="009C4CD8">
        <w:rPr>
          <w:rFonts w:ascii="Times New Roman" w:hAnsi="Times New Roman"/>
          <w:color w:val="000000"/>
          <w:sz w:val="24"/>
          <w:szCs w:val="24"/>
          <w:lang w:val="en"/>
        </w:rPr>
        <w:t xml:space="preserve">  As our limited resources allow, we intend to </w:t>
      </w:r>
      <w:r w:rsidR="007B5E59">
        <w:rPr>
          <w:rFonts w:ascii="Times New Roman" w:hAnsi="Times New Roman"/>
          <w:color w:val="000000"/>
          <w:sz w:val="24"/>
          <w:szCs w:val="24"/>
          <w:lang w:val="en"/>
        </w:rPr>
        <w:t xml:space="preserve">deploy system </w:t>
      </w:r>
      <w:r w:rsidR="009C4CD8">
        <w:rPr>
          <w:rFonts w:ascii="Times New Roman" w:hAnsi="Times New Roman"/>
          <w:color w:val="000000"/>
          <w:sz w:val="24"/>
          <w:szCs w:val="24"/>
          <w:lang w:val="en"/>
        </w:rPr>
        <w:t>enhance</w:t>
      </w:r>
      <w:r w:rsidR="007B5E59">
        <w:rPr>
          <w:rFonts w:ascii="Times New Roman" w:hAnsi="Times New Roman"/>
          <w:color w:val="000000"/>
          <w:sz w:val="24"/>
          <w:szCs w:val="24"/>
          <w:lang w:val="en"/>
        </w:rPr>
        <w:t xml:space="preserve">ments to increase the </w:t>
      </w:r>
      <w:r w:rsidR="009C4CD8">
        <w:rPr>
          <w:rFonts w:ascii="Times New Roman" w:hAnsi="Times New Roman"/>
          <w:color w:val="000000"/>
          <w:sz w:val="24"/>
          <w:szCs w:val="24"/>
          <w:lang w:val="en"/>
        </w:rPr>
        <w:t>utilit</w:t>
      </w:r>
      <w:r w:rsidR="007B5E59">
        <w:rPr>
          <w:rFonts w:ascii="Times New Roman" w:hAnsi="Times New Roman"/>
          <w:color w:val="000000"/>
          <w:sz w:val="24"/>
          <w:szCs w:val="24"/>
          <w:lang w:val="en"/>
        </w:rPr>
        <w:t>y</w:t>
      </w:r>
      <w:r w:rsidR="007C433C">
        <w:rPr>
          <w:rFonts w:ascii="Times New Roman" w:hAnsi="Times New Roman"/>
          <w:color w:val="000000"/>
          <w:sz w:val="24"/>
          <w:szCs w:val="24"/>
          <w:lang w:val="en"/>
        </w:rPr>
        <w:t xml:space="preserve"> of the information collection.</w:t>
      </w:r>
    </w:p>
    <w:p w:rsidR="009E0E08" w:rsidP="009E0E08" w14:paraId="339E4BBC" w14:textId="77777777">
      <w:pPr>
        <w:spacing w:after="0" w:line="240" w:lineRule="auto"/>
      </w:pPr>
    </w:p>
    <w:p w:rsidR="00A259A6" w:rsidP="008E1A54" w14:paraId="337795D6" w14:textId="186A8D7C">
      <w:pPr>
        <w:spacing w:after="0" w:line="240" w:lineRule="auto"/>
        <w:rPr>
          <w:rFonts w:ascii="Times New Roman" w:hAnsi="Times New Roman"/>
          <w:sz w:val="24"/>
          <w:szCs w:val="24"/>
          <w:u w:val="single"/>
        </w:rPr>
      </w:pPr>
      <w:r>
        <w:rPr>
          <w:rFonts w:ascii="Times New Roman" w:hAnsi="Times New Roman"/>
          <w:sz w:val="24"/>
          <w:szCs w:val="24"/>
        </w:rPr>
        <w:t>4.</w:t>
      </w:r>
      <w:r w:rsidR="00772F7F">
        <w:rPr>
          <w:rFonts w:ascii="Times New Roman" w:hAnsi="Times New Roman"/>
          <w:sz w:val="24"/>
          <w:szCs w:val="24"/>
        </w:rPr>
        <w:t xml:space="preserve"> </w:t>
      </w:r>
      <w:r>
        <w:rPr>
          <w:rFonts w:ascii="Times New Roman" w:hAnsi="Times New Roman"/>
          <w:sz w:val="24"/>
          <w:szCs w:val="24"/>
          <w:u w:val="single"/>
        </w:rPr>
        <w:t>Efforts to Identify Duplication and Use of Similar Information</w:t>
      </w:r>
    </w:p>
    <w:p w:rsidR="001C16BD" w:rsidP="008E1A54" w14:paraId="711005BA" w14:textId="77777777">
      <w:pPr>
        <w:autoSpaceDE w:val="0"/>
        <w:autoSpaceDN w:val="0"/>
        <w:adjustRightInd w:val="0"/>
        <w:spacing w:after="0" w:line="240" w:lineRule="auto"/>
        <w:rPr>
          <w:rFonts w:ascii="Times New Roman" w:hAnsi="Times New Roman"/>
          <w:sz w:val="24"/>
          <w:szCs w:val="24"/>
        </w:rPr>
      </w:pPr>
    </w:p>
    <w:p w:rsidR="009E0E08" w:rsidP="008E1A54" w14:paraId="1A62211C" w14:textId="60265DC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 are unaware of duplicative information collection</w:t>
      </w:r>
      <w:r>
        <w:rPr>
          <w:rFonts w:ascii="Times New Roman" w:hAnsi="Times New Roman"/>
          <w:sz w:val="24"/>
          <w:szCs w:val="24"/>
        </w:rPr>
        <w:t xml:space="preserve">. </w:t>
      </w:r>
      <w:r w:rsidR="008E75DB">
        <w:rPr>
          <w:rFonts w:ascii="Times New Roman" w:hAnsi="Times New Roman"/>
          <w:sz w:val="24"/>
          <w:szCs w:val="24"/>
        </w:rPr>
        <w:t xml:space="preserve"> </w:t>
      </w:r>
      <w:r w:rsidRPr="004365AF" w:rsidR="004365AF">
        <w:rPr>
          <w:rFonts w:ascii="Times New Roman" w:hAnsi="Times New Roman"/>
          <w:sz w:val="24"/>
          <w:szCs w:val="24"/>
        </w:rPr>
        <w:t>In 2018, we initiated a pilot project, consistent with section 582(j) of the FD&amp;C Act (approved in OMB control number 0910-0859) focusing on system attributes and demonstrating interoperability.  Since completion of the pilot project, we continue to focus on the interoperability of the electronic systems described in section 582 of the FD&amp;C Act and have</w:t>
      </w:r>
      <w:r w:rsidR="004365AF">
        <w:rPr>
          <w:rFonts w:ascii="Times New Roman" w:hAnsi="Times New Roman"/>
          <w:sz w:val="24"/>
          <w:szCs w:val="24"/>
        </w:rPr>
        <w:t xml:space="preserve"> established</w:t>
      </w:r>
      <w:r w:rsidRPr="004365AF" w:rsidR="004365AF">
        <w:rPr>
          <w:rFonts w:ascii="Times New Roman" w:hAnsi="Times New Roman"/>
          <w:sz w:val="24"/>
          <w:szCs w:val="24"/>
        </w:rPr>
        <w:t xml:space="preserve"> this information collection to capture standardized transaction information</w:t>
      </w:r>
      <w:r w:rsidR="00BA5806">
        <w:rPr>
          <w:rFonts w:ascii="Times New Roman" w:hAnsi="Times New Roman"/>
          <w:sz w:val="24"/>
          <w:szCs w:val="24"/>
        </w:rPr>
        <w:t xml:space="preserve"> and to account for associated recordkeeping</w:t>
      </w:r>
      <w:r w:rsidRPr="004365AF" w:rsidR="004365AF">
        <w:rPr>
          <w:rFonts w:ascii="Times New Roman" w:hAnsi="Times New Roman"/>
          <w:sz w:val="24"/>
          <w:szCs w:val="24"/>
        </w:rPr>
        <w:t xml:space="preserve">. </w:t>
      </w:r>
    </w:p>
    <w:p w:rsidR="00FF4C2D" w:rsidP="008E1A54" w14:paraId="45093DE1" w14:textId="77777777">
      <w:pPr>
        <w:autoSpaceDE w:val="0"/>
        <w:autoSpaceDN w:val="0"/>
        <w:adjustRightInd w:val="0"/>
        <w:spacing w:after="0" w:line="240" w:lineRule="auto"/>
        <w:rPr>
          <w:rFonts w:ascii="Times New Roman" w:hAnsi="Times New Roman"/>
          <w:sz w:val="24"/>
          <w:szCs w:val="24"/>
        </w:rPr>
      </w:pPr>
    </w:p>
    <w:p w:rsidR="00A259A6" w:rsidP="008E1A54" w14:paraId="337795D8" w14:textId="121286C0">
      <w:pPr>
        <w:spacing w:after="0" w:line="480" w:lineRule="auto"/>
        <w:rPr>
          <w:rFonts w:ascii="Times New Roman" w:hAnsi="Times New Roman"/>
          <w:sz w:val="24"/>
          <w:szCs w:val="24"/>
        </w:rPr>
      </w:pPr>
      <w:r>
        <w:rPr>
          <w:rFonts w:ascii="Times New Roman" w:hAnsi="Times New Roman"/>
          <w:sz w:val="24"/>
          <w:szCs w:val="24"/>
        </w:rPr>
        <w:t>5.</w:t>
      </w:r>
      <w:r w:rsidR="00772F7F">
        <w:rPr>
          <w:rFonts w:ascii="Times New Roman" w:hAnsi="Times New Roman"/>
          <w:sz w:val="24"/>
          <w:szCs w:val="24"/>
        </w:rPr>
        <w:t xml:space="preserve"> </w:t>
      </w:r>
      <w:r>
        <w:rPr>
          <w:rFonts w:ascii="Times New Roman" w:hAnsi="Times New Roman"/>
          <w:sz w:val="24"/>
          <w:szCs w:val="24"/>
          <w:u w:val="single"/>
        </w:rPr>
        <w:t xml:space="preserve">Impact on Small Businesses or Other Small Entities </w:t>
      </w:r>
    </w:p>
    <w:p w:rsidR="00A259A6" w:rsidP="008E1A54" w14:paraId="337795D9" w14:textId="56591970">
      <w:pPr>
        <w:spacing w:after="0" w:line="240" w:lineRule="auto"/>
        <w:rPr>
          <w:rFonts w:ascii="Times New Roman" w:hAnsi="Times New Roman"/>
          <w:sz w:val="24"/>
          <w:szCs w:val="24"/>
        </w:rPr>
      </w:pPr>
      <w:r>
        <w:rPr>
          <w:rFonts w:ascii="Times New Roman" w:hAnsi="Times New Roman"/>
          <w:sz w:val="24"/>
          <w:szCs w:val="24"/>
        </w:rPr>
        <w:t>We do not believe t</w:t>
      </w:r>
      <w:r w:rsidR="006D2954">
        <w:rPr>
          <w:rFonts w:ascii="Times New Roman" w:hAnsi="Times New Roman"/>
          <w:sz w:val="24"/>
          <w:szCs w:val="24"/>
        </w:rPr>
        <w:t>he information collection poses undue burden on small entities.</w:t>
      </w:r>
    </w:p>
    <w:p w:rsidR="00BD3FD4" w:rsidP="008E1A54" w14:paraId="3EF2A58C" w14:textId="77777777">
      <w:pPr>
        <w:spacing w:after="0" w:line="240" w:lineRule="auto"/>
        <w:rPr>
          <w:rFonts w:ascii="Times New Roman" w:hAnsi="Times New Roman"/>
          <w:sz w:val="24"/>
          <w:szCs w:val="24"/>
        </w:rPr>
      </w:pPr>
    </w:p>
    <w:p w:rsidR="00A259A6" w:rsidP="008E1A54" w14:paraId="337795DA" w14:textId="254B85EF">
      <w:pPr>
        <w:spacing w:after="0" w:line="240" w:lineRule="auto"/>
        <w:rPr>
          <w:rFonts w:ascii="Times New Roman" w:hAnsi="Times New Roman"/>
          <w:sz w:val="24"/>
          <w:szCs w:val="24"/>
          <w:u w:val="single"/>
        </w:rPr>
      </w:pPr>
      <w:r>
        <w:rPr>
          <w:rFonts w:ascii="Times New Roman" w:hAnsi="Times New Roman"/>
          <w:sz w:val="24"/>
          <w:szCs w:val="24"/>
        </w:rPr>
        <w:t>6.</w:t>
      </w:r>
      <w:r w:rsidR="00772F7F">
        <w:rPr>
          <w:rFonts w:ascii="Times New Roman" w:hAnsi="Times New Roman"/>
          <w:sz w:val="24"/>
          <w:szCs w:val="24"/>
        </w:rPr>
        <w:t xml:space="preserve"> </w:t>
      </w:r>
      <w:r>
        <w:rPr>
          <w:rFonts w:ascii="Times New Roman" w:hAnsi="Times New Roman"/>
          <w:sz w:val="24"/>
          <w:szCs w:val="24"/>
          <w:u w:val="single"/>
        </w:rPr>
        <w:t>Consequences of Collecting the Information Less Frequently</w:t>
      </w:r>
    </w:p>
    <w:p w:rsidR="00A15007" w:rsidP="008E1A54" w14:paraId="6649B4FB" w14:textId="77777777">
      <w:pPr>
        <w:spacing w:after="0" w:line="240" w:lineRule="auto"/>
        <w:rPr>
          <w:rFonts w:ascii="Times New Roman" w:hAnsi="Times New Roman"/>
          <w:sz w:val="24"/>
          <w:szCs w:val="24"/>
        </w:rPr>
      </w:pPr>
    </w:p>
    <w:p w:rsidR="00FF3905" w:rsidP="0081723A" w14:paraId="2F01F113" w14:textId="0BB2EDEB">
      <w:pPr>
        <w:pStyle w:val="BodyText"/>
        <w:ind w:left="0"/>
      </w:pPr>
      <w:r>
        <w:t xml:space="preserve">The information collection schedule is consistent with </w:t>
      </w:r>
      <w:r w:rsidR="004E4674">
        <w:t xml:space="preserve">applicable </w:t>
      </w:r>
      <w:r>
        <w:t xml:space="preserve">statutory </w:t>
      </w:r>
      <w:r w:rsidR="004E4674">
        <w:t xml:space="preserve">and regulatory </w:t>
      </w:r>
      <w:r>
        <w:t>requirements</w:t>
      </w:r>
      <w:r w:rsidR="000D71C1">
        <w:t>.</w:t>
      </w:r>
      <w:r w:rsidR="00BD3FD4">
        <w:t xml:space="preserve">  </w:t>
      </w:r>
    </w:p>
    <w:p w:rsidR="00591F0E" w:rsidP="007723B3" w14:paraId="0F16723F" w14:textId="77777777">
      <w:pPr>
        <w:pStyle w:val="BodyText"/>
        <w:spacing w:before="69"/>
        <w:ind w:left="100" w:right="47"/>
      </w:pPr>
    </w:p>
    <w:p w:rsidR="00BA5806" w14:paraId="5046CA00" w14:textId="77777777">
      <w:pPr>
        <w:spacing w:after="0" w:line="240" w:lineRule="auto"/>
        <w:rPr>
          <w:rFonts w:ascii="Times New Roman" w:hAnsi="Times New Roman"/>
          <w:sz w:val="24"/>
          <w:szCs w:val="24"/>
        </w:rPr>
      </w:pPr>
      <w:r>
        <w:rPr>
          <w:rFonts w:ascii="Times New Roman" w:hAnsi="Times New Roman"/>
          <w:sz w:val="24"/>
          <w:szCs w:val="24"/>
        </w:rPr>
        <w:br w:type="page"/>
      </w:r>
    </w:p>
    <w:p w:rsidR="00A259A6" w:rsidP="008E1A54" w14:paraId="337795DC" w14:textId="12B8A2B6">
      <w:pPr>
        <w:spacing w:after="0" w:line="240" w:lineRule="auto"/>
        <w:rPr>
          <w:rFonts w:ascii="Times New Roman" w:hAnsi="Times New Roman"/>
          <w:sz w:val="24"/>
          <w:szCs w:val="24"/>
          <w:u w:val="single"/>
        </w:rPr>
      </w:pPr>
      <w:r>
        <w:rPr>
          <w:rFonts w:ascii="Times New Roman" w:hAnsi="Times New Roman"/>
          <w:sz w:val="24"/>
          <w:szCs w:val="24"/>
        </w:rPr>
        <w:t>7.</w:t>
      </w:r>
      <w:r w:rsidR="00772F7F">
        <w:rPr>
          <w:rFonts w:ascii="Times New Roman" w:hAnsi="Times New Roman"/>
          <w:sz w:val="24"/>
          <w:szCs w:val="24"/>
        </w:rPr>
        <w:t xml:space="preserve"> </w:t>
      </w:r>
      <w:r>
        <w:rPr>
          <w:rFonts w:ascii="Times New Roman" w:hAnsi="Times New Roman"/>
          <w:sz w:val="24"/>
          <w:szCs w:val="24"/>
          <w:u w:val="single"/>
        </w:rPr>
        <w:t>Special Circumstances Relating to the Guidelines in 5 CFR 1320.5</w:t>
      </w:r>
    </w:p>
    <w:p w:rsidR="00A15007" w:rsidP="008E1A54" w14:paraId="34B0F3C0" w14:textId="77777777">
      <w:pPr>
        <w:spacing w:after="0" w:line="240" w:lineRule="auto"/>
        <w:rPr>
          <w:rFonts w:ascii="Times New Roman" w:hAnsi="Times New Roman"/>
          <w:sz w:val="24"/>
          <w:szCs w:val="24"/>
          <w:u w:val="single"/>
        </w:rPr>
      </w:pPr>
    </w:p>
    <w:p w:rsidR="00A259A6" w:rsidP="008E1A54" w14:paraId="337795DD" w14:textId="6B29A058">
      <w:pPr>
        <w:spacing w:after="0" w:line="240" w:lineRule="auto"/>
        <w:rPr>
          <w:rFonts w:ascii="Times New Roman" w:hAnsi="Times New Roman"/>
          <w:sz w:val="24"/>
          <w:szCs w:val="24"/>
        </w:rPr>
      </w:pPr>
      <w:r>
        <w:rPr>
          <w:rFonts w:ascii="Times New Roman" w:hAnsi="Times New Roman"/>
          <w:sz w:val="24"/>
          <w:szCs w:val="24"/>
        </w:rPr>
        <w:t>No</w:t>
      </w:r>
      <w:r>
        <w:rPr>
          <w:rFonts w:ascii="Times New Roman" w:hAnsi="Times New Roman"/>
          <w:sz w:val="24"/>
          <w:szCs w:val="24"/>
        </w:rPr>
        <w:t xml:space="preserve"> special circumstances </w:t>
      </w:r>
      <w:r>
        <w:rPr>
          <w:rFonts w:ascii="Times New Roman" w:hAnsi="Times New Roman"/>
          <w:sz w:val="24"/>
          <w:szCs w:val="24"/>
        </w:rPr>
        <w:t>are associated with</w:t>
      </w:r>
      <w:r>
        <w:rPr>
          <w:rFonts w:ascii="Times New Roman" w:hAnsi="Times New Roman"/>
          <w:sz w:val="24"/>
          <w:szCs w:val="24"/>
        </w:rPr>
        <w:t xml:space="preserve"> this information collection.</w:t>
      </w:r>
    </w:p>
    <w:p w:rsidR="00591F0E" w:rsidP="008E1A54" w14:paraId="36F9386B" w14:textId="77777777">
      <w:pPr>
        <w:spacing w:after="0" w:line="240" w:lineRule="auto"/>
        <w:rPr>
          <w:rFonts w:ascii="Times New Roman" w:hAnsi="Times New Roman"/>
          <w:sz w:val="24"/>
          <w:szCs w:val="24"/>
        </w:rPr>
      </w:pPr>
    </w:p>
    <w:p w:rsidR="00A259A6" w:rsidP="00772F7F" w14:paraId="337795DE" w14:textId="7D0D3C2A">
      <w:pPr>
        <w:spacing w:after="0" w:line="240" w:lineRule="auto"/>
        <w:rPr>
          <w:rFonts w:ascii="Times New Roman" w:hAnsi="Times New Roman"/>
          <w:sz w:val="24"/>
          <w:szCs w:val="24"/>
          <w:u w:val="single"/>
        </w:rPr>
      </w:pPr>
      <w:r>
        <w:rPr>
          <w:rFonts w:ascii="Times New Roman" w:hAnsi="Times New Roman"/>
          <w:sz w:val="24"/>
          <w:szCs w:val="24"/>
        </w:rPr>
        <w:t>8.</w:t>
      </w:r>
      <w:r w:rsidR="00772F7F">
        <w:rPr>
          <w:rFonts w:ascii="Times New Roman" w:hAnsi="Times New Roman"/>
          <w:sz w:val="24"/>
          <w:szCs w:val="24"/>
        </w:rPr>
        <w:t xml:space="preserve"> </w:t>
      </w:r>
      <w:r>
        <w:rPr>
          <w:rFonts w:ascii="Times New Roman" w:hAnsi="Times New Roman"/>
          <w:sz w:val="24"/>
          <w:szCs w:val="24"/>
          <w:u w:val="single"/>
        </w:rPr>
        <w:t>Comments in Response to the Federal Register Notice and Efforts to Consult Outside the</w:t>
      </w:r>
      <w:r w:rsidR="00772F7F">
        <w:rPr>
          <w:rFonts w:ascii="Times New Roman" w:hAnsi="Times New Roman"/>
          <w:sz w:val="24"/>
          <w:szCs w:val="24"/>
          <w:u w:val="single"/>
        </w:rPr>
        <w:t xml:space="preserve"> </w:t>
      </w:r>
      <w:r>
        <w:rPr>
          <w:rFonts w:ascii="Times New Roman" w:hAnsi="Times New Roman"/>
          <w:sz w:val="24"/>
          <w:szCs w:val="24"/>
          <w:u w:val="single"/>
        </w:rPr>
        <w:t>Agency</w:t>
      </w:r>
    </w:p>
    <w:p w:rsidR="00A67DF3" w14:paraId="4D844F66" w14:textId="77777777">
      <w:pPr>
        <w:autoSpaceDE w:val="0"/>
        <w:autoSpaceDN w:val="0"/>
        <w:adjustRightInd w:val="0"/>
        <w:spacing w:after="0" w:line="240" w:lineRule="auto"/>
        <w:rPr>
          <w:rFonts w:ascii="Times New Roman" w:hAnsi="Times New Roman"/>
          <w:sz w:val="24"/>
          <w:szCs w:val="24"/>
        </w:rPr>
      </w:pPr>
    </w:p>
    <w:p w:rsidR="00EE7B54" w:rsidRPr="00EE7B54" w:rsidP="00EE7B54" w14:paraId="26555F81" w14:textId="77777777">
      <w:pPr>
        <w:spacing w:line="240" w:lineRule="auto"/>
        <w:rPr>
          <w:rFonts w:ascii="Times New Roman" w:hAnsi="Times New Roman"/>
          <w:sz w:val="24"/>
          <w:szCs w:val="24"/>
        </w:rPr>
      </w:pPr>
      <w:r w:rsidRPr="00EE7B54">
        <w:rPr>
          <w:rFonts w:ascii="Times New Roman" w:hAnsi="Times New Roman"/>
          <w:sz w:val="24"/>
          <w:szCs w:val="24"/>
        </w:rPr>
        <w:t xml:space="preserve">In the </w:t>
      </w:r>
      <w:r w:rsidRPr="00EE7B54">
        <w:rPr>
          <w:rFonts w:ascii="Times New Roman" w:hAnsi="Times New Roman"/>
          <w:i/>
          <w:sz w:val="24"/>
          <w:szCs w:val="24"/>
        </w:rPr>
        <w:t>Federal Register</w:t>
      </w:r>
      <w:r w:rsidRPr="00EE7B54">
        <w:rPr>
          <w:rFonts w:ascii="Times New Roman" w:hAnsi="Times New Roman"/>
          <w:sz w:val="24"/>
          <w:szCs w:val="24"/>
        </w:rPr>
        <w:t xml:space="preserve"> of September 6, 2024 (89 FR 72848), we published a 60-day notice requesting public comment on the proposed collection of information.  We received one comment from a trade association suggesting our estimate for burden attendant to requests for waiver, exception, or exemption (WEE) might not include submissions by those respondents who lack readiness to implement final DSCSA requirements and who have more recently submitted such requests to FDA.  In anticipation of the end of the enhanced drug security requirements 12-month stabilization period on November 27, 2024, we received an increased number of waiver and exemption requests and have issued two exemptions from the enhanced drug distribution security requirements of section 582 of the FD&amp;C Act for eligible trading partners.  The comment thanked FDA for the recent exemptions, acknowledging they allow a phased approach to implementing trading partner data exchange as required under the DSCSA.  While the comment proffered no alternative figures, we have adjusted our estimate for this activity by increasing the number of respondents submitting WEE requests from 20 to 100, as reflected in row 3 of table 1.  We have made no other adjustment to our estimates but continue to monitor information collection elements applicable to the DSCSA.</w:t>
      </w:r>
    </w:p>
    <w:p w:rsidR="00FF4C2D" w:rsidRPr="00EE7B54" w:rsidP="00EE7B54" w14:paraId="275D6B4E" w14:textId="1A5D1B8E">
      <w:pPr>
        <w:spacing w:line="240" w:lineRule="auto"/>
        <w:rPr>
          <w:rFonts w:ascii="Times New Roman" w:hAnsi="Times New Roman"/>
          <w:color w:val="FF0000"/>
          <w:sz w:val="24"/>
          <w:szCs w:val="24"/>
        </w:rPr>
      </w:pPr>
      <w:r w:rsidRPr="00EE7B54">
        <w:rPr>
          <w:rFonts w:ascii="Times New Roman" w:hAnsi="Times New Roman"/>
          <w:sz w:val="24"/>
          <w:szCs w:val="24"/>
        </w:rPr>
        <w:t xml:space="preserve">Additionally, we maintain a webpage at </w:t>
      </w:r>
      <w:hyperlink r:id="rId9" w:history="1">
        <w:r w:rsidRPr="00EE7B54">
          <w:rPr>
            <w:rFonts w:ascii="Times New Roman" w:hAnsi="Times New Roman"/>
            <w:color w:val="0563C1"/>
            <w:sz w:val="24"/>
            <w:szCs w:val="24"/>
            <w:u w:val="single"/>
          </w:rPr>
          <w:t>https://www.fda.gov/drugs/drug-supply-chain-security-act-dscsa/fdas-implementation-drug-supply-chain-security-act-dscsa-requirements</w:t>
        </w:r>
      </w:hyperlink>
      <w:r w:rsidRPr="00EE7B54">
        <w:rPr>
          <w:rFonts w:ascii="Times New Roman" w:hAnsi="Times New Roman"/>
          <w:sz w:val="24"/>
          <w:szCs w:val="24"/>
        </w:rPr>
        <w:t xml:space="preserve"> that communicates FDA’s ongoing implementation of the DSCSA requirements.  Since DSCSA enactment on November 27, 2013, FDA has established a public docket to receive information and comments on DSCSA standards for the electronic tracking system, including comments regarding paper- and electronic- formats of information.  we communicate through and make available on our website information regarding DSCSA implementation, including announcements of public meetings, agency guidance documents, and relevant regulatory resource information. </w:t>
      </w:r>
    </w:p>
    <w:p w:rsidR="00A259A6" w:rsidRPr="00137340" w:rsidP="0017763B" w14:paraId="337795E0" w14:textId="7B0FC74A">
      <w:pPr>
        <w:spacing w:after="0" w:line="240" w:lineRule="auto"/>
        <w:rPr>
          <w:rFonts w:ascii="Times New Roman" w:hAnsi="Times New Roman"/>
          <w:sz w:val="24"/>
          <w:szCs w:val="24"/>
        </w:rPr>
      </w:pPr>
      <w:r>
        <w:rPr>
          <w:rFonts w:ascii="Times New Roman" w:hAnsi="Times New Roman"/>
          <w:sz w:val="24"/>
          <w:szCs w:val="24"/>
        </w:rPr>
        <w:t>9.</w:t>
      </w:r>
      <w:r w:rsidR="00772F7F">
        <w:rPr>
          <w:rFonts w:ascii="Times New Roman" w:hAnsi="Times New Roman"/>
          <w:sz w:val="24"/>
          <w:szCs w:val="24"/>
        </w:rPr>
        <w:t xml:space="preserve"> </w:t>
      </w:r>
      <w:r>
        <w:rPr>
          <w:rFonts w:ascii="Times New Roman" w:hAnsi="Times New Roman"/>
          <w:sz w:val="24"/>
          <w:szCs w:val="24"/>
          <w:u w:val="single"/>
        </w:rPr>
        <w:t>Explanation of Any Payment or Gift to Respondents</w:t>
      </w:r>
    </w:p>
    <w:p w:rsidR="00A15007" w:rsidP="008E1A54" w14:paraId="4AB231F2" w14:textId="77777777">
      <w:pPr>
        <w:spacing w:after="0" w:line="240" w:lineRule="auto"/>
        <w:ind w:hanging="360"/>
        <w:rPr>
          <w:rFonts w:ascii="Times New Roman" w:hAnsi="Times New Roman"/>
          <w:sz w:val="24"/>
          <w:szCs w:val="24"/>
          <w:u w:val="single"/>
        </w:rPr>
      </w:pPr>
    </w:p>
    <w:p w:rsidR="00ED1F53" w:rsidP="008E1A54" w14:paraId="24016388" w14:textId="493570E5">
      <w:pPr>
        <w:spacing w:after="0" w:line="240" w:lineRule="auto"/>
        <w:rPr>
          <w:rFonts w:ascii="Times New Roman" w:hAnsi="Times New Roman"/>
          <w:sz w:val="24"/>
          <w:szCs w:val="24"/>
        </w:rPr>
      </w:pPr>
      <w:r>
        <w:rPr>
          <w:rFonts w:ascii="Times New Roman" w:hAnsi="Times New Roman"/>
          <w:sz w:val="24"/>
          <w:szCs w:val="24"/>
        </w:rPr>
        <w:t>No</w:t>
      </w:r>
      <w:r w:rsidR="00A259A6">
        <w:rPr>
          <w:rFonts w:ascii="Times New Roman" w:hAnsi="Times New Roman"/>
          <w:sz w:val="24"/>
          <w:szCs w:val="24"/>
        </w:rPr>
        <w:t xml:space="preserve"> payment</w:t>
      </w:r>
      <w:r>
        <w:rPr>
          <w:rFonts w:ascii="Times New Roman" w:hAnsi="Times New Roman"/>
          <w:sz w:val="24"/>
          <w:szCs w:val="24"/>
        </w:rPr>
        <w:t>s</w:t>
      </w:r>
      <w:r w:rsidR="00A259A6">
        <w:rPr>
          <w:rFonts w:ascii="Times New Roman" w:hAnsi="Times New Roman"/>
          <w:sz w:val="24"/>
          <w:szCs w:val="24"/>
        </w:rPr>
        <w:t xml:space="preserve"> or gift</w:t>
      </w:r>
      <w:r>
        <w:rPr>
          <w:rFonts w:ascii="Times New Roman" w:hAnsi="Times New Roman"/>
          <w:sz w:val="24"/>
          <w:szCs w:val="24"/>
        </w:rPr>
        <w:t>s</w:t>
      </w:r>
      <w:r w:rsidR="00A259A6">
        <w:rPr>
          <w:rFonts w:ascii="Times New Roman" w:hAnsi="Times New Roman"/>
          <w:sz w:val="24"/>
          <w:szCs w:val="24"/>
        </w:rPr>
        <w:t xml:space="preserve"> to respondents </w:t>
      </w:r>
      <w:r>
        <w:rPr>
          <w:rFonts w:ascii="Times New Roman" w:hAnsi="Times New Roman"/>
          <w:sz w:val="24"/>
          <w:szCs w:val="24"/>
        </w:rPr>
        <w:t xml:space="preserve">are </w:t>
      </w:r>
      <w:r w:rsidR="00A259A6">
        <w:rPr>
          <w:rFonts w:ascii="Times New Roman" w:hAnsi="Times New Roman"/>
          <w:sz w:val="24"/>
          <w:szCs w:val="24"/>
        </w:rPr>
        <w:t xml:space="preserve">associated with this </w:t>
      </w:r>
      <w:r w:rsidR="00054FB3">
        <w:rPr>
          <w:rFonts w:ascii="Times New Roman" w:hAnsi="Times New Roman"/>
          <w:sz w:val="24"/>
          <w:szCs w:val="24"/>
        </w:rPr>
        <w:t>information collection</w:t>
      </w:r>
      <w:r w:rsidR="00A259A6">
        <w:rPr>
          <w:rFonts w:ascii="Times New Roman" w:hAnsi="Times New Roman"/>
          <w:sz w:val="24"/>
          <w:szCs w:val="24"/>
        </w:rPr>
        <w:t>.</w:t>
      </w:r>
    </w:p>
    <w:p w:rsidR="00772F7F" w:rsidP="008E1A54" w14:paraId="237AE1DB" w14:textId="77777777">
      <w:pPr>
        <w:spacing w:after="0" w:line="240" w:lineRule="auto"/>
        <w:rPr>
          <w:rFonts w:ascii="Times New Roman" w:hAnsi="Times New Roman"/>
          <w:sz w:val="24"/>
          <w:szCs w:val="24"/>
        </w:rPr>
      </w:pPr>
    </w:p>
    <w:p w:rsidR="00A259A6" w:rsidP="008E1A54" w14:paraId="337795E3" w14:textId="456F8C3E">
      <w:pPr>
        <w:spacing w:after="0" w:line="240" w:lineRule="auto"/>
        <w:rPr>
          <w:rFonts w:ascii="Times New Roman" w:hAnsi="Times New Roman"/>
          <w:sz w:val="24"/>
          <w:szCs w:val="24"/>
          <w:u w:val="single"/>
        </w:rPr>
      </w:pPr>
      <w:r w:rsidRPr="001D27F3">
        <w:rPr>
          <w:rFonts w:ascii="Times New Roman" w:hAnsi="Times New Roman"/>
          <w:sz w:val="24"/>
          <w:szCs w:val="24"/>
        </w:rPr>
        <w:t xml:space="preserve">10. </w:t>
      </w:r>
      <w:r w:rsidRPr="001D27F3">
        <w:rPr>
          <w:rFonts w:ascii="Times New Roman" w:hAnsi="Times New Roman"/>
          <w:sz w:val="24"/>
          <w:szCs w:val="24"/>
          <w:u w:val="single"/>
        </w:rPr>
        <w:t>Assurance of Confidentiality Provided to Respondents</w:t>
      </w:r>
    </w:p>
    <w:p w:rsidR="000F6227" w:rsidRPr="000F6227" w:rsidP="000F6227" w14:paraId="34269C88" w14:textId="77777777">
      <w:pPr>
        <w:widowControl w:val="0"/>
        <w:spacing w:after="0" w:line="240" w:lineRule="auto"/>
        <w:rPr>
          <w:rFonts w:ascii="Times New Roman" w:eastAsia="Times New Roman" w:hAnsi="Times New Roman"/>
          <w:sz w:val="24"/>
          <w:szCs w:val="24"/>
        </w:rPr>
      </w:pPr>
    </w:p>
    <w:p w:rsidR="000F6227" w:rsidRPr="000F6227" w:rsidP="000F6227" w14:paraId="484FCEF8" w14:textId="77777777">
      <w:pPr>
        <w:spacing w:after="0" w:line="240" w:lineRule="auto"/>
        <w:rPr>
          <w:rFonts w:ascii="Times New Roman" w:eastAsia="Times New Roman" w:hAnsi="Times New Roman"/>
          <w:color w:val="000000"/>
          <w:sz w:val="24"/>
          <w:szCs w:val="24"/>
        </w:rPr>
      </w:pPr>
      <w:r w:rsidRPr="000F6227">
        <w:rPr>
          <w:rFonts w:ascii="Times New Roman" w:eastAsia="Times New Roman" w:hAnsi="Times New Roman"/>
          <w:b/>
          <w:bCs/>
          <w:color w:val="000000"/>
          <w:sz w:val="24"/>
          <w:szCs w:val="24"/>
        </w:rPr>
        <w:t>Consistent with 5 CFR 1320.5(d)(2)(vii) and agency regulations in 21 CFR § 20.20, data will be kept private to the extent allowed by law</w:t>
      </w:r>
      <w:r w:rsidRPr="000F6227">
        <w:rPr>
          <w:rFonts w:ascii="Times New Roman" w:eastAsia="Times New Roman" w:hAnsi="Times New Roman"/>
          <w:color w:val="000000"/>
          <w:sz w:val="24"/>
          <w:szCs w:val="24"/>
        </w:rPr>
        <w:t>:</w:t>
      </w:r>
    </w:p>
    <w:p w:rsidR="000F6227" w:rsidRPr="000F6227" w:rsidP="000F6227" w14:paraId="38C3D776" w14:textId="77777777">
      <w:pPr>
        <w:spacing w:after="0" w:line="240" w:lineRule="auto"/>
        <w:rPr>
          <w:rFonts w:ascii="Times New Roman" w:hAnsi="Times New Roman"/>
          <w:sz w:val="24"/>
          <w:szCs w:val="24"/>
        </w:rPr>
      </w:pPr>
    </w:p>
    <w:p w:rsidR="000F6227" w:rsidRPr="000F6227" w:rsidP="000F6227" w14:paraId="4C2D9BC3" w14:textId="77777777">
      <w:pPr>
        <w:spacing w:after="0" w:line="240" w:lineRule="auto"/>
        <w:rPr>
          <w:rFonts w:ascii="Times New Roman" w:hAnsi="Times New Roman"/>
          <w:i/>
          <w:iCs/>
          <w:sz w:val="24"/>
          <w:szCs w:val="24"/>
        </w:rPr>
      </w:pPr>
      <w:r w:rsidRPr="000F6227">
        <w:rPr>
          <w:rFonts w:ascii="Times New Roman" w:hAnsi="Times New Roman"/>
          <w:i/>
          <w:iCs/>
          <w:sz w:val="24"/>
          <w:szCs w:val="24"/>
        </w:rPr>
        <w:t>The Privacy Act of 1974</w:t>
      </w:r>
    </w:p>
    <w:p w:rsidR="000F6227" w:rsidRPr="000F6227" w:rsidP="000F6227" w14:paraId="0CBD7623" w14:textId="77777777">
      <w:pPr>
        <w:spacing w:after="0" w:line="240" w:lineRule="auto"/>
        <w:rPr>
          <w:rFonts w:ascii="Times New Roman" w:hAnsi="Times New Roman"/>
          <w:sz w:val="24"/>
          <w:szCs w:val="24"/>
        </w:rPr>
      </w:pPr>
    </w:p>
    <w:p w:rsidR="00C06FDC" w:rsidRPr="00960575" w:rsidP="00C06FDC" w14:paraId="763D3019" w14:textId="7809064A">
      <w:pPr>
        <w:widowControl w:val="0"/>
        <w:spacing w:after="0" w:line="240" w:lineRule="auto"/>
        <w:rPr>
          <w:rFonts w:ascii="Times New Roman" w:eastAsia="Times New Roman" w:hAnsi="Times New Roman"/>
          <w:sz w:val="24"/>
          <w:szCs w:val="24"/>
        </w:rPr>
      </w:pPr>
      <w:r w:rsidRPr="000F6227">
        <w:rPr>
          <w:rFonts w:ascii="Times New Roman" w:hAnsi="Times New Roman"/>
          <w:sz w:val="24"/>
          <w:szCs w:val="24"/>
        </w:rPr>
        <w:t xml:space="preserve">In preparing this supporting statement, we consulted our Privacy Office to ensure appropriate identification and handling of information collected.  Although </w:t>
      </w:r>
      <w:r w:rsidRPr="000F6227">
        <w:rPr>
          <w:rFonts w:ascii="Times New Roman" w:eastAsia="Times New Roman" w:hAnsi="Times New Roman"/>
          <w:sz w:val="24"/>
          <w:szCs w:val="24"/>
        </w:rPr>
        <w:t xml:space="preserve">the ICR collects personally </w:t>
      </w:r>
      <w:r w:rsidRPr="000F6227">
        <w:rPr>
          <w:rFonts w:ascii="Times New Roman" w:eastAsia="Times New Roman" w:hAnsi="Times New Roman"/>
          <w:sz w:val="24"/>
          <w:szCs w:val="24"/>
        </w:rPr>
        <w:t xml:space="preserve">identifiable information (PII), it is collected in the context of the subject individuals’ professional capacity and the FDA-related performed for their employer (e.g., point of contact at a regulated entity).  The PII is submitted via </w:t>
      </w:r>
      <w:r w:rsidRPr="000F6227">
        <w:rPr>
          <w:rFonts w:ascii="Times New Roman" w:eastAsia="Times New Roman" w:hAnsi="Times New Roman"/>
          <w:b/>
          <w:bCs/>
          <w:sz w:val="24"/>
          <w:szCs w:val="24"/>
        </w:rPr>
        <w:t xml:space="preserve">Form FDA </w:t>
      </w:r>
      <w:r w:rsidRPr="005F0991" w:rsidR="005F0991">
        <w:rPr>
          <w:rFonts w:ascii="Times New Roman" w:eastAsia="Times New Roman" w:hAnsi="Times New Roman"/>
          <w:b/>
          <w:bCs/>
          <w:sz w:val="24"/>
          <w:szCs w:val="24"/>
        </w:rPr>
        <w:t>3911</w:t>
      </w:r>
      <w:r w:rsidR="005F0991">
        <w:rPr>
          <w:rFonts w:ascii="Times New Roman" w:eastAsia="Times New Roman" w:hAnsi="Times New Roman"/>
          <w:sz w:val="24"/>
          <w:szCs w:val="24"/>
        </w:rPr>
        <w:t xml:space="preserve"> </w:t>
      </w:r>
      <w:r w:rsidRPr="000F6227">
        <w:rPr>
          <w:rFonts w:ascii="Times New Roman" w:eastAsia="Times New Roman" w:hAnsi="Times New Roman"/>
          <w:sz w:val="24"/>
          <w:szCs w:val="24"/>
        </w:rPr>
        <w:t>(</w:t>
      </w:r>
      <w:r w:rsidR="00EA1AF2">
        <w:rPr>
          <w:rFonts w:ascii="Times New Roman" w:eastAsia="Times New Roman" w:hAnsi="Times New Roman"/>
          <w:sz w:val="24"/>
          <w:szCs w:val="24"/>
        </w:rPr>
        <w:t xml:space="preserve">“Drug Notification”).  </w:t>
      </w:r>
      <w:r w:rsidR="00BC49A7">
        <w:rPr>
          <w:rFonts w:ascii="Times New Roman" w:eastAsia="Times New Roman" w:hAnsi="Times New Roman"/>
          <w:sz w:val="24"/>
          <w:szCs w:val="24"/>
        </w:rPr>
        <w:t xml:space="preserve">The </w:t>
      </w:r>
      <w:r w:rsidRPr="000F6227">
        <w:rPr>
          <w:rFonts w:ascii="Times New Roman" w:eastAsia="Times New Roman" w:hAnsi="Times New Roman"/>
          <w:sz w:val="24"/>
          <w:szCs w:val="24"/>
        </w:rPr>
        <w:t>PII submitted via Form FDA 3</w:t>
      </w:r>
      <w:r w:rsidR="00EA1AF2">
        <w:rPr>
          <w:rFonts w:ascii="Times New Roman" w:eastAsia="Times New Roman" w:hAnsi="Times New Roman"/>
          <w:sz w:val="24"/>
          <w:szCs w:val="24"/>
        </w:rPr>
        <w:t xml:space="preserve">911 </w:t>
      </w:r>
      <w:r w:rsidR="00BD382B">
        <w:rPr>
          <w:rFonts w:ascii="Times New Roman" w:eastAsia="Times New Roman" w:hAnsi="Times New Roman"/>
          <w:sz w:val="24"/>
          <w:szCs w:val="24"/>
        </w:rPr>
        <w:t xml:space="preserve">is the individual’s </w:t>
      </w:r>
      <w:r w:rsidR="00784245">
        <w:rPr>
          <w:rFonts w:ascii="Times New Roman" w:eastAsia="Times New Roman" w:hAnsi="Times New Roman"/>
          <w:sz w:val="24"/>
          <w:szCs w:val="24"/>
        </w:rPr>
        <w:t>name, e-mail address, and telephone number</w:t>
      </w:r>
      <w:r w:rsidR="00346FDA">
        <w:rPr>
          <w:rFonts w:ascii="Times New Roman" w:eastAsia="Times New Roman" w:hAnsi="Times New Roman"/>
          <w:sz w:val="24"/>
          <w:szCs w:val="24"/>
        </w:rPr>
        <w:t xml:space="preserve">.  </w:t>
      </w:r>
      <w:r w:rsidRPr="000F6227">
        <w:rPr>
          <w:rFonts w:ascii="Times New Roman" w:eastAsia="Times New Roman" w:hAnsi="Times New Roman"/>
          <w:sz w:val="24"/>
          <w:szCs w:val="24"/>
        </w:rPr>
        <w:t>Through appropriate form and design, FDA limited submission fields and minimized the PII collected to protect the privacy of individuals.</w:t>
      </w:r>
      <w:r>
        <w:rPr>
          <w:rFonts w:ascii="Times New Roman" w:eastAsia="Times New Roman" w:hAnsi="Times New Roman"/>
          <w:sz w:val="24"/>
          <w:szCs w:val="24"/>
        </w:rPr>
        <w:t xml:space="preserve">  </w:t>
      </w:r>
      <w:r w:rsidRPr="00960575">
        <w:rPr>
          <w:rFonts w:ascii="Times New Roman" w:eastAsia="Times New Roman" w:hAnsi="Times New Roman"/>
          <w:sz w:val="24"/>
          <w:szCs w:val="24"/>
        </w:rPr>
        <w:t>We have determined that the PII collected is not subject to the Privacy Act of 1974 and the particular notice and other requirements of the Privacy Act do not apply.</w:t>
      </w:r>
      <w:r w:rsidR="00157129">
        <w:rPr>
          <w:rFonts w:ascii="Times New Roman" w:eastAsia="Times New Roman" w:hAnsi="Times New Roman"/>
          <w:sz w:val="24"/>
          <w:szCs w:val="24"/>
        </w:rPr>
        <w:t xml:space="preserve">  </w:t>
      </w:r>
      <w:r w:rsidRPr="00960575">
        <w:rPr>
          <w:rFonts w:ascii="Times New Roman" w:eastAsia="Times New Roman" w:hAnsi="Times New Roman"/>
          <w:sz w:val="24"/>
          <w:szCs w:val="24"/>
        </w:rPr>
        <w:t>Specifically, the contractor or FDA do not use name or any other personal identifier to routinely retrieve records from the information collected.</w:t>
      </w:r>
    </w:p>
    <w:p w:rsidR="000F6227" w:rsidRPr="000F6227" w:rsidP="000F6227" w14:paraId="078CA0A5" w14:textId="77777777">
      <w:pPr>
        <w:widowControl w:val="0"/>
        <w:autoSpaceDE w:val="0"/>
        <w:autoSpaceDN w:val="0"/>
        <w:spacing w:after="0" w:line="240" w:lineRule="auto"/>
        <w:rPr>
          <w:rFonts w:ascii="Times New Roman" w:eastAsia="Times New Roman" w:hAnsi="Times New Roman"/>
          <w:sz w:val="24"/>
          <w:szCs w:val="24"/>
        </w:rPr>
      </w:pPr>
    </w:p>
    <w:p w:rsidR="000F6227" w:rsidRPr="000F6227" w:rsidP="000F6227" w14:paraId="38FB9B5B" w14:textId="77777777">
      <w:pPr>
        <w:widowControl w:val="0"/>
        <w:autoSpaceDE w:val="0"/>
        <w:autoSpaceDN w:val="0"/>
        <w:spacing w:after="0" w:line="240" w:lineRule="auto"/>
        <w:rPr>
          <w:rFonts w:ascii="Times New Roman" w:eastAsia="Times New Roman" w:hAnsi="Times New Roman"/>
          <w:i/>
          <w:iCs/>
          <w:sz w:val="24"/>
          <w:szCs w:val="24"/>
        </w:rPr>
      </w:pPr>
      <w:r w:rsidRPr="000F6227">
        <w:rPr>
          <w:rFonts w:ascii="Times New Roman" w:eastAsia="Times New Roman" w:hAnsi="Times New Roman"/>
          <w:i/>
          <w:iCs/>
          <w:sz w:val="24"/>
          <w:szCs w:val="24"/>
        </w:rPr>
        <w:t>The Freedom of Information Act (FOIA)</w:t>
      </w:r>
    </w:p>
    <w:p w:rsidR="000F6227" w:rsidRPr="000F6227" w:rsidP="000F6227" w14:paraId="2783BB7D" w14:textId="77777777">
      <w:pPr>
        <w:widowControl w:val="0"/>
        <w:autoSpaceDE w:val="0"/>
        <w:autoSpaceDN w:val="0"/>
        <w:spacing w:after="0" w:line="240" w:lineRule="auto"/>
        <w:ind w:firstLine="630"/>
        <w:rPr>
          <w:rFonts w:ascii="Times New Roman" w:eastAsia="Times New Roman" w:hAnsi="Times New Roman"/>
          <w:sz w:val="24"/>
          <w:szCs w:val="24"/>
        </w:rPr>
      </w:pPr>
    </w:p>
    <w:p w:rsidR="000F6227" w:rsidRPr="000F6227" w:rsidP="000F6227" w14:paraId="03BC848E" w14:textId="77777777">
      <w:pPr>
        <w:widowControl w:val="0"/>
        <w:autoSpaceDE w:val="0"/>
        <w:autoSpaceDN w:val="0"/>
        <w:spacing w:after="0" w:line="240" w:lineRule="auto"/>
        <w:rPr>
          <w:rFonts w:ascii="Times New Roman" w:eastAsia="Times New Roman" w:hAnsi="Times New Roman"/>
          <w:sz w:val="24"/>
          <w:szCs w:val="24"/>
        </w:rPr>
      </w:pPr>
      <w:r w:rsidRPr="000F6227">
        <w:rPr>
          <w:rFonts w:ascii="Times New Roman" w:eastAsia="Times New Roman" w:hAnsi="Times New Roman"/>
          <w:sz w:val="24"/>
          <w:szCs w:val="24"/>
        </w:rPr>
        <w:t xml:space="preserve">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A15007" w:rsidRPr="00212969" w:rsidP="008E1A54" w14:paraId="61C68EBC" w14:textId="77777777">
      <w:pPr>
        <w:spacing w:after="0" w:line="240" w:lineRule="auto"/>
        <w:rPr>
          <w:rFonts w:ascii="Times New Roman" w:hAnsi="Times New Roman"/>
          <w:sz w:val="24"/>
          <w:szCs w:val="24"/>
        </w:rPr>
      </w:pPr>
    </w:p>
    <w:p w:rsidR="00A259A6" w:rsidP="008E1A54" w14:paraId="337795E5" w14:textId="03C18A0B">
      <w:pPr>
        <w:spacing w:after="0" w:line="240" w:lineRule="auto"/>
        <w:rPr>
          <w:rFonts w:ascii="Times New Roman" w:hAnsi="Times New Roman"/>
          <w:sz w:val="24"/>
          <w:szCs w:val="24"/>
          <w:u w:val="single"/>
        </w:rPr>
      </w:pPr>
      <w:r>
        <w:rPr>
          <w:rFonts w:ascii="Times New Roman" w:hAnsi="Times New Roman"/>
          <w:sz w:val="24"/>
          <w:szCs w:val="24"/>
        </w:rPr>
        <w:t xml:space="preserve">11. </w:t>
      </w:r>
      <w:r>
        <w:rPr>
          <w:rFonts w:ascii="Times New Roman" w:hAnsi="Times New Roman"/>
          <w:sz w:val="24"/>
          <w:szCs w:val="24"/>
          <w:u w:val="single"/>
        </w:rPr>
        <w:t>Justification for Sensitive Questions</w:t>
      </w:r>
    </w:p>
    <w:p w:rsidR="00A15007" w:rsidP="008E1A54" w14:paraId="620DE90B" w14:textId="77777777">
      <w:pPr>
        <w:spacing w:after="0" w:line="240" w:lineRule="auto"/>
        <w:ind w:hanging="360"/>
        <w:rPr>
          <w:rFonts w:ascii="Times New Roman" w:hAnsi="Times New Roman"/>
          <w:sz w:val="24"/>
          <w:szCs w:val="24"/>
          <w:u w:val="single"/>
        </w:rPr>
      </w:pPr>
    </w:p>
    <w:p w:rsidR="00A259A6" w:rsidP="008E1A54" w14:paraId="337795E6" w14:textId="53054FE2">
      <w:pPr>
        <w:spacing w:after="0" w:line="240" w:lineRule="auto"/>
        <w:rPr>
          <w:rFonts w:ascii="Times New Roman" w:hAnsi="Times New Roman"/>
          <w:sz w:val="24"/>
          <w:szCs w:val="24"/>
        </w:rPr>
      </w:pPr>
      <w:r>
        <w:rPr>
          <w:rFonts w:ascii="Times New Roman" w:hAnsi="Times New Roman"/>
          <w:sz w:val="24"/>
          <w:szCs w:val="24"/>
        </w:rPr>
        <w:t xml:space="preserve">There are no sensitive questions associated with this </w:t>
      </w:r>
      <w:r w:rsidR="00220C27">
        <w:rPr>
          <w:rFonts w:ascii="Times New Roman" w:hAnsi="Times New Roman"/>
          <w:sz w:val="24"/>
          <w:szCs w:val="24"/>
        </w:rPr>
        <w:t>information collection</w:t>
      </w:r>
      <w:r>
        <w:rPr>
          <w:rFonts w:ascii="Times New Roman" w:hAnsi="Times New Roman"/>
          <w:sz w:val="24"/>
          <w:szCs w:val="24"/>
        </w:rPr>
        <w:t>.</w:t>
      </w:r>
    </w:p>
    <w:p w:rsidR="00FF3905" w:rsidP="008E1A54" w14:paraId="4541101F" w14:textId="77777777">
      <w:pPr>
        <w:spacing w:after="0" w:line="240" w:lineRule="auto"/>
        <w:ind w:firstLine="720"/>
        <w:rPr>
          <w:rFonts w:ascii="Times New Roman" w:hAnsi="Times New Roman"/>
          <w:sz w:val="24"/>
          <w:szCs w:val="24"/>
        </w:rPr>
      </w:pPr>
    </w:p>
    <w:p w:rsidR="00A259A6" w:rsidP="008E1A54" w14:paraId="337795E8" w14:textId="77777777">
      <w:pPr>
        <w:spacing w:after="0" w:line="240" w:lineRule="auto"/>
        <w:rPr>
          <w:rFonts w:ascii="Times New Roman" w:hAnsi="Times New Roman"/>
          <w:sz w:val="24"/>
          <w:szCs w:val="24"/>
          <w:u w:val="single"/>
        </w:rPr>
      </w:pPr>
      <w:r>
        <w:rPr>
          <w:rFonts w:ascii="Times New Roman" w:hAnsi="Times New Roman"/>
          <w:sz w:val="24"/>
          <w:szCs w:val="24"/>
        </w:rPr>
        <w:t xml:space="preserve">12. </w:t>
      </w:r>
      <w:r>
        <w:rPr>
          <w:rFonts w:ascii="Times New Roman" w:hAnsi="Times New Roman"/>
          <w:sz w:val="24"/>
          <w:szCs w:val="24"/>
          <w:u w:val="single"/>
        </w:rPr>
        <w:t>Estimates of Annualized Hour Burden and Costs</w:t>
      </w:r>
    </w:p>
    <w:p w:rsidR="00FF3905" w:rsidP="008E1A54" w14:paraId="6C144FD9" w14:textId="77777777">
      <w:pPr>
        <w:spacing w:after="0" w:line="240" w:lineRule="auto"/>
        <w:ind w:hanging="360"/>
        <w:rPr>
          <w:rFonts w:ascii="Times New Roman" w:hAnsi="Times New Roman"/>
          <w:sz w:val="24"/>
          <w:szCs w:val="24"/>
          <w:u w:val="single"/>
        </w:rPr>
      </w:pPr>
    </w:p>
    <w:p w:rsidR="00080CC4" w:rsidP="008E1A54" w14:paraId="33BBF071" w14:textId="5661A04A">
      <w:pPr>
        <w:spacing w:after="0" w:line="240" w:lineRule="auto"/>
        <w:ind w:hanging="360"/>
        <w:rPr>
          <w:rFonts w:ascii="Times New Roman" w:hAnsi="Times New Roman"/>
          <w:i/>
          <w:sz w:val="24"/>
          <w:szCs w:val="24"/>
        </w:rPr>
      </w:pPr>
      <w:r>
        <w:rPr>
          <w:rFonts w:ascii="Times New Roman" w:hAnsi="Times New Roman"/>
          <w:sz w:val="24"/>
          <w:szCs w:val="24"/>
        </w:rPr>
        <w:tab/>
      </w:r>
      <w:r w:rsidR="0084636A">
        <w:rPr>
          <w:rFonts w:ascii="Times New Roman" w:hAnsi="Times New Roman"/>
          <w:sz w:val="24"/>
          <w:szCs w:val="24"/>
        </w:rPr>
        <w:tab/>
      </w:r>
      <w:r w:rsidRPr="000367B4" w:rsidR="00A259A6">
        <w:rPr>
          <w:rFonts w:ascii="Times New Roman" w:hAnsi="Times New Roman"/>
          <w:i/>
          <w:sz w:val="24"/>
          <w:szCs w:val="24"/>
        </w:rPr>
        <w:t>12a. Annualized Hour Burden Estimate</w:t>
      </w:r>
    </w:p>
    <w:p w:rsidR="006A5828" w:rsidP="00080CC4" w14:paraId="5C529AC6" w14:textId="77777777">
      <w:pPr>
        <w:spacing w:after="0" w:line="240" w:lineRule="auto"/>
        <w:rPr>
          <w:rFonts w:ascii="Times New Roman" w:hAnsi="Times New Roman"/>
          <w:sz w:val="24"/>
          <w:szCs w:val="24"/>
        </w:rPr>
      </w:pPr>
    </w:p>
    <w:p w:rsidR="00CE419E" w:rsidRPr="00CE419E" w:rsidP="00CE419E" w14:paraId="15EA0036" w14:textId="77777777">
      <w:pPr>
        <w:spacing w:after="0" w:line="240" w:lineRule="auto"/>
        <w:rPr>
          <w:rFonts w:ascii="Times New Roman" w:eastAsia="Times New Roman" w:hAnsi="Times New Roman"/>
          <w:sz w:val="24"/>
          <w:szCs w:val="24"/>
        </w:rPr>
      </w:pPr>
      <w:r w:rsidRPr="00CE419E">
        <w:rPr>
          <w:rFonts w:ascii="Times New Roman" w:eastAsia="Times New Roman" w:hAnsi="Times New Roman"/>
          <w:sz w:val="24"/>
          <w:szCs w:val="24"/>
        </w:rPr>
        <w:t>Based on Agency data, we assume 70,000 respondents:  1,230 manufacturers and 170 repackagers, (1,400 cumulatively); 1,600 distributors; and 67,000 dispensers (including online and chain pharmacies).</w:t>
      </w:r>
    </w:p>
    <w:p w:rsidR="00CE419E" w:rsidRPr="00CE419E" w:rsidP="00CE419E" w14:paraId="4D16D38F" w14:textId="77777777">
      <w:pPr>
        <w:spacing w:after="0" w:line="240" w:lineRule="auto"/>
        <w:rPr>
          <w:rFonts w:ascii="Times New Roman" w:hAnsi="Times New Roman"/>
          <w:sz w:val="24"/>
          <w:szCs w:val="24"/>
        </w:rPr>
      </w:pPr>
    </w:p>
    <w:p w:rsidR="00CE419E" w:rsidRPr="00CE419E" w:rsidP="00CE419E" w14:paraId="7FBEFAC6" w14:textId="77777777">
      <w:pPr>
        <w:spacing w:after="0" w:line="240" w:lineRule="auto"/>
        <w:rPr>
          <w:rFonts w:ascii="Times New Roman" w:hAnsi="Times New Roman"/>
          <w:i/>
          <w:iCs/>
          <w:sz w:val="24"/>
          <w:szCs w:val="24"/>
        </w:rPr>
      </w:pPr>
      <w:r w:rsidRPr="00CE419E">
        <w:rPr>
          <w:rFonts w:ascii="Times New Roman" w:hAnsi="Times New Roman"/>
          <w:sz w:val="24"/>
          <w:szCs w:val="24"/>
        </w:rPr>
        <w:tab/>
      </w:r>
      <w:r w:rsidRPr="00CE419E">
        <w:rPr>
          <w:rFonts w:ascii="Times New Roman" w:hAnsi="Times New Roman"/>
          <w:i/>
          <w:iCs/>
          <w:sz w:val="24"/>
          <w:szCs w:val="24"/>
        </w:rPr>
        <w:t>12a.  Annualized Hour Burden Estimate</w:t>
      </w:r>
    </w:p>
    <w:p w:rsidR="00CE419E" w:rsidRPr="00CE419E" w:rsidP="00CE419E" w14:paraId="5CA7785C" w14:textId="77777777">
      <w:pPr>
        <w:spacing w:after="0" w:line="240" w:lineRule="auto"/>
        <w:rPr>
          <w:rFonts w:ascii="Times New Roman" w:hAnsi="Times New Roman"/>
          <w:sz w:val="24"/>
          <w:szCs w:val="24"/>
        </w:rPr>
      </w:pPr>
    </w:p>
    <w:p w:rsidR="00CE419E" w:rsidRPr="00CE419E" w:rsidP="00CE419E" w14:paraId="1FC15A22"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Table 1.--Estimated Annual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3"/>
        <w:gridCol w:w="1239"/>
        <w:gridCol w:w="1161"/>
        <w:gridCol w:w="1076"/>
        <w:gridCol w:w="1061"/>
        <w:gridCol w:w="1025"/>
      </w:tblGrid>
      <w:tr w14:paraId="5D614623" w14:textId="77777777" w:rsidTr="003C52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4"/>
        </w:trPr>
        <w:tc>
          <w:tcPr>
            <w:tcW w:w="3883" w:type="dxa"/>
            <w:shd w:val="clear" w:color="auto" w:fill="auto"/>
          </w:tcPr>
          <w:p w:rsidR="00CE419E" w:rsidRPr="00CE419E" w:rsidP="00CE419E" w14:paraId="57AB95BA"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Section 582(b) through (e) FFDCA (21 USC360eee-1(b) through (e));</w:t>
            </w:r>
          </w:p>
          <w:p w:rsidR="00CE419E" w:rsidRPr="00CE419E" w:rsidP="00CE419E" w14:paraId="6C9BF66E"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 xml:space="preserve">  Information Collection </w:t>
            </w:r>
          </w:p>
        </w:tc>
        <w:tc>
          <w:tcPr>
            <w:tcW w:w="1239" w:type="dxa"/>
            <w:shd w:val="clear" w:color="auto" w:fill="auto"/>
          </w:tcPr>
          <w:p w:rsidR="00CE419E" w:rsidRPr="00CE419E" w:rsidP="00CE419E" w14:paraId="3649CF73"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No. of Respondents</w:t>
            </w:r>
          </w:p>
        </w:tc>
        <w:tc>
          <w:tcPr>
            <w:tcW w:w="1161" w:type="dxa"/>
            <w:shd w:val="clear" w:color="auto" w:fill="auto"/>
          </w:tcPr>
          <w:p w:rsidR="00CE419E" w:rsidRPr="00CE419E" w:rsidP="00CE419E" w14:paraId="48A8416C"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No. of Responses per Respondent</w:t>
            </w:r>
          </w:p>
        </w:tc>
        <w:tc>
          <w:tcPr>
            <w:tcW w:w="1076" w:type="dxa"/>
            <w:shd w:val="clear" w:color="auto" w:fill="auto"/>
          </w:tcPr>
          <w:p w:rsidR="00CE419E" w:rsidRPr="00CE419E" w:rsidP="00CE419E" w14:paraId="79E2B37B"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Total Annual Responses</w:t>
            </w:r>
          </w:p>
        </w:tc>
        <w:tc>
          <w:tcPr>
            <w:tcW w:w="1061" w:type="dxa"/>
            <w:shd w:val="clear" w:color="auto" w:fill="auto"/>
          </w:tcPr>
          <w:p w:rsidR="00CE419E" w:rsidRPr="00CE419E" w:rsidP="00CE419E" w14:paraId="090C816E"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Average Time per Response (in hours)</w:t>
            </w:r>
          </w:p>
        </w:tc>
        <w:tc>
          <w:tcPr>
            <w:tcW w:w="1025" w:type="dxa"/>
            <w:shd w:val="clear" w:color="auto" w:fill="auto"/>
          </w:tcPr>
          <w:p w:rsidR="00CE419E" w:rsidRPr="00CE419E" w:rsidP="00CE419E" w14:paraId="3FCE034C"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Total Hours</w:t>
            </w:r>
          </w:p>
        </w:tc>
      </w:tr>
      <w:tr w14:paraId="40579278" w14:textId="77777777" w:rsidTr="003C52B8">
        <w:tblPrEx>
          <w:tblW w:w="0" w:type="auto"/>
          <w:tblLayout w:type="fixed"/>
          <w:tblLook w:val="04A0"/>
        </w:tblPrEx>
        <w:trPr>
          <w:trHeight w:val="495"/>
        </w:trPr>
        <w:tc>
          <w:tcPr>
            <w:tcW w:w="3883" w:type="dxa"/>
            <w:shd w:val="clear" w:color="auto" w:fill="auto"/>
          </w:tcPr>
          <w:p w:rsidR="00CE419E" w:rsidRPr="00CE419E" w:rsidP="00CE419E" w14:paraId="77CC8A26"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Notifications of illegitimate product:  Form FDA 3911</w:t>
            </w:r>
          </w:p>
        </w:tc>
        <w:tc>
          <w:tcPr>
            <w:tcW w:w="1239" w:type="dxa"/>
            <w:shd w:val="clear" w:color="auto" w:fill="auto"/>
          </w:tcPr>
          <w:p w:rsidR="00CE419E" w:rsidRPr="00CE419E" w:rsidP="00CE419E" w14:paraId="7CDCC10C"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500</w:t>
            </w:r>
          </w:p>
        </w:tc>
        <w:tc>
          <w:tcPr>
            <w:tcW w:w="1161" w:type="dxa"/>
            <w:shd w:val="clear" w:color="auto" w:fill="auto"/>
          </w:tcPr>
          <w:p w:rsidR="00CE419E" w:rsidRPr="00CE419E" w:rsidP="00CE419E" w14:paraId="3BE6E345"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28.2</w:t>
            </w:r>
          </w:p>
        </w:tc>
        <w:tc>
          <w:tcPr>
            <w:tcW w:w="1076" w:type="dxa"/>
            <w:shd w:val="clear" w:color="auto" w:fill="auto"/>
          </w:tcPr>
          <w:p w:rsidR="00CE419E" w:rsidRPr="00CE419E" w:rsidP="00CE419E" w14:paraId="23A995ED"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14,100</w:t>
            </w:r>
          </w:p>
        </w:tc>
        <w:tc>
          <w:tcPr>
            <w:tcW w:w="1061" w:type="dxa"/>
            <w:shd w:val="clear" w:color="auto" w:fill="auto"/>
          </w:tcPr>
          <w:p w:rsidR="00CE419E" w:rsidRPr="00CE419E" w:rsidP="00CE419E" w14:paraId="3BE95FFE"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8</w:t>
            </w:r>
          </w:p>
        </w:tc>
        <w:tc>
          <w:tcPr>
            <w:tcW w:w="1025" w:type="dxa"/>
            <w:shd w:val="clear" w:color="auto" w:fill="auto"/>
          </w:tcPr>
          <w:p w:rsidR="00CE419E" w:rsidRPr="00CE419E" w:rsidP="00CE419E" w14:paraId="03146446"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112,800</w:t>
            </w:r>
          </w:p>
        </w:tc>
      </w:tr>
      <w:tr w14:paraId="2A7A032B" w14:textId="77777777" w:rsidTr="003C52B8">
        <w:tblPrEx>
          <w:tblW w:w="0" w:type="auto"/>
          <w:tblLayout w:type="fixed"/>
          <w:tblLook w:val="04A0"/>
        </w:tblPrEx>
        <w:trPr>
          <w:trHeight w:val="746"/>
        </w:trPr>
        <w:tc>
          <w:tcPr>
            <w:tcW w:w="3883" w:type="dxa"/>
            <w:shd w:val="clear" w:color="auto" w:fill="auto"/>
          </w:tcPr>
          <w:p w:rsidR="00CE419E" w:rsidRPr="00CE419E" w:rsidP="00CE419E" w14:paraId="7A9AD28B"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Consultation/Requests for termination of notification of illegitimate product (Suspect Product Guidance, sec. IV.B)</w:t>
            </w:r>
          </w:p>
        </w:tc>
        <w:tc>
          <w:tcPr>
            <w:tcW w:w="1239" w:type="dxa"/>
            <w:shd w:val="clear" w:color="auto" w:fill="auto"/>
          </w:tcPr>
          <w:p w:rsidR="00CE419E" w:rsidRPr="00CE419E" w:rsidP="00CE419E" w14:paraId="208C243F"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500</w:t>
            </w:r>
          </w:p>
        </w:tc>
        <w:tc>
          <w:tcPr>
            <w:tcW w:w="1161" w:type="dxa"/>
            <w:shd w:val="clear" w:color="auto" w:fill="auto"/>
          </w:tcPr>
          <w:p w:rsidR="00CE419E" w:rsidRPr="00CE419E" w:rsidP="00CE419E" w14:paraId="3B574134"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w:t>
            </w:r>
          </w:p>
        </w:tc>
        <w:tc>
          <w:tcPr>
            <w:tcW w:w="1076" w:type="dxa"/>
            <w:shd w:val="clear" w:color="auto" w:fill="auto"/>
          </w:tcPr>
          <w:p w:rsidR="00CE419E" w:rsidRPr="00CE419E" w:rsidP="00CE419E" w14:paraId="1D6D4A33"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500</w:t>
            </w:r>
          </w:p>
        </w:tc>
        <w:tc>
          <w:tcPr>
            <w:tcW w:w="1061" w:type="dxa"/>
            <w:shd w:val="clear" w:color="auto" w:fill="auto"/>
          </w:tcPr>
          <w:p w:rsidR="00CE419E" w:rsidRPr="00CE419E" w:rsidP="00CE419E" w14:paraId="04C445FF"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w:t>
            </w:r>
          </w:p>
        </w:tc>
        <w:tc>
          <w:tcPr>
            <w:tcW w:w="1025" w:type="dxa"/>
            <w:shd w:val="clear" w:color="auto" w:fill="auto"/>
          </w:tcPr>
          <w:p w:rsidR="00CE419E" w:rsidRPr="00CE419E" w:rsidP="00CE419E" w14:paraId="78BDF557"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500</w:t>
            </w:r>
          </w:p>
        </w:tc>
      </w:tr>
      <w:tr w14:paraId="23F0DB55" w14:textId="77777777" w:rsidTr="003C52B8">
        <w:tblPrEx>
          <w:tblW w:w="0" w:type="auto"/>
          <w:tblLayout w:type="fixed"/>
          <w:tblLook w:val="04A0"/>
        </w:tblPrEx>
        <w:trPr>
          <w:trHeight w:val="746"/>
        </w:trPr>
        <w:tc>
          <w:tcPr>
            <w:tcW w:w="3883" w:type="dxa"/>
            <w:shd w:val="clear" w:color="auto" w:fill="auto"/>
          </w:tcPr>
          <w:p w:rsidR="00CE419E" w:rsidRPr="00CE419E" w:rsidP="00CE419E" w14:paraId="25D84624"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 xml:space="preserve">Requests for waiver, exception or exemption, including material changes and renewals (Waivers Guidance, sec. III)  </w:t>
            </w:r>
          </w:p>
        </w:tc>
        <w:tc>
          <w:tcPr>
            <w:tcW w:w="1239" w:type="dxa"/>
            <w:shd w:val="clear" w:color="auto" w:fill="auto"/>
          </w:tcPr>
          <w:p w:rsidR="00CE419E" w:rsidRPr="00CE419E" w:rsidP="00CE419E" w14:paraId="75078B6C"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100</w:t>
            </w:r>
          </w:p>
        </w:tc>
        <w:tc>
          <w:tcPr>
            <w:tcW w:w="1161" w:type="dxa"/>
            <w:shd w:val="clear" w:color="auto" w:fill="auto"/>
          </w:tcPr>
          <w:p w:rsidR="00CE419E" w:rsidRPr="00CE419E" w:rsidP="00CE419E" w14:paraId="3D7C9EDA"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w:t>
            </w:r>
          </w:p>
        </w:tc>
        <w:tc>
          <w:tcPr>
            <w:tcW w:w="1076" w:type="dxa"/>
            <w:shd w:val="clear" w:color="auto" w:fill="auto"/>
          </w:tcPr>
          <w:p w:rsidR="00CE419E" w:rsidRPr="00CE419E" w:rsidP="00CE419E" w14:paraId="70E6EB55"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100</w:t>
            </w:r>
          </w:p>
        </w:tc>
        <w:tc>
          <w:tcPr>
            <w:tcW w:w="1061" w:type="dxa"/>
            <w:shd w:val="clear" w:color="auto" w:fill="auto"/>
          </w:tcPr>
          <w:p w:rsidR="00CE419E" w:rsidRPr="00CE419E" w:rsidP="00CE419E" w14:paraId="65DF096C"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81</w:t>
            </w:r>
          </w:p>
        </w:tc>
        <w:tc>
          <w:tcPr>
            <w:tcW w:w="1025" w:type="dxa"/>
            <w:shd w:val="clear" w:color="auto" w:fill="auto"/>
          </w:tcPr>
          <w:p w:rsidR="00CE419E" w:rsidRPr="00CE419E" w:rsidP="00CE419E" w14:paraId="387963A7"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8,100</w:t>
            </w:r>
          </w:p>
        </w:tc>
      </w:tr>
      <w:tr w14:paraId="26526C26" w14:textId="77777777" w:rsidTr="003C52B8">
        <w:tblPrEx>
          <w:tblW w:w="0" w:type="auto"/>
          <w:tblLayout w:type="fixed"/>
          <w:tblLook w:val="04A0"/>
        </w:tblPrEx>
        <w:trPr>
          <w:trHeight w:val="21"/>
        </w:trPr>
        <w:tc>
          <w:tcPr>
            <w:tcW w:w="3883" w:type="dxa"/>
            <w:shd w:val="clear" w:color="auto" w:fill="auto"/>
          </w:tcPr>
          <w:p w:rsidR="00CE419E" w:rsidRPr="00CE419E" w:rsidP="00CE419E" w14:paraId="6A1B014D"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Total</w:t>
            </w:r>
          </w:p>
        </w:tc>
        <w:tc>
          <w:tcPr>
            <w:tcW w:w="1239" w:type="dxa"/>
            <w:shd w:val="clear" w:color="auto" w:fill="auto"/>
          </w:tcPr>
          <w:p w:rsidR="00CE419E" w:rsidRPr="00CE419E" w:rsidP="00CE419E" w14:paraId="290DD45F" w14:textId="77777777">
            <w:pPr>
              <w:autoSpaceDE w:val="0"/>
              <w:autoSpaceDN w:val="0"/>
              <w:adjustRightInd w:val="0"/>
              <w:spacing w:after="0" w:line="240" w:lineRule="auto"/>
              <w:jc w:val="right"/>
              <w:rPr>
                <w:rFonts w:ascii="Times New Roman" w:hAnsi="Times New Roman"/>
                <w:sz w:val="20"/>
                <w:szCs w:val="20"/>
              </w:rPr>
            </w:pPr>
          </w:p>
        </w:tc>
        <w:tc>
          <w:tcPr>
            <w:tcW w:w="1161" w:type="dxa"/>
            <w:shd w:val="clear" w:color="auto" w:fill="auto"/>
          </w:tcPr>
          <w:p w:rsidR="00CE419E" w:rsidRPr="00CE419E" w:rsidP="00CE419E" w14:paraId="1298FB7C" w14:textId="77777777">
            <w:pPr>
              <w:autoSpaceDE w:val="0"/>
              <w:autoSpaceDN w:val="0"/>
              <w:adjustRightInd w:val="0"/>
              <w:spacing w:after="0" w:line="240" w:lineRule="auto"/>
              <w:jc w:val="right"/>
              <w:rPr>
                <w:rFonts w:ascii="Times New Roman" w:hAnsi="Times New Roman"/>
                <w:sz w:val="20"/>
                <w:szCs w:val="20"/>
              </w:rPr>
            </w:pPr>
          </w:p>
        </w:tc>
        <w:tc>
          <w:tcPr>
            <w:tcW w:w="1076" w:type="dxa"/>
            <w:shd w:val="clear" w:color="auto" w:fill="auto"/>
          </w:tcPr>
          <w:p w:rsidR="00CE419E" w:rsidRPr="00CE419E" w:rsidP="00CE419E" w14:paraId="11F475A7"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fldChar w:fldCharType="begin"/>
            </w:r>
            <w:r w:rsidRPr="00CE419E">
              <w:rPr>
                <w:rFonts w:ascii="Times New Roman" w:hAnsi="Times New Roman"/>
                <w:sz w:val="20"/>
                <w:szCs w:val="20"/>
              </w:rPr>
              <w:instrText xml:space="preserve"> =SUM(ABOVE) </w:instrText>
            </w:r>
            <w:r w:rsidRPr="00CE419E">
              <w:rPr>
                <w:rFonts w:ascii="Times New Roman" w:hAnsi="Times New Roman"/>
                <w:sz w:val="20"/>
                <w:szCs w:val="20"/>
              </w:rPr>
              <w:fldChar w:fldCharType="separate"/>
            </w:r>
            <w:r w:rsidRPr="00CE419E">
              <w:rPr>
                <w:rFonts w:ascii="Times New Roman" w:hAnsi="Times New Roman"/>
                <w:sz w:val="20"/>
                <w:szCs w:val="20"/>
              </w:rPr>
              <w:t>14,700</w:t>
            </w:r>
            <w:r w:rsidRPr="00CE419E">
              <w:rPr>
                <w:rFonts w:ascii="Times New Roman" w:hAnsi="Times New Roman"/>
                <w:sz w:val="20"/>
                <w:szCs w:val="20"/>
              </w:rPr>
              <w:fldChar w:fldCharType="end"/>
            </w:r>
          </w:p>
        </w:tc>
        <w:tc>
          <w:tcPr>
            <w:tcW w:w="1061" w:type="dxa"/>
            <w:shd w:val="clear" w:color="auto" w:fill="auto"/>
          </w:tcPr>
          <w:p w:rsidR="00CE419E" w:rsidRPr="00CE419E" w:rsidP="00CE419E" w14:paraId="6A524495" w14:textId="77777777">
            <w:pPr>
              <w:autoSpaceDE w:val="0"/>
              <w:autoSpaceDN w:val="0"/>
              <w:adjustRightInd w:val="0"/>
              <w:spacing w:after="0" w:line="240" w:lineRule="auto"/>
              <w:jc w:val="right"/>
              <w:rPr>
                <w:rFonts w:ascii="Times New Roman" w:hAnsi="Times New Roman"/>
                <w:sz w:val="20"/>
                <w:szCs w:val="20"/>
              </w:rPr>
            </w:pPr>
          </w:p>
        </w:tc>
        <w:tc>
          <w:tcPr>
            <w:tcW w:w="1025" w:type="dxa"/>
            <w:shd w:val="clear" w:color="auto" w:fill="auto"/>
          </w:tcPr>
          <w:p w:rsidR="00CE419E" w:rsidRPr="00CE419E" w:rsidP="00CE419E" w14:paraId="711DFBD1"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fldChar w:fldCharType="begin"/>
            </w:r>
            <w:r w:rsidRPr="00CE419E">
              <w:rPr>
                <w:rFonts w:ascii="Times New Roman" w:hAnsi="Times New Roman"/>
                <w:sz w:val="20"/>
                <w:szCs w:val="20"/>
              </w:rPr>
              <w:instrText xml:space="preserve"> =SUM(ABOVE) </w:instrText>
            </w:r>
            <w:r w:rsidRPr="00CE419E">
              <w:rPr>
                <w:rFonts w:ascii="Times New Roman" w:hAnsi="Times New Roman"/>
                <w:sz w:val="20"/>
                <w:szCs w:val="20"/>
              </w:rPr>
              <w:fldChar w:fldCharType="separate"/>
            </w:r>
            <w:r w:rsidRPr="00CE419E">
              <w:rPr>
                <w:rFonts w:ascii="Times New Roman" w:hAnsi="Times New Roman"/>
                <w:sz w:val="20"/>
                <w:szCs w:val="20"/>
              </w:rPr>
              <w:t>121,400</w:t>
            </w:r>
            <w:r w:rsidRPr="00CE419E">
              <w:rPr>
                <w:rFonts w:ascii="Times New Roman" w:hAnsi="Times New Roman"/>
                <w:sz w:val="20"/>
                <w:szCs w:val="20"/>
              </w:rPr>
              <w:fldChar w:fldCharType="end"/>
            </w:r>
          </w:p>
        </w:tc>
      </w:tr>
    </w:tbl>
    <w:p w:rsidR="00CE419E" w:rsidRPr="00CE419E" w:rsidP="00CE419E" w14:paraId="430BC4F2" w14:textId="77777777">
      <w:pPr>
        <w:autoSpaceDE w:val="0"/>
        <w:autoSpaceDN w:val="0"/>
        <w:adjustRightInd w:val="0"/>
        <w:spacing w:after="0" w:line="240" w:lineRule="auto"/>
        <w:jc w:val="center"/>
        <w:rPr>
          <w:rFonts w:ascii="Times New Roman" w:hAnsi="Times New Roman"/>
          <w:sz w:val="20"/>
          <w:szCs w:val="20"/>
        </w:rPr>
      </w:pPr>
    </w:p>
    <w:p w:rsidR="00CE419E" w:rsidRPr="00CE419E" w:rsidP="00CE419E" w14:paraId="358F5B45" w14:textId="77777777">
      <w:pPr>
        <w:autoSpaceDE w:val="0"/>
        <w:autoSpaceDN w:val="0"/>
        <w:adjustRightInd w:val="0"/>
        <w:spacing w:after="0" w:line="240" w:lineRule="auto"/>
        <w:rPr>
          <w:rFonts w:ascii="Times New Roman" w:hAnsi="Times New Roman"/>
          <w:sz w:val="24"/>
          <w:szCs w:val="24"/>
        </w:rPr>
      </w:pPr>
      <w:r w:rsidRPr="00CE419E">
        <w:rPr>
          <w:rFonts w:ascii="Times New Roman" w:hAnsi="Times New Roman"/>
          <w:sz w:val="24"/>
          <w:szCs w:val="24"/>
        </w:rPr>
        <w:t>As reflected in table 1, reporting activities include the submission of notifications to FDA regarding illegitimate product and product with a high-risk of illegitimacy using Form FDA 3911.  Form FDA 3911 is also used to submit requests for termination of a notification in consultation with FDA.  FDA may request any additional information it determines necessary to complete the consultation.  We believe burden that may be incurred from providing FDA with follow-up information that may be necessary with regard to suspect and/or illegitimate products is excepted from our accounting in accordance with 5 CFR 1320.3(c), and we have therefore not included this activity in our estimate of burden.  Finally, an authorized trading partner or other stakeholder seeking a waiver, exception, or exemption from requirements of section 582 of the FD&amp;C Act may submit a request to FDA, or a request for material changes to or renewal of an approved initial request.  These requests are also included in the scope of reporting activities.</w:t>
      </w:r>
    </w:p>
    <w:p w:rsidR="00CE419E" w:rsidRPr="00CE419E" w:rsidP="00CE419E" w14:paraId="57AD3A5C" w14:textId="77777777">
      <w:pPr>
        <w:autoSpaceDE w:val="0"/>
        <w:autoSpaceDN w:val="0"/>
        <w:adjustRightInd w:val="0"/>
        <w:spacing w:after="0" w:line="240" w:lineRule="auto"/>
        <w:rPr>
          <w:rFonts w:ascii="Times New Roman" w:hAnsi="Times New Roman"/>
          <w:sz w:val="24"/>
          <w:szCs w:val="24"/>
        </w:rPr>
      </w:pPr>
    </w:p>
    <w:p w:rsidR="00CE419E" w:rsidRPr="00CE419E" w:rsidP="00CE419E" w14:paraId="2BA4C286"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Table 2.--Estimated Annual Recordkeeping Burden</w:t>
      </w:r>
      <w:r w:rsidRPr="00CE419E">
        <w:rPr>
          <w:rFonts w:ascii="Times New Roman" w:hAnsi="Times New Roman"/>
          <w:sz w:val="20"/>
          <w:szCs w:val="20"/>
          <w:vertAlign w:val="superscript"/>
        </w:rPr>
        <w:t>1, 2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260"/>
        <w:gridCol w:w="1350"/>
        <w:gridCol w:w="1466"/>
        <w:gridCol w:w="1481"/>
        <w:gridCol w:w="1152"/>
      </w:tblGrid>
      <w:tr w14:paraId="1547473C" w14:textId="77777777" w:rsidTr="003C52B8">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2790" w:type="dxa"/>
            <w:shd w:val="clear" w:color="auto" w:fill="auto"/>
          </w:tcPr>
          <w:p w:rsidR="00CE419E" w:rsidRPr="00CE419E" w:rsidP="00CE419E" w14:paraId="6AC7661E"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21 U.S.C. 360eee-1(b)-(e); Information Collection Activity</w:t>
            </w:r>
          </w:p>
        </w:tc>
        <w:tc>
          <w:tcPr>
            <w:tcW w:w="1260" w:type="dxa"/>
            <w:shd w:val="clear" w:color="auto" w:fill="auto"/>
          </w:tcPr>
          <w:p w:rsidR="00CE419E" w:rsidRPr="00CE419E" w:rsidP="00CE419E" w14:paraId="7EA58C20"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No. of Respondents</w:t>
            </w:r>
          </w:p>
        </w:tc>
        <w:tc>
          <w:tcPr>
            <w:tcW w:w="1350" w:type="dxa"/>
            <w:shd w:val="clear" w:color="auto" w:fill="auto"/>
          </w:tcPr>
          <w:p w:rsidR="00CE419E" w:rsidRPr="00CE419E" w:rsidP="00CE419E" w14:paraId="2FFD91F3"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bCs/>
                <w:sz w:val="20"/>
                <w:szCs w:val="20"/>
              </w:rPr>
              <w:t>No. of Records per Respondent</w:t>
            </w:r>
          </w:p>
        </w:tc>
        <w:tc>
          <w:tcPr>
            <w:tcW w:w="1466" w:type="dxa"/>
            <w:shd w:val="clear" w:color="auto" w:fill="auto"/>
          </w:tcPr>
          <w:p w:rsidR="00CE419E" w:rsidRPr="00CE419E" w:rsidP="00CE419E" w14:paraId="2DD4E787"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Total Annual Records</w:t>
            </w:r>
          </w:p>
        </w:tc>
        <w:tc>
          <w:tcPr>
            <w:tcW w:w="1481" w:type="dxa"/>
            <w:shd w:val="clear" w:color="auto" w:fill="auto"/>
          </w:tcPr>
          <w:p w:rsidR="00CE419E" w:rsidRPr="00CE419E" w:rsidP="00CE419E" w14:paraId="5BC2EE1F"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bCs/>
                <w:sz w:val="20"/>
                <w:szCs w:val="20"/>
              </w:rPr>
              <w:t>Average Burden per Record (in hours)</w:t>
            </w:r>
          </w:p>
        </w:tc>
        <w:tc>
          <w:tcPr>
            <w:tcW w:w="1152" w:type="dxa"/>
            <w:shd w:val="clear" w:color="auto" w:fill="auto"/>
          </w:tcPr>
          <w:p w:rsidR="00CE419E" w:rsidRPr="00CE419E" w:rsidP="00CE419E" w14:paraId="6036116C"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Total Hours</w:t>
            </w:r>
          </w:p>
        </w:tc>
      </w:tr>
      <w:tr w14:paraId="4F49798F" w14:textId="77777777" w:rsidTr="003C52B8">
        <w:tblPrEx>
          <w:tblW w:w="0" w:type="auto"/>
          <w:tblInd w:w="-5" w:type="dxa"/>
          <w:tblLayout w:type="fixed"/>
          <w:tblLook w:val="01E0"/>
        </w:tblPrEx>
        <w:trPr>
          <w:cantSplit/>
          <w:trHeight w:val="20"/>
        </w:trPr>
        <w:tc>
          <w:tcPr>
            <w:tcW w:w="2790" w:type="dxa"/>
            <w:shd w:val="clear" w:color="auto" w:fill="auto"/>
          </w:tcPr>
          <w:p w:rsidR="00CE419E" w:rsidRPr="00CE419E" w:rsidP="00CE419E" w14:paraId="6A848AF5"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Documenting transaction (T3) information</w:t>
            </w:r>
            <w:r w:rsidRPr="00CE419E">
              <w:rPr>
                <w:rFonts w:ascii="Times New Roman" w:hAnsi="Times New Roman"/>
                <w:i/>
                <w:iCs/>
                <w:sz w:val="20"/>
                <w:szCs w:val="20"/>
              </w:rPr>
              <w:t xml:space="preserve"> </w:t>
            </w:r>
          </w:p>
        </w:tc>
        <w:tc>
          <w:tcPr>
            <w:tcW w:w="1260" w:type="dxa"/>
            <w:shd w:val="clear" w:color="auto" w:fill="auto"/>
          </w:tcPr>
          <w:p w:rsidR="00CE419E" w:rsidRPr="00CE419E" w:rsidP="00CE419E" w14:paraId="79D3C1C0"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70,000</w:t>
            </w:r>
          </w:p>
        </w:tc>
        <w:tc>
          <w:tcPr>
            <w:tcW w:w="1350" w:type="dxa"/>
            <w:shd w:val="clear" w:color="auto" w:fill="auto"/>
          </w:tcPr>
          <w:p w:rsidR="00CE419E" w:rsidRPr="00CE419E" w:rsidP="00CE419E" w14:paraId="4BBCE068"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1M</w:t>
            </w:r>
          </w:p>
        </w:tc>
        <w:tc>
          <w:tcPr>
            <w:tcW w:w="1466" w:type="dxa"/>
            <w:shd w:val="clear" w:color="auto" w:fill="auto"/>
          </w:tcPr>
          <w:p w:rsidR="00CE419E" w:rsidRPr="00CE419E" w:rsidP="00CE419E" w14:paraId="27F9C0C9"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70,000,000,000</w:t>
            </w:r>
          </w:p>
        </w:tc>
        <w:tc>
          <w:tcPr>
            <w:tcW w:w="1481" w:type="dxa"/>
            <w:shd w:val="clear" w:color="auto" w:fill="auto"/>
          </w:tcPr>
          <w:p w:rsidR="00CE419E" w:rsidRPr="00CE419E" w:rsidP="00CE419E" w14:paraId="3365B20B"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0.0000017</w:t>
            </w:r>
          </w:p>
        </w:tc>
        <w:tc>
          <w:tcPr>
            <w:tcW w:w="1152" w:type="dxa"/>
            <w:shd w:val="clear" w:color="auto" w:fill="auto"/>
          </w:tcPr>
          <w:p w:rsidR="00CE419E" w:rsidRPr="00CE419E" w:rsidP="00CE419E" w14:paraId="5F6C0D5C"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119,000</w:t>
            </w:r>
          </w:p>
        </w:tc>
      </w:tr>
      <w:tr w14:paraId="5C6E3C90" w14:textId="77777777" w:rsidTr="003C52B8">
        <w:tblPrEx>
          <w:tblW w:w="0" w:type="auto"/>
          <w:tblInd w:w="-5" w:type="dxa"/>
          <w:tblLayout w:type="fixed"/>
          <w:tblLook w:val="01E0"/>
        </w:tblPrEx>
        <w:trPr>
          <w:cantSplit/>
          <w:trHeight w:val="20"/>
        </w:trPr>
        <w:tc>
          <w:tcPr>
            <w:tcW w:w="2790" w:type="dxa"/>
            <w:shd w:val="clear" w:color="auto" w:fill="auto"/>
          </w:tcPr>
          <w:p w:rsidR="00CE419E" w:rsidRPr="00CE419E" w:rsidP="00CE419E" w14:paraId="50C93572"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Disclosing</w:t>
            </w:r>
            <w:r w:rsidRPr="00CE419E">
              <w:rPr>
                <w:rFonts w:ascii="Times New Roman" w:hAnsi="Times New Roman"/>
                <w:iCs/>
                <w:sz w:val="20"/>
                <w:szCs w:val="20"/>
              </w:rPr>
              <w:t xml:space="preserve"> illegitimate product notifications and terminations to trading partners</w:t>
            </w:r>
          </w:p>
        </w:tc>
        <w:tc>
          <w:tcPr>
            <w:tcW w:w="1260" w:type="dxa"/>
            <w:shd w:val="clear" w:color="auto" w:fill="auto"/>
          </w:tcPr>
          <w:p w:rsidR="00CE419E" w:rsidRPr="00CE419E" w:rsidP="00CE419E" w14:paraId="52142FBA"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500</w:t>
            </w:r>
          </w:p>
        </w:tc>
        <w:tc>
          <w:tcPr>
            <w:tcW w:w="1350" w:type="dxa"/>
            <w:shd w:val="clear" w:color="auto" w:fill="auto"/>
          </w:tcPr>
          <w:p w:rsidR="00CE419E" w:rsidRPr="00CE419E" w:rsidP="00CE419E" w14:paraId="6B77E030"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620</w:t>
            </w:r>
          </w:p>
        </w:tc>
        <w:tc>
          <w:tcPr>
            <w:tcW w:w="1466" w:type="dxa"/>
            <w:shd w:val="clear" w:color="auto" w:fill="auto"/>
          </w:tcPr>
          <w:p w:rsidR="00CE419E" w:rsidRPr="00CE419E" w:rsidP="00CE419E" w14:paraId="70E087AC"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310,000</w:t>
            </w:r>
          </w:p>
        </w:tc>
        <w:tc>
          <w:tcPr>
            <w:tcW w:w="1481" w:type="dxa"/>
            <w:shd w:val="clear" w:color="auto" w:fill="auto"/>
          </w:tcPr>
          <w:p w:rsidR="00CE419E" w:rsidRPr="00CE419E" w:rsidP="00CE419E" w14:paraId="70C1C399"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6</w:t>
            </w:r>
          </w:p>
        </w:tc>
        <w:tc>
          <w:tcPr>
            <w:tcW w:w="1152" w:type="dxa"/>
            <w:shd w:val="clear" w:color="auto" w:fill="auto"/>
          </w:tcPr>
          <w:p w:rsidR="00CE419E" w:rsidRPr="00CE419E" w:rsidP="00CE419E" w14:paraId="5479B6FF"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1,860,000</w:t>
            </w:r>
          </w:p>
        </w:tc>
      </w:tr>
      <w:tr w14:paraId="55D4A0F5" w14:textId="77777777" w:rsidTr="003C52B8">
        <w:tblPrEx>
          <w:tblW w:w="0" w:type="auto"/>
          <w:tblInd w:w="-5" w:type="dxa"/>
          <w:tblLayout w:type="fixed"/>
          <w:tblLook w:val="01E0"/>
        </w:tblPrEx>
        <w:trPr>
          <w:cantSplit/>
          <w:trHeight w:val="20"/>
        </w:trPr>
        <w:tc>
          <w:tcPr>
            <w:tcW w:w="2790" w:type="dxa"/>
            <w:shd w:val="clear" w:color="auto" w:fill="auto"/>
          </w:tcPr>
          <w:p w:rsidR="00CE419E" w:rsidRPr="00CE419E" w:rsidP="00CE419E" w14:paraId="0C1637AF"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Product identification &amp; information exchange:  encoding packages and homogeneous cases with product identifier; exchange of information only w/authorized trading partners.</w:t>
            </w:r>
          </w:p>
        </w:tc>
        <w:tc>
          <w:tcPr>
            <w:tcW w:w="1260" w:type="dxa"/>
            <w:shd w:val="clear" w:color="auto" w:fill="auto"/>
          </w:tcPr>
          <w:p w:rsidR="00CE419E" w:rsidRPr="00CE419E" w:rsidP="00CE419E" w14:paraId="4B62E01B"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1,400</w:t>
            </w:r>
          </w:p>
        </w:tc>
        <w:tc>
          <w:tcPr>
            <w:tcW w:w="1350" w:type="dxa"/>
            <w:shd w:val="clear" w:color="auto" w:fill="auto"/>
          </w:tcPr>
          <w:p w:rsidR="00CE419E" w:rsidRPr="00CE419E" w:rsidP="00CE419E" w14:paraId="2B3C5A1B"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3,125,000</w:t>
            </w:r>
          </w:p>
        </w:tc>
        <w:tc>
          <w:tcPr>
            <w:tcW w:w="1466" w:type="dxa"/>
            <w:shd w:val="clear" w:color="auto" w:fill="auto"/>
          </w:tcPr>
          <w:p w:rsidR="00CE419E" w:rsidRPr="00CE419E" w:rsidP="00CE419E" w14:paraId="45597FAC"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4,375,000,000</w:t>
            </w:r>
          </w:p>
        </w:tc>
        <w:tc>
          <w:tcPr>
            <w:tcW w:w="1481" w:type="dxa"/>
            <w:shd w:val="clear" w:color="auto" w:fill="auto"/>
          </w:tcPr>
          <w:p w:rsidR="00CE419E" w:rsidRPr="00CE419E" w:rsidP="00CE419E" w14:paraId="1583B65D"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0.0000688</w:t>
            </w:r>
          </w:p>
        </w:tc>
        <w:tc>
          <w:tcPr>
            <w:tcW w:w="1152" w:type="dxa"/>
            <w:shd w:val="clear" w:color="auto" w:fill="auto"/>
          </w:tcPr>
          <w:p w:rsidR="00CE419E" w:rsidRPr="00CE419E" w:rsidP="00CE419E" w14:paraId="78F7CF32"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301,000</w:t>
            </w:r>
          </w:p>
        </w:tc>
      </w:tr>
      <w:tr w14:paraId="0DB5CDF6" w14:textId="77777777" w:rsidTr="003C52B8">
        <w:tblPrEx>
          <w:tblW w:w="0" w:type="auto"/>
          <w:tblInd w:w="-5" w:type="dxa"/>
          <w:tblLayout w:type="fixed"/>
          <w:tblLook w:val="01E0"/>
        </w:tblPrEx>
        <w:trPr>
          <w:cantSplit/>
          <w:trHeight w:val="20"/>
        </w:trPr>
        <w:tc>
          <w:tcPr>
            <w:tcW w:w="2790" w:type="dxa"/>
            <w:shd w:val="clear" w:color="auto" w:fill="auto"/>
          </w:tcPr>
          <w:p w:rsidR="00CE419E" w:rsidRPr="00CE419E" w:rsidP="00CE419E" w14:paraId="592FB124"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rPr>
              <w:t>Verification:  identify and investigate suspect product, coordinate with other trading partners, quarantine product, notify FDA of suspect product that is not determined to be illegitimate product</w:t>
            </w:r>
          </w:p>
        </w:tc>
        <w:tc>
          <w:tcPr>
            <w:tcW w:w="1260" w:type="dxa"/>
            <w:shd w:val="clear" w:color="auto" w:fill="auto"/>
          </w:tcPr>
          <w:p w:rsidR="00CE419E" w:rsidRPr="00CE419E" w:rsidP="00CE419E" w14:paraId="15AB9FA0"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30,125</w:t>
            </w:r>
          </w:p>
        </w:tc>
        <w:tc>
          <w:tcPr>
            <w:tcW w:w="1350" w:type="dxa"/>
            <w:shd w:val="clear" w:color="auto" w:fill="auto"/>
          </w:tcPr>
          <w:p w:rsidR="00CE419E" w:rsidRPr="00CE419E" w:rsidP="00CE419E" w14:paraId="74178607"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8</w:t>
            </w:r>
          </w:p>
        </w:tc>
        <w:tc>
          <w:tcPr>
            <w:tcW w:w="1466" w:type="dxa"/>
            <w:shd w:val="clear" w:color="auto" w:fill="auto"/>
          </w:tcPr>
          <w:p w:rsidR="00CE419E" w:rsidRPr="00CE419E" w:rsidP="00CE419E" w14:paraId="457DB0A1"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241,000</w:t>
            </w:r>
          </w:p>
        </w:tc>
        <w:tc>
          <w:tcPr>
            <w:tcW w:w="1481" w:type="dxa"/>
            <w:shd w:val="clear" w:color="auto" w:fill="auto"/>
          </w:tcPr>
          <w:p w:rsidR="00CE419E" w:rsidRPr="00CE419E" w:rsidP="00CE419E" w14:paraId="01EDF486"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0.62</w:t>
            </w:r>
          </w:p>
        </w:tc>
        <w:tc>
          <w:tcPr>
            <w:tcW w:w="1152" w:type="dxa"/>
            <w:shd w:val="clear" w:color="auto" w:fill="auto"/>
          </w:tcPr>
          <w:p w:rsidR="00CE419E" w:rsidRPr="00CE419E" w:rsidP="00CE419E" w14:paraId="20CA589A"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149,420</w:t>
            </w:r>
          </w:p>
        </w:tc>
      </w:tr>
      <w:tr w14:paraId="0199CB86" w14:textId="77777777" w:rsidTr="003C52B8">
        <w:tblPrEx>
          <w:tblW w:w="0" w:type="auto"/>
          <w:tblInd w:w="-5" w:type="dxa"/>
          <w:tblLayout w:type="fixed"/>
          <w:tblLook w:val="01E0"/>
        </w:tblPrEx>
        <w:trPr>
          <w:cantSplit/>
          <w:trHeight w:val="20"/>
        </w:trPr>
        <w:tc>
          <w:tcPr>
            <w:tcW w:w="2790" w:type="dxa"/>
            <w:shd w:val="clear" w:color="auto" w:fill="auto"/>
          </w:tcPr>
          <w:p w:rsidR="00CE419E" w:rsidRPr="00CE419E" w:rsidP="00CE419E" w14:paraId="12AB21D3" w14:textId="77777777">
            <w:pPr>
              <w:autoSpaceDE w:val="0"/>
              <w:autoSpaceDN w:val="0"/>
              <w:adjustRightInd w:val="0"/>
              <w:spacing w:after="0" w:line="240" w:lineRule="auto"/>
              <w:jc w:val="center"/>
              <w:rPr>
                <w:rFonts w:ascii="Times New Roman" w:hAnsi="Times New Roman"/>
                <w:sz w:val="20"/>
                <w:szCs w:val="20"/>
              </w:rPr>
            </w:pPr>
            <w:r w:rsidRPr="00CE419E">
              <w:rPr>
                <w:rFonts w:ascii="Times New Roman" w:hAnsi="Times New Roman"/>
                <w:sz w:val="20"/>
                <w:szCs w:val="20"/>
              </w:rPr>
              <w:t>Total</w:t>
            </w:r>
          </w:p>
        </w:tc>
        <w:tc>
          <w:tcPr>
            <w:tcW w:w="1260" w:type="dxa"/>
            <w:shd w:val="clear" w:color="auto" w:fill="auto"/>
          </w:tcPr>
          <w:p w:rsidR="00CE419E" w:rsidRPr="00CE419E" w:rsidP="00CE419E" w14:paraId="4A3D4BC2" w14:textId="77777777">
            <w:pPr>
              <w:autoSpaceDE w:val="0"/>
              <w:autoSpaceDN w:val="0"/>
              <w:adjustRightInd w:val="0"/>
              <w:spacing w:after="0" w:line="240" w:lineRule="auto"/>
              <w:jc w:val="right"/>
              <w:rPr>
                <w:rFonts w:ascii="Times New Roman" w:hAnsi="Times New Roman"/>
                <w:sz w:val="20"/>
                <w:szCs w:val="20"/>
              </w:rPr>
            </w:pPr>
          </w:p>
        </w:tc>
        <w:tc>
          <w:tcPr>
            <w:tcW w:w="1350" w:type="dxa"/>
            <w:shd w:val="clear" w:color="auto" w:fill="auto"/>
          </w:tcPr>
          <w:p w:rsidR="00CE419E" w:rsidRPr="00CE419E" w:rsidP="00CE419E" w14:paraId="2C901C7B" w14:textId="77777777">
            <w:pPr>
              <w:autoSpaceDE w:val="0"/>
              <w:autoSpaceDN w:val="0"/>
              <w:adjustRightInd w:val="0"/>
              <w:spacing w:after="0" w:line="240" w:lineRule="auto"/>
              <w:jc w:val="right"/>
              <w:rPr>
                <w:rFonts w:ascii="Times New Roman" w:hAnsi="Times New Roman"/>
                <w:sz w:val="20"/>
                <w:szCs w:val="20"/>
              </w:rPr>
            </w:pPr>
          </w:p>
        </w:tc>
        <w:tc>
          <w:tcPr>
            <w:tcW w:w="1466" w:type="dxa"/>
            <w:shd w:val="clear" w:color="auto" w:fill="auto"/>
          </w:tcPr>
          <w:p w:rsidR="00CE419E" w:rsidRPr="00CE419E" w:rsidP="00CE419E" w14:paraId="2FA16DB5"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fldChar w:fldCharType="begin"/>
            </w:r>
            <w:r w:rsidRPr="00CE419E">
              <w:rPr>
                <w:rFonts w:ascii="Times New Roman" w:hAnsi="Times New Roman"/>
                <w:sz w:val="20"/>
                <w:szCs w:val="20"/>
              </w:rPr>
              <w:instrText xml:space="preserve"> =SUM(ABOVE) </w:instrText>
            </w:r>
            <w:r w:rsidRPr="00CE419E">
              <w:rPr>
                <w:rFonts w:ascii="Times New Roman" w:hAnsi="Times New Roman"/>
                <w:sz w:val="20"/>
                <w:szCs w:val="20"/>
              </w:rPr>
              <w:fldChar w:fldCharType="separate"/>
            </w:r>
            <w:r w:rsidRPr="00CE419E">
              <w:rPr>
                <w:rFonts w:ascii="Times New Roman" w:hAnsi="Times New Roman"/>
                <w:sz w:val="20"/>
                <w:szCs w:val="20"/>
              </w:rPr>
              <w:t>74,375,551,000</w:t>
            </w:r>
            <w:r w:rsidRPr="00CE419E">
              <w:rPr>
                <w:rFonts w:ascii="Times New Roman" w:hAnsi="Times New Roman"/>
                <w:sz w:val="20"/>
                <w:szCs w:val="20"/>
              </w:rPr>
              <w:fldChar w:fldCharType="end"/>
            </w:r>
          </w:p>
          <w:p w:rsidR="00CE419E" w:rsidRPr="00CE419E" w:rsidP="00CE419E" w14:paraId="5EFA761E"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t>~74.4 B</w:t>
            </w:r>
          </w:p>
        </w:tc>
        <w:tc>
          <w:tcPr>
            <w:tcW w:w="1481" w:type="dxa"/>
            <w:shd w:val="clear" w:color="auto" w:fill="auto"/>
          </w:tcPr>
          <w:p w:rsidR="00CE419E" w:rsidRPr="00CE419E" w:rsidP="00CE419E" w14:paraId="49925409" w14:textId="77777777">
            <w:pPr>
              <w:autoSpaceDE w:val="0"/>
              <w:autoSpaceDN w:val="0"/>
              <w:adjustRightInd w:val="0"/>
              <w:spacing w:after="0" w:line="240" w:lineRule="auto"/>
              <w:jc w:val="right"/>
              <w:rPr>
                <w:rFonts w:ascii="Times New Roman" w:hAnsi="Times New Roman"/>
                <w:sz w:val="20"/>
                <w:szCs w:val="20"/>
              </w:rPr>
            </w:pPr>
          </w:p>
        </w:tc>
        <w:tc>
          <w:tcPr>
            <w:tcW w:w="1152" w:type="dxa"/>
            <w:shd w:val="clear" w:color="auto" w:fill="auto"/>
          </w:tcPr>
          <w:p w:rsidR="00CE419E" w:rsidRPr="00CE419E" w:rsidP="00CE419E" w14:paraId="0DAEAFC5" w14:textId="77777777">
            <w:pPr>
              <w:autoSpaceDE w:val="0"/>
              <w:autoSpaceDN w:val="0"/>
              <w:adjustRightInd w:val="0"/>
              <w:spacing w:after="0" w:line="240" w:lineRule="auto"/>
              <w:jc w:val="right"/>
              <w:rPr>
                <w:rFonts w:ascii="Times New Roman" w:hAnsi="Times New Roman"/>
                <w:sz w:val="20"/>
                <w:szCs w:val="20"/>
              </w:rPr>
            </w:pPr>
            <w:r w:rsidRPr="00CE419E">
              <w:rPr>
                <w:rFonts w:ascii="Times New Roman" w:hAnsi="Times New Roman"/>
                <w:sz w:val="20"/>
                <w:szCs w:val="20"/>
              </w:rPr>
              <w:fldChar w:fldCharType="begin"/>
            </w:r>
            <w:r w:rsidRPr="00CE419E">
              <w:rPr>
                <w:rFonts w:ascii="Times New Roman" w:hAnsi="Times New Roman"/>
                <w:sz w:val="20"/>
                <w:szCs w:val="20"/>
              </w:rPr>
              <w:instrText xml:space="preserve"> =SUM(ABOVE) </w:instrText>
            </w:r>
            <w:r w:rsidRPr="00CE419E">
              <w:rPr>
                <w:rFonts w:ascii="Times New Roman" w:hAnsi="Times New Roman"/>
                <w:sz w:val="20"/>
                <w:szCs w:val="20"/>
              </w:rPr>
              <w:fldChar w:fldCharType="separate"/>
            </w:r>
            <w:r w:rsidRPr="00CE419E">
              <w:rPr>
                <w:rFonts w:ascii="Times New Roman" w:hAnsi="Times New Roman"/>
                <w:sz w:val="20"/>
                <w:szCs w:val="20"/>
              </w:rPr>
              <w:t>2,429,420</w:t>
            </w:r>
            <w:r w:rsidRPr="00CE419E">
              <w:rPr>
                <w:rFonts w:ascii="Times New Roman" w:hAnsi="Times New Roman"/>
                <w:sz w:val="20"/>
                <w:szCs w:val="20"/>
              </w:rPr>
              <w:fldChar w:fldCharType="end"/>
            </w:r>
          </w:p>
        </w:tc>
      </w:tr>
    </w:tbl>
    <w:p w:rsidR="00CE419E" w:rsidRPr="00CE419E" w:rsidP="00CE419E" w14:paraId="04217494"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vertAlign w:val="superscript"/>
        </w:rPr>
        <w:t>1</w:t>
      </w:r>
      <w:r w:rsidRPr="00CE419E">
        <w:rPr>
          <w:rFonts w:ascii="Times New Roman" w:hAnsi="Times New Roman"/>
          <w:sz w:val="20"/>
          <w:szCs w:val="20"/>
        </w:rPr>
        <w:t xml:space="preserve"> The recordkeeping requirement includes the requirement to retain, notify third parties, the Federal government, or the public of the existence of such records; disclose such records to third parties, the Federal government, or the public; or report to third parties, the Federal government, or the public regarding such records.  See 44 U.S.C. 3502(13); 5 CFR 1320.3(m).</w:t>
      </w:r>
    </w:p>
    <w:p w:rsidR="00CE419E" w:rsidRPr="00CE419E" w:rsidP="00CE419E" w14:paraId="1281FB48" w14:textId="77777777">
      <w:pPr>
        <w:autoSpaceDE w:val="0"/>
        <w:autoSpaceDN w:val="0"/>
        <w:adjustRightInd w:val="0"/>
        <w:spacing w:after="0" w:line="240" w:lineRule="auto"/>
        <w:rPr>
          <w:rFonts w:ascii="Times New Roman" w:hAnsi="Times New Roman"/>
          <w:sz w:val="20"/>
          <w:szCs w:val="20"/>
        </w:rPr>
      </w:pPr>
      <w:r w:rsidRPr="00CE419E">
        <w:rPr>
          <w:rFonts w:ascii="Times New Roman" w:hAnsi="Times New Roman"/>
          <w:sz w:val="20"/>
          <w:szCs w:val="20"/>
          <w:vertAlign w:val="superscript"/>
        </w:rPr>
        <w:t>2</w:t>
      </w:r>
      <w:r w:rsidRPr="00CE419E">
        <w:rPr>
          <w:rFonts w:ascii="Times New Roman" w:hAnsi="Times New Roman"/>
          <w:sz w:val="20"/>
          <w:szCs w:val="20"/>
        </w:rPr>
        <w:t xml:space="preserve"> We regard activities established in section 582(b)-(e) of the FD&amp;C Act (21 U.S.C. 360eee-1(b)-(e)) to be usual and customary for respondents to the information collection.</w:t>
      </w:r>
    </w:p>
    <w:p w:rsidR="00CE419E" w:rsidRPr="00CE419E" w:rsidP="00CE419E" w14:paraId="1F91A9E5" w14:textId="77777777">
      <w:pPr>
        <w:autoSpaceDE w:val="0"/>
        <w:autoSpaceDN w:val="0"/>
        <w:adjustRightInd w:val="0"/>
        <w:spacing w:after="0" w:line="240" w:lineRule="auto"/>
        <w:jc w:val="center"/>
        <w:rPr>
          <w:rFonts w:ascii="Times New Roman" w:hAnsi="Times New Roman"/>
          <w:sz w:val="20"/>
          <w:szCs w:val="20"/>
        </w:rPr>
      </w:pPr>
    </w:p>
    <w:p w:rsidR="00CE419E" w:rsidRPr="00CE419E" w:rsidP="00CE419E" w14:paraId="322F7B42" w14:textId="77777777">
      <w:pPr>
        <w:autoSpaceDE w:val="0"/>
        <w:autoSpaceDN w:val="0"/>
        <w:adjustRightInd w:val="0"/>
        <w:spacing w:after="0" w:line="240" w:lineRule="auto"/>
        <w:rPr>
          <w:rFonts w:ascii="Times New Roman" w:hAnsi="Times New Roman"/>
          <w:sz w:val="24"/>
          <w:szCs w:val="24"/>
        </w:rPr>
      </w:pPr>
      <w:r w:rsidRPr="00CE419E">
        <w:rPr>
          <w:rFonts w:ascii="Times New Roman" w:hAnsi="Times New Roman"/>
          <w:sz w:val="24"/>
          <w:szCs w:val="24"/>
        </w:rPr>
        <w:t xml:space="preserve">As reflected in table 2, the provisions in sections 582(b) through (e) require ongoing recordkeeping that documents product identification, tracing information, and verification activities.  Records are to be produced to FDA within 24 hours of a request, consistent with section 582.  Each category of respondent (manufacturer, distributer, wholesaler, repackager) may expend varying degrees of time, effort, or financial resources to generate, maintain, retain, notify, or disclose such records commensurate with the corresponding tasks prescribed for that </w:t>
      </w:r>
      <w:r w:rsidRPr="00CE419E">
        <w:rPr>
          <w:rFonts w:ascii="Times New Roman" w:hAnsi="Times New Roman"/>
          <w:sz w:val="24"/>
          <w:szCs w:val="24"/>
        </w:rPr>
        <w:t>category.  Data elements required to be documented and disclosed are defined in section 581 and set forth in section 582 of the FD&amp;C Act.  A significant portion of recordkeeping activity pertains to product identification and product tracing.  Verification activities comprise another significant portion of activity, where respondents expend time, effort, or financial resources respective to their role.  Although we have quantified what we believe to be the average amount of time, effort, or financial resources expended cumulatively by respondents, we regard these recordkeeping activities as usual and customary and exclude them from our burden approval request submitted to OMB, consistent with 5 CFR 1320.3(b)(2).</w:t>
      </w:r>
    </w:p>
    <w:p w:rsidR="00CE419E" w:rsidRPr="00CE419E" w:rsidP="00CE419E" w14:paraId="62986073" w14:textId="77777777">
      <w:pPr>
        <w:autoSpaceDE w:val="0"/>
        <w:autoSpaceDN w:val="0"/>
        <w:adjustRightInd w:val="0"/>
        <w:spacing w:after="0" w:line="240" w:lineRule="auto"/>
        <w:rPr>
          <w:rFonts w:ascii="Times New Roman" w:hAnsi="Times New Roman"/>
          <w:i/>
          <w:iCs/>
          <w:sz w:val="24"/>
          <w:szCs w:val="24"/>
        </w:rPr>
      </w:pPr>
    </w:p>
    <w:p w:rsidR="00CE419E" w:rsidRPr="00CE419E" w:rsidP="00CE419E" w14:paraId="0AB914F1" w14:textId="77777777">
      <w:pPr>
        <w:autoSpaceDE w:val="0"/>
        <w:autoSpaceDN w:val="0"/>
        <w:adjustRightInd w:val="0"/>
        <w:spacing w:after="0" w:line="240" w:lineRule="auto"/>
        <w:rPr>
          <w:rFonts w:ascii="Times New Roman" w:hAnsi="Times New Roman"/>
          <w:sz w:val="24"/>
          <w:szCs w:val="24"/>
        </w:rPr>
      </w:pPr>
      <w:r w:rsidRPr="00CE419E">
        <w:rPr>
          <w:rFonts w:ascii="Times New Roman" w:hAnsi="Times New Roman"/>
          <w:i/>
          <w:iCs/>
          <w:sz w:val="24"/>
          <w:szCs w:val="24"/>
        </w:rPr>
        <w:t>Product tracing and product identification</w:t>
      </w:r>
    </w:p>
    <w:p w:rsidR="00CE419E" w:rsidRPr="00CE419E" w:rsidP="00CE419E" w14:paraId="79650A02" w14:textId="77777777">
      <w:pPr>
        <w:autoSpaceDE w:val="0"/>
        <w:autoSpaceDN w:val="0"/>
        <w:adjustRightInd w:val="0"/>
        <w:spacing w:after="0" w:line="240" w:lineRule="auto"/>
        <w:rPr>
          <w:rFonts w:ascii="Times New Roman" w:hAnsi="Times New Roman"/>
          <w:sz w:val="24"/>
          <w:szCs w:val="24"/>
        </w:rPr>
      </w:pPr>
    </w:p>
    <w:p w:rsidR="00CE419E" w:rsidRPr="00CE419E" w:rsidP="00CE419E" w14:paraId="343DF23A" w14:textId="77777777">
      <w:pPr>
        <w:autoSpaceDE w:val="0"/>
        <w:autoSpaceDN w:val="0"/>
        <w:adjustRightInd w:val="0"/>
        <w:spacing w:after="0" w:line="240" w:lineRule="auto"/>
        <w:rPr>
          <w:rFonts w:ascii="Times New Roman" w:hAnsi="Times New Roman"/>
          <w:sz w:val="24"/>
          <w:szCs w:val="24"/>
        </w:rPr>
      </w:pPr>
      <w:r w:rsidRPr="00CE419E">
        <w:rPr>
          <w:rFonts w:ascii="Times New Roman" w:hAnsi="Times New Roman"/>
          <w:sz w:val="24"/>
          <w:szCs w:val="24"/>
        </w:rPr>
        <w:t>Information exchange activities with authorized trading partners as contemplated by section 582 of the FD&amp;C Act include:  (1) providing the transaction information, the transaction history (when applicable), and transaction statement (T3) to the subsequent purchaser, providing relevant transaction information, transaction history, and transaction statement upon a request for information from FDA or other appropriate Federal or State officials if a recall or investigation of suspect or illegitimate product occurs, and, after the Statutory Date, facilitating the gathering of information necessary to produce the transaction information for each transaction</w:t>
      </w:r>
      <w:r>
        <w:rPr>
          <w:rFonts w:ascii="Times New Roman" w:hAnsi="Times New Roman"/>
          <w:sz w:val="24"/>
          <w:szCs w:val="24"/>
          <w:vertAlign w:val="superscript"/>
        </w:rPr>
        <w:footnoteReference w:id="3"/>
      </w:r>
      <w:r w:rsidRPr="00CE419E">
        <w:rPr>
          <w:rFonts w:ascii="Times New Roman" w:hAnsi="Times New Roman"/>
          <w:sz w:val="24"/>
          <w:szCs w:val="24"/>
        </w:rPr>
        <w:t xml:space="preserve"> going back to the manufacturer</w:t>
      </w:r>
      <w:r w:rsidRPr="00CE419E">
        <w:rPr>
          <w:rFonts w:ascii="Times New Roman" w:hAnsi="Times New Roman"/>
          <w:sz w:val="24"/>
          <w:szCs w:val="24"/>
          <w:vertAlign w:val="superscript"/>
        </w:rPr>
        <w:t xml:space="preserve"> </w:t>
      </w:r>
      <w:r w:rsidRPr="00CE419E">
        <w:rPr>
          <w:rFonts w:ascii="Times New Roman" w:hAnsi="Times New Roman"/>
          <w:sz w:val="24"/>
          <w:szCs w:val="24"/>
        </w:rPr>
        <w:t xml:space="preserve"> at an authorized trading partner’s request, or at the request of FDA or other appropriate Federal or State officials; and (2) capturing and maintaining transaction information, transaction history, and transaction statements for each transaction for not less than 6 years after the transaction.  Product identification activities include the requirement that manufacturers and repackagers affix or imprint a product identifier to each package and homogeneous case of products that they intend to be introduced in a transaction into commerce and that they maintain product identifier information for each package and homogeneous case of product for not less than 6 years.</w:t>
      </w:r>
    </w:p>
    <w:p w:rsidR="00CE419E" w:rsidRPr="00CE419E" w:rsidP="00CE419E" w14:paraId="47826C84" w14:textId="77777777">
      <w:pPr>
        <w:autoSpaceDE w:val="0"/>
        <w:autoSpaceDN w:val="0"/>
        <w:adjustRightInd w:val="0"/>
        <w:spacing w:after="0" w:line="240" w:lineRule="auto"/>
        <w:rPr>
          <w:rFonts w:ascii="Times New Roman" w:hAnsi="Times New Roman"/>
          <w:i/>
          <w:iCs/>
          <w:sz w:val="24"/>
          <w:szCs w:val="24"/>
        </w:rPr>
      </w:pPr>
    </w:p>
    <w:p w:rsidR="00CE419E" w:rsidRPr="00CE419E" w:rsidP="00CE419E" w14:paraId="7189EECC" w14:textId="77777777">
      <w:pPr>
        <w:autoSpaceDE w:val="0"/>
        <w:autoSpaceDN w:val="0"/>
        <w:adjustRightInd w:val="0"/>
        <w:spacing w:after="0" w:line="240" w:lineRule="auto"/>
        <w:rPr>
          <w:rFonts w:ascii="Times New Roman" w:hAnsi="Times New Roman"/>
          <w:sz w:val="24"/>
          <w:szCs w:val="24"/>
        </w:rPr>
      </w:pPr>
      <w:r w:rsidRPr="00CE419E">
        <w:rPr>
          <w:rFonts w:ascii="Times New Roman" w:hAnsi="Times New Roman"/>
          <w:i/>
          <w:iCs/>
          <w:sz w:val="24"/>
          <w:szCs w:val="24"/>
        </w:rPr>
        <w:t>Verification activities</w:t>
      </w:r>
    </w:p>
    <w:p w:rsidR="00CE419E" w:rsidRPr="00CE419E" w:rsidP="00CE419E" w14:paraId="539B090F" w14:textId="77777777">
      <w:pPr>
        <w:autoSpaceDE w:val="0"/>
        <w:autoSpaceDN w:val="0"/>
        <w:adjustRightInd w:val="0"/>
        <w:spacing w:after="0" w:line="240" w:lineRule="auto"/>
        <w:rPr>
          <w:rFonts w:ascii="Times New Roman" w:hAnsi="Times New Roman"/>
          <w:sz w:val="24"/>
          <w:szCs w:val="24"/>
        </w:rPr>
      </w:pPr>
    </w:p>
    <w:p w:rsidR="00CE419E" w:rsidRPr="00CE419E" w:rsidP="00CE419E" w14:paraId="7DB77583" w14:textId="77777777">
      <w:pPr>
        <w:autoSpaceDE w:val="0"/>
        <w:autoSpaceDN w:val="0"/>
        <w:adjustRightInd w:val="0"/>
        <w:spacing w:after="0" w:line="240" w:lineRule="auto"/>
        <w:rPr>
          <w:rFonts w:ascii="Times New Roman" w:hAnsi="Times New Roman"/>
          <w:sz w:val="24"/>
          <w:szCs w:val="24"/>
        </w:rPr>
      </w:pPr>
      <w:r w:rsidRPr="00CE419E">
        <w:rPr>
          <w:rFonts w:ascii="Times New Roman" w:hAnsi="Times New Roman"/>
          <w:sz w:val="24"/>
          <w:szCs w:val="24"/>
        </w:rPr>
        <w:t>Verification activities include:  (1) coordinating with other trading partners during an investigation of a suspect product to determine whether the product is illegitimate; (2) for manufacturers and repackagers, responding to trading partners’ requests for verification of product identifiers; (3) maintaining records of suspect product investigations and disposition of illegitimate product for not less than 6 years; (4) identifying suspect product; (5) quarantining suspect and illegitimate product; (6) investigating suspect product; (7) notifying FDA of suspect product that is determined not to be illegitimate product (when applicable); (8) processing saleable returns; and (9) establishing systems and processes to comply with all of these requirements.</w:t>
      </w:r>
    </w:p>
    <w:p w:rsidR="00B92F3B" w:rsidP="00CE419E" w14:paraId="2681E032" w14:textId="77777777">
      <w:pPr>
        <w:autoSpaceDE w:val="0"/>
        <w:autoSpaceDN w:val="0"/>
        <w:adjustRightInd w:val="0"/>
        <w:spacing w:after="0" w:line="240" w:lineRule="auto"/>
        <w:rPr>
          <w:rFonts w:ascii="Times New Roman" w:hAnsi="Times New Roman"/>
          <w:sz w:val="24"/>
          <w:szCs w:val="24"/>
        </w:rPr>
      </w:pPr>
    </w:p>
    <w:p w:rsidR="00CE419E" w:rsidRPr="00CE419E" w:rsidP="00CE419E" w14:paraId="02242678" w14:textId="162F0FE7">
      <w:pPr>
        <w:autoSpaceDE w:val="0"/>
        <w:autoSpaceDN w:val="0"/>
        <w:adjustRightInd w:val="0"/>
        <w:spacing w:after="0" w:line="240" w:lineRule="auto"/>
        <w:rPr>
          <w:rFonts w:ascii="Times New Roman" w:hAnsi="Times New Roman"/>
          <w:sz w:val="24"/>
          <w:szCs w:val="24"/>
        </w:rPr>
      </w:pPr>
      <w:r w:rsidRPr="00CE419E">
        <w:rPr>
          <w:rFonts w:ascii="Times New Roman" w:hAnsi="Times New Roman"/>
          <w:sz w:val="24"/>
          <w:szCs w:val="24"/>
        </w:rPr>
        <w:t>We assume manufacturers, repackagers and wholesale distributors will already have systems and processes to comply with many of these requirements.  Such systems will therefore only need to be updated to ensure full compliance with the DSCSA.  We also anticipate that a chain pharmacy will develop the required systems and processes centrally at its headquarters or at its distribution centers and then distribute to each pharmacy.</w:t>
      </w:r>
    </w:p>
    <w:p w:rsidR="00CE419E" w:rsidRPr="00CE419E" w:rsidP="00CE419E" w14:paraId="3FE47115" w14:textId="77777777">
      <w:pPr>
        <w:autoSpaceDE w:val="0"/>
        <w:autoSpaceDN w:val="0"/>
        <w:adjustRightInd w:val="0"/>
        <w:spacing w:after="0" w:line="240" w:lineRule="auto"/>
        <w:rPr>
          <w:rFonts w:ascii="Times New Roman" w:hAnsi="Times New Roman"/>
          <w:sz w:val="24"/>
          <w:szCs w:val="24"/>
        </w:rPr>
      </w:pPr>
    </w:p>
    <w:p w:rsidR="00CE419E" w:rsidRPr="00CE419E" w:rsidP="00CE419E" w14:paraId="39D301E8" w14:textId="34BCA669">
      <w:pPr>
        <w:autoSpaceDE w:val="0"/>
        <w:autoSpaceDN w:val="0"/>
        <w:adjustRightInd w:val="0"/>
        <w:spacing w:after="0" w:line="240" w:lineRule="auto"/>
        <w:rPr>
          <w:rFonts w:ascii="Times New Roman" w:hAnsi="Times New Roman"/>
          <w:i/>
          <w:iCs/>
          <w:sz w:val="24"/>
          <w:szCs w:val="24"/>
        </w:rPr>
      </w:pPr>
      <w:r w:rsidRPr="00CE419E">
        <w:rPr>
          <w:rFonts w:ascii="Times New Roman" w:hAnsi="Times New Roman"/>
          <w:sz w:val="24"/>
          <w:szCs w:val="24"/>
        </w:rPr>
        <w:t xml:space="preserve"> </w:t>
      </w:r>
      <w:r w:rsidRPr="00CE419E">
        <w:rPr>
          <w:rFonts w:ascii="Times New Roman" w:hAnsi="Times New Roman"/>
          <w:sz w:val="24"/>
          <w:szCs w:val="24"/>
        </w:rPr>
        <w:tab/>
      </w:r>
      <w:r w:rsidRPr="00CE419E">
        <w:rPr>
          <w:rFonts w:ascii="Times New Roman" w:hAnsi="Times New Roman"/>
          <w:i/>
          <w:iCs/>
          <w:sz w:val="24"/>
          <w:szCs w:val="24"/>
        </w:rPr>
        <w:t>12b.  Annualized Cost Estimate</w:t>
      </w:r>
    </w:p>
    <w:p w:rsidR="00CE419E" w:rsidRPr="00CE419E" w:rsidP="00CE419E" w14:paraId="6EFCF280" w14:textId="77777777">
      <w:pPr>
        <w:spacing w:after="0" w:line="240" w:lineRule="auto"/>
        <w:rPr>
          <w:rFonts w:ascii="Times New Roman" w:hAnsi="Times New Roman"/>
          <w:sz w:val="24"/>
          <w:szCs w:val="24"/>
        </w:rPr>
      </w:pPr>
    </w:p>
    <w:p w:rsidR="00CE419E" w:rsidRPr="00CE419E" w:rsidP="00CE419E" w14:paraId="78F014CE" w14:textId="77777777">
      <w:pPr>
        <w:autoSpaceDE w:val="0"/>
        <w:autoSpaceDN w:val="0"/>
        <w:adjustRightInd w:val="0"/>
        <w:spacing w:after="0" w:line="240" w:lineRule="auto"/>
        <w:rPr>
          <w:rFonts w:ascii="Times New Roman" w:eastAsia="Times New Roman" w:hAnsi="Times New Roman"/>
          <w:sz w:val="24"/>
          <w:szCs w:val="24"/>
        </w:rPr>
      </w:pPr>
      <w:r w:rsidRPr="00CE419E">
        <w:rPr>
          <w:rFonts w:ascii="Times New Roman" w:eastAsia="Times New Roman" w:hAnsi="Times New Roman"/>
          <w:sz w:val="24"/>
          <w:szCs w:val="24"/>
        </w:rPr>
        <w:t>Assuming an average wage rate of $120 per hour (using the Bureau of Labor Statistics data for positions ranging from pharmacists to distributors) and multiplying that figure by the annual burden hours we calculate an estimated cost to respondents of $292,376,400 (7,050+2,429,420</w:t>
      </w:r>
    </w:p>
    <w:p w:rsidR="006E1D42" w:rsidP="00CE419E" w14:paraId="2A6AD455" w14:textId="6D43EF5D">
      <w:pPr>
        <w:spacing w:after="0" w:line="240" w:lineRule="auto"/>
        <w:rPr>
          <w:rFonts w:ascii="Times New Roman" w:eastAsia="Times New Roman" w:hAnsi="Times New Roman"/>
          <w:sz w:val="24"/>
          <w:szCs w:val="24"/>
        </w:rPr>
      </w:pPr>
      <w:r w:rsidRPr="00CE419E">
        <w:rPr>
          <w:rFonts w:ascii="Times New Roman" w:eastAsia="Times New Roman" w:hAnsi="Times New Roman"/>
          <w:sz w:val="24"/>
          <w:szCs w:val="24"/>
        </w:rPr>
        <w:t xml:space="preserve">=2,436,470). </w:t>
      </w:r>
      <w:bookmarkStart w:id="1" w:name="_Hlk70055719"/>
    </w:p>
    <w:p w:rsidR="003F4174" w:rsidRPr="00CE419E" w:rsidP="00CE419E" w14:paraId="3F0B7932" w14:textId="77777777">
      <w:pPr>
        <w:spacing w:after="0" w:line="240" w:lineRule="auto"/>
        <w:rPr>
          <w:rFonts w:ascii="Times New Roman" w:eastAsia="Times New Roman" w:hAnsi="Times New Roman"/>
          <w:sz w:val="24"/>
          <w:szCs w:val="24"/>
        </w:rPr>
      </w:pPr>
    </w:p>
    <w:bookmarkEnd w:id="1"/>
    <w:p w:rsidR="00A259A6" w:rsidRPr="00425750" w:rsidP="00C768FF" w14:paraId="3377978F" w14:textId="078E67B8">
      <w:pPr>
        <w:spacing w:after="0" w:line="240" w:lineRule="auto"/>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u w:val="single"/>
        </w:rPr>
        <w:t>Estimates of Other Total Annual Cost Burden to Respondents and/or Recordkeepers/Capital Costs</w:t>
      </w:r>
    </w:p>
    <w:p w:rsidR="00B7342E" w:rsidRPr="00B7342E" w:rsidP="00B7342E" w14:paraId="4E54DF7E" w14:textId="77777777">
      <w:pPr>
        <w:spacing w:after="0" w:line="240" w:lineRule="auto"/>
        <w:rPr>
          <w:rFonts w:ascii="Times New Roman" w:hAnsi="Times New Roman"/>
          <w:sz w:val="24"/>
          <w:szCs w:val="24"/>
        </w:rPr>
      </w:pPr>
    </w:p>
    <w:p w:rsidR="00725224" w:rsidP="00B7342E" w14:paraId="0EBFF9B9" w14:textId="21F49009">
      <w:pPr>
        <w:spacing w:after="0" w:line="240" w:lineRule="auto"/>
        <w:rPr>
          <w:rFonts w:ascii="Times New Roman" w:hAnsi="Times New Roman"/>
          <w:sz w:val="24"/>
          <w:szCs w:val="24"/>
        </w:rPr>
      </w:pPr>
      <w:r w:rsidRPr="00B7342E">
        <w:rPr>
          <w:rFonts w:ascii="Times New Roman" w:hAnsi="Times New Roman"/>
          <w:sz w:val="24"/>
          <w:szCs w:val="24"/>
        </w:rPr>
        <w:t xml:space="preserve">Estimated Annual Operating and Maintenance (O&amp;M) Costs Associated with the </w:t>
      </w:r>
      <w:r>
        <w:rPr>
          <w:rFonts w:ascii="Times New Roman" w:hAnsi="Times New Roman"/>
          <w:sz w:val="24"/>
          <w:szCs w:val="24"/>
        </w:rPr>
        <w:t xml:space="preserve">Enhanced </w:t>
      </w:r>
      <w:r w:rsidRPr="00B7342E">
        <w:rPr>
          <w:rFonts w:ascii="Times New Roman" w:hAnsi="Times New Roman"/>
          <w:sz w:val="24"/>
          <w:szCs w:val="24"/>
        </w:rPr>
        <w:t>Security and Product Identifier Requirements</w:t>
      </w:r>
      <w:r w:rsidRPr="00B7342E">
        <w:rPr>
          <w:rFonts w:ascii="Times New Roman" w:hAnsi="Times New Roman"/>
          <w:sz w:val="24"/>
          <w:szCs w:val="24"/>
        </w:rPr>
        <w:t xml:space="preserve"> </w:t>
      </w:r>
    </w:p>
    <w:p w:rsidR="00B7342E" w:rsidRPr="00B7342E" w:rsidP="00B7342E" w14:paraId="290EC402" w14:textId="038ED67E">
      <w:pPr>
        <w:spacing w:after="0" w:line="240" w:lineRule="auto"/>
        <w:rPr>
          <w:rFonts w:ascii="Times New Roman" w:hAnsi="Times New Roman"/>
          <w:sz w:val="24"/>
          <w:szCs w:val="24"/>
        </w:rPr>
      </w:pPr>
    </w:p>
    <w:tbl>
      <w:tblPr>
        <w:tblStyle w:val="TableGrid"/>
        <w:tblpPr w:leftFromText="180" w:rightFromText="180" w:vertAnchor="text" w:horzAnchor="page" w:tblpX="1496" w:tblpY="-28"/>
        <w:tblW w:w="0" w:type="auto"/>
        <w:tblLayout w:type="fixed"/>
        <w:tblLook w:val="04A0"/>
      </w:tblPr>
      <w:tblGrid>
        <w:gridCol w:w="3870"/>
        <w:gridCol w:w="1440"/>
        <w:gridCol w:w="1620"/>
        <w:gridCol w:w="2245"/>
      </w:tblGrid>
      <w:tr w14:paraId="7C76899D" w14:textId="77777777" w:rsidTr="003D7A47">
        <w:tblPrEx>
          <w:tblW w:w="0" w:type="auto"/>
          <w:tblLayout w:type="fixed"/>
          <w:tblLook w:val="04A0"/>
        </w:tblPrEx>
        <w:trPr>
          <w:tblHeader/>
        </w:trPr>
        <w:tc>
          <w:tcPr>
            <w:tcW w:w="3870" w:type="dxa"/>
          </w:tcPr>
          <w:p w:rsidR="00B7342E" w:rsidRPr="00B7342E" w:rsidP="00B7342E" w14:paraId="36825565" w14:textId="77777777">
            <w:pPr>
              <w:spacing w:after="0" w:line="240" w:lineRule="auto"/>
              <w:rPr>
                <w:rFonts w:ascii="Times New Roman" w:hAnsi="Times New Roman"/>
                <w:sz w:val="20"/>
                <w:szCs w:val="20"/>
              </w:rPr>
            </w:pPr>
            <w:r w:rsidRPr="00B7342E">
              <w:rPr>
                <w:rFonts w:ascii="Times New Roman" w:hAnsi="Times New Roman"/>
                <w:sz w:val="20"/>
                <w:szCs w:val="20"/>
              </w:rPr>
              <w:t>Category of Respondent</w:t>
            </w:r>
          </w:p>
        </w:tc>
        <w:tc>
          <w:tcPr>
            <w:tcW w:w="1440" w:type="dxa"/>
          </w:tcPr>
          <w:p w:rsidR="00B7342E" w:rsidRPr="00B7342E" w:rsidP="00B7342E" w14:paraId="4112E745" w14:textId="77777777">
            <w:pPr>
              <w:spacing w:after="0" w:line="240" w:lineRule="auto"/>
              <w:rPr>
                <w:rFonts w:ascii="Times New Roman" w:hAnsi="Times New Roman"/>
                <w:sz w:val="20"/>
                <w:szCs w:val="20"/>
              </w:rPr>
            </w:pPr>
            <w:r w:rsidRPr="00B7342E">
              <w:rPr>
                <w:rFonts w:ascii="Times New Roman" w:hAnsi="Times New Roman"/>
                <w:sz w:val="20"/>
                <w:szCs w:val="20"/>
              </w:rPr>
              <w:t>Number of Respondents</w:t>
            </w:r>
          </w:p>
        </w:tc>
        <w:tc>
          <w:tcPr>
            <w:tcW w:w="1620" w:type="dxa"/>
          </w:tcPr>
          <w:p w:rsidR="00B7342E" w:rsidRPr="00B7342E" w:rsidP="00B7342E" w14:paraId="0D3F2B45" w14:textId="77777777">
            <w:pPr>
              <w:spacing w:after="0" w:line="240" w:lineRule="auto"/>
              <w:rPr>
                <w:rFonts w:ascii="Times New Roman" w:hAnsi="Times New Roman"/>
                <w:sz w:val="20"/>
                <w:szCs w:val="20"/>
              </w:rPr>
            </w:pPr>
            <w:r w:rsidRPr="00B7342E">
              <w:rPr>
                <w:rFonts w:ascii="Times New Roman" w:hAnsi="Times New Roman"/>
                <w:sz w:val="20"/>
                <w:szCs w:val="20"/>
              </w:rPr>
              <w:t>Total O&amp;M per Respondent ($)</w:t>
            </w:r>
          </w:p>
        </w:tc>
        <w:tc>
          <w:tcPr>
            <w:tcW w:w="2245" w:type="dxa"/>
          </w:tcPr>
          <w:p w:rsidR="00B7342E" w:rsidRPr="00B7342E" w:rsidP="00B7342E" w14:paraId="4B6BAA71" w14:textId="77777777">
            <w:pPr>
              <w:spacing w:after="0" w:line="240" w:lineRule="auto"/>
              <w:rPr>
                <w:rFonts w:ascii="Times New Roman" w:hAnsi="Times New Roman"/>
                <w:sz w:val="20"/>
                <w:szCs w:val="20"/>
              </w:rPr>
            </w:pPr>
            <w:r w:rsidRPr="00B7342E">
              <w:rPr>
                <w:rFonts w:ascii="Times New Roman" w:hAnsi="Times New Roman"/>
                <w:sz w:val="20"/>
                <w:szCs w:val="20"/>
              </w:rPr>
              <w:t xml:space="preserve">Total O&amp;M Cost </w:t>
            </w:r>
          </w:p>
        </w:tc>
      </w:tr>
      <w:tr w14:paraId="2493D8E1" w14:textId="77777777" w:rsidTr="003D7A47">
        <w:tblPrEx>
          <w:tblW w:w="0" w:type="auto"/>
          <w:tblLayout w:type="fixed"/>
          <w:tblLook w:val="04A0"/>
        </w:tblPrEx>
        <w:trPr>
          <w:trHeight w:val="251"/>
        </w:trPr>
        <w:tc>
          <w:tcPr>
            <w:tcW w:w="3870" w:type="dxa"/>
          </w:tcPr>
          <w:p w:rsidR="00B7342E" w:rsidRPr="00B7342E" w:rsidP="00B7342E" w14:paraId="6A8A40B2" w14:textId="77777777">
            <w:pPr>
              <w:spacing w:after="0" w:line="240" w:lineRule="auto"/>
              <w:rPr>
                <w:rFonts w:ascii="Times New Roman" w:hAnsi="Times New Roman"/>
                <w:sz w:val="24"/>
                <w:szCs w:val="24"/>
              </w:rPr>
            </w:pPr>
            <w:r w:rsidRPr="00B7342E">
              <w:rPr>
                <w:rFonts w:ascii="Times New Roman" w:hAnsi="Times New Roman"/>
                <w:sz w:val="24"/>
                <w:szCs w:val="24"/>
              </w:rPr>
              <w:t>Manufacturers and Repackagers</w:t>
            </w:r>
          </w:p>
        </w:tc>
        <w:tc>
          <w:tcPr>
            <w:tcW w:w="1440" w:type="dxa"/>
          </w:tcPr>
          <w:p w:rsidR="00B7342E" w:rsidRPr="00B7342E" w:rsidP="00B7342E" w14:paraId="54E0E5D2" w14:textId="77777777">
            <w:pPr>
              <w:spacing w:after="0" w:line="240" w:lineRule="auto"/>
              <w:rPr>
                <w:rFonts w:ascii="Times New Roman" w:hAnsi="Times New Roman"/>
                <w:sz w:val="24"/>
                <w:szCs w:val="24"/>
              </w:rPr>
            </w:pPr>
            <w:r w:rsidRPr="00B7342E">
              <w:rPr>
                <w:rFonts w:ascii="Times New Roman" w:hAnsi="Times New Roman"/>
                <w:sz w:val="24"/>
                <w:szCs w:val="24"/>
              </w:rPr>
              <w:t>1,400</w:t>
            </w:r>
          </w:p>
        </w:tc>
        <w:tc>
          <w:tcPr>
            <w:tcW w:w="1620" w:type="dxa"/>
          </w:tcPr>
          <w:p w:rsidR="00B7342E" w:rsidRPr="00B7342E" w:rsidP="00B7342E" w14:paraId="52DD9E7A" w14:textId="77777777">
            <w:pPr>
              <w:spacing w:after="0" w:line="240" w:lineRule="auto"/>
              <w:rPr>
                <w:rFonts w:ascii="Times New Roman" w:hAnsi="Times New Roman"/>
                <w:sz w:val="24"/>
                <w:szCs w:val="24"/>
              </w:rPr>
            </w:pPr>
            <w:r w:rsidRPr="00B7342E">
              <w:rPr>
                <w:rFonts w:ascii="Times New Roman" w:hAnsi="Times New Roman"/>
                <w:sz w:val="24"/>
                <w:szCs w:val="24"/>
              </w:rPr>
              <w:t>70k</w:t>
            </w:r>
          </w:p>
        </w:tc>
        <w:tc>
          <w:tcPr>
            <w:tcW w:w="2245" w:type="dxa"/>
          </w:tcPr>
          <w:p w:rsidR="00B7342E" w:rsidRPr="00B7342E" w:rsidP="00B7342E" w14:paraId="1B158B75" w14:textId="77777777">
            <w:pPr>
              <w:spacing w:after="0" w:line="240" w:lineRule="auto"/>
              <w:rPr>
                <w:rFonts w:ascii="Times New Roman" w:hAnsi="Times New Roman"/>
                <w:sz w:val="24"/>
                <w:szCs w:val="24"/>
              </w:rPr>
            </w:pPr>
            <w:r w:rsidRPr="00B7342E">
              <w:rPr>
                <w:rFonts w:ascii="Times New Roman" w:hAnsi="Times New Roman"/>
                <w:sz w:val="24"/>
                <w:szCs w:val="24"/>
              </w:rPr>
              <w:t>98M</w:t>
            </w:r>
          </w:p>
        </w:tc>
      </w:tr>
      <w:tr w14:paraId="606CAB32" w14:textId="77777777" w:rsidTr="003D7A47">
        <w:tblPrEx>
          <w:tblW w:w="0" w:type="auto"/>
          <w:tblLayout w:type="fixed"/>
          <w:tblLook w:val="04A0"/>
        </w:tblPrEx>
        <w:trPr>
          <w:trHeight w:val="269"/>
        </w:trPr>
        <w:tc>
          <w:tcPr>
            <w:tcW w:w="3870" w:type="dxa"/>
            <w:tcBorders>
              <w:bottom w:val="single" w:sz="4" w:space="0" w:color="auto"/>
            </w:tcBorders>
          </w:tcPr>
          <w:p w:rsidR="00B7342E" w:rsidRPr="00B7342E" w:rsidP="00B7342E" w14:paraId="56F3ED41" w14:textId="77777777">
            <w:pPr>
              <w:spacing w:after="0" w:line="240" w:lineRule="auto"/>
              <w:rPr>
                <w:rFonts w:ascii="Times New Roman" w:hAnsi="Times New Roman"/>
                <w:sz w:val="24"/>
                <w:szCs w:val="24"/>
              </w:rPr>
            </w:pPr>
            <w:r w:rsidRPr="00B7342E">
              <w:rPr>
                <w:rFonts w:ascii="Times New Roman" w:hAnsi="Times New Roman"/>
                <w:sz w:val="24"/>
                <w:szCs w:val="24"/>
              </w:rPr>
              <w:t>Wholesale Distributors</w:t>
            </w:r>
          </w:p>
        </w:tc>
        <w:tc>
          <w:tcPr>
            <w:tcW w:w="1440" w:type="dxa"/>
            <w:tcBorders>
              <w:bottom w:val="single" w:sz="4" w:space="0" w:color="auto"/>
            </w:tcBorders>
          </w:tcPr>
          <w:p w:rsidR="00B7342E" w:rsidRPr="00B7342E" w:rsidP="00B7342E" w14:paraId="66E1B552" w14:textId="77777777">
            <w:pPr>
              <w:spacing w:after="0" w:line="240" w:lineRule="auto"/>
              <w:rPr>
                <w:rFonts w:ascii="Times New Roman" w:hAnsi="Times New Roman"/>
                <w:sz w:val="24"/>
                <w:szCs w:val="24"/>
              </w:rPr>
            </w:pPr>
            <w:r w:rsidRPr="00B7342E">
              <w:rPr>
                <w:rFonts w:ascii="Times New Roman" w:hAnsi="Times New Roman"/>
                <w:sz w:val="24"/>
                <w:szCs w:val="24"/>
              </w:rPr>
              <w:t>1,600</w:t>
            </w:r>
          </w:p>
        </w:tc>
        <w:tc>
          <w:tcPr>
            <w:tcW w:w="1620" w:type="dxa"/>
            <w:tcBorders>
              <w:bottom w:val="single" w:sz="4" w:space="0" w:color="auto"/>
            </w:tcBorders>
          </w:tcPr>
          <w:p w:rsidR="00B7342E" w:rsidRPr="00B7342E" w:rsidP="00B7342E" w14:paraId="7BF5FB67" w14:textId="77777777">
            <w:pPr>
              <w:spacing w:after="0" w:line="240" w:lineRule="auto"/>
              <w:rPr>
                <w:rFonts w:ascii="Times New Roman" w:hAnsi="Times New Roman"/>
                <w:sz w:val="24"/>
                <w:szCs w:val="24"/>
              </w:rPr>
            </w:pPr>
            <w:r w:rsidRPr="00B7342E">
              <w:rPr>
                <w:rFonts w:ascii="Times New Roman" w:hAnsi="Times New Roman"/>
                <w:sz w:val="24"/>
                <w:szCs w:val="24"/>
              </w:rPr>
              <w:t>86k</w:t>
            </w:r>
          </w:p>
        </w:tc>
        <w:tc>
          <w:tcPr>
            <w:tcW w:w="2245" w:type="dxa"/>
            <w:tcBorders>
              <w:bottom w:val="single" w:sz="4" w:space="0" w:color="auto"/>
            </w:tcBorders>
          </w:tcPr>
          <w:p w:rsidR="00B7342E" w:rsidRPr="00B7342E" w:rsidP="00B7342E" w14:paraId="26BA9ED9" w14:textId="77777777">
            <w:pPr>
              <w:spacing w:after="0" w:line="240" w:lineRule="auto"/>
              <w:rPr>
                <w:rFonts w:ascii="Times New Roman" w:hAnsi="Times New Roman"/>
                <w:sz w:val="24"/>
                <w:szCs w:val="24"/>
              </w:rPr>
            </w:pPr>
            <w:r w:rsidRPr="00B7342E">
              <w:rPr>
                <w:rFonts w:ascii="Times New Roman" w:hAnsi="Times New Roman"/>
                <w:sz w:val="24"/>
                <w:szCs w:val="24"/>
              </w:rPr>
              <w:t>137M</w:t>
            </w:r>
          </w:p>
        </w:tc>
      </w:tr>
      <w:tr w14:paraId="33937C20" w14:textId="77777777" w:rsidTr="003D7A47">
        <w:tblPrEx>
          <w:tblW w:w="0" w:type="auto"/>
          <w:tblLayout w:type="fixed"/>
          <w:tblLook w:val="04A0"/>
        </w:tblPrEx>
        <w:tc>
          <w:tcPr>
            <w:tcW w:w="3870" w:type="dxa"/>
            <w:tcBorders>
              <w:bottom w:val="nil"/>
            </w:tcBorders>
          </w:tcPr>
          <w:p w:rsidR="00B7342E" w:rsidRPr="00B7342E" w:rsidP="00B7342E" w14:paraId="43F07821" w14:textId="77777777">
            <w:pPr>
              <w:spacing w:after="0" w:line="240" w:lineRule="auto"/>
              <w:rPr>
                <w:rFonts w:ascii="Times New Roman" w:hAnsi="Times New Roman"/>
                <w:sz w:val="24"/>
                <w:szCs w:val="24"/>
              </w:rPr>
            </w:pPr>
            <w:r w:rsidRPr="00B7342E">
              <w:rPr>
                <w:rFonts w:ascii="Times New Roman" w:hAnsi="Times New Roman"/>
                <w:sz w:val="24"/>
                <w:szCs w:val="24"/>
              </w:rPr>
              <w:t>Dispensers:</w:t>
            </w:r>
          </w:p>
        </w:tc>
        <w:tc>
          <w:tcPr>
            <w:tcW w:w="1440" w:type="dxa"/>
            <w:tcBorders>
              <w:bottom w:val="nil"/>
            </w:tcBorders>
          </w:tcPr>
          <w:p w:rsidR="00B7342E" w:rsidRPr="00B7342E" w:rsidP="00B7342E" w14:paraId="7B3D5118" w14:textId="77777777">
            <w:pPr>
              <w:spacing w:after="0" w:line="240" w:lineRule="auto"/>
              <w:rPr>
                <w:rFonts w:ascii="Times New Roman" w:hAnsi="Times New Roman"/>
                <w:sz w:val="24"/>
                <w:szCs w:val="24"/>
              </w:rPr>
            </w:pPr>
          </w:p>
        </w:tc>
        <w:tc>
          <w:tcPr>
            <w:tcW w:w="1620" w:type="dxa"/>
            <w:tcBorders>
              <w:bottom w:val="nil"/>
            </w:tcBorders>
          </w:tcPr>
          <w:p w:rsidR="00B7342E" w:rsidRPr="00B7342E" w:rsidP="00B7342E" w14:paraId="7A5CEE04" w14:textId="77777777">
            <w:pPr>
              <w:spacing w:after="0" w:line="240" w:lineRule="auto"/>
              <w:rPr>
                <w:rFonts w:ascii="Times New Roman" w:hAnsi="Times New Roman"/>
                <w:sz w:val="24"/>
                <w:szCs w:val="24"/>
              </w:rPr>
            </w:pPr>
          </w:p>
        </w:tc>
        <w:tc>
          <w:tcPr>
            <w:tcW w:w="2245" w:type="dxa"/>
            <w:tcBorders>
              <w:bottom w:val="nil"/>
            </w:tcBorders>
          </w:tcPr>
          <w:p w:rsidR="00B7342E" w:rsidRPr="00B7342E" w:rsidP="00B7342E" w14:paraId="5A2409A9" w14:textId="77777777">
            <w:pPr>
              <w:spacing w:after="0" w:line="240" w:lineRule="auto"/>
              <w:rPr>
                <w:rFonts w:ascii="Times New Roman" w:hAnsi="Times New Roman"/>
                <w:sz w:val="24"/>
                <w:szCs w:val="24"/>
              </w:rPr>
            </w:pPr>
          </w:p>
        </w:tc>
      </w:tr>
      <w:tr w14:paraId="1A434634" w14:textId="77777777" w:rsidTr="003D7A47">
        <w:tblPrEx>
          <w:tblW w:w="0" w:type="auto"/>
          <w:tblLayout w:type="fixed"/>
          <w:tblLook w:val="04A0"/>
        </w:tblPrEx>
        <w:trPr>
          <w:trHeight w:val="269"/>
        </w:trPr>
        <w:tc>
          <w:tcPr>
            <w:tcW w:w="3870" w:type="dxa"/>
            <w:tcBorders>
              <w:top w:val="nil"/>
              <w:bottom w:val="nil"/>
            </w:tcBorders>
          </w:tcPr>
          <w:p w:rsidR="00B7342E" w:rsidRPr="00B7342E" w:rsidP="00B7342E" w14:paraId="3C0DA866" w14:textId="77777777">
            <w:pPr>
              <w:spacing w:after="0" w:line="240" w:lineRule="auto"/>
              <w:rPr>
                <w:rFonts w:ascii="Times New Roman" w:hAnsi="Times New Roman"/>
                <w:sz w:val="24"/>
                <w:szCs w:val="24"/>
              </w:rPr>
            </w:pPr>
            <w:r w:rsidRPr="00B7342E">
              <w:rPr>
                <w:rFonts w:ascii="Times New Roman" w:hAnsi="Times New Roman"/>
                <w:sz w:val="24"/>
                <w:szCs w:val="24"/>
              </w:rPr>
              <w:t xml:space="preserve">Chain Pharmacies </w:t>
            </w:r>
          </w:p>
        </w:tc>
        <w:tc>
          <w:tcPr>
            <w:tcW w:w="1440" w:type="dxa"/>
            <w:tcBorders>
              <w:top w:val="nil"/>
              <w:bottom w:val="nil"/>
            </w:tcBorders>
          </w:tcPr>
          <w:p w:rsidR="00B7342E" w:rsidRPr="00B7342E" w:rsidP="00B7342E" w14:paraId="7302238C" w14:textId="77777777">
            <w:pPr>
              <w:spacing w:after="0" w:line="240" w:lineRule="auto"/>
              <w:rPr>
                <w:rFonts w:ascii="Times New Roman" w:hAnsi="Times New Roman"/>
                <w:sz w:val="24"/>
                <w:szCs w:val="24"/>
              </w:rPr>
            </w:pPr>
            <w:r w:rsidRPr="00B7342E">
              <w:rPr>
                <w:rFonts w:ascii="Times New Roman" w:hAnsi="Times New Roman"/>
                <w:sz w:val="24"/>
                <w:szCs w:val="24"/>
              </w:rPr>
              <w:t>40,000</w:t>
            </w:r>
          </w:p>
        </w:tc>
        <w:tc>
          <w:tcPr>
            <w:tcW w:w="1620" w:type="dxa"/>
            <w:tcBorders>
              <w:top w:val="nil"/>
              <w:bottom w:val="nil"/>
            </w:tcBorders>
          </w:tcPr>
          <w:p w:rsidR="00B7342E" w:rsidRPr="00B7342E" w:rsidP="00B7342E" w14:paraId="341AB18A" w14:textId="77777777">
            <w:pPr>
              <w:spacing w:after="0" w:line="240" w:lineRule="auto"/>
              <w:rPr>
                <w:rFonts w:ascii="Times New Roman" w:hAnsi="Times New Roman"/>
                <w:sz w:val="24"/>
                <w:szCs w:val="24"/>
              </w:rPr>
            </w:pPr>
            <w:r w:rsidRPr="00B7342E">
              <w:rPr>
                <w:rFonts w:ascii="Times New Roman" w:hAnsi="Times New Roman"/>
                <w:sz w:val="24"/>
                <w:szCs w:val="24"/>
              </w:rPr>
              <w:t>2,000</w:t>
            </w:r>
          </w:p>
        </w:tc>
        <w:tc>
          <w:tcPr>
            <w:tcW w:w="2245" w:type="dxa"/>
            <w:tcBorders>
              <w:top w:val="nil"/>
              <w:bottom w:val="nil"/>
            </w:tcBorders>
          </w:tcPr>
          <w:p w:rsidR="00B7342E" w:rsidRPr="00B7342E" w:rsidP="00B7342E" w14:paraId="7F19C263" w14:textId="77777777">
            <w:pPr>
              <w:spacing w:after="0" w:line="240" w:lineRule="auto"/>
              <w:rPr>
                <w:rFonts w:ascii="Times New Roman" w:hAnsi="Times New Roman"/>
                <w:sz w:val="24"/>
                <w:szCs w:val="24"/>
              </w:rPr>
            </w:pPr>
            <w:r w:rsidRPr="00B7342E">
              <w:rPr>
                <w:rFonts w:ascii="Times New Roman" w:hAnsi="Times New Roman"/>
                <w:sz w:val="24"/>
                <w:szCs w:val="24"/>
              </w:rPr>
              <w:t>80M</w:t>
            </w:r>
          </w:p>
        </w:tc>
      </w:tr>
      <w:tr w14:paraId="74E7ACFE" w14:textId="77777777" w:rsidTr="003D7A47">
        <w:tblPrEx>
          <w:tblW w:w="0" w:type="auto"/>
          <w:tblLayout w:type="fixed"/>
          <w:tblLook w:val="04A0"/>
        </w:tblPrEx>
        <w:trPr>
          <w:trHeight w:val="269"/>
        </w:trPr>
        <w:tc>
          <w:tcPr>
            <w:tcW w:w="3870" w:type="dxa"/>
            <w:tcBorders>
              <w:top w:val="nil"/>
              <w:bottom w:val="single" w:sz="4" w:space="0" w:color="auto"/>
            </w:tcBorders>
          </w:tcPr>
          <w:p w:rsidR="00B7342E" w:rsidRPr="00B7342E" w:rsidP="00B7342E" w14:paraId="21E904A5" w14:textId="77777777">
            <w:pPr>
              <w:spacing w:after="0" w:line="240" w:lineRule="auto"/>
              <w:rPr>
                <w:rFonts w:ascii="Times New Roman" w:hAnsi="Times New Roman"/>
                <w:sz w:val="24"/>
                <w:szCs w:val="24"/>
              </w:rPr>
            </w:pPr>
            <w:r w:rsidRPr="00B7342E">
              <w:rPr>
                <w:rFonts w:ascii="Times New Roman" w:hAnsi="Times New Roman"/>
                <w:sz w:val="24"/>
                <w:szCs w:val="24"/>
              </w:rPr>
              <w:t xml:space="preserve">Other Pharmacies </w:t>
            </w:r>
          </w:p>
        </w:tc>
        <w:tc>
          <w:tcPr>
            <w:tcW w:w="1440" w:type="dxa"/>
            <w:tcBorders>
              <w:top w:val="nil"/>
              <w:bottom w:val="single" w:sz="4" w:space="0" w:color="auto"/>
            </w:tcBorders>
          </w:tcPr>
          <w:p w:rsidR="00B7342E" w:rsidRPr="00B7342E" w:rsidP="00B7342E" w14:paraId="0363F9EC" w14:textId="77777777">
            <w:pPr>
              <w:spacing w:after="0" w:line="240" w:lineRule="auto"/>
              <w:rPr>
                <w:rFonts w:ascii="Times New Roman" w:hAnsi="Times New Roman"/>
                <w:sz w:val="24"/>
                <w:szCs w:val="24"/>
              </w:rPr>
            </w:pPr>
            <w:r w:rsidRPr="00B7342E">
              <w:rPr>
                <w:rFonts w:ascii="Times New Roman" w:hAnsi="Times New Roman"/>
                <w:sz w:val="24"/>
                <w:szCs w:val="24"/>
              </w:rPr>
              <w:t>27,000</w:t>
            </w:r>
          </w:p>
        </w:tc>
        <w:tc>
          <w:tcPr>
            <w:tcW w:w="1620" w:type="dxa"/>
            <w:tcBorders>
              <w:top w:val="nil"/>
              <w:bottom w:val="single" w:sz="4" w:space="0" w:color="auto"/>
            </w:tcBorders>
          </w:tcPr>
          <w:p w:rsidR="00B7342E" w:rsidRPr="00B7342E" w:rsidP="00B7342E" w14:paraId="2D778D41" w14:textId="77777777">
            <w:pPr>
              <w:spacing w:after="0" w:line="240" w:lineRule="auto"/>
              <w:rPr>
                <w:rFonts w:ascii="Times New Roman" w:hAnsi="Times New Roman"/>
                <w:sz w:val="24"/>
                <w:szCs w:val="24"/>
              </w:rPr>
            </w:pPr>
            <w:r w:rsidRPr="00B7342E">
              <w:rPr>
                <w:rFonts w:ascii="Times New Roman" w:hAnsi="Times New Roman"/>
                <w:sz w:val="24"/>
                <w:szCs w:val="24"/>
              </w:rPr>
              <w:t>500</w:t>
            </w:r>
          </w:p>
        </w:tc>
        <w:tc>
          <w:tcPr>
            <w:tcW w:w="2245" w:type="dxa"/>
            <w:tcBorders>
              <w:top w:val="nil"/>
            </w:tcBorders>
          </w:tcPr>
          <w:p w:rsidR="00B7342E" w:rsidRPr="00B7342E" w:rsidP="00B7342E" w14:paraId="5E72CB22" w14:textId="77777777">
            <w:pPr>
              <w:spacing w:after="0" w:line="240" w:lineRule="auto"/>
              <w:rPr>
                <w:rFonts w:ascii="Times New Roman" w:hAnsi="Times New Roman"/>
                <w:sz w:val="24"/>
                <w:szCs w:val="24"/>
              </w:rPr>
            </w:pPr>
            <w:r w:rsidRPr="00B7342E">
              <w:rPr>
                <w:rFonts w:ascii="Times New Roman" w:hAnsi="Times New Roman"/>
                <w:sz w:val="24"/>
                <w:szCs w:val="24"/>
              </w:rPr>
              <w:t>13.5M</w:t>
            </w:r>
          </w:p>
        </w:tc>
      </w:tr>
      <w:tr w14:paraId="3CC962E7" w14:textId="77777777" w:rsidTr="003D7A47">
        <w:tblPrEx>
          <w:tblW w:w="0" w:type="auto"/>
          <w:tblLayout w:type="fixed"/>
          <w:tblLook w:val="04A0"/>
        </w:tblPrEx>
        <w:trPr>
          <w:trHeight w:val="269"/>
        </w:trPr>
        <w:tc>
          <w:tcPr>
            <w:tcW w:w="3870" w:type="dxa"/>
            <w:tcBorders>
              <w:top w:val="single" w:sz="4" w:space="0" w:color="auto"/>
              <w:bottom w:val="single" w:sz="4" w:space="0" w:color="auto"/>
              <w:right w:val="nil"/>
            </w:tcBorders>
          </w:tcPr>
          <w:p w:rsidR="00B7342E" w:rsidRPr="00B7342E" w:rsidP="00B7342E" w14:paraId="76E47DB6" w14:textId="77777777">
            <w:pPr>
              <w:spacing w:after="0" w:line="240" w:lineRule="auto"/>
              <w:rPr>
                <w:rFonts w:ascii="Times New Roman" w:hAnsi="Times New Roman"/>
                <w:sz w:val="24"/>
                <w:szCs w:val="24"/>
              </w:rPr>
            </w:pPr>
            <w:r w:rsidRPr="00B7342E">
              <w:rPr>
                <w:rFonts w:ascii="Times New Roman" w:hAnsi="Times New Roman"/>
                <w:sz w:val="24"/>
                <w:szCs w:val="24"/>
              </w:rPr>
              <w:t>Dispenser Subtotal</w:t>
            </w:r>
          </w:p>
        </w:tc>
        <w:tc>
          <w:tcPr>
            <w:tcW w:w="1440" w:type="dxa"/>
            <w:tcBorders>
              <w:top w:val="single" w:sz="4" w:space="0" w:color="auto"/>
              <w:left w:val="nil"/>
              <w:bottom w:val="single" w:sz="4" w:space="0" w:color="auto"/>
              <w:right w:val="nil"/>
            </w:tcBorders>
          </w:tcPr>
          <w:p w:rsidR="00B7342E" w:rsidRPr="00B7342E" w:rsidP="00B7342E" w14:paraId="36B7AF9F" w14:textId="77777777">
            <w:pPr>
              <w:spacing w:after="0" w:line="240" w:lineRule="auto"/>
              <w:rPr>
                <w:rFonts w:ascii="Times New Roman" w:hAnsi="Times New Roman"/>
                <w:sz w:val="24"/>
                <w:szCs w:val="24"/>
              </w:rPr>
            </w:pPr>
          </w:p>
        </w:tc>
        <w:tc>
          <w:tcPr>
            <w:tcW w:w="1620" w:type="dxa"/>
            <w:tcBorders>
              <w:top w:val="single" w:sz="4" w:space="0" w:color="auto"/>
              <w:left w:val="nil"/>
              <w:bottom w:val="single" w:sz="4" w:space="0" w:color="auto"/>
              <w:right w:val="nil"/>
            </w:tcBorders>
          </w:tcPr>
          <w:p w:rsidR="00B7342E" w:rsidRPr="00B7342E" w:rsidP="00B7342E" w14:paraId="3FD92E05" w14:textId="77777777">
            <w:pPr>
              <w:spacing w:after="0" w:line="240" w:lineRule="auto"/>
              <w:rPr>
                <w:rFonts w:ascii="Times New Roman" w:hAnsi="Times New Roman"/>
                <w:sz w:val="24"/>
                <w:szCs w:val="24"/>
              </w:rPr>
            </w:pPr>
          </w:p>
        </w:tc>
        <w:tc>
          <w:tcPr>
            <w:tcW w:w="2245" w:type="dxa"/>
            <w:tcBorders>
              <w:top w:val="nil"/>
              <w:left w:val="nil"/>
            </w:tcBorders>
          </w:tcPr>
          <w:p w:rsidR="00B7342E" w:rsidRPr="00B7342E" w:rsidP="00B7342E" w14:paraId="09C745B2" w14:textId="77777777">
            <w:pPr>
              <w:spacing w:after="0" w:line="240" w:lineRule="auto"/>
              <w:rPr>
                <w:rFonts w:ascii="Times New Roman" w:hAnsi="Times New Roman"/>
                <w:sz w:val="24"/>
                <w:szCs w:val="24"/>
              </w:rPr>
            </w:pPr>
            <w:r w:rsidRPr="00B7342E">
              <w:rPr>
                <w:rFonts w:ascii="Times New Roman" w:hAnsi="Times New Roman"/>
                <w:sz w:val="24"/>
                <w:szCs w:val="24"/>
              </w:rPr>
              <w:t>93.5M</w:t>
            </w:r>
          </w:p>
        </w:tc>
      </w:tr>
      <w:tr w14:paraId="61827B1B" w14:textId="77777777" w:rsidTr="003D7A47">
        <w:tblPrEx>
          <w:tblW w:w="0" w:type="auto"/>
          <w:tblLayout w:type="fixed"/>
          <w:tblLook w:val="04A0"/>
        </w:tblPrEx>
        <w:trPr>
          <w:trHeight w:val="152"/>
        </w:trPr>
        <w:tc>
          <w:tcPr>
            <w:tcW w:w="3870" w:type="dxa"/>
            <w:tcBorders>
              <w:right w:val="nil"/>
            </w:tcBorders>
          </w:tcPr>
          <w:p w:rsidR="00B7342E" w:rsidRPr="00B7342E" w:rsidP="00B7342E" w14:paraId="14E41C53" w14:textId="77777777">
            <w:pPr>
              <w:spacing w:after="0" w:line="240" w:lineRule="auto"/>
              <w:rPr>
                <w:rFonts w:ascii="Times New Roman" w:hAnsi="Times New Roman"/>
                <w:b/>
                <w:bCs/>
                <w:sz w:val="24"/>
                <w:szCs w:val="24"/>
              </w:rPr>
            </w:pPr>
            <w:r w:rsidRPr="00B7342E">
              <w:rPr>
                <w:rFonts w:ascii="Times New Roman" w:hAnsi="Times New Roman"/>
                <w:b/>
                <w:bCs/>
                <w:sz w:val="24"/>
                <w:szCs w:val="24"/>
              </w:rPr>
              <w:t>TOTAL O&amp;M Cost</w:t>
            </w:r>
          </w:p>
        </w:tc>
        <w:tc>
          <w:tcPr>
            <w:tcW w:w="1440" w:type="dxa"/>
            <w:tcBorders>
              <w:left w:val="nil"/>
              <w:right w:val="nil"/>
            </w:tcBorders>
          </w:tcPr>
          <w:p w:rsidR="00B7342E" w:rsidRPr="00B7342E" w:rsidP="00B7342E" w14:paraId="0E1F5EEB" w14:textId="77777777">
            <w:pPr>
              <w:spacing w:after="0" w:line="240" w:lineRule="auto"/>
              <w:rPr>
                <w:rFonts w:ascii="Times New Roman" w:hAnsi="Times New Roman"/>
                <w:b/>
                <w:bCs/>
                <w:sz w:val="24"/>
                <w:szCs w:val="24"/>
              </w:rPr>
            </w:pPr>
          </w:p>
        </w:tc>
        <w:tc>
          <w:tcPr>
            <w:tcW w:w="1620" w:type="dxa"/>
            <w:tcBorders>
              <w:left w:val="nil"/>
              <w:right w:val="nil"/>
            </w:tcBorders>
          </w:tcPr>
          <w:p w:rsidR="00B7342E" w:rsidRPr="00B7342E" w:rsidP="00B7342E" w14:paraId="64890AC7" w14:textId="77777777">
            <w:pPr>
              <w:spacing w:after="0" w:line="240" w:lineRule="auto"/>
              <w:rPr>
                <w:rFonts w:ascii="Times New Roman" w:hAnsi="Times New Roman"/>
                <w:b/>
                <w:bCs/>
                <w:sz w:val="24"/>
                <w:szCs w:val="24"/>
              </w:rPr>
            </w:pPr>
          </w:p>
        </w:tc>
        <w:tc>
          <w:tcPr>
            <w:tcW w:w="2245" w:type="dxa"/>
            <w:tcBorders>
              <w:left w:val="nil"/>
            </w:tcBorders>
          </w:tcPr>
          <w:p w:rsidR="00B7342E" w:rsidRPr="00B7342E" w:rsidP="00B7342E" w14:paraId="786F50FA" w14:textId="77777777">
            <w:pPr>
              <w:spacing w:after="0" w:line="240" w:lineRule="auto"/>
              <w:rPr>
                <w:rFonts w:ascii="Times New Roman" w:hAnsi="Times New Roman"/>
                <w:b/>
                <w:bCs/>
                <w:sz w:val="24"/>
                <w:szCs w:val="24"/>
              </w:rPr>
            </w:pPr>
            <w:r w:rsidRPr="00B7342E">
              <w:rPr>
                <w:rFonts w:ascii="Times New Roman" w:hAnsi="Times New Roman"/>
                <w:b/>
                <w:bCs/>
                <w:sz w:val="24"/>
                <w:szCs w:val="24"/>
              </w:rPr>
              <w:t>328.5M</w:t>
            </w:r>
          </w:p>
        </w:tc>
      </w:tr>
    </w:tbl>
    <w:p w:rsidR="00A259A6" w:rsidP="008E1A54" w14:paraId="33779791" w14:textId="77777777">
      <w:pPr>
        <w:spacing w:after="0" w:line="240" w:lineRule="auto"/>
        <w:rPr>
          <w:rFonts w:ascii="Times New Roman" w:hAnsi="Times New Roman"/>
          <w:sz w:val="24"/>
          <w:szCs w:val="24"/>
          <w:u w:val="single"/>
        </w:rPr>
      </w:pPr>
      <w:r>
        <w:rPr>
          <w:rFonts w:ascii="Times New Roman" w:hAnsi="Times New Roman"/>
          <w:sz w:val="24"/>
          <w:szCs w:val="24"/>
        </w:rPr>
        <w:t xml:space="preserve">14. </w:t>
      </w:r>
      <w:r>
        <w:rPr>
          <w:rFonts w:ascii="Times New Roman" w:hAnsi="Times New Roman"/>
          <w:sz w:val="24"/>
          <w:szCs w:val="24"/>
          <w:u w:val="single"/>
        </w:rPr>
        <w:t>Annualized Cost to the Federal Government</w:t>
      </w:r>
    </w:p>
    <w:p w:rsidR="00823A7B" w:rsidRPr="00CD3F4C" w:rsidP="00291CC5" w14:paraId="4B78F51E" w14:textId="061EFF10">
      <w:pPr>
        <w:spacing w:after="0" w:line="240" w:lineRule="auto"/>
        <w:rPr>
          <w:rFonts w:ascii="Times New Roman" w:hAnsi="Times New Roman"/>
          <w:b/>
          <w:bCs/>
          <w:sz w:val="24"/>
          <w:szCs w:val="24"/>
        </w:rPr>
      </w:pPr>
    </w:p>
    <w:p w:rsidR="004003AB" w:rsidP="00291CC5" w14:paraId="38F46BB1" w14:textId="0E473055">
      <w:pPr>
        <w:spacing w:after="0" w:line="240" w:lineRule="auto"/>
        <w:rPr>
          <w:rFonts w:ascii="Times New Roman" w:hAnsi="Times New Roman"/>
          <w:sz w:val="24"/>
          <w:szCs w:val="24"/>
        </w:rPr>
      </w:pPr>
      <w:r w:rsidRPr="006A77AB">
        <w:rPr>
          <w:rFonts w:ascii="Times New Roman" w:hAnsi="Times New Roman"/>
          <w:sz w:val="24"/>
          <w:szCs w:val="24"/>
        </w:rPr>
        <w:t>Based on current information received by FDA under these DSCSA provisions and considering efficiencies FDA observes with other electronic systems, FDA estimates that FDA will spend a total of approximately 22 hours annually reviewing the information submitted to the agency under this collection.  Assuming 2025 wage rates for a CDER employee in the Washington, DC area, we estimate an annual cost to the Federal Government of approximately $3,800</w:t>
      </w:r>
      <w:r>
        <w:rPr>
          <w:rFonts w:ascii="Times New Roman" w:hAnsi="Times New Roman"/>
          <w:sz w:val="24"/>
          <w:szCs w:val="24"/>
        </w:rPr>
        <w:t>.</w:t>
      </w:r>
    </w:p>
    <w:p w:rsidR="007651C3" w:rsidRPr="007651C3" w:rsidP="007651C3" w14:paraId="41BDB4D7" w14:textId="77777777">
      <w:pPr>
        <w:widowControl w:val="0"/>
        <w:spacing w:after="0" w:line="240" w:lineRule="auto"/>
        <w:rPr>
          <w:rFonts w:ascii="Times New Roman" w:eastAsia="Times New Roman" w:hAnsi="Times New Roman"/>
          <w:sz w:val="24"/>
          <w:szCs w:val="24"/>
        </w:rPr>
      </w:pPr>
    </w:p>
    <w:p w:rsidR="00A15007" w:rsidP="00346B83" w14:paraId="54F2DBBE" w14:textId="301E7064">
      <w:pPr>
        <w:spacing w:after="0" w:line="240" w:lineRule="auto"/>
        <w:rPr>
          <w:rFonts w:ascii="Times New Roman" w:hAnsi="Times New Roman"/>
          <w:sz w:val="24"/>
          <w:szCs w:val="24"/>
          <w:u w:val="single"/>
        </w:rPr>
      </w:pPr>
      <w:r w:rsidRPr="005D4030">
        <w:rPr>
          <w:rFonts w:ascii="Times New Roman" w:hAnsi="Times New Roman"/>
          <w:sz w:val="24"/>
          <w:szCs w:val="24"/>
        </w:rPr>
        <w:t>1</w:t>
      </w:r>
      <w:r w:rsidRPr="005D4030" w:rsidR="002221C9">
        <w:rPr>
          <w:rFonts w:ascii="Times New Roman" w:hAnsi="Times New Roman"/>
          <w:sz w:val="24"/>
          <w:szCs w:val="24"/>
        </w:rPr>
        <w:t xml:space="preserve">5. </w:t>
      </w:r>
      <w:r w:rsidRPr="005D4030" w:rsidR="00A259A6">
        <w:rPr>
          <w:rFonts w:ascii="Times New Roman" w:hAnsi="Times New Roman"/>
          <w:sz w:val="24"/>
          <w:szCs w:val="24"/>
          <w:u w:val="single"/>
        </w:rPr>
        <w:t>Explanation for Program Changes or Adjustments</w:t>
      </w:r>
    </w:p>
    <w:p w:rsidR="006A4A39" w:rsidRPr="00E301AD" w:rsidP="00346B83" w14:paraId="1ACA82CC" w14:textId="77777777">
      <w:pPr>
        <w:spacing w:after="0" w:line="240" w:lineRule="auto"/>
        <w:rPr>
          <w:rFonts w:ascii="Times New Roman" w:hAnsi="Times New Roman"/>
          <w:sz w:val="24"/>
          <w:szCs w:val="24"/>
          <w:u w:val="single"/>
        </w:rPr>
      </w:pPr>
    </w:p>
    <w:p w:rsidR="00080CC4" w:rsidRPr="00C03497" w:rsidP="00C03497" w14:paraId="60C1D6F6" w14:textId="05511C5F">
      <w:pPr>
        <w:spacing w:after="0" w:line="240" w:lineRule="auto"/>
        <w:rPr>
          <w:rFonts w:ascii="Times New Roman" w:hAnsi="Times New Roman"/>
          <w:sz w:val="24"/>
          <w:szCs w:val="24"/>
        </w:rPr>
      </w:pPr>
      <w:r w:rsidRPr="00FB0829">
        <w:rPr>
          <w:rFonts w:ascii="Times New Roman" w:hAnsi="Times New Roman"/>
          <w:sz w:val="24"/>
          <w:szCs w:val="24"/>
        </w:rPr>
        <w:t>Our estimated burden for the information collection reflects some significant increases; most notably burden we attribute to the task of documenting individual transaction information.  We have also increased the number of respondents submitting WEE requests</w:t>
      </w:r>
      <w:r>
        <w:rPr>
          <w:rFonts w:ascii="Times New Roman" w:hAnsi="Times New Roman"/>
          <w:sz w:val="24"/>
          <w:szCs w:val="24"/>
        </w:rPr>
        <w:t xml:space="preserve"> in response to public comment and as discussed at Q-12, above</w:t>
      </w:r>
      <w:r w:rsidRPr="00FB0829">
        <w:rPr>
          <w:rFonts w:ascii="Times New Roman" w:hAnsi="Times New Roman"/>
          <w:sz w:val="24"/>
          <w:szCs w:val="24"/>
        </w:rPr>
        <w:t>.</w:t>
      </w:r>
      <w:r w:rsidR="008F1B5C">
        <w:rPr>
          <w:rFonts w:ascii="Times New Roman" w:hAnsi="Times New Roman"/>
          <w:sz w:val="24"/>
          <w:szCs w:val="24"/>
        </w:rPr>
        <w:t xml:space="preserve">  </w:t>
      </w:r>
      <w:r w:rsidR="00D24E28">
        <w:rPr>
          <w:rFonts w:ascii="Times New Roman" w:hAnsi="Times New Roman"/>
          <w:sz w:val="24"/>
          <w:szCs w:val="24"/>
        </w:rPr>
        <w:t>We also note significant ongoing recordkeeping attributable to document</w:t>
      </w:r>
      <w:r w:rsidR="00AD3A2B">
        <w:rPr>
          <w:rFonts w:ascii="Times New Roman" w:hAnsi="Times New Roman"/>
          <w:sz w:val="24"/>
          <w:szCs w:val="24"/>
        </w:rPr>
        <w:t xml:space="preserve">ing activities along the supply chain that we regard as usual and customary </w:t>
      </w:r>
      <w:r w:rsidR="00701EAB">
        <w:rPr>
          <w:rFonts w:ascii="Times New Roman" w:hAnsi="Times New Roman"/>
          <w:sz w:val="24"/>
          <w:szCs w:val="24"/>
        </w:rPr>
        <w:t xml:space="preserve">in complying with the self-executing requirements of </w:t>
      </w:r>
      <w:r w:rsidR="00566417">
        <w:rPr>
          <w:rFonts w:ascii="Times New Roman" w:hAnsi="Times New Roman"/>
          <w:sz w:val="24"/>
          <w:szCs w:val="24"/>
        </w:rPr>
        <w:t>Drug Supply Chain Security Act</w:t>
      </w:r>
      <w:r w:rsidR="00142F96">
        <w:rPr>
          <w:rFonts w:ascii="Times New Roman" w:hAnsi="Times New Roman"/>
          <w:sz w:val="24"/>
          <w:szCs w:val="24"/>
        </w:rPr>
        <w:t xml:space="preserve"> set forth in sections </w:t>
      </w:r>
      <w:r w:rsidR="005A66CA">
        <w:rPr>
          <w:rFonts w:ascii="Times New Roman" w:hAnsi="Times New Roman"/>
          <w:sz w:val="24"/>
          <w:szCs w:val="24"/>
        </w:rPr>
        <w:t>581 and 581 (</w:t>
      </w:r>
      <w:r w:rsidRPr="005A66CA" w:rsidR="005A66CA">
        <w:rPr>
          <w:rFonts w:ascii="Times New Roman" w:hAnsi="Times New Roman"/>
          <w:i/>
          <w:iCs/>
          <w:sz w:val="24"/>
          <w:szCs w:val="24"/>
        </w:rPr>
        <w:t>Subchapter H – Pharmaceutical Distribution Supply Chain</w:t>
      </w:r>
      <w:r w:rsidR="005A66CA">
        <w:rPr>
          <w:rFonts w:ascii="Times New Roman" w:hAnsi="Times New Roman"/>
          <w:sz w:val="24"/>
          <w:szCs w:val="24"/>
        </w:rPr>
        <w:t>) of the FD&amp;C Act.</w:t>
      </w:r>
    </w:p>
    <w:p w:rsidR="007723B3" w:rsidRPr="00893D5F" w:rsidP="000A0F5C" w14:paraId="358081EC" w14:textId="77777777">
      <w:pPr>
        <w:spacing w:after="0" w:line="240" w:lineRule="auto"/>
        <w:rPr>
          <w:rFonts w:ascii="Times New Roman" w:hAnsi="Times New Roman"/>
          <w:sz w:val="24"/>
          <w:szCs w:val="24"/>
        </w:rPr>
      </w:pPr>
    </w:p>
    <w:p w:rsidR="005A66CA" w14:paraId="649CF86B" w14:textId="77777777">
      <w:pPr>
        <w:spacing w:after="0" w:line="240" w:lineRule="auto"/>
        <w:rPr>
          <w:rFonts w:ascii="Times New Roman" w:hAnsi="Times New Roman"/>
          <w:sz w:val="24"/>
          <w:szCs w:val="24"/>
        </w:rPr>
      </w:pPr>
      <w:r>
        <w:rPr>
          <w:rFonts w:ascii="Times New Roman" w:hAnsi="Times New Roman"/>
          <w:sz w:val="24"/>
          <w:szCs w:val="24"/>
        </w:rPr>
        <w:br w:type="page"/>
      </w:r>
    </w:p>
    <w:p w:rsidR="00A259A6" w:rsidP="008E1A54" w14:paraId="337797EF" w14:textId="13BA13F9">
      <w:pPr>
        <w:spacing w:after="0" w:line="240" w:lineRule="auto"/>
        <w:ind w:left="720" w:hanging="720"/>
        <w:rPr>
          <w:rFonts w:ascii="Times New Roman" w:hAnsi="Times New Roman"/>
          <w:sz w:val="24"/>
          <w:szCs w:val="24"/>
          <w:u w:val="single"/>
        </w:rPr>
      </w:pPr>
      <w:r w:rsidRPr="00893D5F">
        <w:rPr>
          <w:rFonts w:ascii="Times New Roman" w:hAnsi="Times New Roman"/>
          <w:sz w:val="24"/>
          <w:szCs w:val="24"/>
        </w:rPr>
        <w:t xml:space="preserve">16.  </w:t>
      </w:r>
      <w:r w:rsidRPr="00893D5F">
        <w:rPr>
          <w:rFonts w:ascii="Times New Roman" w:hAnsi="Times New Roman"/>
          <w:sz w:val="24"/>
          <w:szCs w:val="24"/>
          <w:u w:val="single"/>
        </w:rPr>
        <w:t>Plans for Tabulation and Publication</w:t>
      </w:r>
      <w:r>
        <w:rPr>
          <w:rFonts w:ascii="Times New Roman" w:hAnsi="Times New Roman"/>
          <w:sz w:val="24"/>
          <w:szCs w:val="24"/>
          <w:u w:val="single"/>
        </w:rPr>
        <w:t xml:space="preserve"> and Project Time Schedule</w:t>
      </w:r>
    </w:p>
    <w:p w:rsidR="00502BFC" w:rsidP="00F01670" w14:paraId="50783C61" w14:textId="77777777">
      <w:pPr>
        <w:spacing w:after="0" w:line="240" w:lineRule="auto"/>
        <w:rPr>
          <w:rFonts w:ascii="Times New Roman" w:hAnsi="Times New Roman"/>
          <w:sz w:val="24"/>
          <w:szCs w:val="24"/>
          <w:u w:val="single"/>
        </w:rPr>
      </w:pPr>
    </w:p>
    <w:p w:rsidR="00A259A6" w:rsidP="008E1A54" w14:paraId="337797F0" w14:textId="352EE2A6">
      <w:pPr>
        <w:spacing w:after="0" w:line="240" w:lineRule="auto"/>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o plans for tabulation and publication and project time scheduling</w:t>
      </w:r>
      <w:r>
        <w:rPr>
          <w:rFonts w:ascii="Times New Roman" w:hAnsi="Times New Roman"/>
          <w:sz w:val="24"/>
          <w:szCs w:val="24"/>
        </w:rPr>
        <w:t xml:space="preserve"> are associated with this information collection</w:t>
      </w:r>
      <w:r>
        <w:rPr>
          <w:rFonts w:ascii="Times New Roman" w:hAnsi="Times New Roman"/>
          <w:sz w:val="24"/>
          <w:szCs w:val="24"/>
        </w:rPr>
        <w:t>.</w:t>
      </w:r>
    </w:p>
    <w:p w:rsidR="00B263C4" w14:paraId="54E89A9A" w14:textId="62B9C515">
      <w:pPr>
        <w:spacing w:after="0" w:line="240" w:lineRule="auto"/>
        <w:rPr>
          <w:rFonts w:ascii="Times New Roman" w:hAnsi="Times New Roman"/>
          <w:sz w:val="24"/>
          <w:szCs w:val="24"/>
        </w:rPr>
      </w:pPr>
    </w:p>
    <w:p w:rsidR="009F3C8C" w14:paraId="07E21A3D" w14:textId="77777777">
      <w:pPr>
        <w:spacing w:after="0" w:line="240" w:lineRule="auto"/>
        <w:rPr>
          <w:rFonts w:ascii="Times New Roman" w:hAnsi="Times New Roman"/>
          <w:sz w:val="24"/>
          <w:szCs w:val="24"/>
        </w:rPr>
      </w:pPr>
      <w:r>
        <w:rPr>
          <w:rFonts w:ascii="Times New Roman" w:hAnsi="Times New Roman"/>
          <w:sz w:val="24"/>
          <w:szCs w:val="24"/>
        </w:rPr>
        <w:br w:type="page"/>
      </w:r>
    </w:p>
    <w:p w:rsidR="00A259A6" w:rsidP="008E1A54" w14:paraId="337797F2" w14:textId="348FB366">
      <w:pPr>
        <w:spacing w:after="0" w:line="240" w:lineRule="auto"/>
        <w:ind w:left="720" w:hanging="720"/>
        <w:rPr>
          <w:rFonts w:ascii="Times New Roman" w:hAnsi="Times New Roman"/>
          <w:sz w:val="24"/>
          <w:szCs w:val="24"/>
          <w:u w:val="single"/>
        </w:rPr>
      </w:pPr>
      <w:r>
        <w:rPr>
          <w:rFonts w:ascii="Times New Roman" w:hAnsi="Times New Roman"/>
          <w:sz w:val="24"/>
          <w:szCs w:val="24"/>
        </w:rPr>
        <w:t xml:space="preserve">17. </w:t>
      </w:r>
      <w:r>
        <w:rPr>
          <w:rFonts w:ascii="Times New Roman" w:hAnsi="Times New Roman"/>
          <w:sz w:val="24"/>
          <w:szCs w:val="24"/>
          <w:u w:val="single"/>
        </w:rPr>
        <w:t>Reason(s) Display of OMB Expiration Date is Inappropriate</w:t>
      </w:r>
    </w:p>
    <w:p w:rsidR="00502BFC" w:rsidP="008E1A54" w14:paraId="2FB12C75" w14:textId="77777777">
      <w:pPr>
        <w:spacing w:after="0" w:line="240" w:lineRule="auto"/>
        <w:ind w:left="720" w:hanging="720"/>
        <w:rPr>
          <w:rFonts w:ascii="Times New Roman" w:hAnsi="Times New Roman"/>
          <w:sz w:val="24"/>
          <w:szCs w:val="24"/>
          <w:u w:val="single"/>
        </w:rPr>
      </w:pPr>
    </w:p>
    <w:p w:rsidR="00A57256" w:rsidRPr="00A57256" w:rsidP="00A57256" w14:paraId="782D6D91" w14:textId="3F559A46">
      <w:pPr>
        <w:widowControl w:val="0"/>
        <w:tabs>
          <w:tab w:val="left" w:pos="319"/>
        </w:tabs>
        <w:autoSpaceDE w:val="0"/>
        <w:autoSpaceDN w:val="0"/>
        <w:spacing w:after="0" w:line="240" w:lineRule="auto"/>
        <w:rPr>
          <w:rFonts w:ascii="Times New Roman" w:eastAsia="Times New Roman" w:hAnsi="Times New Roman"/>
          <w:iCs/>
          <w:color w:val="000000"/>
          <w:sz w:val="24"/>
          <w:szCs w:val="24"/>
        </w:rPr>
      </w:pPr>
      <w:bookmarkStart w:id="2" w:name="_Hlk80872835"/>
      <w:r>
        <w:rPr>
          <w:rFonts w:ascii="Times New Roman" w:eastAsia="Times New Roman" w:hAnsi="Times New Roman"/>
          <w:iCs/>
          <w:color w:val="000000"/>
          <w:sz w:val="24"/>
          <w:szCs w:val="24"/>
        </w:rPr>
        <w:t xml:space="preserve">The </w:t>
      </w:r>
      <w:r w:rsidRPr="00A57256">
        <w:rPr>
          <w:rFonts w:ascii="Times New Roman" w:eastAsia="Times New Roman" w:hAnsi="Times New Roman"/>
          <w:iCs/>
          <w:color w:val="000000"/>
          <w:sz w:val="24"/>
          <w:szCs w:val="24"/>
        </w:rPr>
        <w:t xml:space="preserve">OMB control number </w:t>
      </w:r>
      <w:r w:rsidR="00363A2A">
        <w:rPr>
          <w:rFonts w:ascii="Times New Roman" w:eastAsia="Times New Roman" w:hAnsi="Times New Roman"/>
          <w:iCs/>
          <w:color w:val="000000"/>
          <w:sz w:val="24"/>
          <w:szCs w:val="24"/>
        </w:rPr>
        <w:t xml:space="preserve">and its expiration date will be displayed </w:t>
      </w:r>
      <w:r w:rsidRPr="00A57256">
        <w:rPr>
          <w:rFonts w:ascii="Times New Roman" w:eastAsia="Times New Roman" w:hAnsi="Times New Roman"/>
          <w:iCs/>
          <w:color w:val="000000"/>
          <w:sz w:val="24"/>
          <w:szCs w:val="24"/>
        </w:rPr>
        <w:t xml:space="preserve">as required by 5 CFR 1320.5. </w:t>
      </w:r>
      <w:bookmarkEnd w:id="2"/>
    </w:p>
    <w:p w:rsidR="00FF3905" w:rsidP="008E1A54" w14:paraId="660065FA" w14:textId="77777777">
      <w:pPr>
        <w:spacing w:after="0" w:line="240" w:lineRule="auto"/>
        <w:ind w:left="720" w:hanging="360"/>
        <w:rPr>
          <w:rFonts w:ascii="Times New Roman" w:hAnsi="Times New Roman"/>
          <w:sz w:val="24"/>
          <w:szCs w:val="24"/>
        </w:rPr>
      </w:pPr>
    </w:p>
    <w:p w:rsidR="00A259A6" w:rsidP="008E1A54" w14:paraId="337797F5" w14:textId="77777777">
      <w:pPr>
        <w:spacing w:after="0" w:line="240" w:lineRule="auto"/>
        <w:ind w:left="720" w:hanging="720"/>
        <w:rPr>
          <w:rFonts w:ascii="Times New Roman" w:hAnsi="Times New Roman"/>
          <w:sz w:val="24"/>
          <w:szCs w:val="24"/>
          <w:u w:val="single"/>
        </w:rPr>
      </w:pPr>
      <w:r>
        <w:rPr>
          <w:rFonts w:ascii="Times New Roman" w:hAnsi="Times New Roman"/>
          <w:sz w:val="24"/>
          <w:szCs w:val="24"/>
        </w:rPr>
        <w:t xml:space="preserve">18. </w:t>
      </w:r>
      <w:r>
        <w:rPr>
          <w:rFonts w:ascii="Times New Roman" w:hAnsi="Times New Roman"/>
          <w:sz w:val="24"/>
          <w:szCs w:val="24"/>
          <w:u w:val="single"/>
        </w:rPr>
        <w:t xml:space="preserve">Exceptions to Certification for Paperwork Reduction Act Submissions </w:t>
      </w:r>
    </w:p>
    <w:p w:rsidR="00A15007" w:rsidP="008E1A54" w14:paraId="5D260917" w14:textId="77777777">
      <w:pPr>
        <w:spacing w:after="0" w:line="240" w:lineRule="auto"/>
        <w:ind w:left="720" w:hanging="720"/>
        <w:rPr>
          <w:rFonts w:ascii="Times New Roman" w:hAnsi="Times New Roman"/>
          <w:sz w:val="24"/>
          <w:szCs w:val="24"/>
        </w:rPr>
      </w:pPr>
    </w:p>
    <w:p w:rsidR="00931D82" w:rsidP="008E1A54" w14:paraId="337797F8" w14:textId="173795FE">
      <w:pPr>
        <w:spacing w:after="0" w:line="240" w:lineRule="auto"/>
        <w:rPr>
          <w:sz w:val="24"/>
          <w:szCs w:val="24"/>
        </w:rPr>
      </w:pPr>
      <w:r>
        <w:rPr>
          <w:rFonts w:ascii="Times New Roman" w:hAnsi="Times New Roman"/>
          <w:sz w:val="24"/>
          <w:szCs w:val="24"/>
        </w:rPr>
        <w:t>There are no exceptions to the certification in 5 CFR 1320.9.</w:t>
      </w:r>
    </w:p>
    <w:sectPr w:rsidSect="009E7837">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2A6" w:rsidP="007E3BB2" w14:paraId="4DFF0C36" w14:textId="77777777">
    <w:pPr>
      <w:pStyle w:val="Footer"/>
      <w:jc w:val="center"/>
      <w:rPr>
        <w:rFonts w:ascii="Times New Roman" w:hAnsi="Times New Roman"/>
        <w:sz w:val="24"/>
        <w:szCs w:val="24"/>
      </w:rPr>
    </w:pPr>
  </w:p>
  <w:p w:rsidR="002902A6" w:rsidP="007E3BB2" w14:paraId="33779804" w14:textId="110027AF">
    <w:pPr>
      <w:pStyle w:val="Footer"/>
      <w:jc w:val="center"/>
    </w:pPr>
    <w:r w:rsidRPr="007E3BB2">
      <w:rPr>
        <w:rFonts w:ascii="Times New Roman" w:hAnsi="Times New Roman"/>
        <w:sz w:val="24"/>
        <w:szCs w:val="24"/>
      </w:rPr>
      <w:fldChar w:fldCharType="begin"/>
    </w:r>
    <w:r w:rsidRPr="007E3BB2">
      <w:rPr>
        <w:rFonts w:ascii="Times New Roman" w:hAnsi="Times New Roman"/>
        <w:sz w:val="24"/>
        <w:szCs w:val="24"/>
      </w:rPr>
      <w:instrText xml:space="preserve"> PAGE   \* MERGEFORMAT </w:instrText>
    </w:r>
    <w:r w:rsidRPr="007E3BB2">
      <w:rPr>
        <w:rFonts w:ascii="Times New Roman" w:hAnsi="Times New Roman"/>
        <w:sz w:val="24"/>
        <w:szCs w:val="24"/>
      </w:rPr>
      <w:fldChar w:fldCharType="separate"/>
    </w:r>
    <w:r>
      <w:rPr>
        <w:rFonts w:ascii="Times New Roman" w:hAnsi="Times New Roman"/>
        <w:noProof/>
        <w:sz w:val="24"/>
        <w:szCs w:val="24"/>
      </w:rPr>
      <w:t>10</w:t>
    </w:r>
    <w:r w:rsidRPr="007E3BB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146D" w:rsidP="00006A9F" w14:paraId="480271B2" w14:textId="77777777">
      <w:pPr>
        <w:spacing w:after="0" w:line="240" w:lineRule="auto"/>
      </w:pPr>
      <w:r>
        <w:separator/>
      </w:r>
    </w:p>
  </w:footnote>
  <w:footnote w:type="continuationSeparator" w:id="1">
    <w:p w:rsidR="0072146D" w:rsidP="00006A9F" w14:paraId="7C3BF318" w14:textId="77777777">
      <w:pPr>
        <w:spacing w:after="0" w:line="240" w:lineRule="auto"/>
      </w:pPr>
      <w:r>
        <w:continuationSeparator/>
      </w:r>
    </w:p>
  </w:footnote>
  <w:footnote w:type="continuationNotice" w:id="2">
    <w:p w:rsidR="0072146D" w14:paraId="7EFE6C8C" w14:textId="77777777">
      <w:pPr>
        <w:spacing w:after="0" w:line="240" w:lineRule="auto"/>
      </w:pPr>
    </w:p>
  </w:footnote>
  <w:footnote w:id="3">
    <w:p w:rsidR="00CE419E" w:rsidRPr="000B7B29" w:rsidP="00CE419E" w14:paraId="554F5655" w14:textId="77777777">
      <w:pPr>
        <w:pStyle w:val="FootnoteText"/>
        <w:rPr>
          <w:rFonts w:ascii="Times New Roman" w:hAnsi="Times New Roman"/>
        </w:rPr>
      </w:pPr>
      <w:r w:rsidRPr="000B7B29">
        <w:rPr>
          <w:rStyle w:val="FootnoteReference"/>
          <w:rFonts w:ascii="Times New Roman" w:hAnsi="Times New Roman"/>
        </w:rPr>
        <w:footnoteRef/>
      </w:r>
      <w:r w:rsidRPr="000B7B29">
        <w:rPr>
          <w:rFonts w:ascii="Times New Roman" w:hAnsi="Times New Roman"/>
        </w:rPr>
        <w:t xml:space="preserve"> Transaction is defined in section 581(24) of the FD&amp;C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92DD1"/>
    <w:multiLevelType w:val="hybridMultilevel"/>
    <w:tmpl w:val="12F6D6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A32F3"/>
    <w:multiLevelType w:val="hybridMultilevel"/>
    <w:tmpl w:val="EC3E8A22"/>
    <w:lvl w:ilvl="0">
      <w:start w:val="15"/>
      <w:numFmt w:val="bullet"/>
      <w:lvlText w:val="-"/>
      <w:lvlJc w:val="left"/>
      <w:pPr>
        <w:ind w:left="405" w:hanging="360"/>
      </w:pPr>
      <w:rPr>
        <w:rFonts w:ascii="Calibri" w:eastAsia="Calibri" w:hAnsi="Calibr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404022B3"/>
    <w:multiLevelType w:val="hybridMultilevel"/>
    <w:tmpl w:val="E4423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0F580A"/>
    <w:multiLevelType w:val="hybridMultilevel"/>
    <w:tmpl w:val="D6AAE9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78119DA"/>
    <w:multiLevelType w:val="hybridMultilevel"/>
    <w:tmpl w:val="04C6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EF7EBE"/>
    <w:multiLevelType w:val="hybridMultilevel"/>
    <w:tmpl w:val="1D1400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85233049">
    <w:abstractNumId w:val="5"/>
  </w:num>
  <w:num w:numId="2" w16cid:durableId="283390804">
    <w:abstractNumId w:val="3"/>
  </w:num>
  <w:num w:numId="3" w16cid:durableId="224099320">
    <w:abstractNumId w:val="4"/>
  </w:num>
  <w:num w:numId="4" w16cid:durableId="1663656091">
    <w:abstractNumId w:val="1"/>
  </w:num>
  <w:num w:numId="5" w16cid:durableId="948203096">
    <w:abstractNumId w:val="0"/>
  </w:num>
  <w:num w:numId="6" w16cid:durableId="166416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0D"/>
    <w:rsid w:val="00000BB9"/>
    <w:rsid w:val="000040B4"/>
    <w:rsid w:val="0000688D"/>
    <w:rsid w:val="00006A9F"/>
    <w:rsid w:val="00007EE8"/>
    <w:rsid w:val="00011D5C"/>
    <w:rsid w:val="000153C0"/>
    <w:rsid w:val="0001665A"/>
    <w:rsid w:val="00016EA7"/>
    <w:rsid w:val="00017FBC"/>
    <w:rsid w:val="00021ED2"/>
    <w:rsid w:val="00025390"/>
    <w:rsid w:val="00031956"/>
    <w:rsid w:val="00031BF2"/>
    <w:rsid w:val="000367B4"/>
    <w:rsid w:val="00037C36"/>
    <w:rsid w:val="00037CEA"/>
    <w:rsid w:val="000437DC"/>
    <w:rsid w:val="00043855"/>
    <w:rsid w:val="0004558C"/>
    <w:rsid w:val="00045F57"/>
    <w:rsid w:val="00046BEC"/>
    <w:rsid w:val="00046CAD"/>
    <w:rsid w:val="0005058D"/>
    <w:rsid w:val="00052A04"/>
    <w:rsid w:val="00054A70"/>
    <w:rsid w:val="00054FB3"/>
    <w:rsid w:val="00056E13"/>
    <w:rsid w:val="00062C80"/>
    <w:rsid w:val="00064EEF"/>
    <w:rsid w:val="000653F5"/>
    <w:rsid w:val="00065600"/>
    <w:rsid w:val="00070AB9"/>
    <w:rsid w:val="00071269"/>
    <w:rsid w:val="00072A9D"/>
    <w:rsid w:val="00073A80"/>
    <w:rsid w:val="00080CC4"/>
    <w:rsid w:val="000811B5"/>
    <w:rsid w:val="00081A2A"/>
    <w:rsid w:val="000852E3"/>
    <w:rsid w:val="00091BDF"/>
    <w:rsid w:val="00091E17"/>
    <w:rsid w:val="00093196"/>
    <w:rsid w:val="000943FD"/>
    <w:rsid w:val="00096AB7"/>
    <w:rsid w:val="000A0F08"/>
    <w:rsid w:val="000A0F5C"/>
    <w:rsid w:val="000A6708"/>
    <w:rsid w:val="000A74AA"/>
    <w:rsid w:val="000A7D7D"/>
    <w:rsid w:val="000B2909"/>
    <w:rsid w:val="000B610E"/>
    <w:rsid w:val="000B7B29"/>
    <w:rsid w:val="000C2971"/>
    <w:rsid w:val="000C655A"/>
    <w:rsid w:val="000C791B"/>
    <w:rsid w:val="000D1938"/>
    <w:rsid w:val="000D71C1"/>
    <w:rsid w:val="000D77CA"/>
    <w:rsid w:val="000E0B08"/>
    <w:rsid w:val="000E135E"/>
    <w:rsid w:val="000E3311"/>
    <w:rsid w:val="000E35CD"/>
    <w:rsid w:val="000E6551"/>
    <w:rsid w:val="000E67BE"/>
    <w:rsid w:val="000E6DCF"/>
    <w:rsid w:val="000F11C9"/>
    <w:rsid w:val="000F5E5F"/>
    <w:rsid w:val="000F6227"/>
    <w:rsid w:val="001001CA"/>
    <w:rsid w:val="00106106"/>
    <w:rsid w:val="0010674B"/>
    <w:rsid w:val="00110902"/>
    <w:rsid w:val="0011302D"/>
    <w:rsid w:val="001139DB"/>
    <w:rsid w:val="00121F69"/>
    <w:rsid w:val="0012336C"/>
    <w:rsid w:val="0012759A"/>
    <w:rsid w:val="00133ED9"/>
    <w:rsid w:val="00136882"/>
    <w:rsid w:val="00137013"/>
    <w:rsid w:val="00137340"/>
    <w:rsid w:val="00137FE4"/>
    <w:rsid w:val="0014116C"/>
    <w:rsid w:val="0014179F"/>
    <w:rsid w:val="0014246A"/>
    <w:rsid w:val="00142F96"/>
    <w:rsid w:val="0014419F"/>
    <w:rsid w:val="00146890"/>
    <w:rsid w:val="00146995"/>
    <w:rsid w:val="0014718C"/>
    <w:rsid w:val="00151C8C"/>
    <w:rsid w:val="00153953"/>
    <w:rsid w:val="001539B6"/>
    <w:rsid w:val="00156271"/>
    <w:rsid w:val="00157129"/>
    <w:rsid w:val="0016173C"/>
    <w:rsid w:val="00163D36"/>
    <w:rsid w:val="00164620"/>
    <w:rsid w:val="0017179F"/>
    <w:rsid w:val="00171843"/>
    <w:rsid w:val="00171D27"/>
    <w:rsid w:val="00176371"/>
    <w:rsid w:val="001767F6"/>
    <w:rsid w:val="0017763B"/>
    <w:rsid w:val="00182FB1"/>
    <w:rsid w:val="00184EE8"/>
    <w:rsid w:val="001857D0"/>
    <w:rsid w:val="00186458"/>
    <w:rsid w:val="00187077"/>
    <w:rsid w:val="0019111F"/>
    <w:rsid w:val="00193C01"/>
    <w:rsid w:val="001948C8"/>
    <w:rsid w:val="00194AA3"/>
    <w:rsid w:val="00197623"/>
    <w:rsid w:val="001A0508"/>
    <w:rsid w:val="001B3310"/>
    <w:rsid w:val="001B6C33"/>
    <w:rsid w:val="001C16BD"/>
    <w:rsid w:val="001C62A7"/>
    <w:rsid w:val="001D0198"/>
    <w:rsid w:val="001D0E39"/>
    <w:rsid w:val="001D27F3"/>
    <w:rsid w:val="001D4634"/>
    <w:rsid w:val="001D4DFD"/>
    <w:rsid w:val="001D6F42"/>
    <w:rsid w:val="001F0F19"/>
    <w:rsid w:val="001F28E9"/>
    <w:rsid w:val="001F6F39"/>
    <w:rsid w:val="00202DBE"/>
    <w:rsid w:val="00204090"/>
    <w:rsid w:val="002063D5"/>
    <w:rsid w:val="00210FC3"/>
    <w:rsid w:val="00211256"/>
    <w:rsid w:val="002113E8"/>
    <w:rsid w:val="00212969"/>
    <w:rsid w:val="00212F3E"/>
    <w:rsid w:val="00212F9B"/>
    <w:rsid w:val="00215409"/>
    <w:rsid w:val="00216992"/>
    <w:rsid w:val="00220C27"/>
    <w:rsid w:val="002221C9"/>
    <w:rsid w:val="0022348E"/>
    <w:rsid w:val="002304ED"/>
    <w:rsid w:val="0023062E"/>
    <w:rsid w:val="00234A15"/>
    <w:rsid w:val="00235AEE"/>
    <w:rsid w:val="00236F68"/>
    <w:rsid w:val="0023718C"/>
    <w:rsid w:val="0024221D"/>
    <w:rsid w:val="002430AD"/>
    <w:rsid w:val="00246133"/>
    <w:rsid w:val="00253D90"/>
    <w:rsid w:val="00256900"/>
    <w:rsid w:val="002577B3"/>
    <w:rsid w:val="00260052"/>
    <w:rsid w:val="00260FB2"/>
    <w:rsid w:val="00263C18"/>
    <w:rsid w:val="002640D5"/>
    <w:rsid w:val="00265892"/>
    <w:rsid w:val="00266CAF"/>
    <w:rsid w:val="00272C5D"/>
    <w:rsid w:val="00272C7D"/>
    <w:rsid w:val="002730D0"/>
    <w:rsid w:val="00273311"/>
    <w:rsid w:val="00274ECE"/>
    <w:rsid w:val="002766F1"/>
    <w:rsid w:val="00276ED0"/>
    <w:rsid w:val="00277AB1"/>
    <w:rsid w:val="0028039D"/>
    <w:rsid w:val="00282D15"/>
    <w:rsid w:val="00285D5B"/>
    <w:rsid w:val="00285ED6"/>
    <w:rsid w:val="002861B1"/>
    <w:rsid w:val="002902A6"/>
    <w:rsid w:val="00291547"/>
    <w:rsid w:val="00291CC5"/>
    <w:rsid w:val="002934CA"/>
    <w:rsid w:val="00293C21"/>
    <w:rsid w:val="00296297"/>
    <w:rsid w:val="002A1508"/>
    <w:rsid w:val="002A1DA7"/>
    <w:rsid w:val="002A4879"/>
    <w:rsid w:val="002B1143"/>
    <w:rsid w:val="002B3CF3"/>
    <w:rsid w:val="002B6C06"/>
    <w:rsid w:val="002B76B2"/>
    <w:rsid w:val="002C30D4"/>
    <w:rsid w:val="002C4EDA"/>
    <w:rsid w:val="002C7A36"/>
    <w:rsid w:val="002D755D"/>
    <w:rsid w:val="002E089D"/>
    <w:rsid w:val="002E7586"/>
    <w:rsid w:val="002F34EE"/>
    <w:rsid w:val="002F457D"/>
    <w:rsid w:val="003011A6"/>
    <w:rsid w:val="003058BF"/>
    <w:rsid w:val="00310937"/>
    <w:rsid w:val="00310A1B"/>
    <w:rsid w:val="00311B18"/>
    <w:rsid w:val="003125E2"/>
    <w:rsid w:val="003136BF"/>
    <w:rsid w:val="003167F6"/>
    <w:rsid w:val="00320DCD"/>
    <w:rsid w:val="00324A43"/>
    <w:rsid w:val="003250DD"/>
    <w:rsid w:val="0032599D"/>
    <w:rsid w:val="003358F1"/>
    <w:rsid w:val="003361DA"/>
    <w:rsid w:val="0034051E"/>
    <w:rsid w:val="003422DB"/>
    <w:rsid w:val="003454A2"/>
    <w:rsid w:val="00346B83"/>
    <w:rsid w:val="00346FDA"/>
    <w:rsid w:val="00352B4B"/>
    <w:rsid w:val="00355ED8"/>
    <w:rsid w:val="00356F59"/>
    <w:rsid w:val="0035761A"/>
    <w:rsid w:val="00357DF5"/>
    <w:rsid w:val="003601E1"/>
    <w:rsid w:val="003606C4"/>
    <w:rsid w:val="0036121F"/>
    <w:rsid w:val="00363832"/>
    <w:rsid w:val="00363A2A"/>
    <w:rsid w:val="00365122"/>
    <w:rsid w:val="003659EC"/>
    <w:rsid w:val="003679B2"/>
    <w:rsid w:val="003713C8"/>
    <w:rsid w:val="00373707"/>
    <w:rsid w:val="003737D5"/>
    <w:rsid w:val="00375304"/>
    <w:rsid w:val="0037739A"/>
    <w:rsid w:val="0039169B"/>
    <w:rsid w:val="003947DA"/>
    <w:rsid w:val="00394C2F"/>
    <w:rsid w:val="003A6DDB"/>
    <w:rsid w:val="003B443F"/>
    <w:rsid w:val="003B49DC"/>
    <w:rsid w:val="003B5D35"/>
    <w:rsid w:val="003B5DBB"/>
    <w:rsid w:val="003C0CE2"/>
    <w:rsid w:val="003C15C2"/>
    <w:rsid w:val="003C4086"/>
    <w:rsid w:val="003D1520"/>
    <w:rsid w:val="003D312F"/>
    <w:rsid w:val="003D7A47"/>
    <w:rsid w:val="003E149E"/>
    <w:rsid w:val="003E1D80"/>
    <w:rsid w:val="003F2450"/>
    <w:rsid w:val="003F4174"/>
    <w:rsid w:val="003F713D"/>
    <w:rsid w:val="003F71AA"/>
    <w:rsid w:val="003F7DCE"/>
    <w:rsid w:val="004003AB"/>
    <w:rsid w:val="00400A63"/>
    <w:rsid w:val="0040345B"/>
    <w:rsid w:val="00407BF5"/>
    <w:rsid w:val="004105E4"/>
    <w:rsid w:val="00414149"/>
    <w:rsid w:val="00415FAE"/>
    <w:rsid w:val="00416B10"/>
    <w:rsid w:val="0042275F"/>
    <w:rsid w:val="00425630"/>
    <w:rsid w:val="00425750"/>
    <w:rsid w:val="00426139"/>
    <w:rsid w:val="00433BB0"/>
    <w:rsid w:val="00433F9D"/>
    <w:rsid w:val="004364F8"/>
    <w:rsid w:val="004365AF"/>
    <w:rsid w:val="00443078"/>
    <w:rsid w:val="004451A6"/>
    <w:rsid w:val="00445245"/>
    <w:rsid w:val="0044561F"/>
    <w:rsid w:val="00450257"/>
    <w:rsid w:val="004563F9"/>
    <w:rsid w:val="00465A52"/>
    <w:rsid w:val="004663B9"/>
    <w:rsid w:val="00477138"/>
    <w:rsid w:val="004803D9"/>
    <w:rsid w:val="00483D74"/>
    <w:rsid w:val="004860F9"/>
    <w:rsid w:val="004868BB"/>
    <w:rsid w:val="004873A7"/>
    <w:rsid w:val="004875C5"/>
    <w:rsid w:val="004929A8"/>
    <w:rsid w:val="004944FA"/>
    <w:rsid w:val="004A003C"/>
    <w:rsid w:val="004A11D9"/>
    <w:rsid w:val="004A3AFD"/>
    <w:rsid w:val="004A546F"/>
    <w:rsid w:val="004A5E0E"/>
    <w:rsid w:val="004A68E8"/>
    <w:rsid w:val="004B051E"/>
    <w:rsid w:val="004B25B6"/>
    <w:rsid w:val="004B41EB"/>
    <w:rsid w:val="004C2082"/>
    <w:rsid w:val="004C25B9"/>
    <w:rsid w:val="004C6346"/>
    <w:rsid w:val="004D1A34"/>
    <w:rsid w:val="004D2856"/>
    <w:rsid w:val="004D2EDE"/>
    <w:rsid w:val="004D4A52"/>
    <w:rsid w:val="004E4674"/>
    <w:rsid w:val="004F0048"/>
    <w:rsid w:val="004F0D00"/>
    <w:rsid w:val="004F3AB2"/>
    <w:rsid w:val="005004FD"/>
    <w:rsid w:val="00500CD1"/>
    <w:rsid w:val="00502BFC"/>
    <w:rsid w:val="00504287"/>
    <w:rsid w:val="00504CA3"/>
    <w:rsid w:val="00505DA6"/>
    <w:rsid w:val="00516353"/>
    <w:rsid w:val="0052069E"/>
    <w:rsid w:val="0052436E"/>
    <w:rsid w:val="00524935"/>
    <w:rsid w:val="00532362"/>
    <w:rsid w:val="005325E9"/>
    <w:rsid w:val="005333BF"/>
    <w:rsid w:val="005343DF"/>
    <w:rsid w:val="0053665D"/>
    <w:rsid w:val="005409B6"/>
    <w:rsid w:val="00540D61"/>
    <w:rsid w:val="00541821"/>
    <w:rsid w:val="00543AED"/>
    <w:rsid w:val="00544EBB"/>
    <w:rsid w:val="00545B0D"/>
    <w:rsid w:val="00547202"/>
    <w:rsid w:val="00547CA0"/>
    <w:rsid w:val="00550815"/>
    <w:rsid w:val="00550F15"/>
    <w:rsid w:val="0055129A"/>
    <w:rsid w:val="00551784"/>
    <w:rsid w:val="005522D7"/>
    <w:rsid w:val="00555BE5"/>
    <w:rsid w:val="00557490"/>
    <w:rsid w:val="00561685"/>
    <w:rsid w:val="00564640"/>
    <w:rsid w:val="00566417"/>
    <w:rsid w:val="005675BB"/>
    <w:rsid w:val="00581EF4"/>
    <w:rsid w:val="005854BA"/>
    <w:rsid w:val="0058648F"/>
    <w:rsid w:val="005872D9"/>
    <w:rsid w:val="00587F36"/>
    <w:rsid w:val="0059068B"/>
    <w:rsid w:val="00591F0E"/>
    <w:rsid w:val="00596FC7"/>
    <w:rsid w:val="005A3222"/>
    <w:rsid w:val="005A3756"/>
    <w:rsid w:val="005A66CA"/>
    <w:rsid w:val="005A73AF"/>
    <w:rsid w:val="005A7AEB"/>
    <w:rsid w:val="005B0705"/>
    <w:rsid w:val="005B1425"/>
    <w:rsid w:val="005B76E4"/>
    <w:rsid w:val="005B7F8B"/>
    <w:rsid w:val="005C12F7"/>
    <w:rsid w:val="005C4C10"/>
    <w:rsid w:val="005D4030"/>
    <w:rsid w:val="005D5D69"/>
    <w:rsid w:val="005E0142"/>
    <w:rsid w:val="005E08C6"/>
    <w:rsid w:val="005E25C1"/>
    <w:rsid w:val="005E390E"/>
    <w:rsid w:val="005F0991"/>
    <w:rsid w:val="005F298E"/>
    <w:rsid w:val="005F36E2"/>
    <w:rsid w:val="0060183C"/>
    <w:rsid w:val="00603793"/>
    <w:rsid w:val="0060618B"/>
    <w:rsid w:val="00610469"/>
    <w:rsid w:val="006106B9"/>
    <w:rsid w:val="00612328"/>
    <w:rsid w:val="0061327C"/>
    <w:rsid w:val="006238E7"/>
    <w:rsid w:val="006241B9"/>
    <w:rsid w:val="00627175"/>
    <w:rsid w:val="00640C6C"/>
    <w:rsid w:val="00645FD2"/>
    <w:rsid w:val="00646198"/>
    <w:rsid w:val="0065181E"/>
    <w:rsid w:val="0065603B"/>
    <w:rsid w:val="00657865"/>
    <w:rsid w:val="00657B8E"/>
    <w:rsid w:val="0066181C"/>
    <w:rsid w:val="0066346D"/>
    <w:rsid w:val="00664407"/>
    <w:rsid w:val="00667F3E"/>
    <w:rsid w:val="0067054F"/>
    <w:rsid w:val="006706EA"/>
    <w:rsid w:val="00680955"/>
    <w:rsid w:val="00681689"/>
    <w:rsid w:val="00681D3B"/>
    <w:rsid w:val="006826A9"/>
    <w:rsid w:val="00692B0C"/>
    <w:rsid w:val="00694330"/>
    <w:rsid w:val="006A21C6"/>
    <w:rsid w:val="006A3103"/>
    <w:rsid w:val="006A3799"/>
    <w:rsid w:val="006A3A04"/>
    <w:rsid w:val="006A3BC4"/>
    <w:rsid w:val="006A4A39"/>
    <w:rsid w:val="006A5828"/>
    <w:rsid w:val="006A77AB"/>
    <w:rsid w:val="006B367A"/>
    <w:rsid w:val="006B63A3"/>
    <w:rsid w:val="006B6437"/>
    <w:rsid w:val="006B6BA1"/>
    <w:rsid w:val="006B6BC8"/>
    <w:rsid w:val="006C05D2"/>
    <w:rsid w:val="006C2D81"/>
    <w:rsid w:val="006C690A"/>
    <w:rsid w:val="006C7298"/>
    <w:rsid w:val="006D2954"/>
    <w:rsid w:val="006D4240"/>
    <w:rsid w:val="006D4C2D"/>
    <w:rsid w:val="006D5709"/>
    <w:rsid w:val="006D780F"/>
    <w:rsid w:val="006E1D12"/>
    <w:rsid w:val="006E1D42"/>
    <w:rsid w:val="006E2A7B"/>
    <w:rsid w:val="006E3152"/>
    <w:rsid w:val="006E389A"/>
    <w:rsid w:val="006E6BC8"/>
    <w:rsid w:val="006F77F1"/>
    <w:rsid w:val="00701EAB"/>
    <w:rsid w:val="00703599"/>
    <w:rsid w:val="0071218C"/>
    <w:rsid w:val="00714E63"/>
    <w:rsid w:val="00715419"/>
    <w:rsid w:val="00715F26"/>
    <w:rsid w:val="0072146D"/>
    <w:rsid w:val="00725093"/>
    <w:rsid w:val="00725224"/>
    <w:rsid w:val="007258FC"/>
    <w:rsid w:val="00734239"/>
    <w:rsid w:val="007352D9"/>
    <w:rsid w:val="00736129"/>
    <w:rsid w:val="00736AB9"/>
    <w:rsid w:val="00744ED1"/>
    <w:rsid w:val="007513B8"/>
    <w:rsid w:val="007531CB"/>
    <w:rsid w:val="00753A1F"/>
    <w:rsid w:val="00755A98"/>
    <w:rsid w:val="007573E1"/>
    <w:rsid w:val="00760768"/>
    <w:rsid w:val="007615B8"/>
    <w:rsid w:val="00764E0B"/>
    <w:rsid w:val="007651C3"/>
    <w:rsid w:val="007723B3"/>
    <w:rsid w:val="00772C09"/>
    <w:rsid w:val="00772F7F"/>
    <w:rsid w:val="00777517"/>
    <w:rsid w:val="00777B3E"/>
    <w:rsid w:val="00777E5B"/>
    <w:rsid w:val="007822FD"/>
    <w:rsid w:val="00784245"/>
    <w:rsid w:val="00786B24"/>
    <w:rsid w:val="00787B49"/>
    <w:rsid w:val="00787F65"/>
    <w:rsid w:val="00792B62"/>
    <w:rsid w:val="007A35BB"/>
    <w:rsid w:val="007A37F5"/>
    <w:rsid w:val="007A7078"/>
    <w:rsid w:val="007B3F63"/>
    <w:rsid w:val="007B5BC2"/>
    <w:rsid w:val="007B5D41"/>
    <w:rsid w:val="007B5E59"/>
    <w:rsid w:val="007B6EA6"/>
    <w:rsid w:val="007C2844"/>
    <w:rsid w:val="007C2D01"/>
    <w:rsid w:val="007C2D2E"/>
    <w:rsid w:val="007C433C"/>
    <w:rsid w:val="007C6DA1"/>
    <w:rsid w:val="007D0CE8"/>
    <w:rsid w:val="007D14FA"/>
    <w:rsid w:val="007D4ABF"/>
    <w:rsid w:val="007D5467"/>
    <w:rsid w:val="007E1DAE"/>
    <w:rsid w:val="007E3BB2"/>
    <w:rsid w:val="007E455C"/>
    <w:rsid w:val="007E615B"/>
    <w:rsid w:val="007E6AE3"/>
    <w:rsid w:val="007E75D5"/>
    <w:rsid w:val="007F0C43"/>
    <w:rsid w:val="007F4882"/>
    <w:rsid w:val="007F600F"/>
    <w:rsid w:val="00801B87"/>
    <w:rsid w:val="00805221"/>
    <w:rsid w:val="00814010"/>
    <w:rsid w:val="00815090"/>
    <w:rsid w:val="0081723A"/>
    <w:rsid w:val="00822E5A"/>
    <w:rsid w:val="00823149"/>
    <w:rsid w:val="00823A7B"/>
    <w:rsid w:val="00824D5D"/>
    <w:rsid w:val="00827226"/>
    <w:rsid w:val="008306E9"/>
    <w:rsid w:val="00836FC5"/>
    <w:rsid w:val="00837682"/>
    <w:rsid w:val="00837C3B"/>
    <w:rsid w:val="0084636A"/>
    <w:rsid w:val="00847683"/>
    <w:rsid w:val="00855755"/>
    <w:rsid w:val="00856829"/>
    <w:rsid w:val="008570A1"/>
    <w:rsid w:val="0086236A"/>
    <w:rsid w:val="00862CDB"/>
    <w:rsid w:val="008657B9"/>
    <w:rsid w:val="00867B8E"/>
    <w:rsid w:val="00874665"/>
    <w:rsid w:val="0088023C"/>
    <w:rsid w:val="00880750"/>
    <w:rsid w:val="0088111E"/>
    <w:rsid w:val="00881B3F"/>
    <w:rsid w:val="0088220D"/>
    <w:rsid w:val="00882D02"/>
    <w:rsid w:val="008857BE"/>
    <w:rsid w:val="00886D31"/>
    <w:rsid w:val="008902A9"/>
    <w:rsid w:val="00890C22"/>
    <w:rsid w:val="008923A5"/>
    <w:rsid w:val="00893D5F"/>
    <w:rsid w:val="00894BBC"/>
    <w:rsid w:val="0089667F"/>
    <w:rsid w:val="008A629E"/>
    <w:rsid w:val="008B0DE1"/>
    <w:rsid w:val="008B1571"/>
    <w:rsid w:val="008B31CC"/>
    <w:rsid w:val="008B7388"/>
    <w:rsid w:val="008B7A15"/>
    <w:rsid w:val="008C1805"/>
    <w:rsid w:val="008C1A13"/>
    <w:rsid w:val="008C1D45"/>
    <w:rsid w:val="008C35D7"/>
    <w:rsid w:val="008C4CE9"/>
    <w:rsid w:val="008C58EA"/>
    <w:rsid w:val="008C6E61"/>
    <w:rsid w:val="008D2BBE"/>
    <w:rsid w:val="008D4606"/>
    <w:rsid w:val="008D4A9B"/>
    <w:rsid w:val="008D6154"/>
    <w:rsid w:val="008E1A54"/>
    <w:rsid w:val="008E75DB"/>
    <w:rsid w:val="008F045D"/>
    <w:rsid w:val="008F1B5C"/>
    <w:rsid w:val="00901186"/>
    <w:rsid w:val="009031C1"/>
    <w:rsid w:val="00903265"/>
    <w:rsid w:val="009039A1"/>
    <w:rsid w:val="00904FB8"/>
    <w:rsid w:val="00905205"/>
    <w:rsid w:val="00911247"/>
    <w:rsid w:val="0091272D"/>
    <w:rsid w:val="0092160A"/>
    <w:rsid w:val="009260D8"/>
    <w:rsid w:val="00926886"/>
    <w:rsid w:val="00927429"/>
    <w:rsid w:val="009304AD"/>
    <w:rsid w:val="00931015"/>
    <w:rsid w:val="009312A5"/>
    <w:rsid w:val="00931B50"/>
    <w:rsid w:val="00931D82"/>
    <w:rsid w:val="00932303"/>
    <w:rsid w:val="009330B9"/>
    <w:rsid w:val="00940594"/>
    <w:rsid w:val="00944757"/>
    <w:rsid w:val="00945CC9"/>
    <w:rsid w:val="00950691"/>
    <w:rsid w:val="00953110"/>
    <w:rsid w:val="00953F9E"/>
    <w:rsid w:val="009545BA"/>
    <w:rsid w:val="00957436"/>
    <w:rsid w:val="0095762D"/>
    <w:rsid w:val="0095777A"/>
    <w:rsid w:val="00960575"/>
    <w:rsid w:val="00962446"/>
    <w:rsid w:val="009644BE"/>
    <w:rsid w:val="00966141"/>
    <w:rsid w:val="00970D2E"/>
    <w:rsid w:val="0097102B"/>
    <w:rsid w:val="00974EE3"/>
    <w:rsid w:val="00977919"/>
    <w:rsid w:val="00981696"/>
    <w:rsid w:val="00984456"/>
    <w:rsid w:val="009847E8"/>
    <w:rsid w:val="00984AF1"/>
    <w:rsid w:val="009860C1"/>
    <w:rsid w:val="009906DB"/>
    <w:rsid w:val="00993F28"/>
    <w:rsid w:val="00995273"/>
    <w:rsid w:val="009954B9"/>
    <w:rsid w:val="009A014D"/>
    <w:rsid w:val="009A0F8E"/>
    <w:rsid w:val="009A2864"/>
    <w:rsid w:val="009A4595"/>
    <w:rsid w:val="009B368E"/>
    <w:rsid w:val="009C4CD8"/>
    <w:rsid w:val="009D360B"/>
    <w:rsid w:val="009D5EAF"/>
    <w:rsid w:val="009D699B"/>
    <w:rsid w:val="009E0E08"/>
    <w:rsid w:val="009E22F3"/>
    <w:rsid w:val="009E2B30"/>
    <w:rsid w:val="009E4488"/>
    <w:rsid w:val="009E585B"/>
    <w:rsid w:val="009E7837"/>
    <w:rsid w:val="009F09B1"/>
    <w:rsid w:val="009F2C02"/>
    <w:rsid w:val="009F3C8C"/>
    <w:rsid w:val="009F3E1A"/>
    <w:rsid w:val="009F4DF6"/>
    <w:rsid w:val="00A01730"/>
    <w:rsid w:val="00A03CF7"/>
    <w:rsid w:val="00A064CA"/>
    <w:rsid w:val="00A06D08"/>
    <w:rsid w:val="00A07F66"/>
    <w:rsid w:val="00A135A9"/>
    <w:rsid w:val="00A1479A"/>
    <w:rsid w:val="00A15007"/>
    <w:rsid w:val="00A15CC4"/>
    <w:rsid w:val="00A1681D"/>
    <w:rsid w:val="00A17ADE"/>
    <w:rsid w:val="00A20680"/>
    <w:rsid w:val="00A2155D"/>
    <w:rsid w:val="00A23DC5"/>
    <w:rsid w:val="00A259A6"/>
    <w:rsid w:val="00A3238C"/>
    <w:rsid w:val="00A34DA8"/>
    <w:rsid w:val="00A35E4D"/>
    <w:rsid w:val="00A40A44"/>
    <w:rsid w:val="00A41BA6"/>
    <w:rsid w:val="00A431F6"/>
    <w:rsid w:val="00A50D54"/>
    <w:rsid w:val="00A5170B"/>
    <w:rsid w:val="00A55D33"/>
    <w:rsid w:val="00A57256"/>
    <w:rsid w:val="00A61E44"/>
    <w:rsid w:val="00A63EAC"/>
    <w:rsid w:val="00A654AA"/>
    <w:rsid w:val="00A656C1"/>
    <w:rsid w:val="00A658AD"/>
    <w:rsid w:val="00A67DF3"/>
    <w:rsid w:val="00A74359"/>
    <w:rsid w:val="00A77BD8"/>
    <w:rsid w:val="00A819F4"/>
    <w:rsid w:val="00A84548"/>
    <w:rsid w:val="00A847D9"/>
    <w:rsid w:val="00A85EB5"/>
    <w:rsid w:val="00A8734D"/>
    <w:rsid w:val="00A92CDC"/>
    <w:rsid w:val="00A9334E"/>
    <w:rsid w:val="00A94854"/>
    <w:rsid w:val="00A97E03"/>
    <w:rsid w:val="00AA33BB"/>
    <w:rsid w:val="00AA507D"/>
    <w:rsid w:val="00AA5AA2"/>
    <w:rsid w:val="00AA5B39"/>
    <w:rsid w:val="00AB4373"/>
    <w:rsid w:val="00AB52CB"/>
    <w:rsid w:val="00AB70D1"/>
    <w:rsid w:val="00AB7ECF"/>
    <w:rsid w:val="00AC3091"/>
    <w:rsid w:val="00AC3BDF"/>
    <w:rsid w:val="00AD2297"/>
    <w:rsid w:val="00AD3A2B"/>
    <w:rsid w:val="00AD5274"/>
    <w:rsid w:val="00AD61CA"/>
    <w:rsid w:val="00AE0B3F"/>
    <w:rsid w:val="00AE4078"/>
    <w:rsid w:val="00AE4F94"/>
    <w:rsid w:val="00AE7745"/>
    <w:rsid w:val="00AF0629"/>
    <w:rsid w:val="00AF1CE6"/>
    <w:rsid w:val="00AF6E29"/>
    <w:rsid w:val="00AF73EE"/>
    <w:rsid w:val="00B00B3A"/>
    <w:rsid w:val="00B00F51"/>
    <w:rsid w:val="00B02CC0"/>
    <w:rsid w:val="00B0423B"/>
    <w:rsid w:val="00B0591F"/>
    <w:rsid w:val="00B05F82"/>
    <w:rsid w:val="00B0620D"/>
    <w:rsid w:val="00B062BB"/>
    <w:rsid w:val="00B11B26"/>
    <w:rsid w:val="00B13511"/>
    <w:rsid w:val="00B161E3"/>
    <w:rsid w:val="00B16480"/>
    <w:rsid w:val="00B263C4"/>
    <w:rsid w:val="00B26A44"/>
    <w:rsid w:val="00B271BC"/>
    <w:rsid w:val="00B27D19"/>
    <w:rsid w:val="00B41CA1"/>
    <w:rsid w:val="00B43D9E"/>
    <w:rsid w:val="00B45FB9"/>
    <w:rsid w:val="00B500D2"/>
    <w:rsid w:val="00B5051D"/>
    <w:rsid w:val="00B56B14"/>
    <w:rsid w:val="00B62FE0"/>
    <w:rsid w:val="00B64713"/>
    <w:rsid w:val="00B67806"/>
    <w:rsid w:val="00B7342E"/>
    <w:rsid w:val="00B73CEC"/>
    <w:rsid w:val="00B763F3"/>
    <w:rsid w:val="00B76D60"/>
    <w:rsid w:val="00B81827"/>
    <w:rsid w:val="00B81BE2"/>
    <w:rsid w:val="00B81CF6"/>
    <w:rsid w:val="00B8357D"/>
    <w:rsid w:val="00B85B56"/>
    <w:rsid w:val="00B864E1"/>
    <w:rsid w:val="00B86B8F"/>
    <w:rsid w:val="00B87D11"/>
    <w:rsid w:val="00B905FA"/>
    <w:rsid w:val="00B9280B"/>
    <w:rsid w:val="00B92F3B"/>
    <w:rsid w:val="00B973B0"/>
    <w:rsid w:val="00BA5806"/>
    <w:rsid w:val="00BA65EC"/>
    <w:rsid w:val="00BB17A7"/>
    <w:rsid w:val="00BB1B27"/>
    <w:rsid w:val="00BB42E2"/>
    <w:rsid w:val="00BC0C00"/>
    <w:rsid w:val="00BC1C03"/>
    <w:rsid w:val="00BC49A7"/>
    <w:rsid w:val="00BC6C19"/>
    <w:rsid w:val="00BC7F83"/>
    <w:rsid w:val="00BD023C"/>
    <w:rsid w:val="00BD0C08"/>
    <w:rsid w:val="00BD382B"/>
    <w:rsid w:val="00BD3FD4"/>
    <w:rsid w:val="00BE0682"/>
    <w:rsid w:val="00BE1E3F"/>
    <w:rsid w:val="00BE2B0D"/>
    <w:rsid w:val="00BF3B18"/>
    <w:rsid w:val="00BF5255"/>
    <w:rsid w:val="00C01580"/>
    <w:rsid w:val="00C03497"/>
    <w:rsid w:val="00C0449F"/>
    <w:rsid w:val="00C06FDC"/>
    <w:rsid w:val="00C121F0"/>
    <w:rsid w:val="00C13BF9"/>
    <w:rsid w:val="00C17A87"/>
    <w:rsid w:val="00C200DF"/>
    <w:rsid w:val="00C21D08"/>
    <w:rsid w:val="00C241B8"/>
    <w:rsid w:val="00C31205"/>
    <w:rsid w:val="00C33250"/>
    <w:rsid w:val="00C370E8"/>
    <w:rsid w:val="00C377CA"/>
    <w:rsid w:val="00C40D6D"/>
    <w:rsid w:val="00C41D66"/>
    <w:rsid w:val="00C4384F"/>
    <w:rsid w:val="00C43AAF"/>
    <w:rsid w:val="00C51898"/>
    <w:rsid w:val="00C51E04"/>
    <w:rsid w:val="00C6189B"/>
    <w:rsid w:val="00C61C35"/>
    <w:rsid w:val="00C63B82"/>
    <w:rsid w:val="00C66B18"/>
    <w:rsid w:val="00C7380C"/>
    <w:rsid w:val="00C74EC4"/>
    <w:rsid w:val="00C768FF"/>
    <w:rsid w:val="00C76D31"/>
    <w:rsid w:val="00C8086A"/>
    <w:rsid w:val="00C818C6"/>
    <w:rsid w:val="00C91CD2"/>
    <w:rsid w:val="00C933C3"/>
    <w:rsid w:val="00CA7418"/>
    <w:rsid w:val="00CA7D31"/>
    <w:rsid w:val="00CB2506"/>
    <w:rsid w:val="00CB7A7D"/>
    <w:rsid w:val="00CC3172"/>
    <w:rsid w:val="00CC6D21"/>
    <w:rsid w:val="00CD3F4C"/>
    <w:rsid w:val="00CD6671"/>
    <w:rsid w:val="00CD6DCD"/>
    <w:rsid w:val="00CE0E23"/>
    <w:rsid w:val="00CE0F17"/>
    <w:rsid w:val="00CE3AB3"/>
    <w:rsid w:val="00CE3CEF"/>
    <w:rsid w:val="00CE419E"/>
    <w:rsid w:val="00CE4490"/>
    <w:rsid w:val="00CE628F"/>
    <w:rsid w:val="00CE7739"/>
    <w:rsid w:val="00CF0F5F"/>
    <w:rsid w:val="00CF4E54"/>
    <w:rsid w:val="00CF6817"/>
    <w:rsid w:val="00D046C4"/>
    <w:rsid w:val="00D053B0"/>
    <w:rsid w:val="00D07A6F"/>
    <w:rsid w:val="00D11D51"/>
    <w:rsid w:val="00D1209A"/>
    <w:rsid w:val="00D13061"/>
    <w:rsid w:val="00D141A0"/>
    <w:rsid w:val="00D14AA2"/>
    <w:rsid w:val="00D24E28"/>
    <w:rsid w:val="00D26033"/>
    <w:rsid w:val="00D26E66"/>
    <w:rsid w:val="00D27DE2"/>
    <w:rsid w:val="00D315AA"/>
    <w:rsid w:val="00D321D4"/>
    <w:rsid w:val="00D37D12"/>
    <w:rsid w:val="00D4276B"/>
    <w:rsid w:val="00D43F36"/>
    <w:rsid w:val="00D44ACF"/>
    <w:rsid w:val="00D470A6"/>
    <w:rsid w:val="00D508BA"/>
    <w:rsid w:val="00D56542"/>
    <w:rsid w:val="00D57090"/>
    <w:rsid w:val="00D57EF5"/>
    <w:rsid w:val="00D601BC"/>
    <w:rsid w:val="00D61DBE"/>
    <w:rsid w:val="00D62888"/>
    <w:rsid w:val="00D657C2"/>
    <w:rsid w:val="00D67252"/>
    <w:rsid w:val="00D7159E"/>
    <w:rsid w:val="00D72CF6"/>
    <w:rsid w:val="00D7680F"/>
    <w:rsid w:val="00D76F3D"/>
    <w:rsid w:val="00D807B4"/>
    <w:rsid w:val="00D84B02"/>
    <w:rsid w:val="00D86788"/>
    <w:rsid w:val="00D86FD8"/>
    <w:rsid w:val="00D87CE5"/>
    <w:rsid w:val="00D92213"/>
    <w:rsid w:val="00D92CC7"/>
    <w:rsid w:val="00D93AAC"/>
    <w:rsid w:val="00D9528E"/>
    <w:rsid w:val="00DA065D"/>
    <w:rsid w:val="00DA2528"/>
    <w:rsid w:val="00DA569D"/>
    <w:rsid w:val="00DB0778"/>
    <w:rsid w:val="00DB0B07"/>
    <w:rsid w:val="00DB16F4"/>
    <w:rsid w:val="00DD4BC2"/>
    <w:rsid w:val="00DD5902"/>
    <w:rsid w:val="00DE155A"/>
    <w:rsid w:val="00DE3A68"/>
    <w:rsid w:val="00DF05AD"/>
    <w:rsid w:val="00DF3477"/>
    <w:rsid w:val="00DF58E7"/>
    <w:rsid w:val="00E00EEE"/>
    <w:rsid w:val="00E02F67"/>
    <w:rsid w:val="00E0335E"/>
    <w:rsid w:val="00E03CDA"/>
    <w:rsid w:val="00E06284"/>
    <w:rsid w:val="00E07B52"/>
    <w:rsid w:val="00E1149E"/>
    <w:rsid w:val="00E16207"/>
    <w:rsid w:val="00E21873"/>
    <w:rsid w:val="00E23683"/>
    <w:rsid w:val="00E2723F"/>
    <w:rsid w:val="00E27DA5"/>
    <w:rsid w:val="00E301AD"/>
    <w:rsid w:val="00E31EED"/>
    <w:rsid w:val="00E32E18"/>
    <w:rsid w:val="00E3531A"/>
    <w:rsid w:val="00E36713"/>
    <w:rsid w:val="00E40D18"/>
    <w:rsid w:val="00E50543"/>
    <w:rsid w:val="00E54092"/>
    <w:rsid w:val="00E60852"/>
    <w:rsid w:val="00E60ACD"/>
    <w:rsid w:val="00E60F8D"/>
    <w:rsid w:val="00E63434"/>
    <w:rsid w:val="00E64E96"/>
    <w:rsid w:val="00E70B3F"/>
    <w:rsid w:val="00E7401E"/>
    <w:rsid w:val="00E7436C"/>
    <w:rsid w:val="00E7666B"/>
    <w:rsid w:val="00E7686E"/>
    <w:rsid w:val="00E80B07"/>
    <w:rsid w:val="00E8127D"/>
    <w:rsid w:val="00E84C5D"/>
    <w:rsid w:val="00E85D3E"/>
    <w:rsid w:val="00E86419"/>
    <w:rsid w:val="00E8659C"/>
    <w:rsid w:val="00E94524"/>
    <w:rsid w:val="00E96E01"/>
    <w:rsid w:val="00EA1AF2"/>
    <w:rsid w:val="00EA20DE"/>
    <w:rsid w:val="00EA625A"/>
    <w:rsid w:val="00EA764D"/>
    <w:rsid w:val="00EB09FE"/>
    <w:rsid w:val="00EB1350"/>
    <w:rsid w:val="00EB3D07"/>
    <w:rsid w:val="00EB5BCE"/>
    <w:rsid w:val="00EB7084"/>
    <w:rsid w:val="00EC0B5F"/>
    <w:rsid w:val="00EC0FAC"/>
    <w:rsid w:val="00EC47F1"/>
    <w:rsid w:val="00EC7097"/>
    <w:rsid w:val="00ED0E0E"/>
    <w:rsid w:val="00ED1F53"/>
    <w:rsid w:val="00ED7526"/>
    <w:rsid w:val="00EE5C46"/>
    <w:rsid w:val="00EE7B54"/>
    <w:rsid w:val="00EE7BBA"/>
    <w:rsid w:val="00EF34FE"/>
    <w:rsid w:val="00EF3EA8"/>
    <w:rsid w:val="00EF60E2"/>
    <w:rsid w:val="00F0103A"/>
    <w:rsid w:val="00F01670"/>
    <w:rsid w:val="00F04A71"/>
    <w:rsid w:val="00F06563"/>
    <w:rsid w:val="00F10BD4"/>
    <w:rsid w:val="00F114E3"/>
    <w:rsid w:val="00F1194C"/>
    <w:rsid w:val="00F11E4C"/>
    <w:rsid w:val="00F11F37"/>
    <w:rsid w:val="00F16403"/>
    <w:rsid w:val="00F16AE3"/>
    <w:rsid w:val="00F226BB"/>
    <w:rsid w:val="00F26576"/>
    <w:rsid w:val="00F26653"/>
    <w:rsid w:val="00F32126"/>
    <w:rsid w:val="00F33DF6"/>
    <w:rsid w:val="00F34B62"/>
    <w:rsid w:val="00F41727"/>
    <w:rsid w:val="00F43C0A"/>
    <w:rsid w:val="00F43E69"/>
    <w:rsid w:val="00F44EFB"/>
    <w:rsid w:val="00F50864"/>
    <w:rsid w:val="00F56BA6"/>
    <w:rsid w:val="00F57465"/>
    <w:rsid w:val="00F57780"/>
    <w:rsid w:val="00F60965"/>
    <w:rsid w:val="00F62DB2"/>
    <w:rsid w:val="00F63518"/>
    <w:rsid w:val="00F63C75"/>
    <w:rsid w:val="00F64938"/>
    <w:rsid w:val="00F66D32"/>
    <w:rsid w:val="00F738C1"/>
    <w:rsid w:val="00F74E84"/>
    <w:rsid w:val="00F75B83"/>
    <w:rsid w:val="00F80480"/>
    <w:rsid w:val="00F841BB"/>
    <w:rsid w:val="00F848D2"/>
    <w:rsid w:val="00F863BD"/>
    <w:rsid w:val="00F939E1"/>
    <w:rsid w:val="00F94D20"/>
    <w:rsid w:val="00F95BB7"/>
    <w:rsid w:val="00F963E4"/>
    <w:rsid w:val="00FA0F02"/>
    <w:rsid w:val="00FB0829"/>
    <w:rsid w:val="00FB226C"/>
    <w:rsid w:val="00FB22EC"/>
    <w:rsid w:val="00FB3E73"/>
    <w:rsid w:val="00FB716E"/>
    <w:rsid w:val="00FC0DBA"/>
    <w:rsid w:val="00FC380D"/>
    <w:rsid w:val="00FC6FE1"/>
    <w:rsid w:val="00FD4D23"/>
    <w:rsid w:val="00FD5BEC"/>
    <w:rsid w:val="00FD7306"/>
    <w:rsid w:val="00FD7DEC"/>
    <w:rsid w:val="00FE140D"/>
    <w:rsid w:val="00FE74C8"/>
    <w:rsid w:val="00FE7DCE"/>
    <w:rsid w:val="00FF3905"/>
    <w:rsid w:val="00FF4C2D"/>
    <w:rsid w:val="00FF4F02"/>
    <w:rsid w:val="00FF5B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8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0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259A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sid w:val="00A259A6"/>
    <w:rPr>
      <w:color w:val="0000FF"/>
      <w:u w:val="single"/>
    </w:rPr>
  </w:style>
  <w:style w:type="paragraph" w:styleId="Header">
    <w:name w:val="header"/>
    <w:basedOn w:val="Normal"/>
    <w:link w:val="HeaderChar"/>
    <w:uiPriority w:val="99"/>
    <w:unhideWhenUsed/>
    <w:rsid w:val="00006A9F"/>
    <w:pPr>
      <w:tabs>
        <w:tab w:val="center" w:pos="4680"/>
        <w:tab w:val="right" w:pos="9360"/>
      </w:tabs>
    </w:pPr>
  </w:style>
  <w:style w:type="character" w:customStyle="1" w:styleId="HeaderChar">
    <w:name w:val="Header Char"/>
    <w:link w:val="Header"/>
    <w:uiPriority w:val="99"/>
    <w:rsid w:val="00006A9F"/>
    <w:rPr>
      <w:sz w:val="22"/>
      <w:szCs w:val="22"/>
    </w:rPr>
  </w:style>
  <w:style w:type="paragraph" w:styleId="Footer">
    <w:name w:val="footer"/>
    <w:basedOn w:val="Normal"/>
    <w:link w:val="FooterChar"/>
    <w:uiPriority w:val="99"/>
    <w:unhideWhenUsed/>
    <w:rsid w:val="00006A9F"/>
    <w:pPr>
      <w:tabs>
        <w:tab w:val="center" w:pos="4680"/>
        <w:tab w:val="right" w:pos="9360"/>
      </w:tabs>
    </w:pPr>
  </w:style>
  <w:style w:type="character" w:customStyle="1" w:styleId="FooterChar">
    <w:name w:val="Footer Char"/>
    <w:link w:val="Footer"/>
    <w:uiPriority w:val="99"/>
    <w:rsid w:val="00006A9F"/>
    <w:rPr>
      <w:sz w:val="22"/>
      <w:szCs w:val="22"/>
    </w:rPr>
  </w:style>
  <w:style w:type="character" w:styleId="CommentReference">
    <w:name w:val="annotation reference"/>
    <w:basedOn w:val="DefaultParagraphFont"/>
    <w:unhideWhenUsed/>
    <w:rsid w:val="00E0335E"/>
    <w:rPr>
      <w:sz w:val="16"/>
      <w:szCs w:val="16"/>
    </w:rPr>
  </w:style>
  <w:style w:type="paragraph" w:styleId="CommentText">
    <w:name w:val="annotation text"/>
    <w:basedOn w:val="Normal"/>
    <w:link w:val="CommentTextChar"/>
    <w:unhideWhenUsed/>
    <w:rsid w:val="00E0335E"/>
    <w:pPr>
      <w:spacing w:line="240" w:lineRule="auto"/>
    </w:pPr>
    <w:rPr>
      <w:sz w:val="20"/>
      <w:szCs w:val="20"/>
    </w:rPr>
  </w:style>
  <w:style w:type="character" w:customStyle="1" w:styleId="CommentTextChar">
    <w:name w:val="Comment Text Char"/>
    <w:basedOn w:val="DefaultParagraphFont"/>
    <w:link w:val="CommentText"/>
    <w:rsid w:val="00E0335E"/>
  </w:style>
  <w:style w:type="paragraph" w:styleId="CommentSubject">
    <w:name w:val="annotation subject"/>
    <w:basedOn w:val="CommentText"/>
    <w:next w:val="CommentText"/>
    <w:link w:val="CommentSubjectChar"/>
    <w:uiPriority w:val="99"/>
    <w:semiHidden/>
    <w:unhideWhenUsed/>
    <w:rsid w:val="00E0335E"/>
    <w:rPr>
      <w:b/>
      <w:bCs/>
    </w:rPr>
  </w:style>
  <w:style w:type="character" w:customStyle="1" w:styleId="CommentSubjectChar">
    <w:name w:val="Comment Subject Char"/>
    <w:basedOn w:val="CommentTextChar"/>
    <w:link w:val="CommentSubject"/>
    <w:rsid w:val="00E0335E"/>
    <w:rPr>
      <w:b/>
      <w:bCs/>
    </w:rPr>
  </w:style>
  <w:style w:type="paragraph" w:styleId="BalloonText">
    <w:name w:val="Balloon Text"/>
    <w:basedOn w:val="Normal"/>
    <w:link w:val="BalloonTextChar"/>
    <w:uiPriority w:val="99"/>
    <w:semiHidden/>
    <w:unhideWhenUsed/>
    <w:rsid w:val="00E03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5E"/>
    <w:rPr>
      <w:rFonts w:ascii="Tahoma" w:hAnsi="Tahoma" w:cs="Tahoma"/>
      <w:sz w:val="16"/>
      <w:szCs w:val="16"/>
    </w:rPr>
  </w:style>
  <w:style w:type="paragraph" w:styleId="Revision">
    <w:name w:val="Revision"/>
    <w:hidden/>
    <w:uiPriority w:val="99"/>
    <w:semiHidden/>
    <w:rsid w:val="00365122"/>
    <w:rPr>
      <w:sz w:val="22"/>
      <w:szCs w:val="22"/>
    </w:rPr>
  </w:style>
  <w:style w:type="table" w:styleId="TableGrid">
    <w:name w:val="Table Grid"/>
    <w:basedOn w:val="TableNormal"/>
    <w:uiPriority w:val="59"/>
    <w:rsid w:val="0024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1D9"/>
    <w:pPr>
      <w:ind w:left="720"/>
      <w:contextualSpacing/>
    </w:pPr>
  </w:style>
  <w:style w:type="paragraph" w:styleId="NoSpacing">
    <w:name w:val="No Spacing"/>
    <w:uiPriority w:val="1"/>
    <w:qFormat/>
    <w:rsid w:val="00FA0F02"/>
    <w:rPr>
      <w:sz w:val="22"/>
      <w:szCs w:val="22"/>
    </w:rPr>
  </w:style>
  <w:style w:type="character" w:styleId="UnresolvedMention">
    <w:name w:val="Unresolved Mention"/>
    <w:basedOn w:val="DefaultParagraphFont"/>
    <w:uiPriority w:val="99"/>
    <w:semiHidden/>
    <w:unhideWhenUsed/>
    <w:rsid w:val="00E96E01"/>
    <w:rPr>
      <w:color w:val="605E5C"/>
      <w:shd w:val="clear" w:color="auto" w:fill="E1DFDD"/>
    </w:rPr>
  </w:style>
  <w:style w:type="paragraph" w:styleId="FootnoteText">
    <w:name w:val="footnote text"/>
    <w:basedOn w:val="Normal"/>
    <w:link w:val="FootnoteTextChar"/>
    <w:uiPriority w:val="99"/>
    <w:semiHidden/>
    <w:unhideWhenUsed/>
    <w:rsid w:val="00071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269"/>
  </w:style>
  <w:style w:type="character" w:styleId="FootnoteReference">
    <w:name w:val="footnote reference"/>
    <w:basedOn w:val="DefaultParagraphFont"/>
    <w:unhideWhenUsed/>
    <w:rsid w:val="00071269"/>
    <w:rPr>
      <w:vertAlign w:val="superscript"/>
    </w:rPr>
  </w:style>
  <w:style w:type="paragraph" w:styleId="BodyText">
    <w:name w:val="Body Text"/>
    <w:basedOn w:val="Normal"/>
    <w:link w:val="BodyTextChar"/>
    <w:uiPriority w:val="1"/>
    <w:qFormat/>
    <w:rsid w:val="00EF34FE"/>
    <w:pPr>
      <w:widowControl w:val="0"/>
      <w:spacing w:after="0" w:line="240" w:lineRule="auto"/>
      <w:ind w:left="12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EF34FE"/>
    <w:rPr>
      <w:rFonts w:ascii="Times New Roman" w:eastAsia="Times New Roman" w:hAnsi="Times New Roman" w:cstheme="minorBidi"/>
      <w:sz w:val="24"/>
      <w:szCs w:val="24"/>
    </w:rPr>
  </w:style>
  <w:style w:type="character" w:styleId="FollowedHyperlink">
    <w:name w:val="FollowedHyperlink"/>
    <w:basedOn w:val="DefaultParagraphFont"/>
    <w:uiPriority w:val="99"/>
    <w:semiHidden/>
    <w:unhideWhenUsed/>
    <w:rsid w:val="006B6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drugs/drug-supply-chain-security-act-dscsa/notify-fda-illegitimate-products" TargetMode="External" /><Relationship Id="rId7" Type="http://schemas.openxmlformats.org/officeDocument/2006/relationships/hyperlink" Target="https://www.fda.gov/regulatory-information/search-fda-guidance-documents" TargetMode="External" /><Relationship Id="rId8" Type="http://schemas.openxmlformats.org/officeDocument/2006/relationships/hyperlink" Target="https://cdernextgenportal.fda.gov/Login_CDER?ec=302&amp;startURL=%2Fs%2F" TargetMode="External" /><Relationship Id="rId9" Type="http://schemas.openxmlformats.org/officeDocument/2006/relationships/hyperlink" Target="https://www.fda.gov/drugs/drug-supply-chain-security-act-dscsa/fdas-implementation-drug-supply-chain-security-act-dscsa-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E5AA-F3E5-4BAA-8F00-73BB66ED4FC6}">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2025-05-02T12:23:00Z</dcterms:created>
  <dcterms:modified xsi:type="dcterms:W3CDTF">2025-05-02T12:23:00Z</dcterms:modified>
</cp:coreProperties>
</file>