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FE505F" w14:paraId="21025D63" w14:textId="77777777">
      <w:pPr>
        <w:jc w:val="center"/>
        <w:rPr>
          <w:rFonts w:eastAsia="Calibri"/>
        </w:rPr>
      </w:pPr>
      <w:r w:rsidRPr="00357C8A">
        <w:rPr>
          <w:rFonts w:eastAsia="Calibri"/>
        </w:rPr>
        <w:t>United States Food and Drug Administration</w:t>
      </w:r>
    </w:p>
    <w:p w:rsidR="00357C8A" w:rsidP="00357C8A" w14:paraId="72C57129" w14:textId="77777777">
      <w:pPr>
        <w:jc w:val="center"/>
        <w:rPr>
          <w:rFonts w:eastAsia="Calibri"/>
        </w:rPr>
      </w:pPr>
    </w:p>
    <w:p w:rsidR="00357C8A" w:rsidP="00CF7839" w14:paraId="1B9315B4" w14:textId="77777777">
      <w:pPr>
        <w:jc w:val="center"/>
        <w:rPr>
          <w:rFonts w:eastAsia="Calibri"/>
        </w:rPr>
      </w:pPr>
      <w:bookmarkStart w:id="0" w:name="_Hlk161740752"/>
      <w:bookmarkStart w:id="1" w:name="_Hlk161747646"/>
      <w:r w:rsidRPr="00EA5E73">
        <w:rPr>
          <w:rFonts w:eastAsia="Calibri"/>
        </w:rPr>
        <w:t>Food Safety</w:t>
      </w:r>
      <w:r w:rsidR="000313FF">
        <w:rPr>
          <w:rFonts w:eastAsia="Calibri"/>
        </w:rPr>
        <w:t xml:space="preserve"> and Nutrition</w:t>
      </w:r>
      <w:r w:rsidRPr="00EA5E73">
        <w:rPr>
          <w:rFonts w:eastAsia="Calibri"/>
        </w:rPr>
        <w:t xml:space="preserve"> Survey</w:t>
      </w:r>
      <w:bookmarkEnd w:id="0"/>
    </w:p>
    <w:bookmarkEnd w:id="1"/>
    <w:p w:rsidR="00357C8A" w:rsidP="00CF7839" w14:paraId="74B44BC4" w14:textId="77777777">
      <w:pPr>
        <w:jc w:val="center"/>
        <w:rPr>
          <w:rFonts w:eastAsia="Calibri"/>
        </w:rPr>
      </w:pPr>
    </w:p>
    <w:p w:rsidR="00357C8A" w:rsidP="00357C8A" w14:paraId="43CB92F1" w14:textId="77777777">
      <w:pPr>
        <w:jc w:val="center"/>
        <w:rPr>
          <w:rFonts w:eastAsia="Calibri"/>
        </w:rPr>
      </w:pPr>
      <w:r w:rsidRPr="00357C8A">
        <w:rPr>
          <w:rFonts w:eastAsia="Calibri"/>
        </w:rPr>
        <w:t>OMB Control No. 0910-</w:t>
      </w:r>
      <w:r w:rsidR="00EA5E73">
        <w:rPr>
          <w:rFonts w:eastAsia="Calibri"/>
        </w:rPr>
        <w:t>0345</w:t>
      </w:r>
    </w:p>
    <w:p w:rsidR="00357C8A" w:rsidP="00357C8A" w14:paraId="73D10163" w14:textId="77777777">
      <w:pPr>
        <w:jc w:val="center"/>
        <w:rPr>
          <w:rFonts w:eastAsia="Calibri"/>
        </w:rPr>
      </w:pPr>
    </w:p>
    <w:p w:rsidR="00357C8A" w:rsidP="00357C8A" w14:paraId="342F2B00" w14:textId="77777777">
      <w:pPr>
        <w:jc w:val="center"/>
        <w:rPr>
          <w:rFonts w:eastAsia="Calibri"/>
        </w:rPr>
      </w:pPr>
      <w:r w:rsidRPr="00357C8A">
        <w:rPr>
          <w:rFonts w:eastAsia="Calibri"/>
        </w:rPr>
        <w:t>SUPPORTING STATEMENT</w:t>
      </w:r>
    </w:p>
    <w:p w:rsidR="009B4DF2" w:rsidP="00357C8A" w14:paraId="1091788B" w14:textId="77777777">
      <w:pPr>
        <w:jc w:val="center"/>
        <w:rPr>
          <w:rFonts w:eastAsia="Calibri"/>
        </w:rPr>
      </w:pPr>
    </w:p>
    <w:p w:rsidR="00357C8A" w:rsidP="000D79CC" w14:paraId="37CA224C" w14:textId="77777777">
      <w:pPr>
        <w:rPr>
          <w:rFonts w:eastAsia="Calibri"/>
        </w:rPr>
      </w:pPr>
      <w:r w:rsidRPr="00357C8A">
        <w:rPr>
          <w:rFonts w:eastAsia="Calibri"/>
          <w:b/>
        </w:rPr>
        <w:t>Part A:  Justification</w:t>
      </w:r>
      <w:r w:rsidRPr="00357C8A">
        <w:rPr>
          <w:rFonts w:eastAsia="Calibri"/>
        </w:rPr>
        <w:t>:</w:t>
      </w:r>
    </w:p>
    <w:p w:rsidR="000D79CC" w:rsidRPr="00357C8A" w:rsidP="000D79CC" w14:paraId="6092811E" w14:textId="77777777">
      <w:pPr>
        <w:rPr>
          <w:rFonts w:eastAsia="Calibri"/>
        </w:rPr>
      </w:pPr>
    </w:p>
    <w:p w:rsidR="00357C8A" w:rsidRPr="00357C8A" w:rsidP="006705EA" w14:paraId="6F704EFC"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4261E7" w:rsidRPr="00676151" w:rsidP="004261E7" w14:paraId="6AE65BB6" w14:textId="327B8165">
      <w:pPr>
        <w:numPr>
          <w:ilvl w:val="0"/>
          <w:numId w:val="9"/>
        </w:numPr>
      </w:pPr>
      <w:r>
        <w:rPr>
          <w:rFonts w:eastAsia="Calibri"/>
        </w:rPr>
        <w:t xml:space="preserve"> </w:t>
      </w:r>
      <w:r w:rsidRPr="00D8364E" w:rsidR="00D8364E">
        <w:rPr>
          <w:rFonts w:eastAsia="Calibri"/>
        </w:rPr>
        <w:t xml:space="preserve">Under section 1003(b)(2) of the Federal Food, Drug, and Cosmetic Act (21 U.S.C. 393(b)(2)), we are authorized to conduct research relating to foods and to conduct educational and public information programs relating to the safety of the nation’s food supply. </w:t>
      </w:r>
      <w:r>
        <w:t>This voluntary survey is being completed to measure consumers' knowledge, attitudes, beliefs, and reported behavior about food safety and nutrition.</w:t>
      </w:r>
      <w:r w:rsidRPr="00676151">
        <w:t xml:space="preserve"> It provides FDA with information about:</w:t>
      </w:r>
    </w:p>
    <w:p w:rsidR="004261E7" w:rsidRPr="004261E7" w:rsidP="00676151" w14:paraId="43B0367E" w14:textId="0E1C333D">
      <w:pPr>
        <w:numPr>
          <w:ilvl w:val="1"/>
          <w:numId w:val="9"/>
        </w:numPr>
      </w:pPr>
      <w:r w:rsidRPr="004261E7">
        <w:t>Food labeling policies: FSANS data on consumer understanding and use of food labels may have informed updates to nutrition labeling requirements.</w:t>
      </w:r>
    </w:p>
    <w:p w:rsidR="004261E7" w:rsidRPr="004261E7" w:rsidP="00676151" w14:paraId="5A2761DA" w14:textId="77777777">
      <w:pPr>
        <w:numPr>
          <w:ilvl w:val="1"/>
          <w:numId w:val="9"/>
        </w:numPr>
      </w:pPr>
      <w:r w:rsidRPr="004261E7">
        <w:t>Food safety education initiatives: Consumer knowledge gaps identified through FSANS could have led to targeted food safety education campaigns.</w:t>
      </w:r>
    </w:p>
    <w:p w:rsidR="004261E7" w:rsidRPr="004261E7" w:rsidP="00676151" w14:paraId="33E1DF7B" w14:textId="77777777">
      <w:pPr>
        <w:numPr>
          <w:ilvl w:val="1"/>
          <w:numId w:val="9"/>
        </w:numPr>
      </w:pPr>
      <w:r w:rsidRPr="004261E7">
        <w:t>Risk communication strategies: Understanding consumer perceptions of food risks through FSANS may have shaped how the FDA communicates about food safety issues.</w:t>
      </w:r>
    </w:p>
    <w:p w:rsidR="004261E7" w:rsidRPr="004261E7" w:rsidP="00676151" w14:paraId="7B47521D" w14:textId="77777777">
      <w:pPr>
        <w:numPr>
          <w:ilvl w:val="1"/>
          <w:numId w:val="9"/>
        </w:numPr>
      </w:pPr>
      <w:r w:rsidRPr="004261E7">
        <w:t>Dietary guidance: FSANS data on consumer dietary practices and nutritional knowledge may have contributed to updates in dietary recommendations.</w:t>
      </w:r>
    </w:p>
    <w:p w:rsidR="004261E7" w:rsidP="004261E7" w14:paraId="051271D3" w14:textId="7A2619F8"/>
    <w:p w:rsidR="00D8364E" w:rsidP="00A5060D" w14:paraId="2B99647F" w14:textId="3AF6D6FA">
      <w:pPr>
        <w:rPr>
          <w:rFonts w:eastAsia="Calibri"/>
        </w:rPr>
      </w:pPr>
      <w:r w:rsidRPr="00D8364E">
        <w:rPr>
          <w:rFonts w:eastAsia="Calibri"/>
        </w:rPr>
        <w:t xml:space="preserve"> In the past, FDA has conducted two separate surveys, a Food Safety Survey and a Health and Diet Survey, to measure consumers’ knowledge, attitudes, and beliefs about food safety and nutrition issues. </w:t>
      </w:r>
      <w:r>
        <w:rPr>
          <w:rFonts w:eastAsia="Calibri"/>
        </w:rPr>
        <w:t xml:space="preserve"> </w:t>
      </w:r>
      <w:r w:rsidRPr="00D8364E">
        <w:rPr>
          <w:rFonts w:eastAsia="Calibri"/>
        </w:rPr>
        <w:t xml:space="preserve">These surveys have been conducted every three to five years since the 1980’s.  </w:t>
      </w:r>
      <w:r w:rsidRPr="00A5060D" w:rsidR="00A5060D">
        <w:rPr>
          <w:rFonts w:eastAsia="Calibri"/>
        </w:rPr>
        <w:t xml:space="preserve">In the </w:t>
      </w:r>
      <w:r w:rsidRPr="00A72DE0" w:rsidR="00A5060D">
        <w:rPr>
          <w:rFonts w:eastAsia="Calibri"/>
          <w:i/>
          <w:iCs/>
        </w:rPr>
        <w:t>Federal Register</w:t>
      </w:r>
      <w:r w:rsidRPr="00A5060D" w:rsidR="00A5060D">
        <w:rPr>
          <w:rFonts w:eastAsia="Calibri"/>
        </w:rPr>
        <w:t xml:space="preserve"> of August</w:t>
      </w:r>
      <w:r w:rsidR="00A5060D">
        <w:rPr>
          <w:rFonts w:eastAsia="Calibri"/>
        </w:rPr>
        <w:t xml:space="preserve"> </w:t>
      </w:r>
      <w:r w:rsidRPr="00A5060D" w:rsidR="00A5060D">
        <w:rPr>
          <w:rFonts w:eastAsia="Calibri"/>
        </w:rPr>
        <w:t>14, 2018 (83 FR 40293), we announced</w:t>
      </w:r>
      <w:r w:rsidR="00A5060D">
        <w:rPr>
          <w:rFonts w:eastAsia="Calibri"/>
        </w:rPr>
        <w:t xml:space="preserve"> </w:t>
      </w:r>
      <w:r w:rsidR="0043334D">
        <w:rPr>
          <w:rFonts w:eastAsia="Calibri"/>
        </w:rPr>
        <w:t>our intention to</w:t>
      </w:r>
      <w:r w:rsidRPr="00A5060D" w:rsidR="00A5060D">
        <w:rPr>
          <w:rFonts w:eastAsia="Calibri"/>
        </w:rPr>
        <w:t xml:space="preserve"> combin</w:t>
      </w:r>
      <w:r w:rsidR="0043334D">
        <w:rPr>
          <w:rFonts w:eastAsia="Calibri"/>
        </w:rPr>
        <w:t>e</w:t>
      </w:r>
      <w:r w:rsidRPr="00A5060D" w:rsidR="00A5060D">
        <w:rPr>
          <w:rFonts w:eastAsia="Calibri"/>
        </w:rPr>
        <w:t xml:space="preserve"> these two surveys</w:t>
      </w:r>
      <w:r w:rsidRPr="00D8364E">
        <w:rPr>
          <w:rFonts w:eastAsia="Calibri"/>
        </w:rPr>
        <w:t xml:space="preserve"> into the </w:t>
      </w:r>
      <w:r w:rsidR="00A5060D">
        <w:rPr>
          <w:rFonts w:eastAsia="Calibri"/>
        </w:rPr>
        <w:t>F</w:t>
      </w:r>
      <w:r w:rsidRPr="00D8364E">
        <w:rPr>
          <w:rFonts w:eastAsia="Calibri"/>
        </w:rPr>
        <w:t>ood Safety and Nutrition Survey (</w:t>
      </w:r>
      <w:bookmarkStart w:id="2" w:name="_Hlk187659991"/>
      <w:r w:rsidRPr="00D8364E">
        <w:rPr>
          <w:rFonts w:eastAsia="Calibri"/>
        </w:rPr>
        <w:t>FSANS</w:t>
      </w:r>
      <w:bookmarkEnd w:id="2"/>
      <w:r w:rsidRPr="00D8364E">
        <w:rPr>
          <w:rFonts w:eastAsia="Calibri"/>
        </w:rPr>
        <w:t>).  Data from FDA’s food and nutrition surveys have been used to support rulemaking</w:t>
      </w:r>
      <w:r w:rsidR="004261E7">
        <w:rPr>
          <w:rFonts w:eastAsia="Calibri"/>
        </w:rPr>
        <w:t xml:space="preserve"> related to the Nutrition Facts label,</w:t>
      </w:r>
      <w:r w:rsidRPr="00D8364E">
        <w:rPr>
          <w:rFonts w:eastAsia="Calibri"/>
        </w:rPr>
        <w:t xml:space="preserve"> and educational campaigns </w:t>
      </w:r>
      <w:r w:rsidR="004261E7">
        <w:rPr>
          <w:rFonts w:eastAsia="Calibri"/>
        </w:rPr>
        <w:t xml:space="preserve">related to food safety, </w:t>
      </w:r>
      <w:r w:rsidRPr="00D8364E">
        <w:rPr>
          <w:rFonts w:eastAsia="Calibri"/>
        </w:rPr>
        <w:t>and to measure progress toward Healthy People 2010, 2020, and 2030 food safety</w:t>
      </w:r>
      <w:r w:rsidR="004261E7">
        <w:rPr>
          <w:rFonts w:eastAsia="Calibri"/>
        </w:rPr>
        <w:t xml:space="preserve"> consumer handling</w:t>
      </w:r>
      <w:r w:rsidRPr="00D8364E">
        <w:rPr>
          <w:rFonts w:eastAsia="Calibri"/>
        </w:rPr>
        <w:t xml:space="preserve"> goals. </w:t>
      </w:r>
      <w:r>
        <w:rPr>
          <w:rFonts w:eastAsia="Calibri"/>
        </w:rPr>
        <w:t xml:space="preserve"> </w:t>
      </w:r>
      <w:r w:rsidRPr="00D8364E">
        <w:rPr>
          <w:rFonts w:eastAsia="Calibri"/>
        </w:rPr>
        <w:t>The proposed 202</w:t>
      </w:r>
      <w:r w:rsidR="0043334D">
        <w:rPr>
          <w:rFonts w:eastAsia="Calibri"/>
        </w:rPr>
        <w:t>5</w:t>
      </w:r>
      <w:r w:rsidRPr="00D8364E">
        <w:rPr>
          <w:rFonts w:eastAsia="Calibri"/>
        </w:rPr>
        <w:t xml:space="preserve"> </w:t>
      </w:r>
      <w:r w:rsidRPr="0043334D" w:rsidR="0043334D">
        <w:rPr>
          <w:rFonts w:eastAsia="Calibri"/>
        </w:rPr>
        <w:t>FSANS</w:t>
      </w:r>
      <w:r w:rsidRPr="00D8364E">
        <w:rPr>
          <w:rFonts w:eastAsia="Calibri"/>
        </w:rPr>
        <w:t xml:space="preserve"> will contain many of the same questions and topics as the previous surveys to facilitate measuring trends in food safety and diet knowledge, attitudes, and behaviors over time.  The proposed survey will also be updated to explore emerging consumer food safety and nutrition topics and to expand understanding of previously asked topics. </w:t>
      </w:r>
    </w:p>
    <w:p w:rsidR="00D8364E" w:rsidP="00D8364E" w14:paraId="36B1263E" w14:textId="77777777">
      <w:pPr>
        <w:rPr>
          <w:rFonts w:eastAsia="Calibri"/>
        </w:rPr>
      </w:pPr>
    </w:p>
    <w:p w:rsidR="00D8364E" w:rsidP="00D8364E" w14:paraId="4514E4A7" w14:textId="4BB59FD2">
      <w:pPr>
        <w:rPr>
          <w:rFonts w:eastAsia="Calibri"/>
        </w:rPr>
      </w:pPr>
      <w:r w:rsidRPr="00A5060D">
        <w:rPr>
          <w:rFonts w:eastAsia="Calibri"/>
        </w:rPr>
        <w:t>The 202</w:t>
      </w:r>
      <w:r w:rsidR="00C47300">
        <w:rPr>
          <w:rFonts w:eastAsia="Calibri"/>
        </w:rPr>
        <w:t>5</w:t>
      </w:r>
      <w:r w:rsidRPr="00A5060D">
        <w:rPr>
          <w:rFonts w:eastAsia="Calibri"/>
        </w:rPr>
        <w:t xml:space="preserve"> FSANS will be both a</w:t>
      </w:r>
      <w:r w:rsidR="00612961">
        <w:rPr>
          <w:rFonts w:eastAsia="Calibri"/>
        </w:rPr>
        <w:t xml:space="preserve"> </w:t>
      </w:r>
      <w:r w:rsidRPr="00A5060D">
        <w:rPr>
          <w:rFonts w:eastAsia="Calibri"/>
        </w:rPr>
        <w:t>paper-and-pencil and web-based survey.</w:t>
      </w:r>
      <w:r w:rsidR="00612961">
        <w:rPr>
          <w:rFonts w:eastAsia="Calibri"/>
        </w:rPr>
        <w:t xml:space="preserve">  </w:t>
      </w:r>
      <w:r w:rsidRPr="00A5060D">
        <w:rPr>
          <w:rFonts w:eastAsia="Calibri"/>
        </w:rPr>
        <w:t>Respondents will be contacted by postal</w:t>
      </w:r>
      <w:r w:rsidR="00612961">
        <w:rPr>
          <w:rFonts w:eastAsia="Calibri"/>
        </w:rPr>
        <w:t xml:space="preserve"> </w:t>
      </w:r>
      <w:r w:rsidRPr="00A5060D">
        <w:rPr>
          <w:rFonts w:eastAsia="Calibri"/>
        </w:rPr>
        <w:t>mail, using an addressed-based</w:t>
      </w:r>
      <w:r w:rsidR="00612961">
        <w:rPr>
          <w:rFonts w:eastAsia="Calibri"/>
        </w:rPr>
        <w:t xml:space="preserve"> </w:t>
      </w:r>
      <w:r w:rsidRPr="00A5060D">
        <w:rPr>
          <w:rFonts w:eastAsia="Calibri"/>
        </w:rPr>
        <w:t xml:space="preserve">sampling frame. </w:t>
      </w:r>
      <w:r w:rsidR="00612961">
        <w:rPr>
          <w:rFonts w:eastAsia="Calibri"/>
        </w:rPr>
        <w:t xml:space="preserve"> </w:t>
      </w:r>
      <w:r w:rsidRPr="00A5060D">
        <w:rPr>
          <w:rFonts w:eastAsia="Calibri"/>
        </w:rPr>
        <w:t>Once contacted,</w:t>
      </w:r>
      <w:r w:rsidR="00612961">
        <w:rPr>
          <w:rFonts w:eastAsia="Calibri"/>
        </w:rPr>
        <w:t xml:space="preserve"> </w:t>
      </w:r>
      <w:r w:rsidRPr="00A5060D">
        <w:rPr>
          <w:rFonts w:eastAsia="Calibri"/>
        </w:rPr>
        <w:t>respondents will be encouraged to take</w:t>
      </w:r>
      <w:r w:rsidR="00612961">
        <w:rPr>
          <w:rFonts w:eastAsia="Calibri"/>
        </w:rPr>
        <w:t xml:space="preserve"> </w:t>
      </w:r>
      <w:r w:rsidRPr="00A5060D">
        <w:rPr>
          <w:rFonts w:eastAsia="Calibri"/>
        </w:rPr>
        <w:t xml:space="preserve">the survey online. </w:t>
      </w:r>
      <w:r w:rsidR="00612961">
        <w:rPr>
          <w:rFonts w:eastAsia="Calibri"/>
        </w:rPr>
        <w:t xml:space="preserve"> </w:t>
      </w:r>
      <w:r w:rsidRPr="00A5060D">
        <w:rPr>
          <w:rFonts w:eastAsia="Calibri"/>
        </w:rPr>
        <w:t>A paper-and-pencil</w:t>
      </w:r>
      <w:r w:rsidR="00612961">
        <w:rPr>
          <w:rFonts w:eastAsia="Calibri"/>
        </w:rPr>
        <w:t xml:space="preserve"> </w:t>
      </w:r>
      <w:r w:rsidRPr="00A5060D">
        <w:rPr>
          <w:rFonts w:eastAsia="Calibri"/>
        </w:rPr>
        <w:t>version of the survey will be mailed to</w:t>
      </w:r>
      <w:r w:rsidR="00612961">
        <w:rPr>
          <w:rFonts w:eastAsia="Calibri"/>
        </w:rPr>
        <w:t xml:space="preserve"> </w:t>
      </w:r>
      <w:r w:rsidRPr="00A5060D">
        <w:rPr>
          <w:rFonts w:eastAsia="Calibri"/>
        </w:rPr>
        <w:t xml:space="preserve">those who do not initially take the </w:t>
      </w:r>
      <w:r w:rsidRPr="00A5060D" w:rsidR="00612961">
        <w:rPr>
          <w:rFonts w:eastAsia="Calibri"/>
        </w:rPr>
        <w:t>web</w:t>
      </w:r>
      <w:r w:rsidR="00C47300">
        <w:rPr>
          <w:rFonts w:eastAsia="Calibri"/>
        </w:rPr>
        <w:t>-</w:t>
      </w:r>
      <w:r w:rsidRPr="00A5060D" w:rsidR="00612961">
        <w:rPr>
          <w:rFonts w:eastAsia="Calibri"/>
        </w:rPr>
        <w:t>based</w:t>
      </w:r>
      <w:r w:rsidR="00612961">
        <w:rPr>
          <w:rFonts w:eastAsia="Calibri"/>
        </w:rPr>
        <w:t xml:space="preserve"> </w:t>
      </w:r>
      <w:r w:rsidRPr="00A5060D">
        <w:rPr>
          <w:rFonts w:eastAsia="Calibri"/>
        </w:rPr>
        <w:t xml:space="preserve">version of the survey. </w:t>
      </w:r>
      <w:r w:rsidR="00612961">
        <w:rPr>
          <w:rFonts w:eastAsia="Calibri"/>
        </w:rPr>
        <w:t xml:space="preserve"> </w:t>
      </w:r>
      <w:r w:rsidRPr="00A5060D">
        <w:rPr>
          <w:rFonts w:eastAsia="Calibri"/>
        </w:rPr>
        <w:t>One</w:t>
      </w:r>
      <w:r w:rsidR="00612961">
        <w:rPr>
          <w:rFonts w:eastAsia="Calibri"/>
        </w:rPr>
        <w:t xml:space="preserve"> </w:t>
      </w:r>
      <w:r w:rsidRPr="00A5060D">
        <w:rPr>
          <w:rFonts w:eastAsia="Calibri"/>
        </w:rPr>
        <w:t>randomly selected adult from each</w:t>
      </w:r>
      <w:r w:rsidR="00612961">
        <w:rPr>
          <w:rFonts w:eastAsia="Calibri"/>
        </w:rPr>
        <w:t xml:space="preserve"> </w:t>
      </w:r>
      <w:r w:rsidRPr="00A5060D">
        <w:rPr>
          <w:rFonts w:eastAsia="Calibri"/>
        </w:rPr>
        <w:t>sampled household will be invited to</w:t>
      </w:r>
      <w:r w:rsidR="00612961">
        <w:rPr>
          <w:rFonts w:eastAsia="Calibri"/>
        </w:rPr>
        <w:t xml:space="preserve"> </w:t>
      </w:r>
      <w:r w:rsidRPr="00A5060D">
        <w:rPr>
          <w:rFonts w:eastAsia="Calibri"/>
        </w:rPr>
        <w:t>participate in the survey using the</w:t>
      </w:r>
      <w:r w:rsidR="00612961">
        <w:rPr>
          <w:rFonts w:eastAsia="Calibri"/>
        </w:rPr>
        <w:t xml:space="preserve"> </w:t>
      </w:r>
      <w:r w:rsidRPr="00A5060D">
        <w:rPr>
          <w:rFonts w:eastAsia="Calibri"/>
        </w:rPr>
        <w:t>Hagen-Collier method.</w:t>
      </w:r>
      <w:r>
        <w:rPr>
          <w:rStyle w:val="FootnoteReference"/>
          <w:rFonts w:eastAsia="Calibri"/>
        </w:rPr>
        <w:footnoteReference w:id="2"/>
      </w:r>
      <w:r w:rsidRPr="00A5060D">
        <w:rPr>
          <w:rFonts w:eastAsia="Calibri"/>
        </w:rPr>
        <w:t xml:space="preserve"> </w:t>
      </w:r>
      <w:r w:rsidR="00612961">
        <w:rPr>
          <w:rFonts w:eastAsia="Calibri"/>
        </w:rPr>
        <w:t xml:space="preserve"> </w:t>
      </w:r>
      <w:r w:rsidRPr="00A5060D">
        <w:rPr>
          <w:rFonts w:eastAsia="Calibri"/>
        </w:rPr>
        <w:t>A total of 5,000</w:t>
      </w:r>
      <w:r w:rsidR="00612961">
        <w:rPr>
          <w:rFonts w:eastAsia="Calibri"/>
        </w:rPr>
        <w:t xml:space="preserve"> </w:t>
      </w:r>
      <w:r w:rsidRPr="00A5060D">
        <w:rPr>
          <w:rFonts w:eastAsia="Calibri"/>
        </w:rPr>
        <w:t>respondents will be surveyed.</w:t>
      </w:r>
      <w:r w:rsidR="00612961">
        <w:rPr>
          <w:rFonts w:eastAsia="Calibri"/>
        </w:rPr>
        <w:t xml:space="preserve"> </w:t>
      </w:r>
      <w:r w:rsidRPr="00A5060D">
        <w:rPr>
          <w:rFonts w:eastAsia="Calibri"/>
        </w:rPr>
        <w:t xml:space="preserve"> We will</w:t>
      </w:r>
      <w:r w:rsidR="00612961">
        <w:rPr>
          <w:rFonts w:eastAsia="Calibri"/>
        </w:rPr>
        <w:t xml:space="preserve"> </w:t>
      </w:r>
      <w:r w:rsidRPr="00A5060D">
        <w:rPr>
          <w:rFonts w:eastAsia="Calibri"/>
        </w:rPr>
        <w:t xml:space="preserve">sample </w:t>
      </w:r>
      <w:r w:rsidRPr="00A5060D">
        <w:rPr>
          <w:rFonts w:eastAsia="Calibri"/>
        </w:rPr>
        <w:t>approximately 25,000</w:t>
      </w:r>
      <w:r w:rsidR="00612961">
        <w:rPr>
          <w:rFonts w:eastAsia="Calibri"/>
        </w:rPr>
        <w:t xml:space="preserve"> </w:t>
      </w:r>
      <w:r w:rsidRPr="00A5060D">
        <w:rPr>
          <w:rFonts w:eastAsia="Calibri"/>
        </w:rPr>
        <w:t>households to offset nonresponding</w:t>
      </w:r>
      <w:r w:rsidR="00612961">
        <w:rPr>
          <w:rFonts w:eastAsia="Calibri"/>
        </w:rPr>
        <w:t xml:space="preserve"> </w:t>
      </w:r>
      <w:r w:rsidRPr="00A5060D">
        <w:rPr>
          <w:rFonts w:eastAsia="Calibri"/>
        </w:rPr>
        <w:t xml:space="preserve">households and ineligible addresses </w:t>
      </w:r>
      <w:r w:rsidR="00460746">
        <w:rPr>
          <w:rFonts w:eastAsia="Calibri"/>
        </w:rPr>
        <w:t xml:space="preserve">to </w:t>
      </w:r>
      <w:r w:rsidRPr="00A5060D">
        <w:rPr>
          <w:rFonts w:eastAsia="Calibri"/>
        </w:rPr>
        <w:t>achieve 5,000 adult respondents.</w:t>
      </w:r>
      <w:r w:rsidR="00612961">
        <w:rPr>
          <w:rFonts w:eastAsia="Calibri"/>
        </w:rPr>
        <w:t xml:space="preserve">  </w:t>
      </w:r>
      <w:r w:rsidRPr="00D8364E">
        <w:rPr>
          <w:rFonts w:eastAsia="Calibri"/>
        </w:rPr>
        <w:t>Participation in the survey will be voluntary.  Cognitive interviews and a pre-test will be conducted prior to fielding the survey.</w:t>
      </w:r>
    </w:p>
    <w:p w:rsidR="00EA5E73" w:rsidP="00423272" w14:paraId="4D94A320" w14:textId="77777777">
      <w:pPr>
        <w:rPr>
          <w:rFonts w:eastAsia="Calibri"/>
        </w:rPr>
      </w:pPr>
    </w:p>
    <w:p w:rsidR="00357C8A" w:rsidP="008B01A7" w14:paraId="5A42CEE7" w14:textId="3623B25F">
      <w:pPr>
        <w:rPr>
          <w:rFonts w:eastAsia="Calibri"/>
        </w:rPr>
      </w:pPr>
      <w:r w:rsidRPr="005C71CA">
        <w:rPr>
          <w:rFonts w:eastAsia="Calibri"/>
        </w:rPr>
        <w:t xml:space="preserve">We therefore request OMB </w:t>
      </w:r>
      <w:r w:rsidR="00460746">
        <w:rPr>
          <w:rFonts w:eastAsia="Calibri"/>
        </w:rPr>
        <w:t>to</w:t>
      </w:r>
      <w:r w:rsidR="008B01A7">
        <w:rPr>
          <w:rFonts w:eastAsia="Calibri"/>
        </w:rPr>
        <w:t xml:space="preserve"> reinstate this collection of information </w:t>
      </w:r>
      <w:r w:rsidRPr="005C71CA">
        <w:rPr>
          <w:rFonts w:eastAsia="Calibri"/>
        </w:rPr>
        <w:t>as discussed in this supporting statement.</w:t>
      </w:r>
    </w:p>
    <w:p w:rsidR="00CF7839" w:rsidRPr="004D77BE" w:rsidP="00CF7839" w14:paraId="50084A4F" w14:textId="77777777">
      <w:pPr>
        <w:rPr>
          <w:rFonts w:eastAsia="Calibri"/>
          <w:color w:val="000000" w:themeColor="text1"/>
        </w:rPr>
      </w:pPr>
    </w:p>
    <w:p w:rsidR="00357C8A" w:rsidRPr="00357C8A" w:rsidP="006705EA" w14:paraId="6917A318"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EA5E73" w:rsidP="00CF7839" w14:paraId="4AD8CD39" w14:textId="783A3611">
      <w:bookmarkStart w:id="3" w:name="_Hlk199245218"/>
      <w:r>
        <w:t xml:space="preserve">This voluntary survey is being completed to measure consumers' knowledge, attitudes, beliefs, and reported behavior about food safety </w:t>
      </w:r>
      <w:r w:rsidR="00E07BB1">
        <w:t>in regard to</w:t>
      </w:r>
      <w:r w:rsidR="00460746">
        <w:t xml:space="preserve"> </w:t>
      </w:r>
      <w:r>
        <w:t xml:space="preserve">various topics related to health, nutrition, and physical activity.  </w:t>
      </w:r>
    </w:p>
    <w:bookmarkEnd w:id="3"/>
    <w:p w:rsidR="00EA5E73" w:rsidP="00CF7839" w14:paraId="7A45E70F" w14:textId="77777777"/>
    <w:p w:rsidR="00EA5E73" w:rsidP="00CF7839" w14:paraId="66BE251B" w14:textId="77777777">
      <w:r>
        <w:t xml:space="preserve">The Centers for Disease Control and Prevention (CDC) estimates 48 million people get sick, 128,000 are hospitalized, and 3,000 die from foodborne diseases each year in the United States. </w:t>
      </w:r>
      <w:r w:rsidR="00644377">
        <w:t xml:space="preserve"> </w:t>
      </w:r>
      <w:r>
        <w:t xml:space="preserve">Consumers play an important role in the safety of the food they eat and are the last line of defense for preventing foodborne disease. </w:t>
      </w:r>
      <w:r w:rsidR="00644377">
        <w:t xml:space="preserve"> </w:t>
      </w:r>
      <w:r>
        <w:t xml:space="preserve">Safe in-home food preparation practices can reduce the risk of illness. </w:t>
      </w:r>
      <w:r w:rsidR="00644377">
        <w:t xml:space="preserve"> </w:t>
      </w:r>
      <w:r>
        <w:t xml:space="preserve">Since the late 1990s, most consumer food safety education has focused on one or more behaviors that consumers can practice at home to reduce foodborne illness. </w:t>
      </w:r>
      <w:r w:rsidR="00644377">
        <w:t xml:space="preserve"> </w:t>
      </w:r>
      <w:r>
        <w:t xml:space="preserve">Although each food safety education campaign is unique, many include information encouraging consumers to wash their hands often while cooking and to think about and take preventive actions to mitigate the transfer of pathogens from raw foods onto hands and food contact surfaces such as cutting boards, and to use food thermometers. </w:t>
      </w:r>
    </w:p>
    <w:p w:rsidR="00EA5E73" w:rsidP="00CF7839" w14:paraId="27A263FD" w14:textId="77777777"/>
    <w:p w:rsidR="00EA5E73" w:rsidP="00CF7839" w14:paraId="1BE298F6" w14:textId="77777777">
      <w:r>
        <w:t>Improving safe consumer food handling practices in the home continues to be an important goal for improving human health.  To help achieve this goal, the Partnership for Food Safety Education (PFSE) was created in 1997 as a not-for-profit organization that unites industry associations, professional societies in food science, nutrition and health, consumer groups, and the U.S. government to educate the public about safe food handling.</w:t>
      </w:r>
      <w:r w:rsidR="00D8364E">
        <w:t xml:space="preserve"> </w:t>
      </w:r>
      <w:r>
        <w:t xml:space="preserve"> PFSE works with an active network of 13,000 health and food safety educators (BAC Fighters) and supports them by making their work more visible, collaborative, and effective. </w:t>
      </w:r>
      <w:r w:rsidR="00644377">
        <w:t xml:space="preserve"> </w:t>
      </w:r>
      <w:r>
        <w:t>These BAC Fighters are connecting each year with an estimated 7.5 million consumers –</w:t>
      </w:r>
      <w:r w:rsidR="0062618B">
        <w:t xml:space="preserve"> </w:t>
      </w:r>
      <w:r>
        <w:t xml:space="preserve">helping them to protect their health through safe food handling and hand hygiene. </w:t>
      </w:r>
    </w:p>
    <w:p w:rsidR="00EA5E73" w:rsidP="00CF7839" w14:paraId="5F12C3BF" w14:textId="77777777"/>
    <w:p w:rsidR="004261E7" w:rsidRPr="004261E7" w:rsidP="004261E7" w14:paraId="1231AD03" w14:textId="6C9D5ACF">
      <w:r>
        <w:t xml:space="preserve">Data from previous Food Safety Surveys </w:t>
      </w:r>
      <w:r w:rsidR="00862EC2">
        <w:t xml:space="preserve">and </w:t>
      </w:r>
      <w:r w:rsidR="00DA75FD">
        <w:t xml:space="preserve">the </w:t>
      </w:r>
      <w:r w:rsidRPr="002F28EF" w:rsidR="002F28EF">
        <w:t>FSANS</w:t>
      </w:r>
      <w:r w:rsidR="00862EC2">
        <w:t xml:space="preserve"> </w:t>
      </w:r>
      <w:r>
        <w:t>has been used to measure progress toward</w:t>
      </w:r>
      <w:r>
        <w:t>s</w:t>
      </w:r>
      <w:r>
        <w:t xml:space="preserve"> </w:t>
      </w:r>
      <w:r>
        <w:t xml:space="preserve">the nation’s health via the Healthy People Initiative. </w:t>
      </w:r>
      <w:r w:rsidRPr="004261E7">
        <w:t>Healthy People is a national health promotion and disease prevention initiative led by the U.S. Department of Health and Human Services (HHS). It provides science-based, 10-year national objectives for improving the health of all Americans. The program establishes benchmarks and monitors progress over time to:</w:t>
      </w:r>
    </w:p>
    <w:p w:rsidR="004261E7" w:rsidRPr="004261E7" w:rsidP="004261E7" w14:paraId="16C7056A" w14:textId="77777777">
      <w:pPr>
        <w:numPr>
          <w:ilvl w:val="0"/>
          <w:numId w:val="10"/>
        </w:numPr>
      </w:pPr>
      <w:r w:rsidRPr="004261E7">
        <w:t>Encourage collaborations across communities and sectors</w:t>
      </w:r>
    </w:p>
    <w:p w:rsidR="004261E7" w:rsidRPr="004261E7" w:rsidP="004261E7" w14:paraId="6C276542" w14:textId="77777777">
      <w:pPr>
        <w:numPr>
          <w:ilvl w:val="0"/>
          <w:numId w:val="10"/>
        </w:numPr>
      </w:pPr>
      <w:r w:rsidRPr="004261E7">
        <w:t>Empower individuals to make informed health decisions</w:t>
      </w:r>
    </w:p>
    <w:p w:rsidR="004261E7" w:rsidRPr="004261E7" w:rsidP="004261E7" w14:paraId="3E648632" w14:textId="456FE89D">
      <w:pPr>
        <w:numPr>
          <w:ilvl w:val="0"/>
          <w:numId w:val="10"/>
        </w:numPr>
      </w:pPr>
      <w:r w:rsidRPr="004261E7">
        <w:t>Measure the impact of prevention activities</w:t>
      </w:r>
      <w:r>
        <w:t>.</w:t>
      </w:r>
    </w:p>
    <w:p w:rsidR="00EA5E73" w:rsidP="00CF7839" w14:paraId="6DEC60EF" w14:textId="3A7EBE6D">
      <w:r>
        <w:t xml:space="preserve"> Data from FSANS was used for </w:t>
      </w:r>
      <w:r>
        <w:t xml:space="preserve">five Healthy People 2020 objectives related to consumer food handling (Clean, Cook, Separate, and Chill) and one related to food allergy experiences, and data from the upcoming survey are being proposed as a baseline for measuring the same four consumer food handling objectives for Healthy People 2030. </w:t>
      </w:r>
      <w:r w:rsidR="00644377">
        <w:t xml:space="preserve"> </w:t>
      </w:r>
      <w:r>
        <w:t xml:space="preserve">The goal of these objectives for both Healthy People 2020 and Healthy People 2030 is to measure what consumers are doing in their homes when they prepare food. </w:t>
      </w:r>
      <w:r w:rsidR="00644377">
        <w:t xml:space="preserve"> </w:t>
      </w:r>
      <w:r>
        <w:t xml:space="preserve">To measure progress on these goals, the survey has detailed questions asking consumers if and how they: 1) wash their hands before and during the cooking process (CLEAN); 2) use a food thermometer to determine the doneness of meat, poultry, and seafood </w:t>
      </w:r>
      <w:r>
        <w:t>(COOK); 3) wash cooking surfaces such as cutting boards (SEPARATE); 4) and refrigerate foods within two hours of preparing (CHILL).</w:t>
      </w:r>
      <w:r>
        <w:t xml:space="preserve"> </w:t>
      </w:r>
    </w:p>
    <w:p w:rsidR="00EA5E73" w:rsidP="00CF7839" w14:paraId="204F95E8" w14:textId="77777777"/>
    <w:p w:rsidR="00EA5E73" w:rsidP="00CF7839" w14:paraId="28369A1C" w14:textId="78A5F12D">
      <w:r>
        <w:t xml:space="preserve">The information collected is expected to help evaluate and develop strategies and programs to encourage and help consumers adopt healthy lifestyles. </w:t>
      </w:r>
      <w:r w:rsidR="00644377">
        <w:t xml:space="preserve"> </w:t>
      </w:r>
      <w:r>
        <w:t xml:space="preserve">The information will also help FDA and other federal agencies evaluate and track consumer awareness and behavior as outcome measures of their achievement in improving public health, especially as it relates to helping consumers use the Nutrition Facts label and menu labeling information.  </w:t>
      </w:r>
      <w:r w:rsidR="00A43C15">
        <w:t xml:space="preserve">Data from FSANS about Nutrition Facts label use was cited in the proposed rules, such as </w:t>
      </w:r>
      <w:r w:rsidR="00773571">
        <w:t xml:space="preserve">Food Labeling: </w:t>
      </w:r>
      <w:r w:rsidR="00A43C15">
        <w:t xml:space="preserve">Front of Package Nutrition </w:t>
      </w:r>
      <w:r w:rsidR="00773571">
        <w:t xml:space="preserve">Information </w:t>
      </w:r>
      <w:r w:rsidR="00A43C15">
        <w:t>rule</w:t>
      </w:r>
      <w:r w:rsidR="000D450A">
        <w:t xml:space="preserve"> </w:t>
      </w:r>
      <w:r w:rsidR="00773571">
        <w:t>((</w:t>
      </w:r>
      <w:r w:rsidRPr="00773571" w:rsidR="00773571">
        <w:t xml:space="preserve">FDA-2024-N-2910) </w:t>
      </w:r>
      <w:r w:rsidR="00773571">
        <w:t>A</w:t>
      </w:r>
      <w:r>
        <w:t xml:space="preserve">dditionally, survey data will be used to measure trends in consumers' attitudes and risk perceptions toward food safety.  </w:t>
      </w:r>
    </w:p>
    <w:p w:rsidR="00EA5E73" w:rsidP="00CF7839" w14:paraId="51C2D9D2" w14:textId="77777777"/>
    <w:p w:rsidR="00EA5E73" w:rsidP="00CF7839" w14:paraId="3B2B293A" w14:textId="5BB70C79">
      <w:r>
        <w:t xml:space="preserve">The </w:t>
      </w:r>
      <w:r w:rsidR="00862EC2">
        <w:t>202</w:t>
      </w:r>
      <w:r w:rsidR="00E94572">
        <w:t>5</w:t>
      </w:r>
      <w:r w:rsidR="00862EC2">
        <w:t xml:space="preserve"> </w:t>
      </w:r>
      <w:bookmarkStart w:id="4" w:name="_Hlk187746293"/>
      <w:r w:rsidR="00862EC2">
        <w:t>FSANS</w:t>
      </w:r>
      <w:bookmarkEnd w:id="4"/>
      <w:r w:rsidR="00862EC2">
        <w:t xml:space="preserve"> </w:t>
      </w:r>
      <w:r>
        <w:t xml:space="preserve">will contain many of the same questions and topics as the surveys previously collected under OMB </w:t>
      </w:r>
      <w:r w:rsidR="00E94572">
        <w:t>control n</w:t>
      </w:r>
      <w:r>
        <w:t xml:space="preserve">o. 0910-0345 to facilitate measuring trends in food safety, diet knowledge, attitudes, and reported behaviors over time. </w:t>
      </w:r>
      <w:r w:rsidR="00644377">
        <w:t xml:space="preserve"> </w:t>
      </w:r>
      <w:r>
        <w:t xml:space="preserve">The survey is designed around three major themes relative to consumers’ experience with food: Eat, Shop, and Prepare. </w:t>
      </w:r>
      <w:r w:rsidR="00644377">
        <w:t xml:space="preserve"> </w:t>
      </w:r>
      <w:r>
        <w:t>“Eat” is comprised of questions related to eating at restaurants, including the frequency of eating at restaurants, awareness of menu labeling, and use of restaurant inspection scores.</w:t>
      </w:r>
      <w:r w:rsidR="00644377">
        <w:t xml:space="preserve"> </w:t>
      </w:r>
      <w:r>
        <w:t xml:space="preserve"> “Eat” will also include questions about consumers’ overall dietary patterns, consumption of potentially risky foods, and perceptions of food safety risks.  </w:t>
      </w:r>
    </w:p>
    <w:p w:rsidR="00EA5E73" w:rsidP="00CF7839" w14:paraId="01D96B0B" w14:textId="77777777"/>
    <w:p w:rsidR="00EA5E73" w:rsidP="00CF7839" w14:paraId="0CEC37BA" w14:textId="77777777">
      <w:r>
        <w:t>“Shop” is comprised of questions about use of the Nutrition Facts label</w:t>
      </w:r>
      <w:r w:rsidR="0062618B">
        <w:t xml:space="preserve"> and</w:t>
      </w:r>
      <w:r>
        <w:t xml:space="preserve"> claims made on the front of food packages</w:t>
      </w:r>
      <w:r w:rsidR="0062618B">
        <w:t>.</w:t>
      </w:r>
    </w:p>
    <w:p w:rsidR="008018AC" w:rsidP="00CF7839" w14:paraId="5D228CEC" w14:textId="77777777"/>
    <w:p w:rsidR="00EA5E73" w:rsidP="00CF7839" w14:paraId="11852CF8" w14:textId="77777777">
      <w:r>
        <w:t>Finally, “Prepare” is comprised of questions about food handling practices related to cleaning hands and kitchen surfaces, separating meat and other foods to be eaten raw, using food thermometers, preparing ready- and non-ready-to eat foods, and properly chilling foods.</w:t>
      </w:r>
    </w:p>
    <w:p w:rsidR="00EA5E73" w:rsidP="00CF7839" w14:paraId="3D1AD839" w14:textId="77777777"/>
    <w:p w:rsidR="00357C8A" w:rsidP="0022425B" w14:paraId="49E5CA0A" w14:textId="77777777">
      <w:pPr>
        <w:spacing w:after="200"/>
      </w:pPr>
      <w:r>
        <w:t>This survey is directed towards individual consumers or households</w:t>
      </w:r>
      <w:r w:rsidR="008B01A7">
        <w:t>.</w:t>
      </w:r>
    </w:p>
    <w:p w:rsidR="008018AC" w:rsidRPr="00877184" w:rsidP="0022425B" w14:paraId="0F84B87A" w14:textId="18665819">
      <w:pPr>
        <w:spacing w:after="200"/>
        <w:rPr>
          <w:rFonts w:eastAsia="Calibri"/>
          <w:color w:val="000000"/>
        </w:rPr>
      </w:pPr>
      <w:r w:rsidRPr="002F0E84">
        <w:rPr>
          <w:i/>
          <w:iCs/>
        </w:rPr>
        <w:t>Description of Respondents</w:t>
      </w:r>
      <w:r w:rsidRPr="00A72DE0">
        <w:t>:</w:t>
      </w:r>
      <w:r w:rsidRPr="00460746">
        <w:t xml:space="preserve"> </w:t>
      </w:r>
      <w:r w:rsidR="00460746">
        <w:t xml:space="preserve"> </w:t>
      </w:r>
      <w:r w:rsidRPr="008018AC">
        <w:t>Respondents to this collection of information are individual</w:t>
      </w:r>
      <w:r w:rsidR="00F055B8">
        <w:t>s</w:t>
      </w:r>
      <w:r w:rsidRPr="008018AC">
        <w:t xml:space="preserve"> who are </w:t>
      </w:r>
      <w:r w:rsidRPr="000313FF" w:rsidR="000313FF">
        <w:t>adults, age 18 and older, drawn from the 50 states and the District of Columbia</w:t>
      </w:r>
      <w:r w:rsidR="00467DFD">
        <w:t>.</w:t>
      </w:r>
    </w:p>
    <w:p w:rsidR="00357C8A" w:rsidRPr="00357C8A" w:rsidP="006705EA" w14:paraId="71A5E7CD"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EA5E73" w:rsidRPr="00EA5E73" w:rsidP="00EA5E73" w14:paraId="04BA8841" w14:textId="434EBF9C">
      <w:pPr>
        <w:spacing w:after="200"/>
        <w:rPr>
          <w:rFonts w:eastAsia="Calibri"/>
        </w:rPr>
      </w:pPr>
      <w:r w:rsidRPr="00EA5E73">
        <w:rPr>
          <w:rFonts w:eastAsia="Calibri"/>
        </w:rPr>
        <w:t xml:space="preserve">The address-based, mail-push-to-web survey methodology is designed to encourage respondents to fill out the survey via an online web survey. </w:t>
      </w:r>
      <w:r w:rsidR="00D8364E">
        <w:rPr>
          <w:rFonts w:eastAsia="Calibri"/>
        </w:rPr>
        <w:t xml:space="preserve"> </w:t>
      </w:r>
      <w:r w:rsidRPr="00EA5E73">
        <w:rPr>
          <w:rFonts w:eastAsia="Calibri"/>
        </w:rPr>
        <w:t xml:space="preserve">Respondents are contacted via mail with an initial notification letter asking them to go to the web to complete the survey. </w:t>
      </w:r>
      <w:r w:rsidR="00D8364E">
        <w:rPr>
          <w:rFonts w:eastAsia="Calibri"/>
        </w:rPr>
        <w:t xml:space="preserve"> </w:t>
      </w:r>
      <w:r w:rsidRPr="00EA5E73">
        <w:rPr>
          <w:rFonts w:eastAsia="Calibri"/>
        </w:rPr>
        <w:t xml:space="preserve">After follow-up mailings, non-responding households will be </w:t>
      </w:r>
      <w:r w:rsidR="002E736B">
        <w:rPr>
          <w:rFonts w:eastAsia="Calibri"/>
        </w:rPr>
        <w:t>mailed</w:t>
      </w:r>
      <w:r w:rsidRPr="00EA5E73" w:rsidR="002E736B">
        <w:rPr>
          <w:rFonts w:eastAsia="Calibri"/>
        </w:rPr>
        <w:t xml:space="preserve"> </w:t>
      </w:r>
      <w:r w:rsidRPr="00EA5E73">
        <w:rPr>
          <w:rFonts w:eastAsia="Calibri"/>
        </w:rPr>
        <w:t xml:space="preserve">a paper questionnaire they can complete as an alternative to the web survey. </w:t>
      </w:r>
      <w:r w:rsidR="00D8364E">
        <w:rPr>
          <w:rFonts w:eastAsia="Calibri"/>
        </w:rPr>
        <w:t xml:space="preserve"> </w:t>
      </w:r>
      <w:r w:rsidRPr="00EA5E73">
        <w:rPr>
          <w:rFonts w:eastAsia="Calibri"/>
        </w:rPr>
        <w:t xml:space="preserve">We expect that over half of the respondents will </w:t>
      </w:r>
      <w:r w:rsidR="00D8364E">
        <w:rPr>
          <w:rFonts w:eastAsia="Calibri"/>
        </w:rPr>
        <w:t>complete</w:t>
      </w:r>
      <w:r w:rsidRPr="00EA5E73" w:rsidR="00D8364E">
        <w:rPr>
          <w:rFonts w:eastAsia="Calibri"/>
        </w:rPr>
        <w:t xml:space="preserve"> </w:t>
      </w:r>
      <w:r w:rsidRPr="00EA5E73">
        <w:rPr>
          <w:rFonts w:eastAsia="Calibri"/>
        </w:rPr>
        <w:t xml:space="preserve">the survey </w:t>
      </w:r>
      <w:r w:rsidR="00D8364E">
        <w:rPr>
          <w:rFonts w:eastAsia="Calibri"/>
        </w:rPr>
        <w:t xml:space="preserve">electronically </w:t>
      </w:r>
      <w:r w:rsidRPr="00EA5E73">
        <w:rPr>
          <w:rFonts w:eastAsia="Calibri"/>
        </w:rPr>
        <w:t>via the web.</w:t>
      </w:r>
    </w:p>
    <w:p w:rsidR="00357C8A" w:rsidRPr="00357C8A" w:rsidP="006705EA" w14:paraId="0309E4EF"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877184" w:rsidP="0053380B" w14:paraId="2DA04498" w14:textId="3BDBB2EA">
      <w:pPr>
        <w:spacing w:after="200"/>
        <w:rPr>
          <w:rFonts w:eastAsia="Calibri"/>
          <w:color w:val="000000"/>
        </w:rPr>
      </w:pPr>
      <w:r w:rsidRPr="008B01A7">
        <w:t>We are unaware of duplicative information collection.</w:t>
      </w:r>
      <w:r>
        <w:t xml:space="preserve">  </w:t>
      </w:r>
      <w:r w:rsidRPr="00EA5E73" w:rsidR="00EA5E73">
        <w:t xml:space="preserve">The </w:t>
      </w:r>
      <w:r w:rsidRPr="00DA75FD" w:rsidR="00DA75FD">
        <w:t>FSANS</w:t>
      </w:r>
      <w:r w:rsidRPr="00EA5E73" w:rsidR="00EA5E73">
        <w:t xml:space="preserve"> is a unique survey instrument. </w:t>
      </w:r>
      <w:r w:rsidR="00D8364E">
        <w:t xml:space="preserve"> </w:t>
      </w:r>
      <w:r w:rsidRPr="00EA5E73" w:rsidR="00EA5E73">
        <w:t xml:space="preserve">Many of the topics are of special interest to </w:t>
      </w:r>
      <w:r w:rsidRPr="00EA5E73" w:rsidR="00D8364E">
        <w:t>FDA and</w:t>
      </w:r>
      <w:r w:rsidRPr="00EA5E73" w:rsidR="00EA5E73">
        <w:t xml:space="preserve"> are not addressed by any other public- or privately- sponsored national surveys.  There are no other consumer surveys of consumer food handling and diet practices that can satisfy the criteria needed to provide current national estimates and that would enable a comparison with the previous </w:t>
      </w:r>
      <w:r w:rsidRPr="00DA75FD" w:rsidR="00DA75FD">
        <w:t>FSANS</w:t>
      </w:r>
      <w:r w:rsidR="006427FE">
        <w:t xml:space="preserve"> </w:t>
      </w:r>
      <w:r w:rsidRPr="00EA5E73" w:rsidR="00EA5E73">
        <w:t xml:space="preserve">results.  FDA collaborated with other federal agencies when developing the survey. </w:t>
      </w:r>
      <w:r w:rsidR="002A00F1">
        <w:t xml:space="preserve"> </w:t>
      </w:r>
      <w:r w:rsidRPr="00EA5E73" w:rsidR="00EA5E73">
        <w:t xml:space="preserve">The collaboration avoids duplication that would result from each agency conducting independent surveys. </w:t>
      </w:r>
      <w:r w:rsidR="002A00F1">
        <w:t xml:space="preserve"> </w:t>
      </w:r>
      <w:r w:rsidRPr="00EA5E73" w:rsidR="00EA5E73">
        <w:t xml:space="preserve">FDA met with experts across </w:t>
      </w:r>
      <w:r w:rsidRPr="00EA5E73" w:rsidR="00EA5E73">
        <w:t xml:space="preserve">FDA as well as from USDA/FSIS, USDA/CNPP, HHS/ODPHP, and CDC. </w:t>
      </w:r>
      <w:r w:rsidR="002A00F1">
        <w:t xml:space="preserve"> </w:t>
      </w:r>
      <w:r w:rsidRPr="00EA5E73" w:rsidR="00EA5E73">
        <w:t>Each of these entities contributed questions, suggested edits to existing questions, or provided comments that helped to improve the survey.</w:t>
      </w:r>
    </w:p>
    <w:p w:rsidR="00357C8A" w:rsidRPr="00357C8A" w:rsidP="006705EA" w14:paraId="787455A8"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RPr="00357C8A" w:rsidP="00357C8A" w14:paraId="22070817" w14:textId="77777777">
      <w:pPr>
        <w:spacing w:after="200"/>
        <w:rPr>
          <w:rFonts w:eastAsia="Calibri"/>
        </w:rPr>
      </w:pPr>
      <w:r w:rsidRPr="00EA5E73">
        <w:rPr>
          <w:rFonts w:eastAsia="Calibri"/>
        </w:rPr>
        <w:t>No small businesses will be involved in this information collection.</w:t>
      </w:r>
      <w:r>
        <w:rPr>
          <w:rFonts w:eastAsia="Calibri"/>
        </w:rPr>
        <w:t xml:space="preserve">  </w:t>
      </w:r>
    </w:p>
    <w:p w:rsidR="00357C8A" w:rsidRPr="00357C8A" w:rsidP="006705EA" w14:paraId="02CE3027"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EA5E73" w:rsidRPr="00EA5E73" w:rsidP="00EA5E73" w14:paraId="3B19FAD2" w14:textId="7F90AAF8">
      <w:pPr>
        <w:spacing w:after="200"/>
        <w:rPr>
          <w:rFonts w:eastAsia="Calibri"/>
        </w:rPr>
      </w:pPr>
      <w:r w:rsidRPr="00EA5E73">
        <w:rPr>
          <w:rFonts w:eastAsia="Calibri"/>
        </w:rPr>
        <w:t>Without this data collection, current national estimates of knowledge, attitudes, beliefs, and reported behavior related to food safety, health</w:t>
      </w:r>
      <w:r w:rsidR="00DA75FD">
        <w:rPr>
          <w:rFonts w:eastAsia="Calibri"/>
        </w:rPr>
        <w:t>,</w:t>
      </w:r>
      <w:r w:rsidRPr="00EA5E73">
        <w:rPr>
          <w:rFonts w:eastAsia="Calibri"/>
        </w:rPr>
        <w:t xml:space="preserve"> and diet will not be available.  A new collection is important because data from the most recent </w:t>
      </w:r>
      <w:r w:rsidRPr="00DA75FD" w:rsidR="00DA75FD">
        <w:rPr>
          <w:rFonts w:eastAsia="Calibri"/>
        </w:rPr>
        <w:t>FSANS</w:t>
      </w:r>
      <w:r w:rsidR="007762C4">
        <w:rPr>
          <w:rFonts w:eastAsia="Calibri"/>
        </w:rPr>
        <w:t xml:space="preserve"> are over 5 years old and</w:t>
      </w:r>
      <w:r w:rsidRPr="00EA5E73">
        <w:rPr>
          <w:rFonts w:eastAsia="Calibri"/>
        </w:rPr>
        <w:t xml:space="preserve"> do not adequately reflect the current state of consumer knowledge, attitudes, beliefs, and practices regarding food safety, </w:t>
      </w:r>
      <w:r w:rsidRPr="00EA5E73" w:rsidR="00D8364E">
        <w:rPr>
          <w:rFonts w:eastAsia="Calibri"/>
        </w:rPr>
        <w:t>health,</w:t>
      </w:r>
      <w:r w:rsidRPr="00EA5E73">
        <w:rPr>
          <w:rFonts w:eastAsia="Calibri"/>
        </w:rPr>
        <w:t xml:space="preserve"> and diet. </w:t>
      </w:r>
      <w:r w:rsidR="007762C4">
        <w:rPr>
          <w:rFonts w:eastAsia="Calibri"/>
        </w:rPr>
        <w:t>FDA needs up-to-date data to make informed policy decisions.</w:t>
      </w:r>
    </w:p>
    <w:p w:rsidR="00EA5E73" w:rsidRPr="00EA5E73" w:rsidP="00EA5E73" w14:paraId="6EB81C09" w14:textId="76444EEC">
      <w:pPr>
        <w:spacing w:after="200"/>
        <w:rPr>
          <w:rFonts w:eastAsia="Calibri"/>
        </w:rPr>
      </w:pPr>
      <w:r w:rsidRPr="00EA5E73">
        <w:rPr>
          <w:rFonts w:eastAsia="Calibri"/>
        </w:rPr>
        <w:t xml:space="preserve">A data collection in </w:t>
      </w:r>
      <w:r w:rsidR="0015459D">
        <w:rPr>
          <w:rFonts w:eastAsia="Calibri"/>
        </w:rPr>
        <w:t xml:space="preserve">2025 </w:t>
      </w:r>
      <w:r w:rsidRPr="00EA5E73">
        <w:rPr>
          <w:rFonts w:eastAsia="Calibri"/>
        </w:rPr>
        <w:t xml:space="preserve">will also serve the data needs of Healthy People 2030. </w:t>
      </w:r>
      <w:r w:rsidR="007762C4">
        <w:rPr>
          <w:rFonts w:eastAsia="Calibri"/>
        </w:rPr>
        <w:t>At a minimum, three data points are needed for Healthy People 2030. Th</w:t>
      </w:r>
      <w:r w:rsidR="004340CD">
        <w:rPr>
          <w:rFonts w:eastAsia="Calibri"/>
        </w:rPr>
        <w:t>ese FSANS</w:t>
      </w:r>
      <w:r w:rsidR="007762C4">
        <w:rPr>
          <w:rFonts w:eastAsia="Calibri"/>
        </w:rPr>
        <w:t xml:space="preserve"> data will serve as the mid-point data to show improvement in consumer home food safety practices over the </w:t>
      </w:r>
      <w:r w:rsidR="007762C4">
        <w:rPr>
          <w:rFonts w:eastAsia="Calibri"/>
        </w:rPr>
        <w:t>10 year</w:t>
      </w:r>
      <w:r w:rsidR="007762C4">
        <w:rPr>
          <w:rFonts w:eastAsia="Calibri"/>
        </w:rPr>
        <w:t xml:space="preserve"> period. </w:t>
      </w:r>
    </w:p>
    <w:p w:rsidR="007762C4" w:rsidRPr="00877184" w:rsidP="00357C8A" w14:paraId="5B286E5C" w14:textId="5B28F733">
      <w:pPr>
        <w:spacing w:after="200"/>
        <w:rPr>
          <w:rFonts w:eastAsia="Calibri"/>
          <w:color w:val="000000"/>
        </w:rPr>
      </w:pPr>
      <w:r w:rsidRPr="00EA5E73">
        <w:rPr>
          <w:rFonts w:eastAsia="Calibri"/>
        </w:rPr>
        <w:t>Not conducting this new, updated data collection will severely limit FDA’s ability to promote and protect the public health.</w:t>
      </w:r>
    </w:p>
    <w:p w:rsidR="00357C8A" w:rsidRPr="00357C8A" w:rsidP="006705EA" w14:paraId="4E7213F7"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22425B" w14:paraId="0974BEA7" w14:textId="5C211154">
      <w:pPr>
        <w:spacing w:after="200"/>
        <w:rPr>
          <w:rFonts w:eastAsia="Calibri"/>
        </w:rPr>
      </w:pPr>
      <w:r w:rsidRPr="00AA0633">
        <w:rPr>
          <w:rFonts w:eastAsia="Calibri"/>
        </w:rPr>
        <w:t>The collection fully complies with 5 CFR 1320.5(d)(2).  There are no special circumstances associated with this information collection</w:t>
      </w:r>
      <w:r w:rsidR="008B01A7">
        <w:rPr>
          <w:rFonts w:eastAsia="Calibri"/>
        </w:rPr>
        <w:t>.</w:t>
      </w:r>
    </w:p>
    <w:p w:rsidR="00357C8A" w:rsidRPr="00357C8A" w:rsidP="006705EA" w14:paraId="5EC2D0ED"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AA0633" w:rsidRPr="00AA0633" w:rsidP="00AA0633" w14:paraId="72D60024" w14:textId="31DAF65F">
      <w:pPr>
        <w:spacing w:after="200"/>
        <w:rPr>
          <w:rFonts w:eastAsia="Calibri"/>
        </w:rPr>
      </w:pPr>
      <w:r w:rsidRPr="00AA0633">
        <w:rPr>
          <w:rFonts w:eastAsia="Calibri"/>
        </w:rPr>
        <w:t xml:space="preserve">In accordance with 5 CFR 1320.8(d), FDA published a 60-day notice for public comment in the </w:t>
      </w:r>
      <w:r w:rsidRPr="00A72DE0" w:rsidR="00DA75FD">
        <w:rPr>
          <w:rFonts w:eastAsia="Calibri"/>
          <w:i/>
          <w:iCs/>
        </w:rPr>
        <w:t xml:space="preserve">Federal </w:t>
      </w:r>
      <w:r w:rsidRPr="00A72DE0">
        <w:rPr>
          <w:rFonts w:eastAsia="Calibri"/>
          <w:i/>
          <w:iCs/>
        </w:rPr>
        <w:t>R</w:t>
      </w:r>
      <w:r w:rsidRPr="00A72DE0" w:rsidR="00DA75FD">
        <w:rPr>
          <w:rFonts w:eastAsia="Calibri"/>
          <w:i/>
          <w:iCs/>
        </w:rPr>
        <w:t>egister</w:t>
      </w:r>
      <w:r w:rsidRPr="00AA0633">
        <w:rPr>
          <w:rFonts w:eastAsia="Calibri"/>
        </w:rPr>
        <w:t xml:space="preserve"> of </w:t>
      </w:r>
      <w:r w:rsidR="00316BFD">
        <w:rPr>
          <w:rFonts w:eastAsia="Calibri"/>
        </w:rPr>
        <w:t>July 31</w:t>
      </w:r>
      <w:r w:rsidRPr="00AA0633">
        <w:rPr>
          <w:rFonts w:eastAsia="Calibri"/>
        </w:rPr>
        <w:t>, 20</w:t>
      </w:r>
      <w:r w:rsidR="005F707D">
        <w:rPr>
          <w:rFonts w:eastAsia="Calibri"/>
        </w:rPr>
        <w:t>24</w:t>
      </w:r>
      <w:r w:rsidRPr="00AA0633">
        <w:rPr>
          <w:rFonts w:eastAsia="Calibri"/>
        </w:rPr>
        <w:t xml:space="preserve"> (8</w:t>
      </w:r>
      <w:r w:rsidR="005F707D">
        <w:rPr>
          <w:rFonts w:eastAsia="Calibri"/>
        </w:rPr>
        <w:t>9</w:t>
      </w:r>
      <w:r w:rsidRPr="00AA0633">
        <w:rPr>
          <w:rFonts w:eastAsia="Calibri"/>
        </w:rPr>
        <w:t xml:space="preserve"> FR </w:t>
      </w:r>
      <w:r w:rsidR="00316BFD">
        <w:rPr>
          <w:rFonts w:eastAsia="Calibri"/>
        </w:rPr>
        <w:t>61457</w:t>
      </w:r>
      <w:r w:rsidRPr="00AA0633">
        <w:rPr>
          <w:rFonts w:eastAsia="Calibri"/>
        </w:rPr>
        <w:t>)</w:t>
      </w:r>
      <w:r w:rsidR="00DA75FD">
        <w:rPr>
          <w:rFonts w:eastAsia="Calibri"/>
        </w:rPr>
        <w:t>.</w:t>
      </w:r>
      <w:r w:rsidRPr="00AA0633">
        <w:rPr>
          <w:rFonts w:eastAsia="Calibri"/>
        </w:rPr>
        <w:t xml:space="preserve"> </w:t>
      </w:r>
      <w:r w:rsidR="002A00F1">
        <w:rPr>
          <w:rFonts w:eastAsia="Calibri"/>
        </w:rPr>
        <w:t xml:space="preserve"> </w:t>
      </w:r>
      <w:r w:rsidR="006A7C5B">
        <w:rPr>
          <w:rFonts w:eastAsia="Calibri"/>
        </w:rPr>
        <w:t>One</w:t>
      </w:r>
      <w:r w:rsidR="00D8364E">
        <w:rPr>
          <w:rFonts w:eastAsia="Calibri"/>
        </w:rPr>
        <w:t xml:space="preserve"> comment w</w:t>
      </w:r>
      <w:r w:rsidR="006A7C5B">
        <w:rPr>
          <w:rFonts w:eastAsia="Calibri"/>
        </w:rPr>
        <w:t>as</w:t>
      </w:r>
      <w:r w:rsidR="00D8364E">
        <w:rPr>
          <w:rFonts w:eastAsia="Calibri"/>
        </w:rPr>
        <w:t xml:space="preserve"> received</w:t>
      </w:r>
      <w:r w:rsidR="006A7C5B">
        <w:rPr>
          <w:rFonts w:eastAsia="Calibri"/>
        </w:rPr>
        <w:t xml:space="preserve"> which did not </w:t>
      </w:r>
      <w:r w:rsidR="007F0A51">
        <w:rPr>
          <w:rFonts w:eastAsia="Calibri"/>
        </w:rPr>
        <w:t xml:space="preserve">relate to </w:t>
      </w:r>
      <w:r w:rsidR="006A7C5B">
        <w:rPr>
          <w:rFonts w:eastAsia="Calibri"/>
        </w:rPr>
        <w:t>the PRA and will not be discussed</w:t>
      </w:r>
      <w:r w:rsidR="00D8364E">
        <w:rPr>
          <w:rFonts w:eastAsia="Calibri"/>
        </w:rPr>
        <w:t>.</w:t>
      </w:r>
    </w:p>
    <w:p w:rsidR="00A43C15" w:rsidP="00357C8A" w14:paraId="36D2E064" w14:textId="0D804F6F">
      <w:pPr>
        <w:spacing w:after="200"/>
        <w:rPr>
          <w:rFonts w:eastAsia="Calibri"/>
        </w:rPr>
      </w:pPr>
      <w:r w:rsidRPr="00AA0633">
        <w:rPr>
          <w:rFonts w:eastAsia="Calibri"/>
        </w:rPr>
        <w:t xml:space="preserve">FDA has also collaborated with other </w:t>
      </w:r>
      <w:r w:rsidR="00FD7DE2">
        <w:rPr>
          <w:rFonts w:eastAsia="Calibri"/>
        </w:rPr>
        <w:t>F</w:t>
      </w:r>
      <w:r w:rsidRPr="00AA0633">
        <w:rPr>
          <w:rFonts w:eastAsia="Calibri"/>
        </w:rPr>
        <w:t>ederal agencies when developing th</w:t>
      </w:r>
      <w:r w:rsidR="00FD7DE2">
        <w:rPr>
          <w:rFonts w:eastAsia="Calibri"/>
        </w:rPr>
        <w:t>e</w:t>
      </w:r>
      <w:r w:rsidRPr="00AA0633">
        <w:rPr>
          <w:rFonts w:eastAsia="Calibri"/>
        </w:rPr>
        <w:t xml:space="preserve"> survey </w:t>
      </w:r>
      <w:r w:rsidR="008018AC">
        <w:rPr>
          <w:rFonts w:eastAsia="Calibri"/>
        </w:rPr>
        <w:t xml:space="preserve">and </w:t>
      </w:r>
      <w:r w:rsidRPr="00AA0633">
        <w:rPr>
          <w:rFonts w:eastAsia="Calibri"/>
        </w:rPr>
        <w:t>met with experts across FDA as well as from USDA/FSIS, USDA/CNPP, HHS/ODPHP, and CDC to discuss additional questions, edit existing questions, or provide comments to help improve the survey</w:t>
      </w:r>
      <w:r w:rsidR="002A00F1">
        <w:rPr>
          <w:rFonts w:eastAsia="Calibri"/>
        </w:rPr>
        <w:t xml:space="preserve"> and avoid duplication of information</w:t>
      </w:r>
      <w:r w:rsidRPr="00AA0633">
        <w:rPr>
          <w:rFonts w:eastAsia="Calibri"/>
        </w:rPr>
        <w:t>.</w:t>
      </w:r>
    </w:p>
    <w:p w:rsidR="00A43C15" w:rsidP="00357C8A" w14:paraId="0AA9DBE2" w14:textId="69462327">
      <w:pPr>
        <w:spacing w:after="200"/>
        <w:rPr>
          <w:rFonts w:eastAsia="Calibri"/>
        </w:rPr>
      </w:pPr>
      <w:r>
        <w:rPr>
          <w:rFonts w:eastAsia="Calibri"/>
        </w:rPr>
        <w:t>Results from previous surveys were posted on FDA’s website and available with the FDA data Explorer tool (</w:t>
      </w:r>
      <w:hyperlink r:id="rId6" w:history="1">
        <w:r w:rsidRPr="006C6839" w:rsidR="006A2A5A">
          <w:rPr>
            <w:rStyle w:val="Hyperlink"/>
            <w:rFonts w:eastAsia="Calibri"/>
          </w:rPr>
          <w:t>https://fsans-explorer.fda.gov/</w:t>
        </w:r>
      </w:hyperlink>
      <w:r>
        <w:rPr>
          <w:rFonts w:eastAsia="Calibri"/>
        </w:rPr>
        <w:t>)</w:t>
      </w:r>
    </w:p>
    <w:p w:rsidR="006A2A5A" w:rsidP="00357C8A" w14:paraId="78E12996" w14:textId="02013717">
      <w:pPr>
        <w:spacing w:after="200"/>
        <w:rPr>
          <w:rFonts w:eastAsia="Calibri"/>
        </w:rPr>
      </w:pPr>
      <w:r>
        <w:rPr>
          <w:rFonts w:eastAsia="Calibri"/>
        </w:rPr>
        <w:t>Additionally, the following peer reviewed journal articles were based on the 2019 FSANS:</w:t>
      </w:r>
    </w:p>
    <w:p w:rsidR="006A2A5A" w:rsidRPr="006A2A5A" w:rsidP="006A2A5A" w14:paraId="6648BEF3" w14:textId="77777777">
      <w:pPr>
        <w:numPr>
          <w:ilvl w:val="1"/>
          <w:numId w:val="11"/>
        </w:numPr>
        <w:spacing w:after="200"/>
        <w:rPr>
          <w:rFonts w:eastAsia="Calibri"/>
        </w:rPr>
      </w:pPr>
      <w:r w:rsidRPr="006A2A5A">
        <w:rPr>
          <w:rFonts w:eastAsia="Calibri"/>
        </w:rPr>
        <w:t xml:space="preserve">Lando, A.M., Ferguson, M.S., Verrill, L., Wu F, Jones-Dominic, O.E., Punzalan, C., Wolpert, B.J. Health Disparities in Calorie Knowledge and Confidence Among the U.S. Adult Population, </w:t>
      </w:r>
      <w:r w:rsidRPr="006A2A5A">
        <w:rPr>
          <w:rFonts w:eastAsia="Calibri"/>
          <w:i/>
          <w:iCs/>
        </w:rPr>
        <w:t>Journal of Primary Care &amp; Community Health</w:t>
      </w:r>
      <w:r w:rsidRPr="006A2A5A">
        <w:rPr>
          <w:rFonts w:eastAsia="Calibri"/>
        </w:rPr>
        <w:t>. 2021;12:19.  </w:t>
      </w:r>
      <w:r w:rsidRPr="006A2A5A">
        <w:rPr>
          <w:rFonts w:eastAsia="Calibri"/>
        </w:rPr>
        <w:t>doi</w:t>
      </w:r>
      <w:r w:rsidRPr="006A2A5A">
        <w:rPr>
          <w:rFonts w:eastAsia="Calibri"/>
        </w:rPr>
        <w:t>: </w:t>
      </w:r>
      <w:r w:rsidRPr="006A2A5A">
        <w:rPr>
          <w:rFonts w:eastAsia="Calibri"/>
          <w:u w:val="single"/>
        </w:rPr>
        <w:t>https://dio.org/</w:t>
      </w:r>
      <w:hyperlink r:id="rId7" w:history="1">
        <w:r w:rsidRPr="006A2A5A">
          <w:rPr>
            <w:rStyle w:val="Hyperlink"/>
            <w:rFonts w:eastAsia="Calibri"/>
          </w:rPr>
          <w:t>10.1177/21501327211002416</w:t>
        </w:r>
      </w:hyperlink>
    </w:p>
    <w:p w:rsidR="006A2A5A" w:rsidRPr="006A2A5A" w:rsidP="006A2A5A" w14:paraId="0FD24EEA" w14:textId="77777777">
      <w:pPr>
        <w:numPr>
          <w:ilvl w:val="1"/>
          <w:numId w:val="11"/>
        </w:numPr>
        <w:spacing w:after="200"/>
        <w:rPr>
          <w:rFonts w:eastAsia="Calibri"/>
        </w:rPr>
      </w:pPr>
      <w:r w:rsidRPr="006A2A5A">
        <w:rPr>
          <w:rFonts w:eastAsia="Calibri"/>
        </w:rPr>
        <w:t xml:space="preserve">Verrill, L., Lando, A., Wu, F., Tatavarthy, A., Obenhuber, D. Consumption of Raw Flour in the United States: Results from the 2019 FDA Food Safety and Nutrition </w:t>
      </w:r>
      <w:r w:rsidRPr="006A2A5A">
        <w:rPr>
          <w:rFonts w:eastAsia="Calibri"/>
        </w:rPr>
        <w:t xml:space="preserve">Survey. </w:t>
      </w:r>
      <w:r w:rsidRPr="006A2A5A">
        <w:rPr>
          <w:rFonts w:eastAsia="Calibri"/>
          <w:i/>
          <w:iCs/>
        </w:rPr>
        <w:t xml:space="preserve">Journal of Food Protection. </w:t>
      </w:r>
      <w:r w:rsidRPr="006A2A5A">
        <w:rPr>
          <w:rFonts w:eastAsia="Calibri"/>
        </w:rPr>
        <w:t xml:space="preserve">2021;85(1), 31-35.  </w:t>
      </w:r>
      <w:hyperlink r:id="rId8" w:history="1">
        <w:r w:rsidRPr="006A2A5A">
          <w:rPr>
            <w:rStyle w:val="Hyperlink"/>
            <w:rFonts w:eastAsia="Calibri"/>
          </w:rPr>
          <w:t>https://doi.org/10.4315/JFP-21-256</w:t>
        </w:r>
      </w:hyperlink>
    </w:p>
    <w:p w:rsidR="006A2A5A" w:rsidRPr="006A2A5A" w:rsidP="006A2A5A" w14:paraId="122A2A4C" w14:textId="77777777">
      <w:pPr>
        <w:numPr>
          <w:ilvl w:val="1"/>
          <w:numId w:val="11"/>
        </w:numPr>
        <w:spacing w:after="200"/>
        <w:rPr>
          <w:rFonts w:eastAsia="Calibri"/>
        </w:rPr>
      </w:pPr>
      <w:r w:rsidRPr="006A2A5A">
        <w:rPr>
          <w:rFonts w:eastAsia="Calibri"/>
        </w:rPr>
        <w:t>Lando, A.M., Bazaco, M.C., Chen Parker, C., Ferguson, M., Characteristics of U.S. Consumers Reporting Past Year Intake of Raw (Unpasteurized) Milk: Results from the 2016 Food Safety Survey and 2019 Food Safety and Nutrition Survey. </w:t>
      </w:r>
      <w:r w:rsidRPr="006A2A5A">
        <w:rPr>
          <w:rFonts w:eastAsia="Calibri"/>
          <w:i/>
          <w:iCs/>
        </w:rPr>
        <w:t xml:space="preserve">J Food Prot. </w:t>
      </w:r>
      <w:r w:rsidRPr="006A2A5A">
        <w:rPr>
          <w:rFonts w:eastAsia="Calibri"/>
        </w:rPr>
        <w:t xml:space="preserve">2022; 85 (7): 1036–1043. </w:t>
      </w:r>
      <w:r w:rsidRPr="006A2A5A">
        <w:rPr>
          <w:rFonts w:eastAsia="Calibri"/>
        </w:rPr>
        <w:t>doi</w:t>
      </w:r>
      <w:r w:rsidRPr="006A2A5A">
        <w:rPr>
          <w:rFonts w:eastAsia="Calibri"/>
        </w:rPr>
        <w:t>: </w:t>
      </w:r>
      <w:hyperlink r:id="rId9" w:history="1">
        <w:r w:rsidRPr="006A2A5A">
          <w:rPr>
            <w:rStyle w:val="Hyperlink"/>
            <w:rFonts w:eastAsia="Calibri"/>
          </w:rPr>
          <w:t>https://doi.org/10.4315/JFP-21-407</w:t>
        </w:r>
      </w:hyperlink>
    </w:p>
    <w:p w:rsidR="006A2A5A" w:rsidP="00357C8A" w14:paraId="41A97D81" w14:textId="2319F89E">
      <w:pPr>
        <w:numPr>
          <w:ilvl w:val="1"/>
          <w:numId w:val="11"/>
        </w:numPr>
        <w:spacing w:after="200"/>
        <w:rPr>
          <w:rFonts w:eastAsia="Calibri"/>
        </w:rPr>
      </w:pPr>
      <w:r w:rsidRPr="006A2A5A">
        <w:rPr>
          <w:rFonts w:eastAsia="Calibri"/>
        </w:rPr>
        <w:t xml:space="preserve">Ferguson, M.S., Lando, A.M., Wu, F., Verrill, L. Transitioning the FDA Food Safety and Nutrition Survey from RDD to ABS. </w:t>
      </w:r>
      <w:r w:rsidRPr="006A2A5A">
        <w:rPr>
          <w:rFonts w:eastAsia="Calibri"/>
          <w:i/>
          <w:iCs/>
        </w:rPr>
        <w:t>Survey Practice</w:t>
      </w:r>
      <w:r w:rsidRPr="006A2A5A">
        <w:rPr>
          <w:rFonts w:eastAsia="Calibri"/>
        </w:rPr>
        <w:t xml:space="preserve">. 2022; 15(1): </w:t>
      </w:r>
      <w:hyperlink r:id="rId10" w:history="1">
        <w:r w:rsidRPr="006A2A5A">
          <w:rPr>
            <w:rStyle w:val="Hyperlink"/>
            <w:rFonts w:eastAsia="Calibri"/>
          </w:rPr>
          <w:t>https://www.surveypractice.org/article/34118-transitioning-the-fda-food-safety-and-nutrition-survey-from-rdd-to-abs</w:t>
        </w:r>
      </w:hyperlink>
    </w:p>
    <w:p w:rsidR="00A21B49" w:rsidRPr="00676151" w:rsidP="00676151" w14:paraId="2D6AA5CA" w14:textId="6338E0CA">
      <w:pPr>
        <w:numPr>
          <w:ilvl w:val="1"/>
          <w:numId w:val="11"/>
        </w:numPr>
        <w:spacing w:after="200"/>
        <w:rPr>
          <w:rFonts w:eastAsia="Calibri"/>
        </w:rPr>
      </w:pPr>
      <w:r>
        <w:t xml:space="preserve">Wu F, Ferguson M, Lando AM, Verrill L. Self-Efficacy: </w:t>
      </w:r>
      <w:r>
        <w:t>the</w:t>
      </w:r>
      <w:r>
        <w:t xml:space="preserve"> Key to Nutrition Facts Label Use – Theory-Based Findings from the 2019 FDA Food Safety and Nutrition Survey (FSANS). </w:t>
      </w:r>
      <w:r>
        <w:rPr>
          <w:i/>
          <w:iCs/>
        </w:rPr>
        <w:t>Journal of the Academy of Nutrition and Dietetics. </w:t>
      </w:r>
      <w:r>
        <w:t xml:space="preserve"> (Accepted)</w:t>
      </w:r>
    </w:p>
    <w:p w:rsidR="00357C8A" w:rsidRPr="00357C8A" w:rsidP="006705EA" w14:paraId="535D11D1"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877184" w:rsidP="00357C8A" w14:paraId="3481626E" w14:textId="2092D525">
      <w:pPr>
        <w:spacing w:after="200"/>
        <w:rPr>
          <w:rFonts w:eastAsia="Calibri"/>
          <w:color w:val="000000"/>
        </w:rPr>
      </w:pPr>
      <w:r w:rsidRPr="00AA0633">
        <w:rPr>
          <w:rFonts w:eastAsia="Calibri"/>
        </w:rPr>
        <w:t xml:space="preserve">Two $1 bills ($2 total per sampled respondent) will be included in the invitation letter for the address-based sample. </w:t>
      </w:r>
      <w:r w:rsidR="00644377">
        <w:rPr>
          <w:rFonts w:eastAsia="Calibri"/>
        </w:rPr>
        <w:t xml:space="preserve"> </w:t>
      </w:r>
      <w:r w:rsidRPr="00AA0633">
        <w:rPr>
          <w:rFonts w:eastAsia="Calibri"/>
        </w:rPr>
        <w:t>Studies have shown that small pre-paid incentives are effective at increasing survey response.</w:t>
      </w:r>
    </w:p>
    <w:p w:rsidR="00357C8A" w:rsidRPr="00676151" w:rsidP="006705EA" w14:paraId="62A9F831" w14:textId="77777777">
      <w:pPr>
        <w:numPr>
          <w:ilvl w:val="0"/>
          <w:numId w:val="6"/>
        </w:numPr>
        <w:spacing w:after="200" w:line="276" w:lineRule="auto"/>
        <w:rPr>
          <w:rFonts w:eastAsia="Calibri"/>
        </w:rPr>
      </w:pPr>
      <w:r w:rsidRPr="00676151">
        <w:rPr>
          <w:rFonts w:eastAsia="Calibri"/>
          <w:u w:val="single"/>
        </w:rPr>
        <w:t>Assurance of Confidentiality Provided to Respondents</w:t>
      </w:r>
    </w:p>
    <w:p w:rsidR="00A5060D" w:rsidRPr="00A5060D" w:rsidP="00A5060D" w14:paraId="2DA34EA9" w14:textId="23CF9A41">
      <w:pPr>
        <w:spacing w:after="200"/>
        <w:rPr>
          <w:rFonts w:eastAsia="Calibri"/>
        </w:rPr>
      </w:pPr>
      <w:r w:rsidRPr="00A5060D">
        <w:rPr>
          <w:rFonts w:eastAsia="Calibri"/>
        </w:rPr>
        <w:t xml:space="preserve">In preparing this </w:t>
      </w:r>
      <w:r w:rsidR="00FD7DE2">
        <w:rPr>
          <w:rFonts w:eastAsia="Calibri"/>
        </w:rPr>
        <w:t>s</w:t>
      </w:r>
      <w:r w:rsidRPr="00A5060D">
        <w:rPr>
          <w:rFonts w:eastAsia="Calibri"/>
        </w:rPr>
        <w:t xml:space="preserve">upporting </w:t>
      </w:r>
      <w:r w:rsidR="00FD7DE2">
        <w:rPr>
          <w:rFonts w:eastAsia="Calibri"/>
        </w:rPr>
        <w:t>s</w:t>
      </w:r>
      <w:r w:rsidRPr="00A5060D">
        <w:rPr>
          <w:rFonts w:eastAsia="Calibri"/>
        </w:rPr>
        <w:t>tatement, we consulted our Privacy Office to ensure appropriate identification and handling of information collected.</w:t>
      </w:r>
    </w:p>
    <w:p w:rsidR="0068426A" w:rsidRPr="00676151" w:rsidP="00A5060D" w14:paraId="1EE23E5E" w14:textId="77777777">
      <w:pPr>
        <w:spacing w:after="200"/>
        <w:rPr>
          <w:rFonts w:eastAsia="Calibri"/>
          <w:i/>
          <w:iCs/>
        </w:rPr>
      </w:pPr>
      <w:r w:rsidRPr="00676151">
        <w:rPr>
          <w:rFonts w:eastAsia="Calibri"/>
          <w:i/>
          <w:iCs/>
        </w:rPr>
        <w:t>Privacy Act</w:t>
      </w:r>
    </w:p>
    <w:p w:rsidR="00A5060D" w:rsidRPr="00A5060D" w:rsidP="00A5060D" w14:paraId="6D0D8195" w14:textId="16A3A449">
      <w:pPr>
        <w:spacing w:after="200"/>
        <w:rPr>
          <w:rFonts w:eastAsia="Calibri"/>
        </w:rPr>
      </w:pPr>
      <w:r w:rsidRPr="00A5060D">
        <w:rPr>
          <w:rFonts w:eastAsia="Calibri"/>
        </w:rPr>
        <w:t xml:space="preserve">This ICR does not collect personally identifiable information (PII) or information of a personal nature. </w:t>
      </w:r>
      <w:r w:rsidR="00FD7DE2">
        <w:rPr>
          <w:rFonts w:eastAsia="Calibri"/>
        </w:rPr>
        <w:t xml:space="preserve"> </w:t>
      </w:r>
      <w:r w:rsidRPr="00A5060D">
        <w:rPr>
          <w:rFonts w:eastAsia="Calibri"/>
        </w:rPr>
        <w:t xml:space="preserve">This information collection supports FDA’s food research and educational and public information programs relating to the safety of the nation’s food supply. </w:t>
      </w:r>
      <w:r w:rsidR="00FD7DE2">
        <w:rPr>
          <w:rFonts w:eastAsia="Calibri"/>
        </w:rPr>
        <w:t xml:space="preserve"> </w:t>
      </w:r>
      <w:r w:rsidRPr="00A5060D">
        <w:rPr>
          <w:rFonts w:eastAsia="Calibri"/>
        </w:rPr>
        <w:t xml:space="preserve">The FSANS measures consumers’ knowledge, attitudes, and beliefs about food safety and nutritional issues. </w:t>
      </w:r>
      <w:r w:rsidR="00FD7DE2">
        <w:rPr>
          <w:rFonts w:eastAsia="Calibri"/>
        </w:rPr>
        <w:t xml:space="preserve"> </w:t>
      </w:r>
      <w:r w:rsidRPr="00A5060D">
        <w:rPr>
          <w:rFonts w:eastAsia="Calibri"/>
        </w:rPr>
        <w:t xml:space="preserve">The subject information collection does not utilize any FDA forms and does not involve solicitation or collection of PII by or on behalf of FDA. </w:t>
      </w:r>
      <w:r w:rsidR="00FD7DE2">
        <w:rPr>
          <w:rFonts w:eastAsia="Calibri"/>
        </w:rPr>
        <w:t xml:space="preserve"> </w:t>
      </w:r>
      <w:r w:rsidRPr="00A5060D">
        <w:rPr>
          <w:rFonts w:eastAsia="Calibri"/>
        </w:rPr>
        <w:t xml:space="preserve">An independent contractor for FDA will collect survey responses using respondent contact information already maintained by the contractor (not collected de novo in performance of the contract). </w:t>
      </w:r>
      <w:r w:rsidR="00FD7DE2">
        <w:rPr>
          <w:rFonts w:eastAsia="Calibri"/>
        </w:rPr>
        <w:t xml:space="preserve"> </w:t>
      </w:r>
      <w:r w:rsidRPr="00A5060D">
        <w:rPr>
          <w:rFonts w:eastAsia="Calibri"/>
        </w:rPr>
        <w:t xml:space="preserve">All data provided to FDA will be sent in aggregate and will not contain any PII. </w:t>
      </w:r>
      <w:r w:rsidR="00FD7DE2">
        <w:rPr>
          <w:rFonts w:eastAsia="Calibri"/>
        </w:rPr>
        <w:t xml:space="preserve"> </w:t>
      </w:r>
      <w:r w:rsidRPr="00A5060D">
        <w:rPr>
          <w:rFonts w:eastAsia="Calibri"/>
        </w:rPr>
        <w:t>Because neither FDA nor any party acting on behalf of the agency collects PII, the ICR is not subject to the Privacy Act of 1974 and the requirements of the Privacy Act such as displaying a Privacy Act Statement on a collection form do not apply.</w:t>
      </w:r>
    </w:p>
    <w:p w:rsidR="0068426A" w:rsidRPr="00676151" w:rsidP="00BB1258" w14:paraId="51955CF7" w14:textId="77777777">
      <w:pPr>
        <w:spacing w:after="200"/>
        <w:rPr>
          <w:rFonts w:eastAsia="Calibri"/>
          <w:i/>
          <w:iCs/>
        </w:rPr>
      </w:pPr>
      <w:r w:rsidRPr="00676151">
        <w:rPr>
          <w:rFonts w:eastAsia="Calibri"/>
          <w:i/>
          <w:iCs/>
        </w:rPr>
        <w:t>Freedom of Information Act</w:t>
      </w:r>
    </w:p>
    <w:p w:rsidR="001075D3" w:rsidRPr="001075D3" w:rsidP="00BB1258" w14:paraId="0B0AC964" w14:textId="35427528">
      <w:pPr>
        <w:spacing w:after="200"/>
      </w:pPr>
      <w:r w:rsidRPr="00A5060D">
        <w:rPr>
          <w:rFonts w:eastAsia="Calibri"/>
        </w:rPr>
        <w:t xml:space="preserve">Under the Freedom of Information Act (FOIA) (5 U.S.C. 552), the public has broad access to government documents. </w:t>
      </w:r>
      <w:r w:rsidR="00FD7DE2">
        <w:rPr>
          <w:rFonts w:eastAsia="Calibri"/>
        </w:rPr>
        <w:t xml:space="preserve"> </w:t>
      </w:r>
      <w:r w:rsidRPr="00A5060D">
        <w:rPr>
          <w:rFonts w:eastAsia="Calibri"/>
        </w:rPr>
        <w:t>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bookmarkStart w:id="5" w:name="_Hlk161749259"/>
    </w:p>
    <w:bookmarkEnd w:id="5"/>
    <w:p w:rsidR="00357C8A" w:rsidRPr="00357C8A" w:rsidP="006705EA" w14:paraId="37DCC750" w14:textId="77777777">
      <w:pPr>
        <w:numPr>
          <w:ilvl w:val="0"/>
          <w:numId w:val="6"/>
        </w:numPr>
        <w:spacing w:after="200" w:line="276" w:lineRule="auto"/>
        <w:rPr>
          <w:rFonts w:eastAsia="Calibri"/>
        </w:rPr>
      </w:pPr>
      <w:r w:rsidRPr="00357C8A">
        <w:rPr>
          <w:rFonts w:eastAsia="Calibri"/>
          <w:u w:val="single"/>
        </w:rPr>
        <w:t>Justification for Sensitive Questions</w:t>
      </w:r>
    </w:p>
    <w:p w:rsidR="00AA0633" w:rsidRPr="00AA0633" w:rsidP="00AA0633" w14:paraId="2BD71491" w14:textId="328AF608">
      <w:pPr>
        <w:spacing w:after="200"/>
        <w:rPr>
          <w:rFonts w:eastAsia="Calibri"/>
        </w:rPr>
      </w:pPr>
      <w:r>
        <w:rPr>
          <w:rFonts w:eastAsia="Calibri"/>
        </w:rPr>
        <w:t xml:space="preserve">Although respondents are asked about </w:t>
      </w:r>
      <w:r w:rsidRPr="00AA0633">
        <w:rPr>
          <w:rFonts w:eastAsia="Calibri"/>
        </w:rPr>
        <w:t>their height, weight, and perception of their risk of chronic illnesses</w:t>
      </w:r>
      <w:r w:rsidRPr="005F707D">
        <w:rPr>
          <w:rFonts w:eastAsia="Calibri"/>
        </w:rPr>
        <w:t xml:space="preserve"> </w:t>
      </w:r>
      <w:r>
        <w:rPr>
          <w:rFonts w:eastAsia="Calibri"/>
        </w:rPr>
        <w:t>these question</w:t>
      </w:r>
      <w:r w:rsidR="008E4C0C">
        <w:rPr>
          <w:rFonts w:eastAsia="Calibri"/>
        </w:rPr>
        <w:t>s</w:t>
      </w:r>
      <w:r>
        <w:rPr>
          <w:rFonts w:eastAsia="Calibri"/>
        </w:rPr>
        <w:t xml:space="preserve"> are not </w:t>
      </w:r>
      <w:r w:rsidRPr="00AA0633">
        <w:rPr>
          <w:rFonts w:eastAsia="Calibri"/>
        </w:rPr>
        <w:t xml:space="preserve">of a sensitive nature.  The agency’s experience with these questions suggests that </w:t>
      </w:r>
      <w:r w:rsidRPr="00AA0633">
        <w:rPr>
          <w:rFonts w:eastAsia="Calibri"/>
        </w:rPr>
        <w:t>the overwhelming majority of</w:t>
      </w:r>
      <w:r w:rsidRPr="00AA0633">
        <w:rPr>
          <w:rFonts w:eastAsia="Calibri"/>
        </w:rPr>
        <w:t xml:space="preserve"> respondents feel comfortable providing this information.  </w:t>
      </w:r>
    </w:p>
    <w:p w:rsidR="00357C8A" w:rsidRPr="00357C8A" w:rsidP="006705EA" w14:paraId="753CC39B"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5C71CA" w:rsidP="0022425B" w14:paraId="372915B5" w14:textId="77777777">
      <w:pPr>
        <w:spacing w:after="200"/>
        <w:ind w:left="360"/>
        <w:rPr>
          <w:rFonts w:eastAsia="Calibri"/>
        </w:rPr>
      </w:pPr>
      <w:r w:rsidRPr="005C71CA">
        <w:rPr>
          <w:rFonts w:eastAsia="Calibri"/>
        </w:rPr>
        <w:t>12a.  Annualized Hour Burden Estimate</w:t>
      </w:r>
    </w:p>
    <w:p w:rsidR="003F5B6C" w:rsidP="00A72DE0" w14:paraId="36280D7A" w14:textId="302B42DC">
      <w:pPr>
        <w:spacing w:after="120"/>
        <w:ind w:left="360"/>
      </w:pPr>
      <w:r w:rsidRPr="00AA0633">
        <w:t>FDA estimates the burden of this collection of information as follows:</w:t>
      </w:r>
    </w:p>
    <w:tbl>
      <w:tblPr>
        <w:tblW w:w="4877"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6"/>
        <w:gridCol w:w="1239"/>
        <w:gridCol w:w="2057"/>
        <w:gridCol w:w="1427"/>
        <w:gridCol w:w="1606"/>
        <w:gridCol w:w="975"/>
      </w:tblGrid>
      <w:tr w14:paraId="5F42BC83" w14:textId="77777777" w:rsidTr="00A72DE0">
        <w:tblPrEx>
          <w:tblW w:w="4877"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7"/>
          <w:tblHeader/>
        </w:trPr>
        <w:tc>
          <w:tcPr>
            <w:tcW w:w="5000" w:type="pct"/>
            <w:gridSpan w:val="6"/>
            <w:tcBorders>
              <w:top w:val="nil"/>
              <w:left w:val="nil"/>
              <w:right w:val="nil"/>
            </w:tcBorders>
            <w:shd w:val="clear" w:color="auto" w:fill="auto"/>
          </w:tcPr>
          <w:p w:rsidR="003F5B6C" w:rsidRPr="00A72DE0" w:rsidP="00183F46" w14:paraId="3999E068" w14:textId="77777777">
            <w:pPr>
              <w:jc w:val="center"/>
              <w:rPr>
                <w:sz w:val="20"/>
                <w:szCs w:val="20"/>
              </w:rPr>
            </w:pPr>
            <w:r w:rsidRPr="00A72DE0">
              <w:rPr>
                <w:sz w:val="20"/>
                <w:szCs w:val="20"/>
              </w:rPr>
              <w:t>Table 1.--Estimated Annual Reporting Burden</w:t>
            </w:r>
            <w:r w:rsidRPr="00A72DE0">
              <w:rPr>
                <w:sz w:val="20"/>
                <w:szCs w:val="20"/>
                <w:vertAlign w:val="superscript"/>
              </w:rPr>
              <w:t>1</w:t>
            </w:r>
          </w:p>
        </w:tc>
      </w:tr>
      <w:tr w14:paraId="4A600735" w14:textId="77777777" w:rsidTr="00A72DE0">
        <w:tblPrEx>
          <w:tblW w:w="4877" w:type="pct"/>
          <w:tblInd w:w="360" w:type="dxa"/>
          <w:tblLook w:val="01E0"/>
        </w:tblPrEx>
        <w:trPr>
          <w:cantSplit/>
          <w:trHeight w:val="20"/>
          <w:tblHeader/>
        </w:trPr>
        <w:tc>
          <w:tcPr>
            <w:tcW w:w="1068" w:type="pct"/>
            <w:shd w:val="clear" w:color="auto" w:fill="auto"/>
          </w:tcPr>
          <w:p w:rsidR="003F5B6C" w:rsidRPr="00A72DE0" w:rsidP="00183F46" w14:paraId="1E46D96A" w14:textId="77777777">
            <w:pPr>
              <w:jc w:val="center"/>
              <w:rPr>
                <w:sz w:val="20"/>
                <w:szCs w:val="20"/>
              </w:rPr>
            </w:pPr>
            <w:r w:rsidRPr="00A72DE0">
              <w:rPr>
                <w:sz w:val="20"/>
                <w:szCs w:val="20"/>
              </w:rPr>
              <w:t>Activity</w:t>
            </w:r>
          </w:p>
        </w:tc>
        <w:tc>
          <w:tcPr>
            <w:tcW w:w="631" w:type="pct"/>
            <w:shd w:val="clear" w:color="auto" w:fill="auto"/>
          </w:tcPr>
          <w:p w:rsidR="003F5B6C" w:rsidRPr="00A72DE0" w:rsidP="00183F46" w14:paraId="1F0F7999" w14:textId="77777777">
            <w:pPr>
              <w:jc w:val="center"/>
              <w:rPr>
                <w:sz w:val="20"/>
                <w:szCs w:val="20"/>
              </w:rPr>
            </w:pPr>
            <w:r w:rsidRPr="00A72DE0">
              <w:rPr>
                <w:sz w:val="20"/>
                <w:szCs w:val="20"/>
              </w:rPr>
              <w:t>Number of Respondents</w:t>
            </w:r>
          </w:p>
        </w:tc>
        <w:tc>
          <w:tcPr>
            <w:tcW w:w="1117" w:type="pct"/>
            <w:shd w:val="clear" w:color="auto" w:fill="auto"/>
          </w:tcPr>
          <w:p w:rsidR="003F5B6C" w:rsidRPr="00A72DE0" w:rsidP="00183F46" w14:paraId="2FB89E00" w14:textId="77777777">
            <w:pPr>
              <w:jc w:val="center"/>
              <w:rPr>
                <w:sz w:val="20"/>
                <w:szCs w:val="20"/>
              </w:rPr>
            </w:pPr>
            <w:r w:rsidRPr="00A72DE0">
              <w:rPr>
                <w:bCs/>
                <w:sz w:val="20"/>
                <w:szCs w:val="20"/>
              </w:rPr>
              <w:t>Number of Responses per Respondent</w:t>
            </w:r>
          </w:p>
        </w:tc>
        <w:tc>
          <w:tcPr>
            <w:tcW w:w="777" w:type="pct"/>
            <w:shd w:val="clear" w:color="auto" w:fill="auto"/>
          </w:tcPr>
          <w:p w:rsidR="003F5B6C" w:rsidRPr="00A72DE0" w:rsidP="00183F46" w14:paraId="58924169" w14:textId="77777777">
            <w:pPr>
              <w:jc w:val="center"/>
              <w:rPr>
                <w:sz w:val="20"/>
                <w:szCs w:val="20"/>
              </w:rPr>
            </w:pPr>
            <w:r w:rsidRPr="00A72DE0">
              <w:rPr>
                <w:sz w:val="20"/>
                <w:szCs w:val="20"/>
              </w:rPr>
              <w:t>Total Annual Responses</w:t>
            </w:r>
          </w:p>
        </w:tc>
        <w:tc>
          <w:tcPr>
            <w:tcW w:w="874" w:type="pct"/>
            <w:shd w:val="clear" w:color="auto" w:fill="auto"/>
          </w:tcPr>
          <w:p w:rsidR="003F5B6C" w:rsidRPr="00A72DE0" w:rsidP="00183F46" w14:paraId="7DE44A0F" w14:textId="77777777">
            <w:pPr>
              <w:jc w:val="center"/>
              <w:rPr>
                <w:sz w:val="20"/>
                <w:szCs w:val="20"/>
              </w:rPr>
            </w:pPr>
            <w:r w:rsidRPr="00A72DE0">
              <w:rPr>
                <w:bCs/>
                <w:sz w:val="20"/>
                <w:szCs w:val="20"/>
              </w:rPr>
              <w:t>Average Burden per Response</w:t>
            </w:r>
          </w:p>
        </w:tc>
        <w:tc>
          <w:tcPr>
            <w:tcW w:w="533" w:type="pct"/>
            <w:shd w:val="clear" w:color="auto" w:fill="auto"/>
          </w:tcPr>
          <w:p w:rsidR="003F5B6C" w:rsidRPr="00A72DE0" w:rsidP="00183F46" w14:paraId="39FA1763" w14:textId="77777777">
            <w:pPr>
              <w:jc w:val="center"/>
              <w:rPr>
                <w:sz w:val="20"/>
                <w:szCs w:val="20"/>
              </w:rPr>
            </w:pPr>
            <w:r w:rsidRPr="00A72DE0">
              <w:rPr>
                <w:sz w:val="20"/>
                <w:szCs w:val="20"/>
              </w:rPr>
              <w:t>Total Hours</w:t>
            </w:r>
          </w:p>
        </w:tc>
      </w:tr>
      <w:tr w14:paraId="5FC249AE" w14:textId="77777777" w:rsidTr="00A72DE0">
        <w:tblPrEx>
          <w:tblW w:w="4877" w:type="pct"/>
          <w:tblInd w:w="360" w:type="dxa"/>
          <w:tblLook w:val="01E0"/>
        </w:tblPrEx>
        <w:trPr>
          <w:cantSplit/>
          <w:trHeight w:val="20"/>
        </w:trPr>
        <w:tc>
          <w:tcPr>
            <w:tcW w:w="1068" w:type="pct"/>
            <w:shd w:val="clear" w:color="auto" w:fill="auto"/>
          </w:tcPr>
          <w:p w:rsidR="003F5B6C" w:rsidRPr="00A72DE0" w:rsidP="00181BE9" w14:paraId="610158B7" w14:textId="77777777">
            <w:pPr>
              <w:rPr>
                <w:sz w:val="20"/>
                <w:szCs w:val="20"/>
              </w:rPr>
            </w:pPr>
            <w:r w:rsidRPr="00A72DE0">
              <w:rPr>
                <w:sz w:val="20"/>
                <w:szCs w:val="20"/>
              </w:rPr>
              <w:t xml:space="preserve">Cognitive interview screener </w:t>
            </w:r>
          </w:p>
        </w:tc>
        <w:tc>
          <w:tcPr>
            <w:tcW w:w="631" w:type="pct"/>
            <w:shd w:val="clear" w:color="auto" w:fill="auto"/>
          </w:tcPr>
          <w:p w:rsidR="003F5B6C" w:rsidRPr="00A72DE0" w:rsidP="00181BE9" w14:paraId="0BB543DE" w14:textId="77777777">
            <w:pPr>
              <w:jc w:val="right"/>
              <w:rPr>
                <w:sz w:val="20"/>
                <w:szCs w:val="20"/>
              </w:rPr>
            </w:pPr>
            <w:r w:rsidRPr="00A72DE0">
              <w:rPr>
                <w:sz w:val="20"/>
                <w:szCs w:val="20"/>
              </w:rPr>
              <w:t>75</w:t>
            </w:r>
          </w:p>
        </w:tc>
        <w:tc>
          <w:tcPr>
            <w:tcW w:w="1117" w:type="pct"/>
            <w:shd w:val="clear" w:color="auto" w:fill="auto"/>
          </w:tcPr>
          <w:p w:rsidR="003F5B6C" w:rsidRPr="00A72DE0" w:rsidP="00181BE9" w14:paraId="43F957E4" w14:textId="77777777">
            <w:pPr>
              <w:jc w:val="right"/>
              <w:rPr>
                <w:sz w:val="20"/>
                <w:szCs w:val="20"/>
              </w:rPr>
            </w:pPr>
            <w:r w:rsidRPr="00A72DE0">
              <w:rPr>
                <w:sz w:val="20"/>
                <w:szCs w:val="20"/>
              </w:rPr>
              <w:t>1</w:t>
            </w:r>
          </w:p>
        </w:tc>
        <w:tc>
          <w:tcPr>
            <w:tcW w:w="777" w:type="pct"/>
            <w:shd w:val="clear" w:color="auto" w:fill="auto"/>
          </w:tcPr>
          <w:p w:rsidR="003F5B6C" w:rsidRPr="00A72DE0" w:rsidP="00181BE9" w14:paraId="4FADA12A" w14:textId="77777777">
            <w:pPr>
              <w:jc w:val="right"/>
              <w:rPr>
                <w:sz w:val="20"/>
                <w:szCs w:val="20"/>
              </w:rPr>
            </w:pPr>
            <w:r w:rsidRPr="00A72DE0">
              <w:rPr>
                <w:sz w:val="20"/>
                <w:szCs w:val="20"/>
              </w:rPr>
              <w:t>75</w:t>
            </w:r>
          </w:p>
        </w:tc>
        <w:tc>
          <w:tcPr>
            <w:tcW w:w="874" w:type="pct"/>
            <w:shd w:val="clear" w:color="auto" w:fill="auto"/>
          </w:tcPr>
          <w:p w:rsidR="003F5B6C" w:rsidRPr="00A72DE0" w:rsidP="00181BE9" w14:paraId="530CB235" w14:textId="77777777">
            <w:pPr>
              <w:jc w:val="right"/>
              <w:rPr>
                <w:sz w:val="20"/>
                <w:szCs w:val="20"/>
              </w:rPr>
            </w:pPr>
            <w:r w:rsidRPr="00A72DE0">
              <w:rPr>
                <w:sz w:val="20"/>
                <w:szCs w:val="20"/>
              </w:rPr>
              <w:t>0.083</w:t>
            </w:r>
          </w:p>
          <w:p w:rsidR="003F5B6C" w:rsidRPr="00A72DE0" w:rsidP="00181BE9" w14:paraId="291D6EF3" w14:textId="77777777">
            <w:pPr>
              <w:jc w:val="right"/>
              <w:rPr>
                <w:sz w:val="20"/>
                <w:szCs w:val="20"/>
              </w:rPr>
            </w:pPr>
            <w:r w:rsidRPr="00A72DE0">
              <w:rPr>
                <w:sz w:val="20"/>
                <w:szCs w:val="20"/>
              </w:rPr>
              <w:t>(5 minutes)</w:t>
            </w:r>
          </w:p>
        </w:tc>
        <w:tc>
          <w:tcPr>
            <w:tcW w:w="533" w:type="pct"/>
            <w:shd w:val="clear" w:color="auto" w:fill="auto"/>
          </w:tcPr>
          <w:p w:rsidR="003F5B6C" w:rsidRPr="00A72DE0" w:rsidP="00181BE9" w14:paraId="693635FE" w14:textId="77777777">
            <w:pPr>
              <w:jc w:val="right"/>
              <w:rPr>
                <w:sz w:val="20"/>
                <w:szCs w:val="20"/>
              </w:rPr>
            </w:pPr>
            <w:r w:rsidRPr="00A72DE0">
              <w:rPr>
                <w:sz w:val="20"/>
                <w:szCs w:val="20"/>
              </w:rPr>
              <w:t>6</w:t>
            </w:r>
          </w:p>
        </w:tc>
      </w:tr>
      <w:tr w14:paraId="4FAB972D" w14:textId="77777777" w:rsidTr="00A72DE0">
        <w:tblPrEx>
          <w:tblW w:w="4877" w:type="pct"/>
          <w:tblInd w:w="360" w:type="dxa"/>
          <w:tblLook w:val="01E0"/>
        </w:tblPrEx>
        <w:trPr>
          <w:cantSplit/>
          <w:trHeight w:val="20"/>
        </w:trPr>
        <w:tc>
          <w:tcPr>
            <w:tcW w:w="1068" w:type="pct"/>
            <w:shd w:val="clear" w:color="auto" w:fill="auto"/>
          </w:tcPr>
          <w:p w:rsidR="003F5B6C" w:rsidRPr="00A72DE0" w:rsidP="00181BE9" w14:paraId="3B919471" w14:textId="77777777">
            <w:pPr>
              <w:rPr>
                <w:sz w:val="20"/>
                <w:szCs w:val="20"/>
              </w:rPr>
            </w:pPr>
            <w:r w:rsidRPr="00A72DE0">
              <w:rPr>
                <w:sz w:val="20"/>
                <w:szCs w:val="20"/>
              </w:rPr>
              <w:t xml:space="preserve">Cognitive interview </w:t>
            </w:r>
          </w:p>
        </w:tc>
        <w:tc>
          <w:tcPr>
            <w:tcW w:w="631" w:type="pct"/>
            <w:shd w:val="clear" w:color="auto" w:fill="auto"/>
          </w:tcPr>
          <w:p w:rsidR="003F5B6C" w:rsidRPr="00A72DE0" w:rsidP="00181BE9" w14:paraId="5AF89308" w14:textId="77777777">
            <w:pPr>
              <w:jc w:val="right"/>
              <w:rPr>
                <w:sz w:val="20"/>
                <w:szCs w:val="20"/>
              </w:rPr>
            </w:pPr>
            <w:r w:rsidRPr="00A72DE0">
              <w:rPr>
                <w:sz w:val="20"/>
                <w:szCs w:val="20"/>
              </w:rPr>
              <w:t>18</w:t>
            </w:r>
          </w:p>
        </w:tc>
        <w:tc>
          <w:tcPr>
            <w:tcW w:w="1117" w:type="pct"/>
            <w:shd w:val="clear" w:color="auto" w:fill="auto"/>
          </w:tcPr>
          <w:p w:rsidR="003F5B6C" w:rsidRPr="00A72DE0" w:rsidP="00181BE9" w14:paraId="0D2D8DE6" w14:textId="77777777">
            <w:pPr>
              <w:jc w:val="right"/>
              <w:rPr>
                <w:sz w:val="20"/>
                <w:szCs w:val="20"/>
              </w:rPr>
            </w:pPr>
            <w:r w:rsidRPr="00A72DE0">
              <w:rPr>
                <w:sz w:val="20"/>
                <w:szCs w:val="20"/>
              </w:rPr>
              <w:t>1</w:t>
            </w:r>
          </w:p>
        </w:tc>
        <w:tc>
          <w:tcPr>
            <w:tcW w:w="777" w:type="pct"/>
            <w:shd w:val="clear" w:color="auto" w:fill="auto"/>
          </w:tcPr>
          <w:p w:rsidR="003F5B6C" w:rsidRPr="00A72DE0" w:rsidP="00181BE9" w14:paraId="27A96AED" w14:textId="77777777">
            <w:pPr>
              <w:jc w:val="right"/>
              <w:rPr>
                <w:sz w:val="20"/>
                <w:szCs w:val="20"/>
              </w:rPr>
            </w:pPr>
            <w:r w:rsidRPr="00A72DE0">
              <w:rPr>
                <w:sz w:val="20"/>
                <w:szCs w:val="20"/>
              </w:rPr>
              <w:t>18</w:t>
            </w:r>
          </w:p>
        </w:tc>
        <w:tc>
          <w:tcPr>
            <w:tcW w:w="874" w:type="pct"/>
            <w:shd w:val="clear" w:color="auto" w:fill="auto"/>
          </w:tcPr>
          <w:p w:rsidR="003F5B6C" w:rsidRPr="00A72DE0" w:rsidP="00181BE9" w14:paraId="2977CCAF" w14:textId="77777777">
            <w:pPr>
              <w:jc w:val="right"/>
              <w:rPr>
                <w:sz w:val="20"/>
                <w:szCs w:val="20"/>
              </w:rPr>
            </w:pPr>
            <w:r w:rsidRPr="00A72DE0">
              <w:rPr>
                <w:sz w:val="20"/>
                <w:szCs w:val="20"/>
              </w:rPr>
              <w:t>1</w:t>
            </w:r>
          </w:p>
          <w:p w:rsidR="003F5B6C" w:rsidRPr="00A72DE0" w:rsidP="00181BE9" w14:paraId="73F40D18" w14:textId="77777777">
            <w:pPr>
              <w:jc w:val="right"/>
              <w:rPr>
                <w:sz w:val="20"/>
                <w:szCs w:val="20"/>
              </w:rPr>
            </w:pPr>
            <w:r w:rsidRPr="00A72DE0">
              <w:rPr>
                <w:sz w:val="20"/>
                <w:szCs w:val="20"/>
              </w:rPr>
              <w:t>(60 minutes)</w:t>
            </w:r>
          </w:p>
        </w:tc>
        <w:tc>
          <w:tcPr>
            <w:tcW w:w="533" w:type="pct"/>
            <w:shd w:val="clear" w:color="auto" w:fill="auto"/>
          </w:tcPr>
          <w:p w:rsidR="003F5B6C" w:rsidRPr="00A72DE0" w:rsidP="00181BE9" w14:paraId="74A74268" w14:textId="77777777">
            <w:pPr>
              <w:jc w:val="right"/>
              <w:rPr>
                <w:sz w:val="20"/>
                <w:szCs w:val="20"/>
              </w:rPr>
            </w:pPr>
            <w:r w:rsidRPr="00A72DE0">
              <w:rPr>
                <w:sz w:val="20"/>
                <w:szCs w:val="20"/>
              </w:rPr>
              <w:t>18</w:t>
            </w:r>
          </w:p>
        </w:tc>
      </w:tr>
      <w:tr w14:paraId="45FED629" w14:textId="77777777" w:rsidTr="00A72DE0">
        <w:tblPrEx>
          <w:tblW w:w="4877" w:type="pct"/>
          <w:tblInd w:w="360" w:type="dxa"/>
          <w:tblLook w:val="01E0"/>
        </w:tblPrEx>
        <w:trPr>
          <w:cantSplit/>
          <w:trHeight w:val="20"/>
        </w:trPr>
        <w:tc>
          <w:tcPr>
            <w:tcW w:w="1068" w:type="pct"/>
            <w:shd w:val="clear" w:color="auto" w:fill="auto"/>
          </w:tcPr>
          <w:p w:rsidR="003F5B6C" w:rsidRPr="00A72DE0" w:rsidP="00181BE9" w14:paraId="04D37BE2" w14:textId="77777777">
            <w:pPr>
              <w:rPr>
                <w:sz w:val="20"/>
                <w:szCs w:val="20"/>
              </w:rPr>
            </w:pPr>
            <w:r w:rsidRPr="00A72DE0">
              <w:rPr>
                <w:sz w:val="20"/>
                <w:szCs w:val="20"/>
              </w:rPr>
              <w:t>Pretest</w:t>
            </w:r>
          </w:p>
          <w:p w:rsidR="003F5B6C" w:rsidRPr="00A72DE0" w:rsidP="00181BE9" w14:paraId="40443B1C" w14:textId="77777777">
            <w:pPr>
              <w:rPr>
                <w:sz w:val="20"/>
                <w:szCs w:val="20"/>
              </w:rPr>
            </w:pPr>
          </w:p>
        </w:tc>
        <w:tc>
          <w:tcPr>
            <w:tcW w:w="631" w:type="pct"/>
            <w:shd w:val="clear" w:color="auto" w:fill="auto"/>
          </w:tcPr>
          <w:p w:rsidR="003F5B6C" w:rsidRPr="00A72DE0" w:rsidP="00181BE9" w14:paraId="149C68E2" w14:textId="77777777">
            <w:pPr>
              <w:jc w:val="right"/>
              <w:rPr>
                <w:sz w:val="20"/>
                <w:szCs w:val="20"/>
              </w:rPr>
            </w:pPr>
            <w:r w:rsidRPr="00A72DE0">
              <w:rPr>
                <w:sz w:val="20"/>
                <w:szCs w:val="20"/>
              </w:rPr>
              <w:t>100</w:t>
            </w:r>
          </w:p>
        </w:tc>
        <w:tc>
          <w:tcPr>
            <w:tcW w:w="1117" w:type="pct"/>
            <w:shd w:val="clear" w:color="auto" w:fill="auto"/>
          </w:tcPr>
          <w:p w:rsidR="003F5B6C" w:rsidRPr="00A72DE0" w:rsidP="00181BE9" w14:paraId="4F70530F" w14:textId="77777777">
            <w:pPr>
              <w:jc w:val="right"/>
              <w:rPr>
                <w:sz w:val="20"/>
                <w:szCs w:val="20"/>
              </w:rPr>
            </w:pPr>
            <w:r w:rsidRPr="00A72DE0">
              <w:rPr>
                <w:sz w:val="20"/>
                <w:szCs w:val="20"/>
              </w:rPr>
              <w:t>1</w:t>
            </w:r>
          </w:p>
        </w:tc>
        <w:tc>
          <w:tcPr>
            <w:tcW w:w="777" w:type="pct"/>
            <w:shd w:val="clear" w:color="auto" w:fill="auto"/>
          </w:tcPr>
          <w:p w:rsidR="003F5B6C" w:rsidRPr="00A72DE0" w:rsidP="00181BE9" w14:paraId="232F3FB1" w14:textId="77777777">
            <w:pPr>
              <w:jc w:val="right"/>
              <w:rPr>
                <w:sz w:val="20"/>
                <w:szCs w:val="20"/>
              </w:rPr>
            </w:pPr>
            <w:r w:rsidRPr="00A72DE0">
              <w:rPr>
                <w:sz w:val="20"/>
                <w:szCs w:val="20"/>
              </w:rPr>
              <w:t>100</w:t>
            </w:r>
          </w:p>
        </w:tc>
        <w:tc>
          <w:tcPr>
            <w:tcW w:w="874" w:type="pct"/>
            <w:shd w:val="clear" w:color="auto" w:fill="auto"/>
          </w:tcPr>
          <w:p w:rsidR="003F5B6C" w:rsidRPr="00A72DE0" w:rsidP="00181BE9" w14:paraId="66AB2996" w14:textId="77777777">
            <w:pPr>
              <w:jc w:val="right"/>
              <w:rPr>
                <w:sz w:val="20"/>
                <w:szCs w:val="20"/>
              </w:rPr>
            </w:pPr>
            <w:r w:rsidRPr="00A72DE0">
              <w:rPr>
                <w:sz w:val="20"/>
                <w:szCs w:val="20"/>
              </w:rPr>
              <w:t>0.33</w:t>
            </w:r>
          </w:p>
          <w:p w:rsidR="003F5B6C" w:rsidRPr="00A72DE0" w:rsidP="00181BE9" w14:paraId="4F6759D9" w14:textId="77777777">
            <w:pPr>
              <w:jc w:val="right"/>
              <w:rPr>
                <w:sz w:val="20"/>
                <w:szCs w:val="20"/>
              </w:rPr>
            </w:pPr>
            <w:r w:rsidRPr="00A72DE0">
              <w:rPr>
                <w:sz w:val="20"/>
                <w:szCs w:val="20"/>
              </w:rPr>
              <w:t>(20 minutes)</w:t>
            </w:r>
          </w:p>
        </w:tc>
        <w:tc>
          <w:tcPr>
            <w:tcW w:w="533" w:type="pct"/>
            <w:shd w:val="clear" w:color="auto" w:fill="auto"/>
          </w:tcPr>
          <w:p w:rsidR="003F5B6C" w:rsidRPr="00A72DE0" w:rsidP="00181BE9" w14:paraId="4AEECB6C" w14:textId="77777777">
            <w:pPr>
              <w:jc w:val="right"/>
              <w:rPr>
                <w:sz w:val="20"/>
                <w:szCs w:val="20"/>
              </w:rPr>
            </w:pPr>
            <w:r w:rsidRPr="00A72DE0">
              <w:rPr>
                <w:sz w:val="20"/>
                <w:szCs w:val="20"/>
              </w:rPr>
              <w:t>33</w:t>
            </w:r>
          </w:p>
        </w:tc>
      </w:tr>
      <w:tr w14:paraId="1D7D1C9C" w14:textId="77777777" w:rsidTr="00A72DE0">
        <w:tblPrEx>
          <w:tblW w:w="4877" w:type="pct"/>
          <w:tblInd w:w="360" w:type="dxa"/>
          <w:tblLook w:val="01E0"/>
        </w:tblPrEx>
        <w:trPr>
          <w:cantSplit/>
          <w:trHeight w:val="20"/>
        </w:trPr>
        <w:tc>
          <w:tcPr>
            <w:tcW w:w="1068" w:type="pct"/>
            <w:shd w:val="clear" w:color="auto" w:fill="auto"/>
          </w:tcPr>
          <w:p w:rsidR="003F5B6C" w:rsidRPr="00A72DE0" w:rsidP="00181BE9" w14:paraId="5C6ABA42" w14:textId="77777777">
            <w:pPr>
              <w:rPr>
                <w:sz w:val="20"/>
                <w:szCs w:val="20"/>
              </w:rPr>
            </w:pPr>
            <w:r w:rsidRPr="00A72DE0">
              <w:rPr>
                <w:sz w:val="20"/>
                <w:szCs w:val="20"/>
              </w:rPr>
              <w:t>Mail survey</w:t>
            </w:r>
          </w:p>
        </w:tc>
        <w:tc>
          <w:tcPr>
            <w:tcW w:w="631" w:type="pct"/>
            <w:shd w:val="clear" w:color="auto" w:fill="auto"/>
          </w:tcPr>
          <w:p w:rsidR="003F5B6C" w:rsidRPr="00A72DE0" w:rsidP="00181BE9" w14:paraId="05786E3E" w14:textId="77777777">
            <w:pPr>
              <w:jc w:val="right"/>
              <w:rPr>
                <w:sz w:val="20"/>
                <w:szCs w:val="20"/>
              </w:rPr>
            </w:pPr>
            <w:r w:rsidRPr="00A72DE0">
              <w:rPr>
                <w:sz w:val="20"/>
                <w:szCs w:val="20"/>
              </w:rPr>
              <w:t>5,000</w:t>
            </w:r>
          </w:p>
        </w:tc>
        <w:tc>
          <w:tcPr>
            <w:tcW w:w="1117" w:type="pct"/>
            <w:shd w:val="clear" w:color="auto" w:fill="auto"/>
          </w:tcPr>
          <w:p w:rsidR="003F5B6C" w:rsidRPr="00A72DE0" w:rsidP="00181BE9" w14:paraId="7829E217" w14:textId="77777777">
            <w:pPr>
              <w:jc w:val="right"/>
              <w:rPr>
                <w:sz w:val="20"/>
                <w:szCs w:val="20"/>
              </w:rPr>
            </w:pPr>
            <w:r w:rsidRPr="00A72DE0">
              <w:rPr>
                <w:sz w:val="20"/>
                <w:szCs w:val="20"/>
              </w:rPr>
              <w:t>1</w:t>
            </w:r>
          </w:p>
        </w:tc>
        <w:tc>
          <w:tcPr>
            <w:tcW w:w="777" w:type="pct"/>
            <w:shd w:val="clear" w:color="auto" w:fill="auto"/>
          </w:tcPr>
          <w:p w:rsidR="003F5B6C" w:rsidRPr="00A72DE0" w:rsidP="00181BE9" w14:paraId="79D37494" w14:textId="77777777">
            <w:pPr>
              <w:jc w:val="right"/>
              <w:rPr>
                <w:sz w:val="20"/>
                <w:szCs w:val="20"/>
              </w:rPr>
            </w:pPr>
            <w:r w:rsidRPr="00A72DE0">
              <w:rPr>
                <w:sz w:val="20"/>
                <w:szCs w:val="20"/>
              </w:rPr>
              <w:t>5,000</w:t>
            </w:r>
          </w:p>
        </w:tc>
        <w:tc>
          <w:tcPr>
            <w:tcW w:w="874" w:type="pct"/>
            <w:shd w:val="clear" w:color="auto" w:fill="auto"/>
          </w:tcPr>
          <w:p w:rsidR="003F5B6C" w:rsidRPr="00A72DE0" w:rsidP="00181BE9" w14:paraId="402C4515" w14:textId="77777777">
            <w:pPr>
              <w:jc w:val="right"/>
              <w:rPr>
                <w:sz w:val="20"/>
                <w:szCs w:val="20"/>
              </w:rPr>
            </w:pPr>
            <w:r w:rsidRPr="00A72DE0">
              <w:rPr>
                <w:sz w:val="20"/>
                <w:szCs w:val="20"/>
              </w:rPr>
              <w:t>0.33</w:t>
            </w:r>
          </w:p>
          <w:p w:rsidR="003F5B6C" w:rsidRPr="00A72DE0" w:rsidP="00181BE9" w14:paraId="7D62FF15" w14:textId="77777777">
            <w:pPr>
              <w:jc w:val="right"/>
              <w:rPr>
                <w:sz w:val="20"/>
                <w:szCs w:val="20"/>
              </w:rPr>
            </w:pPr>
            <w:r w:rsidRPr="00A72DE0">
              <w:rPr>
                <w:sz w:val="20"/>
                <w:szCs w:val="20"/>
              </w:rPr>
              <w:t>(20 minutes)</w:t>
            </w:r>
          </w:p>
        </w:tc>
        <w:tc>
          <w:tcPr>
            <w:tcW w:w="533" w:type="pct"/>
            <w:shd w:val="clear" w:color="auto" w:fill="auto"/>
          </w:tcPr>
          <w:p w:rsidR="003F5B6C" w:rsidRPr="00A72DE0" w:rsidP="00181BE9" w14:paraId="59E0BB45" w14:textId="77777777">
            <w:pPr>
              <w:jc w:val="right"/>
              <w:rPr>
                <w:sz w:val="20"/>
                <w:szCs w:val="20"/>
              </w:rPr>
            </w:pPr>
            <w:r w:rsidRPr="00A72DE0">
              <w:rPr>
                <w:sz w:val="20"/>
                <w:szCs w:val="20"/>
              </w:rPr>
              <w:t>1,650</w:t>
            </w:r>
          </w:p>
        </w:tc>
      </w:tr>
      <w:tr w14:paraId="33BD5EE7" w14:textId="77777777" w:rsidTr="00A72DE0">
        <w:tblPrEx>
          <w:tblW w:w="4877" w:type="pct"/>
          <w:tblInd w:w="360" w:type="dxa"/>
          <w:tblLook w:val="01E0"/>
        </w:tblPrEx>
        <w:trPr>
          <w:cantSplit/>
          <w:trHeight w:val="20"/>
        </w:trPr>
        <w:tc>
          <w:tcPr>
            <w:tcW w:w="2816" w:type="pct"/>
            <w:gridSpan w:val="3"/>
            <w:shd w:val="clear" w:color="auto" w:fill="auto"/>
          </w:tcPr>
          <w:p w:rsidR="002A00F1" w:rsidRPr="00A72DE0" w:rsidP="002F0E84" w14:paraId="63BF5EA4" w14:textId="77777777">
            <w:pPr>
              <w:rPr>
                <w:sz w:val="20"/>
                <w:szCs w:val="20"/>
              </w:rPr>
            </w:pPr>
            <w:r w:rsidRPr="00A72DE0">
              <w:rPr>
                <w:sz w:val="20"/>
                <w:szCs w:val="20"/>
              </w:rPr>
              <w:t>Total</w:t>
            </w:r>
          </w:p>
        </w:tc>
        <w:tc>
          <w:tcPr>
            <w:tcW w:w="777" w:type="pct"/>
            <w:shd w:val="clear" w:color="auto" w:fill="auto"/>
          </w:tcPr>
          <w:p w:rsidR="002A00F1" w:rsidRPr="00A72DE0" w:rsidP="00181BE9" w14:paraId="3F9EAED7" w14:textId="77777777">
            <w:pPr>
              <w:jc w:val="right"/>
              <w:rPr>
                <w:sz w:val="20"/>
                <w:szCs w:val="20"/>
              </w:rPr>
            </w:pPr>
            <w:r w:rsidRPr="00A72DE0">
              <w:rPr>
                <w:sz w:val="20"/>
                <w:szCs w:val="20"/>
              </w:rPr>
              <w:t>5,193</w:t>
            </w:r>
          </w:p>
        </w:tc>
        <w:tc>
          <w:tcPr>
            <w:tcW w:w="874" w:type="pct"/>
            <w:shd w:val="clear" w:color="auto" w:fill="auto"/>
          </w:tcPr>
          <w:p w:rsidR="002A00F1" w:rsidRPr="00A72DE0" w:rsidP="00181BE9" w14:paraId="45A65236" w14:textId="77777777">
            <w:pPr>
              <w:jc w:val="right"/>
              <w:rPr>
                <w:sz w:val="20"/>
                <w:szCs w:val="20"/>
              </w:rPr>
            </w:pPr>
          </w:p>
        </w:tc>
        <w:tc>
          <w:tcPr>
            <w:tcW w:w="533" w:type="pct"/>
            <w:shd w:val="clear" w:color="auto" w:fill="auto"/>
          </w:tcPr>
          <w:p w:rsidR="002A00F1" w:rsidRPr="00A72DE0" w:rsidP="00181BE9" w14:paraId="18ACAEDF" w14:textId="77777777">
            <w:pPr>
              <w:jc w:val="right"/>
              <w:rPr>
                <w:sz w:val="20"/>
                <w:szCs w:val="20"/>
              </w:rPr>
            </w:pPr>
            <w:r w:rsidRPr="00A72DE0">
              <w:rPr>
                <w:sz w:val="20"/>
                <w:szCs w:val="20"/>
              </w:rPr>
              <w:t>1,707</w:t>
            </w:r>
          </w:p>
        </w:tc>
      </w:tr>
    </w:tbl>
    <w:p w:rsidR="00AA0633" w:rsidP="00BB1258" w14:paraId="02EE9F1C" w14:textId="77777777">
      <w:pPr>
        <w:ind w:left="450"/>
        <w:rPr>
          <w:sz w:val="20"/>
          <w:szCs w:val="20"/>
        </w:rPr>
      </w:pPr>
      <w:r w:rsidRPr="00AA0633">
        <w:rPr>
          <w:sz w:val="20"/>
          <w:szCs w:val="20"/>
          <w:vertAlign w:val="superscript"/>
        </w:rPr>
        <w:t>1</w:t>
      </w:r>
      <w:r w:rsidRPr="00AA0633">
        <w:rPr>
          <w:sz w:val="20"/>
          <w:szCs w:val="20"/>
        </w:rPr>
        <w:t xml:space="preserve"> There are no capital costs or operating and maintenance costs associated with this collection of information.</w:t>
      </w:r>
    </w:p>
    <w:p w:rsidR="003F5B6C" w:rsidP="00BB1258" w14:paraId="175AAAD3" w14:textId="77777777">
      <w:pPr>
        <w:ind w:left="450"/>
        <w:rPr>
          <w:sz w:val="20"/>
          <w:szCs w:val="20"/>
        </w:rPr>
      </w:pPr>
    </w:p>
    <w:p w:rsidR="003F5B6C" w:rsidP="00A72DE0" w14:paraId="0C58163B" w14:textId="06B0B4D6">
      <w:pPr>
        <w:ind w:left="360"/>
        <w:rPr>
          <w:rFonts w:eastAsia="Calibri"/>
        </w:rPr>
      </w:pPr>
      <w:r w:rsidRPr="002F0E84">
        <w:rPr>
          <w:rFonts w:eastAsia="Calibri"/>
        </w:rPr>
        <w:t xml:space="preserve">FDA’s burden estimate is based on the Agency’s prior experience with the </w:t>
      </w:r>
      <w:r w:rsidR="00E038A6">
        <w:rPr>
          <w:rFonts w:eastAsia="Calibri"/>
        </w:rPr>
        <w:t>FSANS</w:t>
      </w:r>
      <w:r w:rsidRPr="002F0E84">
        <w:rPr>
          <w:rFonts w:eastAsia="Calibri"/>
        </w:rPr>
        <w:t xml:space="preserve">.  We will use a cognitive interview screener with 75 individuals to recruit prospective interview participants for a total of 18 individuals. </w:t>
      </w:r>
      <w:r w:rsidR="00E47FAB">
        <w:rPr>
          <w:rFonts w:eastAsia="Calibri"/>
        </w:rPr>
        <w:t xml:space="preserve"> </w:t>
      </w:r>
      <w:r w:rsidRPr="002F0E84">
        <w:rPr>
          <w:rFonts w:eastAsia="Calibri"/>
        </w:rPr>
        <w:t>We estimate that it will take a screener respondent approximately 5 minutes (0.08</w:t>
      </w:r>
      <w:r w:rsidR="00E47FAB">
        <w:rPr>
          <w:rFonts w:eastAsia="Calibri"/>
        </w:rPr>
        <w:t>3</w:t>
      </w:r>
      <w:r w:rsidRPr="002F0E84">
        <w:rPr>
          <w:rFonts w:eastAsia="Calibri"/>
        </w:rPr>
        <w:t xml:space="preserve"> hours) to complete the cognitive interview screener, for a total of 6 hours. </w:t>
      </w:r>
      <w:r w:rsidR="00E47FAB">
        <w:rPr>
          <w:rFonts w:eastAsia="Calibri"/>
        </w:rPr>
        <w:t xml:space="preserve"> </w:t>
      </w:r>
      <w:r w:rsidRPr="002F0E84">
        <w:rPr>
          <w:rFonts w:eastAsia="Calibri"/>
        </w:rPr>
        <w:t xml:space="preserve">We will conduct cognitive interviews with 18 participants. </w:t>
      </w:r>
      <w:r w:rsidR="00E47FAB">
        <w:rPr>
          <w:rFonts w:eastAsia="Calibri"/>
        </w:rPr>
        <w:t xml:space="preserve"> </w:t>
      </w:r>
      <w:r w:rsidRPr="002F0E84">
        <w:rPr>
          <w:rFonts w:eastAsia="Calibri"/>
        </w:rPr>
        <w:t xml:space="preserve">We estimate that it will take a participant approximately 1 hour to complete the interview, for a total of 18 hours. </w:t>
      </w:r>
      <w:r w:rsidR="00E47FAB">
        <w:rPr>
          <w:rFonts w:eastAsia="Calibri"/>
        </w:rPr>
        <w:t xml:space="preserve"> </w:t>
      </w:r>
      <w:r w:rsidRPr="002F0E84">
        <w:rPr>
          <w:rFonts w:eastAsia="Calibri"/>
        </w:rPr>
        <w:t xml:space="preserve">Prior to the administration of the surveys, the Agency plans to conduct a pretest to identify and resolve potential survey administration problems. </w:t>
      </w:r>
      <w:r w:rsidR="00E47FAB">
        <w:rPr>
          <w:rFonts w:eastAsia="Calibri"/>
        </w:rPr>
        <w:t xml:space="preserve"> </w:t>
      </w:r>
      <w:r w:rsidRPr="002F0E84">
        <w:rPr>
          <w:rFonts w:eastAsia="Calibri"/>
        </w:rPr>
        <w:t xml:space="preserve">The pretest will be conducted with 100 participants; we estimate that it will take a participant 20 minutes (0.33 hours) for the pretest for a total of 33 hours. </w:t>
      </w:r>
      <w:r w:rsidR="00E47FAB">
        <w:rPr>
          <w:rFonts w:eastAsia="Calibri"/>
        </w:rPr>
        <w:t xml:space="preserve"> </w:t>
      </w:r>
      <w:r w:rsidRPr="002F0E84">
        <w:rPr>
          <w:rFonts w:eastAsia="Calibri"/>
        </w:rPr>
        <w:t>We estimate that 5,000 eligible adults will participat</w:t>
      </w:r>
      <w:r w:rsidR="006427FE">
        <w:rPr>
          <w:rFonts w:eastAsia="Calibri"/>
        </w:rPr>
        <w:t>e</w:t>
      </w:r>
      <w:r w:rsidRPr="002F0E84">
        <w:rPr>
          <w:rFonts w:eastAsia="Calibri"/>
        </w:rPr>
        <w:t xml:space="preserve"> in the survey taking 20 minutes (0.33 hours), for a total of 1,650 hours. </w:t>
      </w:r>
      <w:r w:rsidR="00E169A0">
        <w:rPr>
          <w:rFonts w:eastAsia="Calibri"/>
        </w:rPr>
        <w:t xml:space="preserve"> </w:t>
      </w:r>
      <w:r w:rsidRPr="002F0E84">
        <w:rPr>
          <w:rFonts w:eastAsia="Calibri"/>
        </w:rPr>
        <w:t>Thus, the total estimated burden is 1,707 hours.</w:t>
      </w:r>
    </w:p>
    <w:p w:rsidR="007711D3" w:rsidRPr="002F0E84" w:rsidP="003F5B6C" w14:paraId="2A599B0B" w14:textId="77777777">
      <w:pPr>
        <w:ind w:left="450"/>
        <w:rPr>
          <w:rFonts w:eastAsia="Calibri"/>
        </w:rPr>
      </w:pPr>
    </w:p>
    <w:p w:rsidR="00357C8A" w:rsidRPr="005C71CA" w:rsidP="00DC371B" w14:paraId="4A9DC505" w14:textId="77777777">
      <w:pPr>
        <w:spacing w:after="200"/>
        <w:ind w:left="360"/>
        <w:rPr>
          <w:rFonts w:eastAsia="Calibri"/>
        </w:rPr>
      </w:pPr>
      <w:r w:rsidRPr="005C71CA">
        <w:rPr>
          <w:rFonts w:eastAsia="Calibri"/>
        </w:rPr>
        <w:t>12b.  Annualized Cost Burden Estimate</w:t>
      </w:r>
    </w:p>
    <w:p w:rsidR="00AA0633" w:rsidRPr="00AA0633" w:rsidP="00BB1258" w14:paraId="219C2A5C" w14:textId="71F892EF">
      <w:pPr>
        <w:ind w:left="360"/>
        <w:rPr>
          <w:szCs w:val="20"/>
        </w:rPr>
      </w:pPr>
      <w:r w:rsidRPr="00AA0633">
        <w:rPr>
          <w:szCs w:val="20"/>
        </w:rPr>
        <w:t>The annualized cost to all respondents for the hour burden for the collection of information is $</w:t>
      </w:r>
      <w:r w:rsidR="003F5B6C">
        <w:rPr>
          <w:szCs w:val="20"/>
        </w:rPr>
        <w:t>3</w:t>
      </w:r>
      <w:r w:rsidR="00316BFD">
        <w:rPr>
          <w:szCs w:val="20"/>
        </w:rPr>
        <w:t>9</w:t>
      </w:r>
      <w:r w:rsidR="003F5B6C">
        <w:rPr>
          <w:szCs w:val="20"/>
        </w:rPr>
        <w:t>,</w:t>
      </w:r>
      <w:r w:rsidR="00316BFD">
        <w:rPr>
          <w:szCs w:val="20"/>
        </w:rPr>
        <w:t>449</w:t>
      </w:r>
      <w:r w:rsidRPr="00AA0633">
        <w:rPr>
          <w:szCs w:val="20"/>
        </w:rPr>
        <w:t xml:space="preserve"> (</w:t>
      </w:r>
      <w:r w:rsidR="003F5B6C">
        <w:rPr>
          <w:szCs w:val="20"/>
        </w:rPr>
        <w:t>1,707</w:t>
      </w:r>
      <w:r w:rsidRPr="00AA0633">
        <w:rPr>
          <w:szCs w:val="20"/>
        </w:rPr>
        <w:t xml:space="preserve"> x $2</w:t>
      </w:r>
      <w:r w:rsidR="00316BFD">
        <w:rPr>
          <w:szCs w:val="20"/>
        </w:rPr>
        <w:t>3</w:t>
      </w:r>
      <w:r w:rsidRPr="00AA0633">
        <w:rPr>
          <w:szCs w:val="20"/>
        </w:rPr>
        <w:t>.</w:t>
      </w:r>
      <w:r w:rsidR="00316BFD">
        <w:rPr>
          <w:szCs w:val="20"/>
        </w:rPr>
        <w:t>11</w:t>
      </w:r>
      <w:r w:rsidRPr="00AA0633">
        <w:rPr>
          <w:szCs w:val="20"/>
        </w:rPr>
        <w:t xml:space="preserve">) at the </w:t>
      </w:r>
      <w:r w:rsidR="00316BFD">
        <w:rPr>
          <w:szCs w:val="20"/>
        </w:rPr>
        <w:t xml:space="preserve">May </w:t>
      </w:r>
      <w:r w:rsidRPr="00AA0633">
        <w:rPr>
          <w:szCs w:val="20"/>
        </w:rPr>
        <w:t>20</w:t>
      </w:r>
      <w:r w:rsidR="003F5B6C">
        <w:rPr>
          <w:szCs w:val="20"/>
        </w:rPr>
        <w:t>2</w:t>
      </w:r>
      <w:r w:rsidR="00316BFD">
        <w:rPr>
          <w:szCs w:val="20"/>
        </w:rPr>
        <w:t>3</w:t>
      </w:r>
      <w:r w:rsidRPr="00AA0633">
        <w:rPr>
          <w:szCs w:val="20"/>
        </w:rPr>
        <w:t xml:space="preserve"> median wage rate in the United States.</w:t>
      </w:r>
      <w:r>
        <w:rPr>
          <w:szCs w:val="20"/>
          <w:vertAlign w:val="superscript"/>
        </w:rPr>
        <w:footnoteReference w:id="3"/>
      </w:r>
      <w:r w:rsidR="002A00F1">
        <w:rPr>
          <w:szCs w:val="20"/>
        </w:rPr>
        <w:t xml:space="preserve">  To account for overhead</w:t>
      </w:r>
      <w:r w:rsidR="005E0C0F">
        <w:rPr>
          <w:szCs w:val="20"/>
        </w:rPr>
        <w:t>,</w:t>
      </w:r>
      <w:r w:rsidR="002A00F1">
        <w:rPr>
          <w:szCs w:val="20"/>
        </w:rPr>
        <w:t xml:space="preserve"> this figure is doubled to $7</w:t>
      </w:r>
      <w:r w:rsidR="00316BFD">
        <w:rPr>
          <w:szCs w:val="20"/>
        </w:rPr>
        <w:t>8</w:t>
      </w:r>
      <w:r w:rsidR="002A00F1">
        <w:rPr>
          <w:szCs w:val="20"/>
        </w:rPr>
        <w:t>,</w:t>
      </w:r>
      <w:r w:rsidR="00316BFD">
        <w:rPr>
          <w:szCs w:val="20"/>
        </w:rPr>
        <w:t>898</w:t>
      </w:r>
      <w:r w:rsidR="002A00F1">
        <w:rPr>
          <w:szCs w:val="20"/>
        </w:rPr>
        <w:t xml:space="preserve">.  </w:t>
      </w:r>
    </w:p>
    <w:p w:rsidR="00AA0633" w:rsidRPr="00AA0633" w:rsidP="00BB1258" w14:paraId="7F11C138" w14:textId="77777777">
      <w:pPr>
        <w:ind w:left="360"/>
        <w:rPr>
          <w:szCs w:val="20"/>
        </w:rPr>
      </w:pPr>
    </w:p>
    <w:tbl>
      <w:tblPr>
        <w:tblW w:w="927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3"/>
        <w:gridCol w:w="2317"/>
        <w:gridCol w:w="2160"/>
        <w:gridCol w:w="2160"/>
      </w:tblGrid>
      <w:tr w14:paraId="7AD41024" w14:textId="77777777" w:rsidTr="00A72DE0">
        <w:tblPrEx>
          <w:tblW w:w="927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8"/>
        </w:trPr>
        <w:tc>
          <w:tcPr>
            <w:tcW w:w="9270" w:type="dxa"/>
            <w:gridSpan w:val="4"/>
            <w:shd w:val="clear" w:color="auto" w:fill="auto"/>
          </w:tcPr>
          <w:p w:rsidR="00AA0633" w:rsidRPr="00A72DE0" w:rsidP="00A72DE0" w14:paraId="672E6B37" w14:textId="28FB0AE9">
            <w:pPr>
              <w:jc w:val="center"/>
              <w:rPr>
                <w:sz w:val="20"/>
                <w:szCs w:val="20"/>
              </w:rPr>
            </w:pPr>
            <w:r w:rsidRPr="00A72DE0">
              <w:rPr>
                <w:sz w:val="20"/>
                <w:szCs w:val="20"/>
              </w:rPr>
              <w:t>Table 2.</w:t>
            </w:r>
            <w:r w:rsidR="00C81E56">
              <w:rPr>
                <w:sz w:val="20"/>
                <w:szCs w:val="20"/>
              </w:rPr>
              <w:t>--</w:t>
            </w:r>
            <w:r w:rsidRPr="00A72DE0">
              <w:rPr>
                <w:sz w:val="20"/>
                <w:szCs w:val="20"/>
              </w:rPr>
              <w:t>Estimated Annual Cost Burden</w:t>
            </w:r>
          </w:p>
        </w:tc>
      </w:tr>
      <w:tr w14:paraId="689A03DE" w14:textId="77777777" w:rsidTr="00A72DE0">
        <w:tblPrEx>
          <w:tblW w:w="9270" w:type="dxa"/>
          <w:tblInd w:w="355" w:type="dxa"/>
          <w:tblLook w:val="01E0"/>
        </w:tblPrEx>
        <w:trPr>
          <w:trHeight w:val="305"/>
        </w:trPr>
        <w:tc>
          <w:tcPr>
            <w:tcW w:w="2633" w:type="dxa"/>
            <w:shd w:val="clear" w:color="auto" w:fill="auto"/>
          </w:tcPr>
          <w:p w:rsidR="00AA0633" w:rsidRPr="00A72DE0" w:rsidP="00A72DE0" w14:paraId="347C3C40" w14:textId="77777777">
            <w:pPr>
              <w:jc w:val="center"/>
              <w:rPr>
                <w:sz w:val="20"/>
                <w:szCs w:val="20"/>
              </w:rPr>
            </w:pPr>
            <w:r w:rsidRPr="00A72DE0">
              <w:rPr>
                <w:sz w:val="20"/>
                <w:szCs w:val="20"/>
              </w:rPr>
              <w:t>Activity</w:t>
            </w:r>
          </w:p>
        </w:tc>
        <w:tc>
          <w:tcPr>
            <w:tcW w:w="2317" w:type="dxa"/>
            <w:shd w:val="clear" w:color="auto" w:fill="auto"/>
          </w:tcPr>
          <w:p w:rsidR="00AA0633" w:rsidRPr="00A72DE0" w:rsidP="00A72DE0" w14:paraId="1D2030CE" w14:textId="77777777">
            <w:pPr>
              <w:jc w:val="center"/>
              <w:rPr>
                <w:sz w:val="20"/>
                <w:szCs w:val="20"/>
              </w:rPr>
            </w:pPr>
            <w:r w:rsidRPr="00A72DE0">
              <w:rPr>
                <w:sz w:val="20"/>
                <w:szCs w:val="20"/>
              </w:rPr>
              <w:t>Total Burden Hours</w:t>
            </w:r>
          </w:p>
        </w:tc>
        <w:tc>
          <w:tcPr>
            <w:tcW w:w="2160" w:type="dxa"/>
            <w:shd w:val="clear" w:color="auto" w:fill="auto"/>
          </w:tcPr>
          <w:p w:rsidR="00AA0633" w:rsidRPr="00A72DE0" w:rsidP="00A72DE0" w14:paraId="76FD023C" w14:textId="77777777">
            <w:pPr>
              <w:jc w:val="center"/>
              <w:rPr>
                <w:sz w:val="20"/>
                <w:szCs w:val="20"/>
              </w:rPr>
            </w:pPr>
            <w:r w:rsidRPr="00A72DE0">
              <w:rPr>
                <w:sz w:val="20"/>
                <w:szCs w:val="20"/>
              </w:rPr>
              <w:t>Hourly Wage Rate</w:t>
            </w:r>
          </w:p>
        </w:tc>
        <w:tc>
          <w:tcPr>
            <w:tcW w:w="2160" w:type="dxa"/>
            <w:shd w:val="clear" w:color="auto" w:fill="auto"/>
          </w:tcPr>
          <w:p w:rsidR="00AA0633" w:rsidRPr="00A72DE0" w:rsidP="00A72DE0" w14:paraId="634BA8DD" w14:textId="77777777">
            <w:pPr>
              <w:jc w:val="center"/>
              <w:rPr>
                <w:sz w:val="20"/>
                <w:szCs w:val="20"/>
              </w:rPr>
            </w:pPr>
            <w:r w:rsidRPr="00A72DE0">
              <w:rPr>
                <w:sz w:val="20"/>
                <w:szCs w:val="20"/>
              </w:rPr>
              <w:t>Total Respondent Costs</w:t>
            </w:r>
          </w:p>
        </w:tc>
      </w:tr>
      <w:tr w14:paraId="14050DFF" w14:textId="77777777" w:rsidTr="00A72DE0">
        <w:tblPrEx>
          <w:tblW w:w="9270" w:type="dxa"/>
          <w:tblInd w:w="355" w:type="dxa"/>
          <w:tblLook w:val="01E0"/>
        </w:tblPrEx>
        <w:trPr>
          <w:trHeight w:val="341"/>
        </w:trPr>
        <w:tc>
          <w:tcPr>
            <w:tcW w:w="2633" w:type="dxa"/>
            <w:shd w:val="clear" w:color="auto" w:fill="auto"/>
          </w:tcPr>
          <w:p w:rsidR="00AA0633" w:rsidRPr="00A72DE0" w:rsidP="00A72DE0" w14:paraId="779356D4" w14:textId="77777777">
            <w:pPr>
              <w:rPr>
                <w:sz w:val="20"/>
                <w:szCs w:val="20"/>
              </w:rPr>
            </w:pPr>
            <w:r w:rsidRPr="00A72DE0">
              <w:rPr>
                <w:sz w:val="20"/>
                <w:szCs w:val="20"/>
              </w:rPr>
              <w:t>Responding to Survey</w:t>
            </w:r>
          </w:p>
        </w:tc>
        <w:tc>
          <w:tcPr>
            <w:tcW w:w="2317" w:type="dxa"/>
            <w:shd w:val="clear" w:color="auto" w:fill="auto"/>
          </w:tcPr>
          <w:p w:rsidR="00AA0633" w:rsidRPr="00A72DE0" w:rsidP="00A72DE0" w14:paraId="6A76F488" w14:textId="41DE4C09">
            <w:pPr>
              <w:jc w:val="right"/>
              <w:rPr>
                <w:sz w:val="20"/>
                <w:szCs w:val="20"/>
              </w:rPr>
            </w:pPr>
            <w:r w:rsidRPr="00A72DE0">
              <w:rPr>
                <w:sz w:val="20"/>
                <w:szCs w:val="20"/>
              </w:rPr>
              <w:t>1</w:t>
            </w:r>
            <w:r w:rsidR="004142F4">
              <w:rPr>
                <w:sz w:val="20"/>
                <w:szCs w:val="20"/>
              </w:rPr>
              <w:t>,</w:t>
            </w:r>
            <w:r w:rsidRPr="00A72DE0">
              <w:rPr>
                <w:sz w:val="20"/>
                <w:szCs w:val="20"/>
              </w:rPr>
              <w:t>707</w:t>
            </w:r>
          </w:p>
        </w:tc>
        <w:tc>
          <w:tcPr>
            <w:tcW w:w="2160" w:type="dxa"/>
            <w:shd w:val="clear" w:color="auto" w:fill="auto"/>
          </w:tcPr>
          <w:p w:rsidR="00AA0633" w:rsidRPr="00A72DE0" w:rsidP="00A72DE0" w14:paraId="708FE670" w14:textId="77777777">
            <w:pPr>
              <w:jc w:val="right"/>
              <w:rPr>
                <w:sz w:val="20"/>
                <w:szCs w:val="20"/>
              </w:rPr>
            </w:pPr>
            <w:r w:rsidRPr="00A72DE0">
              <w:rPr>
                <w:sz w:val="20"/>
                <w:szCs w:val="20"/>
              </w:rPr>
              <w:t>$</w:t>
            </w:r>
            <w:r w:rsidRPr="00A72DE0" w:rsidR="00FE6406">
              <w:rPr>
                <w:sz w:val="20"/>
                <w:szCs w:val="20"/>
              </w:rPr>
              <w:t>4</w:t>
            </w:r>
            <w:r w:rsidRPr="00A72DE0" w:rsidR="00316BFD">
              <w:rPr>
                <w:sz w:val="20"/>
                <w:szCs w:val="20"/>
              </w:rPr>
              <w:t>6</w:t>
            </w:r>
            <w:r w:rsidRPr="00A72DE0" w:rsidR="00FE6406">
              <w:rPr>
                <w:sz w:val="20"/>
                <w:szCs w:val="20"/>
              </w:rPr>
              <w:t>.</w:t>
            </w:r>
            <w:r w:rsidRPr="00A72DE0" w:rsidR="00316BFD">
              <w:rPr>
                <w:sz w:val="20"/>
                <w:szCs w:val="20"/>
              </w:rPr>
              <w:t>2</w:t>
            </w:r>
            <w:r w:rsidRPr="00A72DE0" w:rsidR="00FE6406">
              <w:rPr>
                <w:sz w:val="20"/>
                <w:szCs w:val="20"/>
              </w:rPr>
              <w:t>2</w:t>
            </w:r>
          </w:p>
        </w:tc>
        <w:tc>
          <w:tcPr>
            <w:tcW w:w="2160" w:type="dxa"/>
            <w:shd w:val="clear" w:color="auto" w:fill="auto"/>
          </w:tcPr>
          <w:p w:rsidR="00AA0633" w:rsidRPr="00A72DE0" w:rsidP="00A72DE0" w14:paraId="5B883924" w14:textId="77777777">
            <w:pPr>
              <w:jc w:val="right"/>
              <w:rPr>
                <w:sz w:val="20"/>
                <w:szCs w:val="20"/>
              </w:rPr>
            </w:pPr>
            <w:r w:rsidRPr="00A72DE0">
              <w:rPr>
                <w:sz w:val="20"/>
                <w:szCs w:val="20"/>
              </w:rPr>
              <w:t>$</w:t>
            </w:r>
            <w:r w:rsidRPr="00A72DE0" w:rsidR="00FE6406">
              <w:rPr>
                <w:sz w:val="20"/>
                <w:szCs w:val="20"/>
              </w:rPr>
              <w:t>7</w:t>
            </w:r>
            <w:r w:rsidRPr="00A72DE0" w:rsidR="00316BFD">
              <w:rPr>
                <w:sz w:val="20"/>
                <w:szCs w:val="20"/>
              </w:rPr>
              <w:t>8</w:t>
            </w:r>
            <w:r w:rsidRPr="00A72DE0" w:rsidR="00FE6406">
              <w:rPr>
                <w:sz w:val="20"/>
                <w:szCs w:val="20"/>
              </w:rPr>
              <w:t>,</w:t>
            </w:r>
            <w:r w:rsidRPr="00A72DE0" w:rsidR="00316BFD">
              <w:rPr>
                <w:sz w:val="20"/>
                <w:szCs w:val="20"/>
              </w:rPr>
              <w:t>898</w:t>
            </w:r>
          </w:p>
        </w:tc>
      </w:tr>
    </w:tbl>
    <w:p w:rsidR="00357C8A" w:rsidRPr="00357C8A" w:rsidP="00357C8A" w14:paraId="20F6A30A" w14:textId="77777777">
      <w:pPr>
        <w:rPr>
          <w:rFonts w:eastAsia="Calibri"/>
        </w:rPr>
      </w:pPr>
    </w:p>
    <w:p w:rsidR="00357C8A" w:rsidRPr="00357C8A" w:rsidP="006705EA" w14:paraId="30D98156"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BB1258" w14:paraId="23439DC1" w14:textId="77777777">
      <w:pPr>
        <w:spacing w:after="200"/>
        <w:rPr>
          <w:rFonts w:eastAsia="Calibri"/>
          <w:u w:val="single"/>
        </w:rPr>
      </w:pPr>
      <w:r w:rsidRPr="00AA0633">
        <w:rPr>
          <w:rFonts w:eastAsia="Calibri"/>
        </w:rPr>
        <w:t xml:space="preserve">There </w:t>
      </w:r>
      <w:r w:rsidRPr="00AA0633">
        <w:rPr>
          <w:rFonts w:eastAsia="Calibri"/>
        </w:rPr>
        <w:t>are</w:t>
      </w:r>
      <w:r w:rsidRPr="00AA0633">
        <w:rPr>
          <w:rFonts w:eastAsia="Calibri"/>
        </w:rPr>
        <w:t xml:space="preserve"> no capital, operating, or maintenance costs associated with this data collection.</w:t>
      </w:r>
    </w:p>
    <w:p w:rsidR="00357C8A" w:rsidRPr="00357C8A" w:rsidP="006705EA" w14:paraId="7407C2F6"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RPr="00357C8A" w:rsidP="00357C8A" w14:paraId="68CF4D01" w14:textId="2547E5C4">
      <w:pPr>
        <w:spacing w:after="200"/>
        <w:rPr>
          <w:rFonts w:eastAsia="Calibri"/>
        </w:rPr>
      </w:pPr>
      <w:r w:rsidRPr="00AA0633">
        <w:rPr>
          <w:rFonts w:eastAsia="Calibri"/>
        </w:rPr>
        <w:t xml:space="preserve">The estimated cost to the </w:t>
      </w:r>
      <w:r w:rsidR="0054300F">
        <w:rPr>
          <w:rFonts w:eastAsia="Calibri"/>
        </w:rPr>
        <w:t>F</w:t>
      </w:r>
      <w:r w:rsidRPr="00AA0633">
        <w:rPr>
          <w:rFonts w:eastAsia="Calibri"/>
        </w:rPr>
        <w:t>ederal government is $</w:t>
      </w:r>
      <w:r w:rsidR="006A2A5A">
        <w:rPr>
          <w:rFonts w:eastAsia="Calibri"/>
        </w:rPr>
        <w:t>900,000.</w:t>
      </w:r>
      <w:r w:rsidRPr="00AA0633">
        <w:rPr>
          <w:rFonts w:eastAsia="Calibri"/>
        </w:rPr>
        <w:t>This cost includes costs paid to the contractor to draw the samples, collect the survey data, create a database of the data, tabulate and summarize the survey data, and prepare a final report.  This cost also includes FDA staff time to develop and manage the study.</w:t>
      </w:r>
    </w:p>
    <w:p w:rsidR="00357C8A" w:rsidP="006705EA" w14:paraId="73CA0018" w14:textId="12888CD5">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RPr="00877184" w:rsidP="00BB1258" w14:paraId="277285AB" w14:textId="77777777">
      <w:pPr>
        <w:spacing w:after="200" w:line="276" w:lineRule="auto"/>
        <w:rPr>
          <w:rFonts w:eastAsia="Calibri"/>
          <w:color w:val="000000"/>
        </w:rPr>
      </w:pPr>
      <w:r w:rsidRPr="00FE6406">
        <w:rPr>
          <w:rFonts w:eastAsia="Calibri"/>
        </w:rPr>
        <w:t>This is a reinstatement of a previously discontinued collection of information and reflects an estimated overall increase of 1,707 hours and a corresponding increase of 5,193 responses.  We attribute this estimated increase of hours and responses to the reinstatement of this collection of information.</w:t>
      </w:r>
    </w:p>
    <w:p w:rsidR="00357C8A" w:rsidRPr="00357C8A" w:rsidP="006705EA" w14:paraId="6F7EA8CA"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AA0633" w:rsidP="00BB1258" w14:paraId="691E4C02" w14:textId="77777777">
      <w:pPr>
        <w:pStyle w:val="BodyText1"/>
        <w:ind w:firstLine="0"/>
      </w:pPr>
      <w:r>
        <w:t>Activities associated with the outcomes of this research will primarily consist of a top-line report summarizing the survey findings posted on the FDA Website</w:t>
      </w:r>
      <w:r w:rsidRPr="00676151">
        <w:t>, articles published in peer reviewed journals, and presentations at national conferences on food safe</w:t>
      </w:r>
      <w:r>
        <w:t xml:space="preserve">ty and public health.  The planned schedule for project activities is shown in Table 3. </w:t>
      </w:r>
    </w:p>
    <w:p w:rsidR="00AA0633" w:rsidRPr="00A72DE0" w:rsidP="005F707D" w14:paraId="4A56E808" w14:textId="1B8F8473">
      <w:pPr>
        <w:pStyle w:val="TableTitle"/>
        <w:spacing w:after="0"/>
        <w:ind w:left="0" w:firstLine="0"/>
        <w:jc w:val="center"/>
        <w:rPr>
          <w:b w:val="0"/>
          <w:i/>
          <w:sz w:val="20"/>
        </w:rPr>
      </w:pPr>
      <w:r w:rsidRPr="00A72DE0">
        <w:rPr>
          <w:b w:val="0"/>
          <w:sz w:val="20"/>
        </w:rPr>
        <w:t>Table 3.</w:t>
      </w:r>
      <w:r w:rsidRPr="00A72DE0" w:rsidR="00B73D7D">
        <w:rPr>
          <w:b w:val="0"/>
          <w:sz w:val="20"/>
        </w:rPr>
        <w:t>--</w:t>
      </w:r>
      <w:r w:rsidRPr="00A72DE0">
        <w:rPr>
          <w:b w:val="0"/>
          <w:sz w:val="20"/>
        </w:rPr>
        <w:t>Project Schedule</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3780"/>
        <w:gridCol w:w="1530"/>
      </w:tblGrid>
      <w:tr w14:paraId="5E363993" w14:textId="77777777" w:rsidTr="00A72DE0">
        <w:tblPrEx>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520" w:type="dxa"/>
          </w:tcPr>
          <w:p w:rsidR="00AA0633" w:rsidRPr="00B73D7D" w:rsidP="00A72DE0" w14:paraId="031045B0" w14:textId="77777777">
            <w:pPr>
              <w:tabs>
                <w:tab w:val="left" w:pos="-1080"/>
                <w:tab w:val="left" w:pos="-72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0"/>
                <w:szCs w:val="20"/>
              </w:rPr>
            </w:pPr>
            <w:r w:rsidRPr="00B73D7D">
              <w:rPr>
                <w:b/>
                <w:sz w:val="20"/>
                <w:szCs w:val="20"/>
              </w:rPr>
              <w:t>Date</w:t>
            </w:r>
          </w:p>
        </w:tc>
        <w:tc>
          <w:tcPr>
            <w:tcW w:w="3780" w:type="dxa"/>
          </w:tcPr>
          <w:p w:rsidR="00AA0633" w:rsidRPr="00B73D7D" w:rsidP="00A72DE0" w14:paraId="224E2F0E"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0"/>
                <w:szCs w:val="20"/>
              </w:rPr>
            </w:pPr>
            <w:r w:rsidRPr="00B73D7D">
              <w:rPr>
                <w:b/>
                <w:sz w:val="20"/>
                <w:szCs w:val="20"/>
              </w:rPr>
              <w:t>Activity</w:t>
            </w:r>
          </w:p>
        </w:tc>
        <w:tc>
          <w:tcPr>
            <w:tcW w:w="1530" w:type="dxa"/>
          </w:tcPr>
          <w:p w:rsidR="00AA0633" w:rsidRPr="00B73D7D" w:rsidP="00A72DE0" w14:paraId="2C6FF5D2"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0"/>
                <w:szCs w:val="20"/>
              </w:rPr>
            </w:pPr>
            <w:r w:rsidRPr="00B73D7D">
              <w:rPr>
                <w:b/>
                <w:sz w:val="20"/>
                <w:szCs w:val="20"/>
              </w:rPr>
              <w:t>Audience</w:t>
            </w:r>
          </w:p>
        </w:tc>
      </w:tr>
      <w:tr w14:paraId="1E8192D0" w14:textId="77777777" w:rsidTr="00A72DE0">
        <w:tblPrEx>
          <w:tblW w:w="0" w:type="auto"/>
          <w:tblInd w:w="445" w:type="dxa"/>
          <w:tblLayout w:type="fixed"/>
          <w:tblLook w:val="0000"/>
        </w:tblPrEx>
        <w:tc>
          <w:tcPr>
            <w:tcW w:w="2520" w:type="dxa"/>
          </w:tcPr>
          <w:p w:rsidR="00AA0633" w:rsidRPr="00B73D7D" w:rsidP="005F707D" w14:paraId="614BB6C2"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sidRPr="00B73D7D">
              <w:rPr>
                <w:sz w:val="20"/>
                <w:szCs w:val="20"/>
              </w:rPr>
              <w:t>Within 3 days after receipt of OMB approval of collection of information</w:t>
            </w:r>
          </w:p>
        </w:tc>
        <w:tc>
          <w:tcPr>
            <w:tcW w:w="3780" w:type="dxa"/>
          </w:tcPr>
          <w:p w:rsidR="00AA0633" w:rsidRPr="00B73D7D" w:rsidP="005F707D" w14:paraId="30AF2212" w14:textId="77777777">
            <w:pPr>
              <w:rPr>
                <w:sz w:val="20"/>
                <w:szCs w:val="20"/>
              </w:rPr>
            </w:pPr>
            <w:r w:rsidRPr="00B73D7D">
              <w:rPr>
                <w:sz w:val="20"/>
                <w:szCs w:val="20"/>
              </w:rPr>
              <w:t>Notification to the contractor to proceed with data collection activities</w:t>
            </w:r>
          </w:p>
        </w:tc>
        <w:tc>
          <w:tcPr>
            <w:tcW w:w="1530" w:type="dxa"/>
          </w:tcPr>
          <w:p w:rsidR="00AA0633" w:rsidRPr="00B73D7D" w:rsidP="005F707D" w14:paraId="49BACE1A"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sidRPr="00B73D7D">
              <w:rPr>
                <w:sz w:val="20"/>
                <w:szCs w:val="20"/>
              </w:rPr>
              <w:t>Not applicable</w:t>
            </w:r>
          </w:p>
        </w:tc>
      </w:tr>
      <w:tr w14:paraId="7613CB1E" w14:textId="77777777" w:rsidTr="00A72DE0">
        <w:tblPrEx>
          <w:tblW w:w="0" w:type="auto"/>
          <w:tblInd w:w="445" w:type="dxa"/>
          <w:tblLayout w:type="fixed"/>
          <w:tblLook w:val="0000"/>
        </w:tblPrEx>
        <w:tc>
          <w:tcPr>
            <w:tcW w:w="2520" w:type="dxa"/>
          </w:tcPr>
          <w:p w:rsidR="00AA0633" w:rsidRPr="00B73D7D" w:rsidP="005F707D" w14:paraId="6BEA0775"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sidRPr="00B73D7D">
              <w:rPr>
                <w:sz w:val="20"/>
                <w:szCs w:val="20"/>
              </w:rPr>
              <w:t>Within 150 days after notification to contractor</w:t>
            </w:r>
          </w:p>
        </w:tc>
        <w:tc>
          <w:tcPr>
            <w:tcW w:w="3780" w:type="dxa"/>
          </w:tcPr>
          <w:p w:rsidR="00AA0633" w:rsidRPr="00B73D7D" w:rsidP="005F707D" w14:paraId="0C2D01CD" w14:textId="77777777">
            <w:pPr>
              <w:rPr>
                <w:sz w:val="20"/>
                <w:szCs w:val="20"/>
              </w:rPr>
            </w:pPr>
            <w:r w:rsidRPr="00B73D7D">
              <w:rPr>
                <w:sz w:val="20"/>
                <w:szCs w:val="20"/>
              </w:rPr>
              <w:t>Completion of data collection</w:t>
            </w:r>
          </w:p>
        </w:tc>
        <w:tc>
          <w:tcPr>
            <w:tcW w:w="1530" w:type="dxa"/>
          </w:tcPr>
          <w:p w:rsidR="00AA0633" w:rsidRPr="00B73D7D" w:rsidP="005F707D" w14:paraId="35AAD756"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sidRPr="00B73D7D">
              <w:rPr>
                <w:sz w:val="20"/>
                <w:szCs w:val="20"/>
              </w:rPr>
              <w:t>Not applicable</w:t>
            </w:r>
          </w:p>
        </w:tc>
      </w:tr>
      <w:tr w14:paraId="7B2FE9C4" w14:textId="77777777" w:rsidTr="00A72DE0">
        <w:tblPrEx>
          <w:tblW w:w="0" w:type="auto"/>
          <w:tblInd w:w="445" w:type="dxa"/>
          <w:tblLayout w:type="fixed"/>
          <w:tblLook w:val="0000"/>
        </w:tblPrEx>
        <w:tc>
          <w:tcPr>
            <w:tcW w:w="2520" w:type="dxa"/>
          </w:tcPr>
          <w:p w:rsidR="00AA0633" w:rsidRPr="00B73D7D" w:rsidP="005F707D" w14:paraId="706425AC"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sidRPr="00B73D7D">
              <w:rPr>
                <w:sz w:val="20"/>
                <w:szCs w:val="20"/>
              </w:rPr>
              <w:t>Within 180 days after notification to contractor</w:t>
            </w:r>
          </w:p>
        </w:tc>
        <w:tc>
          <w:tcPr>
            <w:tcW w:w="3780" w:type="dxa"/>
          </w:tcPr>
          <w:p w:rsidR="00AA0633" w:rsidRPr="00B73D7D" w:rsidP="005F707D" w14:paraId="4D06275A" w14:textId="77777777">
            <w:pPr>
              <w:rPr>
                <w:sz w:val="20"/>
                <w:szCs w:val="20"/>
              </w:rPr>
            </w:pPr>
            <w:r w:rsidRPr="00B73D7D">
              <w:rPr>
                <w:sz w:val="20"/>
                <w:szCs w:val="20"/>
              </w:rPr>
              <w:t>Delivery by the contractor of final data files</w:t>
            </w:r>
          </w:p>
        </w:tc>
        <w:tc>
          <w:tcPr>
            <w:tcW w:w="1530" w:type="dxa"/>
          </w:tcPr>
          <w:p w:rsidR="00AA0633" w:rsidRPr="00B73D7D" w:rsidP="005F707D" w14:paraId="002088E2" w14:textId="7AC9A3D3">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Pr>
                <w:sz w:val="20"/>
                <w:szCs w:val="20"/>
              </w:rPr>
              <w:t>FDA</w:t>
            </w:r>
          </w:p>
        </w:tc>
      </w:tr>
      <w:tr w14:paraId="08F0CE71" w14:textId="77777777" w:rsidTr="00A72DE0">
        <w:tblPrEx>
          <w:tblW w:w="0" w:type="auto"/>
          <w:tblInd w:w="445" w:type="dxa"/>
          <w:tblLayout w:type="fixed"/>
          <w:tblLook w:val="0000"/>
        </w:tblPrEx>
        <w:tc>
          <w:tcPr>
            <w:tcW w:w="2520" w:type="dxa"/>
          </w:tcPr>
          <w:p w:rsidR="00AA0633" w:rsidRPr="00B73D7D" w:rsidP="005F707D" w14:paraId="7827EFB9"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sidRPr="00B73D7D">
              <w:rPr>
                <w:sz w:val="20"/>
                <w:szCs w:val="20"/>
              </w:rPr>
              <w:t>Within 6 months after receipt of final data files</w:t>
            </w:r>
          </w:p>
        </w:tc>
        <w:tc>
          <w:tcPr>
            <w:tcW w:w="3780" w:type="dxa"/>
          </w:tcPr>
          <w:p w:rsidR="00AA0633" w:rsidRPr="00B73D7D" w:rsidP="005F707D" w14:paraId="2F248D9C" w14:textId="249ED3E9">
            <w:pPr>
              <w:rPr>
                <w:sz w:val="20"/>
                <w:szCs w:val="20"/>
              </w:rPr>
            </w:pPr>
            <w:r w:rsidRPr="00B73D7D">
              <w:rPr>
                <w:sz w:val="20"/>
                <w:szCs w:val="20"/>
              </w:rPr>
              <w:t>Posting of top-line report to FDA Website</w:t>
            </w:r>
          </w:p>
        </w:tc>
        <w:tc>
          <w:tcPr>
            <w:tcW w:w="1530" w:type="dxa"/>
          </w:tcPr>
          <w:p w:rsidR="00AA0633" w:rsidRPr="00B73D7D" w:rsidP="005F707D" w14:paraId="285967D3" w14:textId="7CAE4388">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Pr>
                <w:sz w:val="20"/>
                <w:szCs w:val="20"/>
              </w:rPr>
              <w:t>Public</w:t>
            </w:r>
          </w:p>
        </w:tc>
      </w:tr>
    </w:tbl>
    <w:p w:rsidR="00357C8A" w:rsidRPr="00877184" w:rsidP="00357C8A" w14:paraId="192C6ECA" w14:textId="77777777">
      <w:pPr>
        <w:spacing w:after="200"/>
        <w:rPr>
          <w:rFonts w:eastAsia="Calibri"/>
          <w:color w:val="000000"/>
        </w:rPr>
      </w:pPr>
    </w:p>
    <w:p w:rsidR="00357C8A" w:rsidRPr="00357C8A" w:rsidP="006705EA" w14:paraId="58A2F587"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877184" w:rsidP="00357C8A" w14:paraId="7EB21415" w14:textId="58C24A19">
      <w:pPr>
        <w:spacing w:after="200"/>
        <w:rPr>
          <w:rFonts w:eastAsia="Calibri"/>
          <w:color w:val="000000"/>
        </w:rPr>
      </w:pPr>
      <w:r w:rsidRPr="00AB7A67">
        <w:rPr>
          <w:rFonts w:eastAsia="Calibri"/>
        </w:rPr>
        <w:t>Display of the OMB Expiration Date is appropriate</w:t>
      </w:r>
      <w:r w:rsidRPr="00AA0633" w:rsidR="00AA0633">
        <w:rPr>
          <w:rFonts w:eastAsia="Calibri"/>
        </w:rPr>
        <w:t>.</w:t>
      </w:r>
    </w:p>
    <w:p w:rsidR="00357C8A" w:rsidRPr="00357C8A" w:rsidP="006705EA" w14:paraId="10B953E1"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C20690" w:rsidP="00C20690" w14:paraId="30D3A818" w14:textId="77777777">
      <w:pPr>
        <w:spacing w:after="200"/>
        <w:rPr>
          <w:rFonts w:eastAsia="Calibri"/>
        </w:rPr>
      </w:pPr>
      <w:r w:rsidRPr="00AA0633">
        <w:rPr>
          <w:rFonts w:eastAsia="Calibri"/>
        </w:rPr>
        <w:t>There are no exceptions to the certification.</w:t>
      </w:r>
    </w:p>
    <w:sectPr w:rsidSect="005C71CA">
      <w:footerReference w:type="even" r:id="rId11"/>
      <w:footerReference w:type="default" r:id="rId12"/>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7A9D5D3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1258">
      <w:rPr>
        <w:rStyle w:val="PageNumber"/>
        <w:noProof/>
      </w:rPr>
      <w:t>1</w:t>
    </w:r>
    <w:r>
      <w:rPr>
        <w:rStyle w:val="PageNumber"/>
      </w:rPr>
      <w:fldChar w:fldCharType="end"/>
    </w:r>
  </w:p>
  <w:p w:rsidR="00E63DE5" w14:paraId="020F400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0395910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1BEA00D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408B1" w14:paraId="15B5A98D" w14:textId="77777777">
      <w:r>
        <w:separator/>
      </w:r>
    </w:p>
  </w:footnote>
  <w:footnote w:type="continuationSeparator" w:id="1">
    <w:p w:rsidR="000408B1" w14:paraId="3E168544" w14:textId="77777777">
      <w:r>
        <w:continuationSeparator/>
      </w:r>
    </w:p>
  </w:footnote>
  <w:footnote w:id="2">
    <w:p w:rsidR="00C47300" w14:paraId="5A54E0A7" w14:textId="6BB8430B">
      <w:pPr>
        <w:pStyle w:val="FootnoteText"/>
      </w:pPr>
      <w:r>
        <w:rPr>
          <w:rStyle w:val="FootnoteReference"/>
        </w:rPr>
        <w:footnoteRef/>
      </w:r>
      <w:r>
        <w:t xml:space="preserve"> </w:t>
      </w:r>
      <w:r w:rsidRPr="00C47300">
        <w:t xml:space="preserve">In this method, we randomly select a category based on </w:t>
      </w:r>
      <w:r w:rsidR="0018635A">
        <w:t>sex</w:t>
      </w:r>
      <w:r w:rsidRPr="00C47300">
        <w:t xml:space="preserve"> and age (based on the </w:t>
      </w:r>
      <w:r w:rsidR="00CD3D02">
        <w:t>sex</w:t>
      </w:r>
      <w:r w:rsidRPr="00C47300">
        <w:t>-age composition of the household), and then take the adult in that selected category.</w:t>
      </w:r>
    </w:p>
  </w:footnote>
  <w:footnote w:id="3">
    <w:p w:rsidR="00AA0633" w:rsidP="00A72DE0" w14:paraId="412D64E8" w14:textId="40232851">
      <w:pPr>
        <w:pStyle w:val="FootnoteText"/>
      </w:pPr>
      <w:r>
        <w:rPr>
          <w:rStyle w:val="FootnoteReference"/>
        </w:rPr>
        <w:footnoteRef/>
      </w:r>
      <w:r>
        <w:t xml:space="preserve"> </w:t>
      </w:r>
      <w:hyperlink r:id="rId1" w:history="1">
        <w:r w:rsidRPr="00AD2445">
          <w:rPr>
            <w:rStyle w:val="Hyperlink"/>
          </w:rPr>
          <w:t>http://www.bls.gov/oes/current/oes_nat.htm</w:t>
        </w:r>
      </w:hyperlink>
      <w:r>
        <w:t xml:space="preserve">, accessed </w:t>
      </w:r>
      <w:r w:rsidR="00D438F7">
        <w:t>January</w:t>
      </w:r>
      <w:r>
        <w:t>,</w:t>
      </w:r>
      <w:r>
        <w:t xml:space="preserve"> </w:t>
      </w:r>
      <w:r w:rsidR="00FE6406">
        <w:t>202</w:t>
      </w:r>
      <w:r w:rsidR="00D438F7">
        <w:t>5</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359610C"/>
    <w:multiLevelType w:val="multilevel"/>
    <w:tmpl w:val="83783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74F6BB7"/>
    <w:multiLevelType w:val="multilevel"/>
    <w:tmpl w:val="5204E4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29703D"/>
    <w:multiLevelType w:val="hybridMultilevel"/>
    <w:tmpl w:val="320C61CE"/>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7">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925918718">
    <w:abstractNumId w:val="8"/>
  </w:num>
  <w:num w:numId="2" w16cid:durableId="1818915731">
    <w:abstractNumId w:val="2"/>
  </w:num>
  <w:num w:numId="3" w16cid:durableId="254873200">
    <w:abstractNumId w:val="9"/>
  </w:num>
  <w:num w:numId="4" w16cid:durableId="182211017">
    <w:abstractNumId w:val="4"/>
  </w:num>
  <w:num w:numId="5" w16cid:durableId="1237278841">
    <w:abstractNumId w:val="10"/>
  </w:num>
  <w:num w:numId="6" w16cid:durableId="1027948125">
    <w:abstractNumId w:val="0"/>
  </w:num>
  <w:num w:numId="7" w16cid:durableId="1026833764">
    <w:abstractNumId w:val="3"/>
  </w:num>
  <w:num w:numId="8" w16cid:durableId="1429691190">
    <w:abstractNumId w:val="7"/>
  </w:num>
  <w:num w:numId="9" w16cid:durableId="599067995">
    <w:abstractNumId w:val="5"/>
  </w:num>
  <w:num w:numId="10" w16cid:durableId="431512430">
    <w:abstractNumId w:val="1"/>
  </w:num>
  <w:num w:numId="11" w16cid:durableId="187303370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34A8"/>
    <w:rsid w:val="000057A1"/>
    <w:rsid w:val="000313FF"/>
    <w:rsid w:val="00031A2C"/>
    <w:rsid w:val="000408B1"/>
    <w:rsid w:val="00042B93"/>
    <w:rsid w:val="00043C7F"/>
    <w:rsid w:val="000467A8"/>
    <w:rsid w:val="00052811"/>
    <w:rsid w:val="0006229B"/>
    <w:rsid w:val="00063106"/>
    <w:rsid w:val="0006570F"/>
    <w:rsid w:val="000657B5"/>
    <w:rsid w:val="000735A0"/>
    <w:rsid w:val="00075DE8"/>
    <w:rsid w:val="00087274"/>
    <w:rsid w:val="00087439"/>
    <w:rsid w:val="000B7F73"/>
    <w:rsid w:val="000C1260"/>
    <w:rsid w:val="000C307B"/>
    <w:rsid w:val="000C560C"/>
    <w:rsid w:val="000D080B"/>
    <w:rsid w:val="000D0E66"/>
    <w:rsid w:val="000D450A"/>
    <w:rsid w:val="000D48FD"/>
    <w:rsid w:val="000D79CC"/>
    <w:rsid w:val="000E1C64"/>
    <w:rsid w:val="000F7119"/>
    <w:rsid w:val="00100739"/>
    <w:rsid w:val="0010493E"/>
    <w:rsid w:val="001075D3"/>
    <w:rsid w:val="00107885"/>
    <w:rsid w:val="00114FC4"/>
    <w:rsid w:val="001207AF"/>
    <w:rsid w:val="0012329C"/>
    <w:rsid w:val="00134FA7"/>
    <w:rsid w:val="00137950"/>
    <w:rsid w:val="00152F29"/>
    <w:rsid w:val="0015459D"/>
    <w:rsid w:val="0016043D"/>
    <w:rsid w:val="00174D54"/>
    <w:rsid w:val="0017702C"/>
    <w:rsid w:val="00181BE9"/>
    <w:rsid w:val="00183BD2"/>
    <w:rsid w:val="00183F46"/>
    <w:rsid w:val="00185270"/>
    <w:rsid w:val="0018635A"/>
    <w:rsid w:val="001A1FC4"/>
    <w:rsid w:val="001A3B5A"/>
    <w:rsid w:val="001A458C"/>
    <w:rsid w:val="001B7CE9"/>
    <w:rsid w:val="001D495A"/>
    <w:rsid w:val="001E244C"/>
    <w:rsid w:val="001F1437"/>
    <w:rsid w:val="00206799"/>
    <w:rsid w:val="002074FE"/>
    <w:rsid w:val="00220CDB"/>
    <w:rsid w:val="0022425B"/>
    <w:rsid w:val="002259EF"/>
    <w:rsid w:val="00237AE2"/>
    <w:rsid w:val="00242ED1"/>
    <w:rsid w:val="002444BB"/>
    <w:rsid w:val="00254069"/>
    <w:rsid w:val="00270748"/>
    <w:rsid w:val="002734E5"/>
    <w:rsid w:val="002746DB"/>
    <w:rsid w:val="00280CAF"/>
    <w:rsid w:val="00282F09"/>
    <w:rsid w:val="00291810"/>
    <w:rsid w:val="00294D62"/>
    <w:rsid w:val="00295C5B"/>
    <w:rsid w:val="00297532"/>
    <w:rsid w:val="00297FFD"/>
    <w:rsid w:val="002A00F1"/>
    <w:rsid w:val="002A1210"/>
    <w:rsid w:val="002A3F6B"/>
    <w:rsid w:val="002A47D2"/>
    <w:rsid w:val="002A7FB5"/>
    <w:rsid w:val="002B2074"/>
    <w:rsid w:val="002B7F56"/>
    <w:rsid w:val="002D14D8"/>
    <w:rsid w:val="002D2CD5"/>
    <w:rsid w:val="002D3276"/>
    <w:rsid w:val="002D4799"/>
    <w:rsid w:val="002E0242"/>
    <w:rsid w:val="002E3FA4"/>
    <w:rsid w:val="002E53A5"/>
    <w:rsid w:val="002E64B8"/>
    <w:rsid w:val="002E6834"/>
    <w:rsid w:val="002E736B"/>
    <w:rsid w:val="002F0E84"/>
    <w:rsid w:val="002F28EF"/>
    <w:rsid w:val="002F7477"/>
    <w:rsid w:val="003000EF"/>
    <w:rsid w:val="003113FF"/>
    <w:rsid w:val="00312622"/>
    <w:rsid w:val="00313840"/>
    <w:rsid w:val="00315CEB"/>
    <w:rsid w:val="00316BFD"/>
    <w:rsid w:val="0032277F"/>
    <w:rsid w:val="00336B69"/>
    <w:rsid w:val="0034302B"/>
    <w:rsid w:val="00350523"/>
    <w:rsid w:val="0035189D"/>
    <w:rsid w:val="00355B62"/>
    <w:rsid w:val="00357C8A"/>
    <w:rsid w:val="003740BC"/>
    <w:rsid w:val="0037456B"/>
    <w:rsid w:val="003801A3"/>
    <w:rsid w:val="00383D90"/>
    <w:rsid w:val="003870AE"/>
    <w:rsid w:val="003A00B7"/>
    <w:rsid w:val="003A1A27"/>
    <w:rsid w:val="003A50CC"/>
    <w:rsid w:val="003B42B3"/>
    <w:rsid w:val="003B4C63"/>
    <w:rsid w:val="003B6384"/>
    <w:rsid w:val="003C0FE2"/>
    <w:rsid w:val="003C4EBB"/>
    <w:rsid w:val="003D1531"/>
    <w:rsid w:val="003E4EC6"/>
    <w:rsid w:val="003E527E"/>
    <w:rsid w:val="003E553E"/>
    <w:rsid w:val="003E7078"/>
    <w:rsid w:val="003F3DF5"/>
    <w:rsid w:val="003F5B6C"/>
    <w:rsid w:val="003F73B8"/>
    <w:rsid w:val="0040297E"/>
    <w:rsid w:val="00411D11"/>
    <w:rsid w:val="004142F4"/>
    <w:rsid w:val="00414494"/>
    <w:rsid w:val="00415E23"/>
    <w:rsid w:val="0041670D"/>
    <w:rsid w:val="00423272"/>
    <w:rsid w:val="00424061"/>
    <w:rsid w:val="004261E7"/>
    <w:rsid w:val="00431FB9"/>
    <w:rsid w:val="0043334D"/>
    <w:rsid w:val="004340CD"/>
    <w:rsid w:val="00442A3C"/>
    <w:rsid w:val="00443969"/>
    <w:rsid w:val="00447D74"/>
    <w:rsid w:val="00450A74"/>
    <w:rsid w:val="004546BF"/>
    <w:rsid w:val="00460746"/>
    <w:rsid w:val="00465350"/>
    <w:rsid w:val="004656A1"/>
    <w:rsid w:val="00467DFD"/>
    <w:rsid w:val="00476B91"/>
    <w:rsid w:val="004846BF"/>
    <w:rsid w:val="00494912"/>
    <w:rsid w:val="004A5323"/>
    <w:rsid w:val="004A5A99"/>
    <w:rsid w:val="004C6979"/>
    <w:rsid w:val="004D13A2"/>
    <w:rsid w:val="004D3E7A"/>
    <w:rsid w:val="004D77BE"/>
    <w:rsid w:val="004F594B"/>
    <w:rsid w:val="004F61E1"/>
    <w:rsid w:val="0050527B"/>
    <w:rsid w:val="0053380B"/>
    <w:rsid w:val="0054300F"/>
    <w:rsid w:val="00543194"/>
    <w:rsid w:val="00544138"/>
    <w:rsid w:val="00554E34"/>
    <w:rsid w:val="00562538"/>
    <w:rsid w:val="00580442"/>
    <w:rsid w:val="00584583"/>
    <w:rsid w:val="00590E90"/>
    <w:rsid w:val="00590EEB"/>
    <w:rsid w:val="005A4099"/>
    <w:rsid w:val="005A604C"/>
    <w:rsid w:val="005C38B2"/>
    <w:rsid w:val="005C5029"/>
    <w:rsid w:val="005C55C2"/>
    <w:rsid w:val="005C599D"/>
    <w:rsid w:val="005C71CA"/>
    <w:rsid w:val="005C745C"/>
    <w:rsid w:val="005D4DF5"/>
    <w:rsid w:val="005E0C0F"/>
    <w:rsid w:val="005E42BA"/>
    <w:rsid w:val="005F707D"/>
    <w:rsid w:val="00611D6B"/>
    <w:rsid w:val="00612961"/>
    <w:rsid w:val="00625CFD"/>
    <w:rsid w:val="0062618B"/>
    <w:rsid w:val="006326EC"/>
    <w:rsid w:val="006427FE"/>
    <w:rsid w:val="00644377"/>
    <w:rsid w:val="00651DA9"/>
    <w:rsid w:val="00663A42"/>
    <w:rsid w:val="006641C7"/>
    <w:rsid w:val="006705EA"/>
    <w:rsid w:val="00670BE2"/>
    <w:rsid w:val="00676151"/>
    <w:rsid w:val="0068426A"/>
    <w:rsid w:val="006916D9"/>
    <w:rsid w:val="00696727"/>
    <w:rsid w:val="006A0E05"/>
    <w:rsid w:val="006A26C6"/>
    <w:rsid w:val="006A2A5A"/>
    <w:rsid w:val="006A465A"/>
    <w:rsid w:val="006A7C5B"/>
    <w:rsid w:val="006A7D5D"/>
    <w:rsid w:val="006C6839"/>
    <w:rsid w:val="006D0C12"/>
    <w:rsid w:val="006D2851"/>
    <w:rsid w:val="006D2CBC"/>
    <w:rsid w:val="006D5D57"/>
    <w:rsid w:val="006E2538"/>
    <w:rsid w:val="006E302F"/>
    <w:rsid w:val="006F4D6D"/>
    <w:rsid w:val="00700100"/>
    <w:rsid w:val="00705086"/>
    <w:rsid w:val="00722001"/>
    <w:rsid w:val="00744525"/>
    <w:rsid w:val="00751E66"/>
    <w:rsid w:val="00754497"/>
    <w:rsid w:val="007711D3"/>
    <w:rsid w:val="00773201"/>
    <w:rsid w:val="00773571"/>
    <w:rsid w:val="007762C4"/>
    <w:rsid w:val="00787C39"/>
    <w:rsid w:val="007913D6"/>
    <w:rsid w:val="00792947"/>
    <w:rsid w:val="00795DF3"/>
    <w:rsid w:val="007966D2"/>
    <w:rsid w:val="007A373C"/>
    <w:rsid w:val="007A713B"/>
    <w:rsid w:val="007B225C"/>
    <w:rsid w:val="007C04AD"/>
    <w:rsid w:val="007C75B1"/>
    <w:rsid w:val="007D3DFC"/>
    <w:rsid w:val="007E2F07"/>
    <w:rsid w:val="007E59A8"/>
    <w:rsid w:val="007F0A51"/>
    <w:rsid w:val="008018AC"/>
    <w:rsid w:val="0080776D"/>
    <w:rsid w:val="00810145"/>
    <w:rsid w:val="008108FA"/>
    <w:rsid w:val="00810FF1"/>
    <w:rsid w:val="00811645"/>
    <w:rsid w:val="00812318"/>
    <w:rsid w:val="00822336"/>
    <w:rsid w:val="00823DFA"/>
    <w:rsid w:val="00842DB7"/>
    <w:rsid w:val="00843752"/>
    <w:rsid w:val="0084479F"/>
    <w:rsid w:val="00850A0D"/>
    <w:rsid w:val="0085725E"/>
    <w:rsid w:val="00862EC2"/>
    <w:rsid w:val="00873D4F"/>
    <w:rsid w:val="0087509F"/>
    <w:rsid w:val="00877184"/>
    <w:rsid w:val="0087753D"/>
    <w:rsid w:val="00884823"/>
    <w:rsid w:val="00885B09"/>
    <w:rsid w:val="00887A35"/>
    <w:rsid w:val="00892400"/>
    <w:rsid w:val="008A1409"/>
    <w:rsid w:val="008A209D"/>
    <w:rsid w:val="008A22BB"/>
    <w:rsid w:val="008A67FA"/>
    <w:rsid w:val="008B01A7"/>
    <w:rsid w:val="008B035D"/>
    <w:rsid w:val="008B0E29"/>
    <w:rsid w:val="008B0EFA"/>
    <w:rsid w:val="008B30AB"/>
    <w:rsid w:val="008C3BB8"/>
    <w:rsid w:val="008C4B65"/>
    <w:rsid w:val="008C7B66"/>
    <w:rsid w:val="008E4C0C"/>
    <w:rsid w:val="008E5F55"/>
    <w:rsid w:val="009009E7"/>
    <w:rsid w:val="00905DEF"/>
    <w:rsid w:val="00906056"/>
    <w:rsid w:val="009122AE"/>
    <w:rsid w:val="00913B43"/>
    <w:rsid w:val="00930203"/>
    <w:rsid w:val="009311D2"/>
    <w:rsid w:val="009311E6"/>
    <w:rsid w:val="00931275"/>
    <w:rsid w:val="00936AC7"/>
    <w:rsid w:val="00953B64"/>
    <w:rsid w:val="009646A7"/>
    <w:rsid w:val="00970A88"/>
    <w:rsid w:val="00973221"/>
    <w:rsid w:val="009818A1"/>
    <w:rsid w:val="009A1674"/>
    <w:rsid w:val="009B1550"/>
    <w:rsid w:val="009B38BE"/>
    <w:rsid w:val="009B4DF2"/>
    <w:rsid w:val="009C684F"/>
    <w:rsid w:val="009D074C"/>
    <w:rsid w:val="009D6E73"/>
    <w:rsid w:val="009F1F1D"/>
    <w:rsid w:val="009F24DD"/>
    <w:rsid w:val="009F2B4F"/>
    <w:rsid w:val="009F3C63"/>
    <w:rsid w:val="009F66B5"/>
    <w:rsid w:val="00A02F10"/>
    <w:rsid w:val="00A1060C"/>
    <w:rsid w:val="00A16221"/>
    <w:rsid w:val="00A20A7D"/>
    <w:rsid w:val="00A21B49"/>
    <w:rsid w:val="00A35D42"/>
    <w:rsid w:val="00A43C15"/>
    <w:rsid w:val="00A46CCF"/>
    <w:rsid w:val="00A5060D"/>
    <w:rsid w:val="00A506DE"/>
    <w:rsid w:val="00A53451"/>
    <w:rsid w:val="00A70426"/>
    <w:rsid w:val="00A707CC"/>
    <w:rsid w:val="00A71410"/>
    <w:rsid w:val="00A72DE0"/>
    <w:rsid w:val="00A91AFA"/>
    <w:rsid w:val="00A91E9A"/>
    <w:rsid w:val="00A93ED9"/>
    <w:rsid w:val="00A96221"/>
    <w:rsid w:val="00AA0143"/>
    <w:rsid w:val="00AA0633"/>
    <w:rsid w:val="00AA24F7"/>
    <w:rsid w:val="00AA4FB9"/>
    <w:rsid w:val="00AB7A67"/>
    <w:rsid w:val="00AC2DBB"/>
    <w:rsid w:val="00AC6A99"/>
    <w:rsid w:val="00AD2445"/>
    <w:rsid w:val="00AD6048"/>
    <w:rsid w:val="00AF50B4"/>
    <w:rsid w:val="00AF5994"/>
    <w:rsid w:val="00B055EF"/>
    <w:rsid w:val="00B06B5B"/>
    <w:rsid w:val="00B23769"/>
    <w:rsid w:val="00B324A1"/>
    <w:rsid w:val="00B41789"/>
    <w:rsid w:val="00B73D7D"/>
    <w:rsid w:val="00B81808"/>
    <w:rsid w:val="00B86DFA"/>
    <w:rsid w:val="00B936D0"/>
    <w:rsid w:val="00BB1258"/>
    <w:rsid w:val="00BB15FB"/>
    <w:rsid w:val="00BD3D5B"/>
    <w:rsid w:val="00BE3600"/>
    <w:rsid w:val="00BF1A34"/>
    <w:rsid w:val="00C01F6F"/>
    <w:rsid w:val="00C041EA"/>
    <w:rsid w:val="00C13BBD"/>
    <w:rsid w:val="00C149AB"/>
    <w:rsid w:val="00C16929"/>
    <w:rsid w:val="00C20690"/>
    <w:rsid w:val="00C337C1"/>
    <w:rsid w:val="00C36020"/>
    <w:rsid w:val="00C40694"/>
    <w:rsid w:val="00C47300"/>
    <w:rsid w:val="00C479BF"/>
    <w:rsid w:val="00C5124B"/>
    <w:rsid w:val="00C70542"/>
    <w:rsid w:val="00C75CBF"/>
    <w:rsid w:val="00C81E56"/>
    <w:rsid w:val="00CC2894"/>
    <w:rsid w:val="00CD3D02"/>
    <w:rsid w:val="00CD77C3"/>
    <w:rsid w:val="00CE112C"/>
    <w:rsid w:val="00CE5E80"/>
    <w:rsid w:val="00CF30FB"/>
    <w:rsid w:val="00CF55D4"/>
    <w:rsid w:val="00CF7839"/>
    <w:rsid w:val="00D04627"/>
    <w:rsid w:val="00D07BB7"/>
    <w:rsid w:val="00D438F7"/>
    <w:rsid w:val="00D519FC"/>
    <w:rsid w:val="00D608DA"/>
    <w:rsid w:val="00D710D5"/>
    <w:rsid w:val="00D730BF"/>
    <w:rsid w:val="00D8364E"/>
    <w:rsid w:val="00D852F4"/>
    <w:rsid w:val="00D93A4D"/>
    <w:rsid w:val="00DA75FD"/>
    <w:rsid w:val="00DB1110"/>
    <w:rsid w:val="00DB3730"/>
    <w:rsid w:val="00DC371B"/>
    <w:rsid w:val="00DC3788"/>
    <w:rsid w:val="00DC76C7"/>
    <w:rsid w:val="00DD09F5"/>
    <w:rsid w:val="00DD0E02"/>
    <w:rsid w:val="00DD4201"/>
    <w:rsid w:val="00DD5E9F"/>
    <w:rsid w:val="00DE17C4"/>
    <w:rsid w:val="00DE5711"/>
    <w:rsid w:val="00E00EA0"/>
    <w:rsid w:val="00E021CB"/>
    <w:rsid w:val="00E038A6"/>
    <w:rsid w:val="00E07BB1"/>
    <w:rsid w:val="00E138F1"/>
    <w:rsid w:val="00E169A0"/>
    <w:rsid w:val="00E2309D"/>
    <w:rsid w:val="00E26758"/>
    <w:rsid w:val="00E4357B"/>
    <w:rsid w:val="00E443A7"/>
    <w:rsid w:val="00E45904"/>
    <w:rsid w:val="00E47FAB"/>
    <w:rsid w:val="00E63DE5"/>
    <w:rsid w:val="00E647AF"/>
    <w:rsid w:val="00E647C7"/>
    <w:rsid w:val="00E65A37"/>
    <w:rsid w:val="00E65EF7"/>
    <w:rsid w:val="00E77B48"/>
    <w:rsid w:val="00E850DA"/>
    <w:rsid w:val="00E857FB"/>
    <w:rsid w:val="00E901E8"/>
    <w:rsid w:val="00E91799"/>
    <w:rsid w:val="00E94572"/>
    <w:rsid w:val="00E97DF8"/>
    <w:rsid w:val="00EA21FE"/>
    <w:rsid w:val="00EA34E3"/>
    <w:rsid w:val="00EA5E73"/>
    <w:rsid w:val="00EB6788"/>
    <w:rsid w:val="00EB7538"/>
    <w:rsid w:val="00EC1868"/>
    <w:rsid w:val="00EC75CA"/>
    <w:rsid w:val="00EE6468"/>
    <w:rsid w:val="00F0343B"/>
    <w:rsid w:val="00F055B8"/>
    <w:rsid w:val="00F1299B"/>
    <w:rsid w:val="00F15846"/>
    <w:rsid w:val="00F207A4"/>
    <w:rsid w:val="00F25173"/>
    <w:rsid w:val="00F355AC"/>
    <w:rsid w:val="00F40CF7"/>
    <w:rsid w:val="00F44194"/>
    <w:rsid w:val="00F515ED"/>
    <w:rsid w:val="00F71932"/>
    <w:rsid w:val="00F71A5A"/>
    <w:rsid w:val="00F73A1A"/>
    <w:rsid w:val="00F769E0"/>
    <w:rsid w:val="00FA4A46"/>
    <w:rsid w:val="00FA6647"/>
    <w:rsid w:val="00FA75FE"/>
    <w:rsid w:val="00FB0024"/>
    <w:rsid w:val="00FB1032"/>
    <w:rsid w:val="00FB39BC"/>
    <w:rsid w:val="00FB6A53"/>
    <w:rsid w:val="00FC11CA"/>
    <w:rsid w:val="00FC6BDE"/>
    <w:rsid w:val="00FD6B1E"/>
    <w:rsid w:val="00FD7DE2"/>
    <w:rsid w:val="00FE505F"/>
    <w:rsid w:val="00FE5BB2"/>
    <w:rsid w:val="00FE6406"/>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B514EE2"/>
  <w15:chartTrackingRefBased/>
  <w15:docId w15:val="{3BDC9D17-0A9B-4FDA-8B90-C73D9E058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EA5E73"/>
    <w:rPr>
      <w:sz w:val="24"/>
      <w:szCs w:val="24"/>
    </w:rPr>
  </w:style>
  <w:style w:type="paragraph" w:styleId="FootnoteText">
    <w:name w:val="footnote text"/>
    <w:basedOn w:val="Normal"/>
    <w:link w:val="FootnoteTextChar"/>
    <w:rsid w:val="00AA0633"/>
    <w:rPr>
      <w:sz w:val="20"/>
      <w:szCs w:val="20"/>
    </w:rPr>
  </w:style>
  <w:style w:type="character" w:customStyle="1" w:styleId="FootnoteTextChar">
    <w:name w:val="Footnote Text Char"/>
    <w:basedOn w:val="DefaultParagraphFont"/>
    <w:link w:val="FootnoteText"/>
    <w:rsid w:val="00AA0633"/>
  </w:style>
  <w:style w:type="character" w:styleId="FootnoteReference">
    <w:name w:val="footnote reference"/>
    <w:rsid w:val="00AA0633"/>
    <w:rPr>
      <w:vertAlign w:val="superscript"/>
    </w:rPr>
  </w:style>
  <w:style w:type="paragraph" w:customStyle="1" w:styleId="BodyText1">
    <w:name w:val="Body Text1"/>
    <w:aliases w:val="body tx,bt,flush,indent"/>
    <w:basedOn w:val="Normal"/>
    <w:link w:val="bodytextChar"/>
    <w:rsid w:val="00AA0633"/>
    <w:pPr>
      <w:spacing w:after="240"/>
      <w:ind w:firstLine="720"/>
    </w:pPr>
  </w:style>
  <w:style w:type="character" w:customStyle="1" w:styleId="bodytextChar">
    <w:name w:val="body text Char"/>
    <w:aliases w:val="bt Char"/>
    <w:link w:val="BodyText1"/>
    <w:rsid w:val="00AA0633"/>
    <w:rPr>
      <w:sz w:val="24"/>
      <w:szCs w:val="24"/>
    </w:rPr>
  </w:style>
  <w:style w:type="paragraph" w:customStyle="1" w:styleId="TableTitle">
    <w:name w:val="Table Title"/>
    <w:basedOn w:val="Normal"/>
    <w:rsid w:val="00AA0633"/>
    <w:pPr>
      <w:keepNext/>
      <w:keepLines/>
      <w:spacing w:before="240" w:after="240"/>
      <w:ind w:left="1260" w:hanging="1260"/>
    </w:pPr>
    <w:rPr>
      <w:b/>
      <w:szCs w:val="20"/>
    </w:rPr>
  </w:style>
  <w:style w:type="character" w:styleId="CommentReference">
    <w:name w:val="annotation reference"/>
    <w:rsid w:val="00FE6406"/>
    <w:rPr>
      <w:sz w:val="16"/>
      <w:szCs w:val="16"/>
    </w:rPr>
  </w:style>
  <w:style w:type="paragraph" w:styleId="CommentText">
    <w:name w:val="annotation text"/>
    <w:basedOn w:val="Normal"/>
    <w:link w:val="CommentTextChar"/>
    <w:rsid w:val="00FE6406"/>
    <w:rPr>
      <w:sz w:val="20"/>
      <w:szCs w:val="20"/>
    </w:rPr>
  </w:style>
  <w:style w:type="character" w:customStyle="1" w:styleId="CommentTextChar">
    <w:name w:val="Comment Text Char"/>
    <w:basedOn w:val="DefaultParagraphFont"/>
    <w:link w:val="CommentText"/>
    <w:rsid w:val="00FE6406"/>
  </w:style>
  <w:style w:type="paragraph" w:styleId="CommentSubject">
    <w:name w:val="annotation subject"/>
    <w:basedOn w:val="CommentText"/>
    <w:next w:val="CommentText"/>
    <w:link w:val="CommentSubjectChar"/>
    <w:rsid w:val="00FE6406"/>
    <w:rPr>
      <w:b/>
      <w:bCs/>
    </w:rPr>
  </w:style>
  <w:style w:type="character" w:customStyle="1" w:styleId="CommentSubjectChar">
    <w:name w:val="Comment Subject Char"/>
    <w:link w:val="CommentSubject"/>
    <w:rsid w:val="00FE64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surveypractice.org/article/34118-transitioning-the-fda-food-safety-and-nutrition-survey-from-rdd-to-abs"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fsans-explorer.fda.gov/" TargetMode="External" /><Relationship Id="rId7" Type="http://schemas.openxmlformats.org/officeDocument/2006/relationships/hyperlink" Target="https://doi.org/10.1177%2F21501327211002416" TargetMode="External" /><Relationship Id="rId8" Type="http://schemas.openxmlformats.org/officeDocument/2006/relationships/hyperlink" Target="https://doi.org/10.4315/JFP-21-256" TargetMode="External" /><Relationship Id="rId9" Type="http://schemas.openxmlformats.org/officeDocument/2006/relationships/hyperlink" Target="https://doi.org/10.4315/JFP-21-407"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3F50B-B22E-4CD6-BFBB-71CDCDA76199}">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3072</Words>
  <Characters>17581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20612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Colburn, Christopher</cp:lastModifiedBy>
  <cp:revision>2</cp:revision>
  <cp:lastPrinted>2019-07-03T16:25:00Z</cp:lastPrinted>
  <dcterms:created xsi:type="dcterms:W3CDTF">2025-09-30T14:35:00Z</dcterms:created>
  <dcterms:modified xsi:type="dcterms:W3CDTF">2025-09-30T14:35:00Z</dcterms:modified>
</cp:coreProperties>
</file>