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21A5" w:rsidRPr="009A23E6" w:rsidP="000C21A5" w14:paraId="67270E2E" w14:textId="196A58B8">
      <w:pPr>
        <w:jc w:val="center"/>
        <w:rPr>
          <w:i/>
        </w:rPr>
      </w:pPr>
      <w:r w:rsidRPr="009A23E6">
        <w:rPr>
          <w:i/>
        </w:rPr>
        <w:t xml:space="preserve">              </w:t>
      </w:r>
    </w:p>
    <w:p w:rsidR="000C21A5" w:rsidRPr="009A23E6" w:rsidP="000C21A5" w14:paraId="6057E183" w14:textId="77777777">
      <w:pPr>
        <w:jc w:val="center"/>
        <w:rPr>
          <w:i/>
        </w:rPr>
      </w:pPr>
    </w:p>
    <w:p w:rsidR="000C21A5" w:rsidRPr="009A23E6" w:rsidP="000C21A5" w14:paraId="26734086" w14:textId="77777777">
      <w:pPr>
        <w:jc w:val="center"/>
      </w:pPr>
    </w:p>
    <w:p w:rsidR="000C21A5" w:rsidRPr="009A23E6" w:rsidP="000C21A5" w14:paraId="2E7F17AB" w14:textId="77777777">
      <w:pPr>
        <w:jc w:val="center"/>
        <w:rPr>
          <w:b/>
        </w:rPr>
      </w:pPr>
    </w:p>
    <w:p w:rsidR="000C21A5" w:rsidRPr="009A23E6" w:rsidP="000C21A5" w14:paraId="5CBBBD6E" w14:textId="77777777">
      <w:pPr>
        <w:jc w:val="center"/>
        <w:rPr>
          <w:b/>
          <w:sz w:val="28"/>
          <w:szCs w:val="28"/>
        </w:rPr>
      </w:pPr>
      <w:r w:rsidRPr="009A23E6">
        <w:rPr>
          <w:b/>
          <w:sz w:val="28"/>
          <w:szCs w:val="28"/>
        </w:rPr>
        <w:t>SUPPORTING STATEMENT</w:t>
      </w:r>
    </w:p>
    <w:p w:rsidR="000C21A5" w:rsidRPr="009A23E6" w:rsidP="000C21A5" w14:paraId="295F1BA6" w14:textId="77777777">
      <w:pPr>
        <w:jc w:val="center"/>
        <w:rPr>
          <w:b/>
          <w:sz w:val="28"/>
          <w:szCs w:val="28"/>
        </w:rPr>
      </w:pPr>
    </w:p>
    <w:p w:rsidR="000C21A5" w:rsidRPr="009A23E6" w:rsidP="000C21A5" w14:paraId="40B47E5B" w14:textId="77777777">
      <w:pPr>
        <w:jc w:val="center"/>
        <w:rPr>
          <w:sz w:val="28"/>
          <w:szCs w:val="28"/>
        </w:rPr>
      </w:pPr>
      <w:r w:rsidRPr="009A23E6">
        <w:rPr>
          <w:b/>
          <w:sz w:val="28"/>
          <w:szCs w:val="28"/>
        </w:rPr>
        <w:t>Part B</w:t>
      </w:r>
    </w:p>
    <w:p w:rsidR="000C21A5" w:rsidRPr="009A23E6" w:rsidP="000C21A5" w14:paraId="676034BC" w14:textId="1927EA14">
      <w:pPr>
        <w:jc w:val="center"/>
        <w:rPr>
          <w:sz w:val="28"/>
          <w:szCs w:val="28"/>
        </w:rPr>
      </w:pPr>
      <w:r w:rsidRPr="009A23E6">
        <w:rPr>
          <w:sz w:val="28"/>
          <w:szCs w:val="28"/>
        </w:rPr>
        <w:t xml:space="preserve">                                                                                                                                                                                                                                                                                                                                                                                                                                                                                                                                                                                                                                                                                                                                                                                                                                                                                                                                                                                                                                                                                                                                                                                                                                                                                                                                                                                                                                                                                                                                                                                                                                                                                                                                                                                                                                                                                                                                                                                                                                                                                                                                                                                                                                                                                                                                                                                                                                                                                                                                                                                                                                                                                                                                                                                                                                                                                                                                                                                                                                                                                                                                                                                                                                                                                                                                                                                                                                                                                                                                                                                                                                                                                                                                                                                                                                                                                                                                                                                                                                                                                                                                                                                                                                                                                                                                                                                                                                                                                                                                                                                                                                                                                                                                                                                                                                                                                                                                                                                                                                                                                                                                                                                                </w:t>
      </w:r>
    </w:p>
    <w:p w:rsidR="000C21A5" w:rsidRPr="009A23E6" w:rsidP="000C21A5" w14:paraId="70D3FBAB" w14:textId="77777777">
      <w:pPr>
        <w:jc w:val="center"/>
      </w:pPr>
    </w:p>
    <w:p w:rsidR="000C21A5" w:rsidRPr="009A23E6" w:rsidP="000C21A5" w14:paraId="0F6AB421" w14:textId="77777777">
      <w:pPr>
        <w:jc w:val="center"/>
      </w:pPr>
    </w:p>
    <w:p w:rsidR="000C21A5" w:rsidRPr="009A23E6" w:rsidP="000C21A5" w14:paraId="0B8D03C6" w14:textId="77777777">
      <w:pPr>
        <w:jc w:val="center"/>
      </w:pPr>
    </w:p>
    <w:p w:rsidR="000C21A5" w:rsidRPr="009A23E6" w:rsidP="000C21A5" w14:paraId="3BD675BB" w14:textId="77777777">
      <w:pPr>
        <w:jc w:val="center"/>
      </w:pPr>
    </w:p>
    <w:p w:rsidR="000C21A5" w:rsidRPr="009A23E6" w:rsidP="000C21A5" w14:paraId="2D6F669E" w14:textId="77777777">
      <w:pPr>
        <w:jc w:val="center"/>
      </w:pPr>
    </w:p>
    <w:p w:rsidR="000C21A5" w:rsidRPr="009A23E6" w:rsidP="000C21A5" w14:paraId="25C09384" w14:textId="3ED8E9E9">
      <w:pPr>
        <w:jc w:val="center"/>
        <w:rPr>
          <w:sz w:val="28"/>
          <w:szCs w:val="28"/>
        </w:rPr>
      </w:pPr>
      <w:r w:rsidRPr="009A23E6">
        <w:rPr>
          <w:b/>
          <w:bCs/>
          <w:iCs/>
          <w:sz w:val="28"/>
          <w:szCs w:val="28"/>
        </w:rPr>
        <w:t xml:space="preserve">The AHRQ </w:t>
      </w:r>
      <w:r w:rsidRPr="009A23E6" w:rsidR="00C2396F">
        <w:rPr>
          <w:b/>
          <w:bCs/>
          <w:iCs/>
          <w:sz w:val="28"/>
          <w:szCs w:val="28"/>
        </w:rPr>
        <w:t>Safety Program for Telemedicine</w:t>
      </w:r>
      <w:r w:rsidRPr="005930BC" w:rsidR="00C2396F">
        <w:rPr>
          <w:b/>
          <w:bCs/>
          <w:iCs/>
          <w:sz w:val="28"/>
          <w:szCs w:val="28"/>
        </w:rPr>
        <w:t xml:space="preserve">: </w:t>
      </w:r>
      <w:r w:rsidRPr="005930BC" w:rsidR="00D73322">
        <w:rPr>
          <w:b/>
          <w:bCs/>
          <w:iCs/>
          <w:sz w:val="28"/>
          <w:szCs w:val="28"/>
        </w:rPr>
        <w:t xml:space="preserve">Improving </w:t>
      </w:r>
      <w:r w:rsidRPr="005930BC" w:rsidR="007E3B12">
        <w:rPr>
          <w:b/>
          <w:bCs/>
          <w:iCs/>
          <w:sz w:val="28"/>
          <w:szCs w:val="28"/>
        </w:rPr>
        <w:t xml:space="preserve">Antibiotic </w:t>
      </w:r>
      <w:r w:rsidRPr="005930BC" w:rsidR="00D73322">
        <w:rPr>
          <w:b/>
          <w:bCs/>
          <w:iCs/>
          <w:sz w:val="28"/>
          <w:szCs w:val="28"/>
        </w:rPr>
        <w:t>Use</w:t>
      </w:r>
    </w:p>
    <w:p w:rsidR="000C21A5" w:rsidRPr="009A23E6" w:rsidP="000C21A5" w14:paraId="67E7F9CE" w14:textId="77777777">
      <w:pPr>
        <w:jc w:val="center"/>
      </w:pPr>
    </w:p>
    <w:p w:rsidR="000C21A5" w:rsidRPr="009A23E6" w:rsidP="000C21A5" w14:paraId="49673F48" w14:textId="77777777">
      <w:pPr>
        <w:jc w:val="center"/>
      </w:pPr>
    </w:p>
    <w:p w:rsidR="000C21A5" w:rsidRPr="009A23E6" w:rsidP="000C21A5" w14:paraId="18F39921" w14:textId="77777777">
      <w:pPr>
        <w:jc w:val="center"/>
      </w:pPr>
    </w:p>
    <w:p w:rsidR="000C21A5" w:rsidRPr="009A23E6" w:rsidP="000C21A5" w14:paraId="54465703" w14:textId="77777777">
      <w:pPr>
        <w:jc w:val="center"/>
      </w:pPr>
    </w:p>
    <w:p w:rsidR="000C21A5" w:rsidRPr="009A23E6" w:rsidP="000C21A5" w14:paraId="2984E7A1" w14:textId="55CD6C71">
      <w:pPr>
        <w:jc w:val="center"/>
        <w:rPr>
          <w:sz w:val="28"/>
          <w:szCs w:val="28"/>
        </w:rPr>
      </w:pPr>
      <w:r w:rsidRPr="009A23E6">
        <w:rPr>
          <w:b/>
          <w:sz w:val="28"/>
          <w:szCs w:val="28"/>
        </w:rPr>
        <w:t xml:space="preserve">Version: </w:t>
      </w:r>
      <w:r w:rsidR="005930BC">
        <w:rPr>
          <w:sz w:val="28"/>
          <w:szCs w:val="28"/>
        </w:rPr>
        <w:t>July</w:t>
      </w:r>
      <w:r w:rsidR="002C6168">
        <w:rPr>
          <w:sz w:val="28"/>
          <w:szCs w:val="28"/>
        </w:rPr>
        <w:t xml:space="preserve"> </w:t>
      </w:r>
      <w:r w:rsidR="005930BC">
        <w:rPr>
          <w:sz w:val="28"/>
          <w:szCs w:val="28"/>
        </w:rPr>
        <w:t>11</w:t>
      </w:r>
      <w:r w:rsidRPr="009A23E6" w:rsidR="00C2396F">
        <w:rPr>
          <w:sz w:val="28"/>
          <w:szCs w:val="28"/>
        </w:rPr>
        <w:t>, 202</w:t>
      </w:r>
      <w:r w:rsidR="000B0A71">
        <w:rPr>
          <w:sz w:val="28"/>
          <w:szCs w:val="28"/>
        </w:rPr>
        <w:t>4</w:t>
      </w:r>
    </w:p>
    <w:p w:rsidR="000C21A5" w:rsidRPr="009A23E6" w:rsidP="000C21A5" w14:paraId="6AB6E7A6" w14:textId="77777777">
      <w:pPr>
        <w:jc w:val="center"/>
      </w:pPr>
    </w:p>
    <w:p w:rsidR="000C21A5" w:rsidRPr="009A23E6" w:rsidP="000C21A5" w14:paraId="05E1B52F" w14:textId="77777777">
      <w:pPr>
        <w:jc w:val="center"/>
      </w:pPr>
    </w:p>
    <w:p w:rsidR="000C21A5" w:rsidRPr="009A23E6" w:rsidP="000C21A5" w14:paraId="3EF07270" w14:textId="77777777">
      <w:pPr>
        <w:jc w:val="center"/>
      </w:pPr>
    </w:p>
    <w:p w:rsidR="000C21A5" w:rsidRPr="009A23E6" w:rsidP="000C21A5" w14:paraId="29630C87" w14:textId="77777777">
      <w:pPr>
        <w:jc w:val="center"/>
      </w:pPr>
    </w:p>
    <w:p w:rsidR="000C21A5" w:rsidRPr="009A23E6" w:rsidP="000C21A5" w14:paraId="57E468B7" w14:textId="77777777">
      <w:pPr>
        <w:jc w:val="center"/>
      </w:pPr>
    </w:p>
    <w:p w:rsidR="000C21A5" w:rsidRPr="009A23E6" w:rsidP="000C21A5" w14:paraId="70920DDE" w14:textId="77777777">
      <w:pPr>
        <w:jc w:val="center"/>
      </w:pPr>
    </w:p>
    <w:p w:rsidR="000C21A5" w:rsidRPr="009A23E6" w:rsidP="000C21A5" w14:paraId="2E2AF23D" w14:textId="77777777">
      <w:pPr>
        <w:jc w:val="center"/>
      </w:pPr>
    </w:p>
    <w:p w:rsidR="000C21A5" w:rsidRPr="009A23E6" w:rsidP="000C21A5" w14:paraId="409BD9EA" w14:textId="77777777">
      <w:pPr>
        <w:jc w:val="center"/>
      </w:pPr>
    </w:p>
    <w:p w:rsidR="000C21A5" w:rsidRPr="009A23E6" w:rsidP="000C21A5" w14:paraId="3603B1FC" w14:textId="0D4BE1C7">
      <w:pPr>
        <w:jc w:val="center"/>
        <w:rPr>
          <w:sz w:val="28"/>
          <w:szCs w:val="28"/>
        </w:rPr>
      </w:pPr>
      <w:r w:rsidRPr="009A23E6">
        <w:rPr>
          <w:sz w:val="28"/>
          <w:szCs w:val="28"/>
        </w:rPr>
        <w:t xml:space="preserve">Agency </w:t>
      </w:r>
      <w:r w:rsidRPr="009A23E6" w:rsidR="00AC41A4">
        <w:rPr>
          <w:sz w:val="28"/>
          <w:szCs w:val="28"/>
        </w:rPr>
        <w:t xml:space="preserve">for </w:t>
      </w:r>
      <w:r w:rsidRPr="009A23E6">
        <w:rPr>
          <w:sz w:val="28"/>
          <w:szCs w:val="28"/>
        </w:rPr>
        <w:t>Healthcare Research and Quality (AHRQ)</w:t>
      </w:r>
    </w:p>
    <w:p w:rsidR="000C21A5" w:rsidRPr="009A23E6" w:rsidP="000C21A5" w14:paraId="46CFF16E" w14:textId="77777777"/>
    <w:p w:rsidR="000C21A5" w:rsidRPr="009A23E6" w:rsidP="000C21A5" w14:paraId="326DDD7B" w14:textId="77777777"/>
    <w:p w:rsidR="000C21A5" w:rsidRPr="009A23E6" w:rsidP="000C21A5" w14:paraId="3BD68D54" w14:textId="77777777">
      <w:r w:rsidRPr="009A23E6">
        <w:br w:type="page"/>
      </w:r>
      <w:bookmarkStart w:id="0" w:name="_Toc151782198"/>
      <w:bookmarkStart w:id="1" w:name="_Toc158526234"/>
    </w:p>
    <w:p w:rsidR="000C21A5" w:rsidRPr="007C09D7" w:rsidP="000C21A5" w14:paraId="30F89A98" w14:textId="77777777">
      <w:pPr>
        <w:pStyle w:val="GridTable31"/>
        <w:rPr>
          <w:rFonts w:ascii="Times New Roman" w:hAnsi="Times New Roman"/>
          <w:color w:val="auto"/>
          <w:sz w:val="24"/>
          <w:szCs w:val="24"/>
        </w:rPr>
      </w:pPr>
      <w:r w:rsidRPr="007C09D7">
        <w:rPr>
          <w:rFonts w:ascii="Times New Roman" w:hAnsi="Times New Roman"/>
          <w:color w:val="auto"/>
          <w:sz w:val="24"/>
          <w:szCs w:val="24"/>
        </w:rPr>
        <w:t>Table of Contents</w:t>
      </w:r>
    </w:p>
    <w:p w:rsidR="005C7CD4" w14:paraId="51F005A0" w14:textId="758CF72A">
      <w:pPr>
        <w:pStyle w:val="TOC1"/>
        <w:tabs>
          <w:tab w:val="right" w:leader="dot" w:pos="8630"/>
        </w:tabs>
        <w:rPr>
          <w:rFonts w:asciiTheme="minorHAnsi" w:eastAsiaTheme="minorEastAsia" w:hAnsiTheme="minorHAnsi" w:cstheme="minorBidi"/>
          <w:noProof/>
          <w:kern w:val="2"/>
          <w:sz w:val="22"/>
          <w:szCs w:val="22"/>
          <w14:ligatures w14:val="standardContextual"/>
        </w:rPr>
      </w:pPr>
      <w:r w:rsidRPr="009A23E6">
        <w:rPr>
          <w:color w:val="2B579A"/>
          <w:shd w:val="clear" w:color="auto" w:fill="E6E6E6"/>
        </w:rPr>
        <w:fldChar w:fldCharType="begin"/>
      </w:r>
      <w:r w:rsidRPr="009A23E6">
        <w:instrText xml:space="preserve"> TOC \o "1-3" \h \z \u </w:instrText>
      </w:r>
      <w:r w:rsidRPr="009A23E6">
        <w:rPr>
          <w:color w:val="2B579A"/>
          <w:shd w:val="clear" w:color="auto" w:fill="E6E6E6"/>
        </w:rPr>
        <w:fldChar w:fldCharType="separate"/>
      </w:r>
      <w:hyperlink w:anchor="_Toc160095450" w:history="1">
        <w:r w:rsidRPr="0080351C">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_Toc160095450 \h </w:instrText>
        </w:r>
        <w:r>
          <w:rPr>
            <w:noProof/>
            <w:webHidden/>
          </w:rPr>
          <w:fldChar w:fldCharType="separate"/>
        </w:r>
        <w:r>
          <w:rPr>
            <w:noProof/>
            <w:webHidden/>
          </w:rPr>
          <w:t>3</w:t>
        </w:r>
        <w:r>
          <w:rPr>
            <w:noProof/>
            <w:webHidden/>
          </w:rPr>
          <w:fldChar w:fldCharType="end"/>
        </w:r>
      </w:hyperlink>
    </w:p>
    <w:p w:rsidR="005C7CD4" w14:paraId="0014B17B" w14:textId="0F6A7698">
      <w:pPr>
        <w:pStyle w:val="TOC2"/>
        <w:rPr>
          <w:rFonts w:asciiTheme="minorHAnsi" w:eastAsiaTheme="minorEastAsia" w:hAnsiTheme="minorHAnsi" w:cstheme="minorBidi"/>
          <w:noProof/>
          <w:kern w:val="2"/>
          <w:sz w:val="22"/>
          <w:szCs w:val="22"/>
          <w14:ligatures w14:val="standardContextual"/>
        </w:rPr>
      </w:pPr>
      <w:hyperlink w:anchor="_Toc160095451" w:history="1">
        <w:r w:rsidRPr="0080351C">
          <w:rPr>
            <w:rStyle w:val="Hyperlink"/>
            <w:noProof/>
          </w:rPr>
          <w:t>1. Respondent Universe and Sampling Methods</w:t>
        </w:r>
        <w:r>
          <w:rPr>
            <w:noProof/>
            <w:webHidden/>
          </w:rPr>
          <w:tab/>
        </w:r>
        <w:r>
          <w:rPr>
            <w:noProof/>
            <w:webHidden/>
          </w:rPr>
          <w:fldChar w:fldCharType="begin"/>
        </w:r>
        <w:r>
          <w:rPr>
            <w:noProof/>
            <w:webHidden/>
          </w:rPr>
          <w:instrText xml:space="preserve"> PAGEREF _Toc160095451 \h </w:instrText>
        </w:r>
        <w:r>
          <w:rPr>
            <w:noProof/>
            <w:webHidden/>
          </w:rPr>
          <w:fldChar w:fldCharType="separate"/>
        </w:r>
        <w:r>
          <w:rPr>
            <w:noProof/>
            <w:webHidden/>
          </w:rPr>
          <w:t>3</w:t>
        </w:r>
        <w:r>
          <w:rPr>
            <w:noProof/>
            <w:webHidden/>
          </w:rPr>
          <w:fldChar w:fldCharType="end"/>
        </w:r>
      </w:hyperlink>
    </w:p>
    <w:p w:rsidR="005C7CD4" w14:paraId="34E973CE" w14:textId="608F46C5">
      <w:pPr>
        <w:pStyle w:val="TOC2"/>
        <w:rPr>
          <w:rFonts w:asciiTheme="minorHAnsi" w:eastAsiaTheme="minorEastAsia" w:hAnsiTheme="minorHAnsi" w:cstheme="minorBidi"/>
          <w:noProof/>
          <w:kern w:val="2"/>
          <w:sz w:val="22"/>
          <w:szCs w:val="22"/>
          <w14:ligatures w14:val="standardContextual"/>
        </w:rPr>
      </w:pPr>
      <w:hyperlink w:anchor="_Toc160095452" w:history="1">
        <w:r w:rsidRPr="0080351C">
          <w:rPr>
            <w:rStyle w:val="Hyperlink"/>
            <w:noProof/>
          </w:rPr>
          <w:t>2. Information Collection Procedures</w:t>
        </w:r>
        <w:r>
          <w:rPr>
            <w:noProof/>
            <w:webHidden/>
          </w:rPr>
          <w:tab/>
        </w:r>
        <w:r>
          <w:rPr>
            <w:noProof/>
            <w:webHidden/>
          </w:rPr>
          <w:fldChar w:fldCharType="begin"/>
        </w:r>
        <w:r>
          <w:rPr>
            <w:noProof/>
            <w:webHidden/>
          </w:rPr>
          <w:instrText xml:space="preserve"> PAGEREF _Toc160095452 \h </w:instrText>
        </w:r>
        <w:r>
          <w:rPr>
            <w:noProof/>
            <w:webHidden/>
          </w:rPr>
          <w:fldChar w:fldCharType="separate"/>
        </w:r>
        <w:r>
          <w:rPr>
            <w:noProof/>
            <w:webHidden/>
          </w:rPr>
          <w:t>5</w:t>
        </w:r>
        <w:r>
          <w:rPr>
            <w:noProof/>
            <w:webHidden/>
          </w:rPr>
          <w:fldChar w:fldCharType="end"/>
        </w:r>
      </w:hyperlink>
    </w:p>
    <w:p w:rsidR="005C7CD4" w14:paraId="7B0C818C" w14:textId="73077FB0">
      <w:pPr>
        <w:pStyle w:val="TOC2"/>
        <w:rPr>
          <w:rFonts w:asciiTheme="minorHAnsi" w:eastAsiaTheme="minorEastAsia" w:hAnsiTheme="minorHAnsi" w:cstheme="minorBidi"/>
          <w:noProof/>
          <w:kern w:val="2"/>
          <w:sz w:val="22"/>
          <w:szCs w:val="22"/>
          <w14:ligatures w14:val="standardContextual"/>
        </w:rPr>
      </w:pPr>
      <w:hyperlink w:anchor="_Toc160095453" w:history="1">
        <w:r w:rsidRPr="0080351C">
          <w:rPr>
            <w:rStyle w:val="Hyperlink"/>
            <w:noProof/>
          </w:rPr>
          <w:t>3. Methods to Maximize Response Rates</w:t>
        </w:r>
        <w:r>
          <w:rPr>
            <w:noProof/>
            <w:webHidden/>
          </w:rPr>
          <w:tab/>
        </w:r>
        <w:r>
          <w:rPr>
            <w:noProof/>
            <w:webHidden/>
          </w:rPr>
          <w:fldChar w:fldCharType="begin"/>
        </w:r>
        <w:r>
          <w:rPr>
            <w:noProof/>
            <w:webHidden/>
          </w:rPr>
          <w:instrText xml:space="preserve"> PAGEREF _Toc160095453 \h </w:instrText>
        </w:r>
        <w:r>
          <w:rPr>
            <w:noProof/>
            <w:webHidden/>
          </w:rPr>
          <w:fldChar w:fldCharType="separate"/>
        </w:r>
        <w:r>
          <w:rPr>
            <w:noProof/>
            <w:webHidden/>
          </w:rPr>
          <w:t>9</w:t>
        </w:r>
        <w:r>
          <w:rPr>
            <w:noProof/>
            <w:webHidden/>
          </w:rPr>
          <w:fldChar w:fldCharType="end"/>
        </w:r>
      </w:hyperlink>
    </w:p>
    <w:p w:rsidR="005C7CD4" w14:paraId="29D2CBED" w14:textId="0415C67D">
      <w:pPr>
        <w:pStyle w:val="TOC2"/>
        <w:rPr>
          <w:rFonts w:asciiTheme="minorHAnsi" w:eastAsiaTheme="minorEastAsia" w:hAnsiTheme="minorHAnsi" w:cstheme="minorBidi"/>
          <w:noProof/>
          <w:kern w:val="2"/>
          <w:sz w:val="22"/>
          <w:szCs w:val="22"/>
          <w14:ligatures w14:val="standardContextual"/>
        </w:rPr>
      </w:pPr>
      <w:hyperlink w:anchor="_Toc160095454" w:history="1">
        <w:r w:rsidRPr="0080351C">
          <w:rPr>
            <w:rStyle w:val="Hyperlink"/>
            <w:noProof/>
          </w:rPr>
          <w:t>4. Tests of Procedures</w:t>
        </w:r>
        <w:r>
          <w:rPr>
            <w:noProof/>
            <w:webHidden/>
          </w:rPr>
          <w:tab/>
        </w:r>
        <w:r>
          <w:rPr>
            <w:noProof/>
            <w:webHidden/>
          </w:rPr>
          <w:fldChar w:fldCharType="begin"/>
        </w:r>
        <w:r>
          <w:rPr>
            <w:noProof/>
            <w:webHidden/>
          </w:rPr>
          <w:instrText xml:space="preserve"> PAGEREF _Toc160095454 \h </w:instrText>
        </w:r>
        <w:r>
          <w:rPr>
            <w:noProof/>
            <w:webHidden/>
          </w:rPr>
          <w:fldChar w:fldCharType="separate"/>
        </w:r>
        <w:r>
          <w:rPr>
            <w:noProof/>
            <w:webHidden/>
          </w:rPr>
          <w:t>10</w:t>
        </w:r>
        <w:r>
          <w:rPr>
            <w:noProof/>
            <w:webHidden/>
          </w:rPr>
          <w:fldChar w:fldCharType="end"/>
        </w:r>
      </w:hyperlink>
    </w:p>
    <w:p w:rsidR="005C7CD4" w14:paraId="16E60483" w14:textId="5F9FAA8E">
      <w:pPr>
        <w:pStyle w:val="TOC2"/>
        <w:rPr>
          <w:rFonts w:asciiTheme="minorHAnsi" w:eastAsiaTheme="minorEastAsia" w:hAnsiTheme="minorHAnsi" w:cstheme="minorBidi"/>
          <w:noProof/>
          <w:kern w:val="2"/>
          <w:sz w:val="22"/>
          <w:szCs w:val="22"/>
          <w14:ligatures w14:val="standardContextual"/>
        </w:rPr>
      </w:pPr>
      <w:hyperlink w:anchor="_Toc160095455" w:history="1">
        <w:r w:rsidRPr="0080351C">
          <w:rPr>
            <w:rStyle w:val="Hyperlink"/>
            <w:noProof/>
          </w:rPr>
          <w:t>5. Statistical Consultants</w:t>
        </w:r>
        <w:r>
          <w:rPr>
            <w:noProof/>
            <w:webHidden/>
          </w:rPr>
          <w:tab/>
        </w:r>
        <w:r>
          <w:rPr>
            <w:noProof/>
            <w:webHidden/>
          </w:rPr>
          <w:fldChar w:fldCharType="begin"/>
        </w:r>
        <w:r>
          <w:rPr>
            <w:noProof/>
            <w:webHidden/>
          </w:rPr>
          <w:instrText xml:space="preserve"> PAGEREF _Toc160095455 \h </w:instrText>
        </w:r>
        <w:r>
          <w:rPr>
            <w:noProof/>
            <w:webHidden/>
          </w:rPr>
          <w:fldChar w:fldCharType="separate"/>
        </w:r>
        <w:r>
          <w:rPr>
            <w:noProof/>
            <w:webHidden/>
          </w:rPr>
          <w:t>10</w:t>
        </w:r>
        <w:r>
          <w:rPr>
            <w:noProof/>
            <w:webHidden/>
          </w:rPr>
          <w:fldChar w:fldCharType="end"/>
        </w:r>
      </w:hyperlink>
    </w:p>
    <w:p w:rsidR="000C21A5" w:rsidRPr="009A23E6" w:rsidP="000C21A5" w14:paraId="180BF4E5" w14:textId="1147DF06">
      <w:r w:rsidRPr="009A23E6">
        <w:rPr>
          <w:b/>
          <w:color w:val="2B579A"/>
          <w:shd w:val="clear" w:color="auto" w:fill="E6E6E6"/>
        </w:rPr>
        <w:fldChar w:fldCharType="end"/>
      </w:r>
    </w:p>
    <w:p w:rsidR="000C21A5" w:rsidRPr="009A23E6" w:rsidP="000C21A5" w14:paraId="1DBEA260" w14:textId="77777777"/>
    <w:p w:rsidR="000C21A5" w:rsidRPr="009A23E6" w:rsidP="000C21A5" w14:paraId="356804A8" w14:textId="77777777"/>
    <w:p w:rsidR="000C21A5" w:rsidRPr="009A23E6" w:rsidP="000C21A5" w14:paraId="72877B51" w14:textId="77777777"/>
    <w:p w:rsidR="000C21A5" w:rsidRPr="009A23E6" w:rsidP="000C21A5" w14:paraId="5292CDE8" w14:textId="77777777"/>
    <w:p w:rsidR="000C21A5" w:rsidRPr="009A23E6" w:rsidP="000C21A5" w14:paraId="64F2244E" w14:textId="77777777"/>
    <w:p w:rsidR="000C21A5" w:rsidRPr="009A23E6" w:rsidP="000C21A5" w14:paraId="3867BB2C" w14:textId="77777777"/>
    <w:p w:rsidR="000C21A5" w:rsidRPr="009A23E6" w:rsidP="000C21A5" w14:paraId="7E8463F8" w14:textId="77777777"/>
    <w:p w:rsidR="000C21A5" w:rsidRPr="009A23E6" w:rsidP="000C21A5" w14:paraId="37FC0AE5" w14:textId="77777777"/>
    <w:p w:rsidR="000C21A5" w:rsidRPr="009A23E6" w:rsidP="000C21A5" w14:paraId="5B3AB8F3" w14:textId="77777777"/>
    <w:p w:rsidR="000C21A5" w:rsidRPr="009A23E6" w:rsidP="000C21A5" w14:paraId="76D6203C" w14:textId="77777777"/>
    <w:p w:rsidR="000C21A5" w:rsidRPr="009A23E6" w:rsidP="000C21A5" w14:paraId="0F9F9576" w14:textId="77777777"/>
    <w:p w:rsidR="000C21A5" w:rsidRPr="009A23E6" w:rsidP="000C21A5" w14:paraId="7835867D" w14:textId="77777777"/>
    <w:p w:rsidR="000C21A5" w:rsidRPr="009A23E6" w:rsidP="000C21A5" w14:paraId="38755336" w14:textId="77777777"/>
    <w:p w:rsidR="000C21A5" w:rsidRPr="009A23E6" w:rsidP="000C21A5" w14:paraId="08060461" w14:textId="77777777"/>
    <w:p w:rsidR="000C21A5" w:rsidRPr="009A23E6" w:rsidP="000C21A5" w14:paraId="69E2B4D5" w14:textId="77777777"/>
    <w:p w:rsidR="000C21A5" w:rsidRPr="009A23E6" w:rsidP="000C21A5" w14:paraId="3940470A" w14:textId="77777777"/>
    <w:p w:rsidR="000C21A5" w:rsidRPr="009A23E6" w:rsidP="000C21A5" w14:paraId="71F2278B" w14:textId="77777777"/>
    <w:p w:rsidR="000C21A5" w:rsidRPr="009A23E6" w:rsidP="000C21A5" w14:paraId="71E3E253" w14:textId="77777777"/>
    <w:p w:rsidR="000C21A5" w:rsidRPr="009A23E6" w:rsidP="000C21A5" w14:paraId="4E6E7A78" w14:textId="77777777"/>
    <w:p w:rsidR="000C21A5" w:rsidRPr="009A23E6" w:rsidP="000C21A5" w14:paraId="7F5D3238" w14:textId="77777777"/>
    <w:p w:rsidR="000C21A5" w:rsidRPr="009A23E6" w:rsidP="000C21A5" w14:paraId="355C8C60" w14:textId="77777777"/>
    <w:p w:rsidR="000C21A5" w:rsidRPr="009A23E6" w:rsidP="000C21A5" w14:paraId="3A82066F" w14:textId="77777777"/>
    <w:p w:rsidR="000C21A5" w:rsidRPr="009A23E6" w:rsidP="000C21A5" w14:paraId="293D95B6" w14:textId="77777777"/>
    <w:p w:rsidR="000C21A5" w:rsidRPr="009A23E6" w:rsidP="000C21A5" w14:paraId="3AA5223C" w14:textId="77777777"/>
    <w:p w:rsidR="000C21A5" w:rsidRPr="009A23E6" w:rsidP="000C21A5" w14:paraId="6C1F3DB2" w14:textId="77777777"/>
    <w:p w:rsidR="000C21A5" w:rsidRPr="009A23E6" w:rsidP="000C21A5" w14:paraId="058ED712" w14:textId="77777777"/>
    <w:p w:rsidR="000C21A5" w:rsidRPr="009A23E6" w:rsidP="000C21A5" w14:paraId="53DD7553" w14:textId="77777777"/>
    <w:p w:rsidR="000C21A5" w:rsidRPr="009A23E6" w:rsidP="000C21A5" w14:paraId="71EADC4C" w14:textId="77777777"/>
    <w:p w:rsidR="000C21A5" w:rsidRPr="009A23E6" w:rsidP="000C21A5" w14:paraId="5A124612" w14:textId="77777777"/>
    <w:p w:rsidR="000C21A5" w:rsidRPr="009A23E6" w:rsidP="000C21A5" w14:paraId="0A170120" w14:textId="77777777"/>
    <w:p w:rsidR="000C21A5" w:rsidRPr="009A23E6" w:rsidP="000C21A5" w14:paraId="2F92E146" w14:textId="77777777"/>
    <w:p w:rsidR="000C21A5" w:rsidRPr="009A23E6" w:rsidP="000C21A5" w14:paraId="30D8FA32" w14:textId="77777777"/>
    <w:p w:rsidR="000C21A5" w:rsidRPr="009A23E6" w:rsidP="000C21A5" w14:paraId="0F0319BF" w14:textId="77777777">
      <w:pPr>
        <w:pStyle w:val="Heading1"/>
        <w:rPr>
          <w:rFonts w:ascii="Times New Roman" w:hAnsi="Times New Roman" w:cs="Times New Roman"/>
          <w:sz w:val="24"/>
          <w:szCs w:val="24"/>
        </w:rPr>
        <w:sectPr w:rsidSect="00334992">
          <w:headerReference w:type="default" r:id="rId8"/>
          <w:footerReference w:type="even" r:id="rId9"/>
          <w:footerReference w:type="default" r:id="rId10"/>
          <w:pgSz w:w="12240" w:h="15840"/>
          <w:pgMar w:top="1440" w:right="1800" w:bottom="1440" w:left="1800" w:header="720" w:footer="720" w:gutter="0"/>
          <w:pgNumType w:start="1"/>
          <w:cols w:space="720"/>
          <w:titlePg/>
          <w:docGrid w:linePitch="360"/>
        </w:sectPr>
      </w:pPr>
    </w:p>
    <w:p w:rsidR="000C21A5" w:rsidRPr="009A23E6" w:rsidP="000C21A5" w14:paraId="04FF761A" w14:textId="6D81AF14">
      <w:pPr>
        <w:pStyle w:val="Heading1"/>
        <w:rPr>
          <w:rFonts w:ascii="Times New Roman" w:hAnsi="Times New Roman" w:cs="Times New Roman"/>
          <w:sz w:val="24"/>
          <w:szCs w:val="24"/>
        </w:rPr>
      </w:pPr>
      <w:bookmarkStart w:id="2" w:name="_Toc160095450"/>
      <w:r w:rsidRPr="009A23E6">
        <w:rPr>
          <w:rFonts w:ascii="Times New Roman" w:hAnsi="Times New Roman" w:cs="Times New Roman"/>
          <w:sz w:val="24"/>
          <w:szCs w:val="24"/>
        </w:rPr>
        <w:t>B. Collections of Information Employing Statistical Methods</w:t>
      </w:r>
      <w:bookmarkEnd w:id="0"/>
      <w:bookmarkEnd w:id="1"/>
      <w:bookmarkEnd w:id="2"/>
    </w:p>
    <w:p w:rsidR="000C21A5" w:rsidP="000C21A5" w14:paraId="57628262" w14:textId="7A4F0F3E">
      <w:pPr>
        <w:spacing w:before="240"/>
      </w:pPr>
      <w:r w:rsidRPr="009A23E6">
        <w:t xml:space="preserve">The data collection planned under this </w:t>
      </w:r>
      <w:r w:rsidRPr="009A23E6" w:rsidR="007C730E">
        <w:t>pr</w:t>
      </w:r>
      <w:r w:rsidR="007C730E">
        <w:t>ogram</w:t>
      </w:r>
      <w:r w:rsidRPr="009A23E6" w:rsidR="007C730E">
        <w:t xml:space="preserve"> </w:t>
      </w:r>
      <w:r w:rsidRPr="009A23E6">
        <w:t xml:space="preserve">is part of a comprehensive evaluation strategy to assess the adoption of the </w:t>
      </w:r>
      <w:r w:rsidR="00D73322">
        <w:t>AHRQ Safety Program</w:t>
      </w:r>
      <w:r w:rsidRPr="009A23E6">
        <w:t xml:space="preserve"> for </w:t>
      </w:r>
      <w:r w:rsidRPr="009A23E6" w:rsidR="00AE1D9B">
        <w:t>T</w:t>
      </w:r>
      <w:r w:rsidRPr="009A23E6" w:rsidR="00C2396F">
        <w:t>elemedicine</w:t>
      </w:r>
      <w:r w:rsidRPr="009A23E6" w:rsidR="00AE1D9B">
        <w:t xml:space="preserve"> </w:t>
      </w:r>
      <w:r w:rsidR="00D73322">
        <w:t>(“Safety Program”</w:t>
      </w:r>
      <w:r w:rsidR="00D921D7">
        <w:t>).</w:t>
      </w:r>
      <w:r w:rsidR="007C09D7">
        <w:t xml:space="preserve"> </w:t>
      </w:r>
      <w:r w:rsidRPr="005930BC" w:rsidR="00D921D7">
        <w:t>Specifically,</w:t>
      </w:r>
      <w:r w:rsidRPr="005930BC" w:rsidR="007C09D7">
        <w:t xml:space="preserve"> data collection will be used to assess improvements in</w:t>
      </w:r>
      <w:r w:rsidRPr="005930BC" w:rsidR="00C2396F">
        <w:t xml:space="preserve"> </w:t>
      </w:r>
      <w:r w:rsidRPr="005930BC" w:rsidR="00495DB9">
        <w:t xml:space="preserve">antibiotic </w:t>
      </w:r>
      <w:r w:rsidRPr="005930BC" w:rsidR="00D73322">
        <w:t>prescribing</w:t>
      </w:r>
      <w:r w:rsidRPr="005930BC">
        <w:t xml:space="preserve"> </w:t>
      </w:r>
      <w:r w:rsidRPr="005930BC" w:rsidR="00D921D7">
        <w:t>among</w:t>
      </w:r>
      <w:r w:rsidRPr="005930BC">
        <w:t xml:space="preserve"> </w:t>
      </w:r>
      <w:r w:rsidRPr="005930BC" w:rsidR="00AE1D9B">
        <w:t>practices that provide telemedicine</w:t>
      </w:r>
      <w:r w:rsidRPr="005930BC">
        <w:t xml:space="preserve">; measure the effectiveness of the </w:t>
      </w:r>
      <w:r w:rsidRPr="005930BC" w:rsidR="00D73322">
        <w:t>Safety Program among</w:t>
      </w:r>
      <w:r w:rsidRPr="005930BC">
        <w:t xml:space="preserve"> participating </w:t>
      </w:r>
      <w:r w:rsidRPr="005930BC" w:rsidR="00AE1D9B">
        <w:t>practices</w:t>
      </w:r>
      <w:r w:rsidRPr="005930BC">
        <w:t>; and evaluate the characteristics of teams that are associated with successful implementation and improvements in outcomes.</w:t>
      </w:r>
      <w:r w:rsidRPr="009A23E6">
        <w:t xml:space="preserve"> A key component of the </w:t>
      </w:r>
      <w:r w:rsidR="00D73322">
        <w:rPr>
          <w:iCs/>
        </w:rPr>
        <w:t>Safety Program</w:t>
      </w:r>
      <w:r w:rsidRPr="009A23E6">
        <w:t xml:space="preserve"> is the recruitment of </w:t>
      </w:r>
      <w:r w:rsidRPr="009A23E6" w:rsidR="00BE4D37">
        <w:t xml:space="preserve">clinics </w:t>
      </w:r>
      <w:r w:rsidR="007C730E">
        <w:t>that</w:t>
      </w:r>
      <w:r w:rsidRPr="009A23E6" w:rsidR="00BE4D37">
        <w:t xml:space="preserve"> utilize telemedicine </w:t>
      </w:r>
      <w:r w:rsidRPr="009A23E6" w:rsidR="00B6026C">
        <w:t xml:space="preserve">in their practices </w:t>
      </w:r>
      <w:r w:rsidRPr="009A23E6">
        <w:t xml:space="preserve">that will be supportive of and likely to spread the </w:t>
      </w:r>
      <w:r w:rsidRPr="00C55D24" w:rsidR="00D73322">
        <w:t xml:space="preserve">Safety Program </w:t>
      </w:r>
      <w:r w:rsidRPr="009A23E6">
        <w:t xml:space="preserve">model. </w:t>
      </w:r>
    </w:p>
    <w:p w:rsidR="000B0A71" w:rsidRPr="009A23E6" w:rsidP="000C21A5" w14:paraId="728F781C" w14:textId="045B7BCB">
      <w:pPr>
        <w:spacing w:before="240"/>
      </w:pPr>
      <w:r w:rsidRPr="005930BC">
        <w:t xml:space="preserve">This revision to the currently approved OMB clearance </w:t>
      </w:r>
      <w:r w:rsidRPr="005930BC" w:rsidR="003A21FE">
        <w:t xml:space="preserve">materials includes </w:t>
      </w:r>
      <w:r w:rsidRPr="005930BC">
        <w:t>updates</w:t>
      </w:r>
      <w:r w:rsidRPr="005930BC" w:rsidR="003A21FE">
        <w:t xml:space="preserve"> to</w:t>
      </w:r>
      <w:r w:rsidRPr="005930BC">
        <w:t xml:space="preserve"> the </w:t>
      </w:r>
      <w:bookmarkStart w:id="3" w:name="OLE_LINK6"/>
      <w:r w:rsidRPr="005930BC" w:rsidR="00D61F0A">
        <w:t xml:space="preserve">improving </w:t>
      </w:r>
      <w:r w:rsidRPr="005930BC" w:rsidR="003A21FE">
        <w:t xml:space="preserve">antibiotic </w:t>
      </w:r>
      <w:r w:rsidRPr="005930BC" w:rsidR="00D61F0A">
        <w:t>use</w:t>
      </w:r>
      <w:r w:rsidRPr="005930BC" w:rsidR="003A21FE">
        <w:t xml:space="preserve"> </w:t>
      </w:r>
      <w:bookmarkEnd w:id="3"/>
      <w:r w:rsidRPr="005930BC" w:rsidR="003A21FE">
        <w:t xml:space="preserve">cohort </w:t>
      </w:r>
      <w:r w:rsidRPr="005930BC">
        <w:t xml:space="preserve">data collection forms, </w:t>
      </w:r>
      <w:r w:rsidRPr="005930BC" w:rsidR="003F021B">
        <w:t>as informed by</w:t>
      </w:r>
      <w:r w:rsidRPr="005930BC">
        <w:t xml:space="preserve"> </w:t>
      </w:r>
      <w:r w:rsidRPr="005930BC" w:rsidR="003A21FE">
        <w:t>pre-recruitment discussions with our</w:t>
      </w:r>
      <w:r w:rsidRPr="005930BC">
        <w:t xml:space="preserve"> Technical Expert Panel</w:t>
      </w:r>
      <w:r w:rsidRPr="005930BC" w:rsidR="003A21FE">
        <w:t xml:space="preserve"> (TEP)</w:t>
      </w:r>
      <w:r w:rsidRPr="005930BC">
        <w:t xml:space="preserve"> and </w:t>
      </w:r>
      <w:r w:rsidRPr="005930BC" w:rsidR="003A21FE">
        <w:t>potential participants</w:t>
      </w:r>
      <w:r w:rsidRPr="005930BC">
        <w:t xml:space="preserve">. The </w:t>
      </w:r>
      <w:r w:rsidRPr="005930BC" w:rsidR="00ED3064">
        <w:t>improving antibiotic use</w:t>
      </w:r>
      <w:r w:rsidRPr="005930BC" w:rsidR="003A21FE">
        <w:t xml:space="preserve"> </w:t>
      </w:r>
      <w:r w:rsidRPr="005930BC">
        <w:t>cohort will take place June 2024 – December 2025.</w:t>
      </w:r>
      <w:r w:rsidRPr="005930BC" w:rsidR="0014681D">
        <w:t xml:space="preserve"> This revision also removes references to the diagnostic process cohort, as the cohort was cancelled prior to its initiation.</w:t>
      </w:r>
    </w:p>
    <w:p w:rsidR="000C21A5" w:rsidRPr="009A23E6" w:rsidP="009C4A9E" w14:paraId="7930D99E" w14:textId="2B2AA409">
      <w:pPr>
        <w:pStyle w:val="Heading2"/>
        <w:rPr>
          <w:rFonts w:ascii="Times New Roman" w:hAnsi="Times New Roman" w:cs="Times New Roman"/>
          <w:sz w:val="24"/>
          <w:szCs w:val="24"/>
        </w:rPr>
      </w:pPr>
      <w:bookmarkStart w:id="4" w:name="_Toc151782199"/>
      <w:bookmarkStart w:id="5" w:name="_Toc158526235"/>
      <w:bookmarkStart w:id="6" w:name="_Toc160095451"/>
      <w:r w:rsidRPr="009C4A9E">
        <w:rPr>
          <w:rFonts w:ascii="Times New Roman" w:hAnsi="Times New Roman" w:cs="Times New Roman"/>
          <w:sz w:val="24"/>
          <w:szCs w:val="24"/>
        </w:rPr>
        <w:t>1.</w:t>
      </w:r>
      <w:r>
        <w:rPr>
          <w:rFonts w:ascii="Times New Roman" w:hAnsi="Times New Roman" w:cs="Times New Roman"/>
          <w:sz w:val="24"/>
          <w:szCs w:val="24"/>
        </w:rPr>
        <w:t xml:space="preserve"> </w:t>
      </w:r>
      <w:r w:rsidRPr="009A23E6">
        <w:rPr>
          <w:rFonts w:ascii="Times New Roman" w:hAnsi="Times New Roman" w:cs="Times New Roman"/>
          <w:sz w:val="24"/>
          <w:szCs w:val="24"/>
        </w:rPr>
        <w:t>Respondent Universe and Sampling Methods</w:t>
      </w:r>
      <w:bookmarkEnd w:id="4"/>
      <w:bookmarkEnd w:id="5"/>
      <w:bookmarkEnd w:id="6"/>
    </w:p>
    <w:p w:rsidR="000C21A5" w:rsidRPr="009A23E6" w:rsidP="000C21A5" w14:paraId="62197171" w14:textId="7FD9E0B9">
      <w:r w:rsidRPr="00FF0648">
        <w:t xml:space="preserve">This </w:t>
      </w:r>
      <w:r w:rsidRPr="00FF0648" w:rsidR="002C6168">
        <w:t xml:space="preserve">revised </w:t>
      </w:r>
      <w:r w:rsidRPr="00FF0648">
        <w:t xml:space="preserve">data collection request covers </w:t>
      </w:r>
      <w:r w:rsidRPr="00FF0648" w:rsidR="00B87814">
        <w:t>planned</w:t>
      </w:r>
      <w:r w:rsidRPr="00FF0648">
        <w:t xml:space="preserve"> activities</w:t>
      </w:r>
      <w:r w:rsidRPr="00FF0648" w:rsidR="00847E83">
        <w:t xml:space="preserve"> </w:t>
      </w:r>
      <w:r w:rsidRPr="00FF0648" w:rsidR="00BE4D37">
        <w:t xml:space="preserve">that will occur </w:t>
      </w:r>
      <w:r w:rsidRPr="00FF0648" w:rsidR="00B87814">
        <w:t>over the course of 18 months.</w:t>
      </w:r>
      <w:r w:rsidR="00B87814">
        <w:t xml:space="preserve"> </w:t>
      </w:r>
      <w:r w:rsidRPr="009A23E6" w:rsidR="00BE4D37">
        <w:t xml:space="preserve"> </w:t>
      </w:r>
    </w:p>
    <w:p w:rsidR="000C21A5" w:rsidRPr="009A23E6" w:rsidP="000C21A5" w14:paraId="0521DD63" w14:textId="77777777"/>
    <w:p w:rsidR="000C21A5" w:rsidRPr="009A23E6" w:rsidP="000C21A5" w14:paraId="7F36D090" w14:textId="77777777">
      <w:pPr>
        <w:rPr>
          <w:b/>
          <w:i/>
        </w:rPr>
      </w:pPr>
      <w:r w:rsidRPr="009A23E6">
        <w:rPr>
          <w:b/>
          <w:i/>
        </w:rPr>
        <w:t>Recruitment Methods:</w:t>
      </w:r>
    </w:p>
    <w:p w:rsidR="00C71EF0" w:rsidRPr="00FF0648" w:rsidP="007429E0" w14:paraId="6FB88B40" w14:textId="565EC22F">
      <w:pPr>
        <w:pStyle w:val="Normal15Spaced"/>
        <w:spacing w:line="240" w:lineRule="auto"/>
        <w:ind w:firstLine="0"/>
        <w:rPr>
          <w:rFonts w:ascii="Times New Roman" w:hAnsi="Times New Roman"/>
          <w:sz w:val="24"/>
          <w:szCs w:val="24"/>
        </w:rPr>
      </w:pPr>
      <w:r w:rsidRPr="00FF0648">
        <w:rPr>
          <w:rFonts w:ascii="Times New Roman" w:hAnsi="Times New Roman"/>
          <w:sz w:val="24"/>
          <w:szCs w:val="24"/>
        </w:rPr>
        <w:t xml:space="preserve">Recruitment </w:t>
      </w:r>
      <w:r w:rsidRPr="00FF0648" w:rsidR="00EE635B">
        <w:rPr>
          <w:rFonts w:ascii="Times New Roman" w:hAnsi="Times New Roman"/>
          <w:sz w:val="24"/>
          <w:szCs w:val="24"/>
        </w:rPr>
        <w:t>will include identifying telemedicine</w:t>
      </w:r>
      <w:r w:rsidRPr="00FF0648" w:rsidR="002C6168">
        <w:rPr>
          <w:rFonts w:ascii="Times New Roman" w:hAnsi="Times New Roman"/>
          <w:sz w:val="24"/>
          <w:szCs w:val="24"/>
        </w:rPr>
        <w:t>-</w:t>
      </w:r>
      <w:r w:rsidRPr="00FF0648" w:rsidR="00D61F0A">
        <w:rPr>
          <w:rFonts w:ascii="Times New Roman" w:hAnsi="Times New Roman"/>
          <w:sz w:val="24"/>
          <w:szCs w:val="24"/>
        </w:rPr>
        <w:t>only</w:t>
      </w:r>
      <w:r w:rsidRPr="00FF0648" w:rsidR="00EE635B">
        <w:rPr>
          <w:rFonts w:ascii="Times New Roman" w:hAnsi="Times New Roman"/>
          <w:sz w:val="24"/>
          <w:szCs w:val="24"/>
        </w:rPr>
        <w:t xml:space="preserve"> practices as well as </w:t>
      </w:r>
      <w:r w:rsidRPr="00FF0648">
        <w:rPr>
          <w:rFonts w:ascii="Times New Roman" w:hAnsi="Times New Roman"/>
          <w:sz w:val="24"/>
          <w:szCs w:val="24"/>
        </w:rPr>
        <w:t>brick-and-mortar</w:t>
      </w:r>
      <w:r w:rsidRPr="00FF0648" w:rsidR="00EE635B">
        <w:rPr>
          <w:rFonts w:ascii="Times New Roman" w:hAnsi="Times New Roman"/>
          <w:sz w:val="24"/>
          <w:szCs w:val="24"/>
        </w:rPr>
        <w:t xml:space="preserve"> practices that provide telemedicine. </w:t>
      </w:r>
    </w:p>
    <w:p w:rsidR="00C71EF0" w:rsidRPr="00FF0648" w:rsidP="007429E0" w14:paraId="464B9FB9" w14:textId="5E3B6208">
      <w:pPr>
        <w:pStyle w:val="Normal15Spaced"/>
        <w:spacing w:line="240" w:lineRule="auto"/>
        <w:ind w:firstLine="0"/>
        <w:rPr>
          <w:rFonts w:ascii="Times New Roman" w:hAnsi="Times New Roman"/>
          <w:sz w:val="24"/>
          <w:szCs w:val="24"/>
        </w:rPr>
      </w:pPr>
    </w:p>
    <w:p w:rsidR="00EE635B" w:rsidRPr="009A23E6" w:rsidP="00C71EF0" w14:paraId="58E7303A" w14:textId="59F451EE">
      <w:pPr>
        <w:pStyle w:val="Normal15Spaced"/>
        <w:spacing w:line="240" w:lineRule="auto"/>
        <w:ind w:firstLine="0"/>
        <w:rPr>
          <w:rFonts w:ascii="Times New Roman" w:hAnsi="Times New Roman"/>
          <w:sz w:val="24"/>
          <w:szCs w:val="24"/>
        </w:rPr>
      </w:pPr>
      <w:r w:rsidRPr="00FF0648">
        <w:rPr>
          <w:rFonts w:ascii="Times New Roman" w:eastAsia="Calibri" w:hAnsi="Times New Roman"/>
          <w:b/>
          <w:bCs/>
          <w:i/>
          <w:iCs/>
          <w:sz w:val="24"/>
          <w:szCs w:val="24"/>
        </w:rPr>
        <w:t xml:space="preserve">Targets. </w:t>
      </w:r>
      <w:r w:rsidRPr="00FF0648">
        <w:rPr>
          <w:rFonts w:ascii="Times New Roman" w:eastAsia="Calibri" w:hAnsi="Times New Roman"/>
          <w:sz w:val="24"/>
          <w:szCs w:val="24"/>
        </w:rPr>
        <w:t>T</w:t>
      </w:r>
      <w:r w:rsidRPr="00FF0648">
        <w:rPr>
          <w:rFonts w:ascii="Times New Roman" w:hAnsi="Times New Roman"/>
          <w:sz w:val="24"/>
          <w:szCs w:val="24"/>
        </w:rPr>
        <w:t xml:space="preserve">he </w:t>
      </w:r>
      <w:r w:rsidRPr="00FF0648" w:rsidR="007C730E">
        <w:rPr>
          <w:rFonts w:ascii="Times New Roman" w:hAnsi="Times New Roman"/>
          <w:sz w:val="24"/>
          <w:szCs w:val="24"/>
        </w:rPr>
        <w:t xml:space="preserve">program </w:t>
      </w:r>
      <w:r w:rsidRPr="00FF0648">
        <w:rPr>
          <w:rFonts w:ascii="Times New Roman" w:hAnsi="Times New Roman"/>
          <w:sz w:val="24"/>
          <w:szCs w:val="24"/>
        </w:rPr>
        <w:t>will recruit</w:t>
      </w:r>
      <w:r w:rsidRPr="00FF0648">
        <w:rPr>
          <w:rFonts w:ascii="Times New Roman" w:hAnsi="Times New Roman"/>
          <w:sz w:val="24"/>
          <w:szCs w:val="24"/>
        </w:rPr>
        <w:t xml:space="preserve"> 300 to 500 practices </w:t>
      </w:r>
      <w:r w:rsidRPr="00FF0648">
        <w:rPr>
          <w:rFonts w:ascii="Times New Roman" w:hAnsi="Times New Roman"/>
          <w:sz w:val="24"/>
          <w:szCs w:val="24"/>
        </w:rPr>
        <w:t>that provide telemedicin</w:t>
      </w:r>
      <w:r w:rsidRPr="00FF0648">
        <w:rPr>
          <w:rFonts w:ascii="Times New Roman" w:hAnsi="Times New Roman"/>
          <w:sz w:val="24"/>
          <w:szCs w:val="24"/>
        </w:rPr>
        <w:t>e</w:t>
      </w:r>
      <w:r w:rsidRPr="00FF0648" w:rsidR="00575C20">
        <w:rPr>
          <w:rFonts w:ascii="Times New Roman" w:hAnsi="Times New Roman"/>
          <w:sz w:val="24"/>
          <w:szCs w:val="24"/>
        </w:rPr>
        <w:t xml:space="preserve"> to include </w:t>
      </w:r>
      <w:r w:rsidRPr="00FF0648" w:rsidR="008D4EAA">
        <w:rPr>
          <w:rFonts w:ascii="Times New Roman" w:hAnsi="Times New Roman"/>
          <w:sz w:val="24"/>
          <w:szCs w:val="24"/>
        </w:rPr>
        <w:t>practices</w:t>
      </w:r>
      <w:r w:rsidRPr="00FF0648">
        <w:rPr>
          <w:rFonts w:ascii="Times New Roman" w:hAnsi="Times New Roman"/>
          <w:sz w:val="24"/>
          <w:szCs w:val="24"/>
        </w:rPr>
        <w:t xml:space="preserve"> from across</w:t>
      </w:r>
      <w:r w:rsidRPr="00FF0648" w:rsidR="002A6A7E">
        <w:rPr>
          <w:rFonts w:ascii="Times New Roman" w:hAnsi="Times New Roman"/>
          <w:sz w:val="24"/>
          <w:szCs w:val="24"/>
        </w:rPr>
        <w:t xml:space="preserve"> the</w:t>
      </w:r>
      <w:r w:rsidRPr="00FF0648" w:rsidR="005F7F0A">
        <w:rPr>
          <w:rFonts w:ascii="Times New Roman" w:hAnsi="Times New Roman"/>
          <w:sz w:val="24"/>
          <w:szCs w:val="24"/>
        </w:rPr>
        <w:t xml:space="preserve"> </w:t>
      </w:r>
      <w:r w:rsidRPr="00FF0648">
        <w:rPr>
          <w:rFonts w:ascii="Times New Roman" w:hAnsi="Times New Roman"/>
          <w:sz w:val="24"/>
          <w:szCs w:val="24"/>
        </w:rPr>
        <w:t xml:space="preserve">10 </w:t>
      </w:r>
      <w:r w:rsidRPr="00FF0648" w:rsidR="007C730E">
        <w:rPr>
          <w:rFonts w:ascii="Times New Roman" w:hAnsi="Times New Roman"/>
          <w:sz w:val="24"/>
          <w:szCs w:val="24"/>
        </w:rPr>
        <w:t>Department of Health and Human Services (</w:t>
      </w:r>
      <w:r w:rsidRPr="00FF0648">
        <w:rPr>
          <w:rFonts w:ascii="Times New Roman" w:hAnsi="Times New Roman"/>
          <w:sz w:val="24"/>
          <w:szCs w:val="24"/>
        </w:rPr>
        <w:t>HHS</w:t>
      </w:r>
      <w:r w:rsidRPr="00FF0648" w:rsidR="007C730E">
        <w:rPr>
          <w:rFonts w:ascii="Times New Roman" w:hAnsi="Times New Roman"/>
          <w:sz w:val="24"/>
          <w:szCs w:val="24"/>
        </w:rPr>
        <w:t>)</w:t>
      </w:r>
      <w:r w:rsidRPr="00FF0648">
        <w:rPr>
          <w:rFonts w:ascii="Times New Roman" w:hAnsi="Times New Roman"/>
          <w:sz w:val="24"/>
          <w:szCs w:val="24"/>
        </w:rPr>
        <w:t xml:space="preserve"> Geographic Regions</w:t>
      </w:r>
      <w:r w:rsidRPr="00FF0648">
        <w:rPr>
          <w:rFonts w:ascii="Times New Roman" w:hAnsi="Times New Roman"/>
          <w:sz w:val="24"/>
          <w:szCs w:val="24"/>
        </w:rPr>
        <w:t>.</w:t>
      </w:r>
      <w:r w:rsidRPr="009A23E6">
        <w:rPr>
          <w:rFonts w:ascii="Times New Roman" w:hAnsi="Times New Roman"/>
          <w:sz w:val="24"/>
          <w:szCs w:val="24"/>
        </w:rPr>
        <w:t xml:space="preserve"> </w:t>
      </w:r>
    </w:p>
    <w:p w:rsidR="00EE635B" w:rsidRPr="009A23E6" w:rsidP="00C71EF0" w14:paraId="73AF6911" w14:textId="77777777">
      <w:pPr>
        <w:pStyle w:val="Normal15Spaced"/>
        <w:spacing w:line="240" w:lineRule="auto"/>
        <w:ind w:firstLine="0"/>
        <w:rPr>
          <w:rFonts w:ascii="Times New Roman" w:hAnsi="Times New Roman"/>
          <w:sz w:val="24"/>
          <w:szCs w:val="24"/>
        </w:rPr>
      </w:pPr>
    </w:p>
    <w:p w:rsidR="00284939" w:rsidRPr="009A23E6" w:rsidP="00575C20" w14:paraId="3680B46D" w14:textId="6838704F">
      <w:r w:rsidRPr="009A23E6">
        <w:rPr>
          <w:b/>
          <w:i/>
        </w:rPr>
        <w:t>Practice</w:t>
      </w:r>
      <w:r w:rsidRPr="009A23E6" w:rsidR="00EE635B">
        <w:rPr>
          <w:b/>
          <w:i/>
        </w:rPr>
        <w:t xml:space="preserve"> Characteristics. </w:t>
      </w:r>
      <w:r w:rsidRPr="009A23E6" w:rsidR="00EE635B">
        <w:t>To meet the recruitment targets</w:t>
      </w:r>
      <w:r w:rsidR="007C730E">
        <w:t>,</w:t>
      </w:r>
      <w:r w:rsidRPr="009A23E6" w:rsidR="00EE635B">
        <w:t xml:space="preserve"> the pro</w:t>
      </w:r>
      <w:r w:rsidR="00AF278F">
        <w:t>gram</w:t>
      </w:r>
      <w:r w:rsidRPr="009A23E6" w:rsidR="00EE635B">
        <w:t xml:space="preserve"> will cast a wide net and ensure that eligibility criteria garner broader participation rather than unnecessarily </w:t>
      </w:r>
      <w:r w:rsidRPr="00ED3064" w:rsidR="00EE635B">
        <w:t xml:space="preserve">excluding potential </w:t>
      </w:r>
      <w:r w:rsidRPr="00ED3064">
        <w:t>practices</w:t>
      </w:r>
      <w:r w:rsidRPr="00ED3064" w:rsidR="00EE635B">
        <w:t xml:space="preserve">. In addition to ensuring coverage of all 10 HHS regions, the </w:t>
      </w:r>
      <w:r w:rsidRPr="00ED3064" w:rsidR="0018583E">
        <w:t xml:space="preserve">program </w:t>
      </w:r>
      <w:r w:rsidRPr="00ED3064" w:rsidR="00EE635B">
        <w:t xml:space="preserve">will seek to ensure diversity of recruited </w:t>
      </w:r>
      <w:r w:rsidRPr="00ED3064">
        <w:t>practices</w:t>
      </w:r>
      <w:r w:rsidRPr="00ED3064" w:rsidR="00EE635B">
        <w:t xml:space="preserve">. </w:t>
      </w:r>
      <w:r w:rsidRPr="00ED3064">
        <w:t xml:space="preserve">The </w:t>
      </w:r>
      <w:r w:rsidRPr="00ED3064" w:rsidR="00ED3064">
        <w:t xml:space="preserve">improving antibiotic use </w:t>
      </w:r>
      <w:r w:rsidRPr="00ED3064" w:rsidR="00AF278F">
        <w:t>c</w:t>
      </w:r>
      <w:r w:rsidRPr="00ED3064">
        <w:t xml:space="preserve">ohort will include </w:t>
      </w:r>
      <w:r w:rsidRPr="00ED3064" w:rsidR="00C865AE">
        <w:t xml:space="preserve">clinic-associated primary and urgent care practices as well as </w:t>
      </w:r>
      <w:r w:rsidRPr="009A23E6" w:rsidR="00C865AE">
        <w:t>telemedicine</w:t>
      </w:r>
      <w:r w:rsidR="002C6168">
        <w:t>-only</w:t>
      </w:r>
      <w:r w:rsidRPr="009A23E6" w:rsidR="00C865AE">
        <w:t xml:space="preserve"> practices</w:t>
      </w:r>
      <w:r w:rsidR="002C6168">
        <w:t xml:space="preserve"> and organizations</w:t>
      </w:r>
      <w:r w:rsidRPr="009A23E6" w:rsidR="00C865AE">
        <w:t xml:space="preserve">. </w:t>
      </w:r>
      <w:r w:rsidRPr="009A23E6" w:rsidR="006644AE">
        <w:t>We will recruit practices that are both urban and rural</w:t>
      </w:r>
      <w:r w:rsidR="002A6A7E">
        <w:t>;</w:t>
      </w:r>
      <w:r w:rsidRPr="009A23E6" w:rsidR="006644AE">
        <w:t xml:space="preserve"> small, medium, and large</w:t>
      </w:r>
      <w:r w:rsidR="002A6A7E">
        <w:t>;</w:t>
      </w:r>
      <w:r w:rsidRPr="009A23E6" w:rsidR="006644AE">
        <w:t xml:space="preserve"> and independent and </w:t>
      </w:r>
      <w:r w:rsidRPr="009A23E6" w:rsidR="006644AE">
        <w:t>hospital</w:t>
      </w:r>
      <w:r w:rsidR="002A6A7E">
        <w:t>-</w:t>
      </w:r>
      <w:r w:rsidRPr="009A23E6" w:rsidR="006644AE">
        <w:t>owned</w:t>
      </w:r>
      <w:r w:rsidRPr="009A23E6" w:rsidR="006644AE">
        <w:t>.</w:t>
      </w:r>
    </w:p>
    <w:p w:rsidR="00EE635B" w:rsidRPr="009A23E6" w:rsidP="00EE635B" w14:paraId="08DEDB16" w14:textId="77777777">
      <w:pPr>
        <w:pStyle w:val="Normal15Spaced"/>
        <w:spacing w:line="240" w:lineRule="auto"/>
        <w:ind w:firstLine="0"/>
        <w:rPr>
          <w:rFonts w:ascii="Times New Roman" w:eastAsia="Calibri" w:hAnsi="Times New Roman"/>
          <w:b/>
          <w:bCs/>
          <w:i/>
          <w:iCs/>
          <w:sz w:val="24"/>
          <w:szCs w:val="24"/>
        </w:rPr>
      </w:pPr>
    </w:p>
    <w:p w:rsidR="000C21A5" w:rsidRPr="009A23E6" w:rsidP="00F13EAC" w14:paraId="6543DF61" w14:textId="48CBA7FC">
      <w:pPr>
        <w:pStyle w:val="Normal15Spaced"/>
        <w:spacing w:line="240" w:lineRule="auto"/>
        <w:ind w:firstLine="0"/>
        <w:rPr>
          <w:rFonts w:ascii="Times New Roman" w:hAnsi="Times New Roman"/>
        </w:rPr>
      </w:pPr>
      <w:bookmarkStart w:id="7" w:name="_Toc372292704"/>
      <w:bookmarkStart w:id="8" w:name="_Toc378681309"/>
      <w:r w:rsidRPr="009A23E6">
        <w:rPr>
          <w:rFonts w:ascii="Times New Roman" w:hAnsi="Times New Roman"/>
          <w:b/>
          <w:i/>
          <w:sz w:val="24"/>
          <w:szCs w:val="24"/>
        </w:rPr>
        <w:t xml:space="preserve">Recruitment Strategy. </w:t>
      </w:r>
      <w:r w:rsidRPr="009A23E6">
        <w:rPr>
          <w:rFonts w:ascii="Times New Roman" w:hAnsi="Times New Roman"/>
          <w:sz w:val="24"/>
          <w:szCs w:val="24"/>
        </w:rPr>
        <w:t>The pro</w:t>
      </w:r>
      <w:r w:rsidR="00AF278F">
        <w:rPr>
          <w:rFonts w:ascii="Times New Roman" w:hAnsi="Times New Roman"/>
          <w:sz w:val="24"/>
          <w:szCs w:val="24"/>
        </w:rPr>
        <w:t>gram</w:t>
      </w:r>
      <w:r w:rsidRPr="009A23E6">
        <w:rPr>
          <w:rFonts w:ascii="Times New Roman" w:hAnsi="Times New Roman"/>
          <w:sz w:val="24"/>
          <w:szCs w:val="24"/>
        </w:rPr>
        <w:t xml:space="preserve"> will use a multi-pronged </w:t>
      </w:r>
      <w:r w:rsidRPr="009A23E6" w:rsidR="00490A8C">
        <w:rPr>
          <w:rFonts w:ascii="Times New Roman" w:hAnsi="Times New Roman"/>
          <w:sz w:val="24"/>
          <w:szCs w:val="24"/>
        </w:rPr>
        <w:t>approach</w:t>
      </w:r>
      <w:r w:rsidRPr="009A23E6">
        <w:rPr>
          <w:rFonts w:ascii="Times New Roman" w:hAnsi="Times New Roman"/>
          <w:sz w:val="24"/>
          <w:szCs w:val="24"/>
        </w:rPr>
        <w:t xml:space="preserve"> for recruitment</w:t>
      </w:r>
      <w:r w:rsidRPr="009A23E6" w:rsidR="00490A8C">
        <w:rPr>
          <w:rFonts w:ascii="Times New Roman" w:hAnsi="Times New Roman"/>
          <w:sz w:val="24"/>
          <w:szCs w:val="24"/>
        </w:rPr>
        <w:t xml:space="preserve"> of practices</w:t>
      </w:r>
      <w:r w:rsidRPr="009A23E6">
        <w:rPr>
          <w:rFonts w:ascii="Times New Roman" w:hAnsi="Times New Roman"/>
          <w:sz w:val="24"/>
          <w:szCs w:val="24"/>
        </w:rPr>
        <w:t>.</w:t>
      </w:r>
      <w:r w:rsidRPr="009A23E6">
        <w:rPr>
          <w:rFonts w:ascii="Times New Roman" w:hAnsi="Times New Roman"/>
          <w:b/>
          <w:sz w:val="24"/>
          <w:szCs w:val="24"/>
        </w:rPr>
        <w:t xml:space="preserve"> </w:t>
      </w:r>
      <w:r w:rsidRPr="009A23E6" w:rsidR="00490A8C">
        <w:rPr>
          <w:rFonts w:ascii="Times New Roman" w:hAnsi="Times New Roman"/>
          <w:sz w:val="24"/>
          <w:szCs w:val="24"/>
        </w:rPr>
        <w:t xml:space="preserve">Our preliminary recruitment plan balances the operational challenges unique to outpatient telemedicine practices with the need for standardization across </w:t>
      </w:r>
      <w:r w:rsidRPr="009A23E6" w:rsidR="008D4EAA">
        <w:rPr>
          <w:rFonts w:ascii="Times New Roman" w:hAnsi="Times New Roman"/>
          <w:sz w:val="24"/>
          <w:szCs w:val="24"/>
        </w:rPr>
        <w:t>practices</w:t>
      </w:r>
      <w:r w:rsidRPr="009A23E6" w:rsidR="00490A8C">
        <w:rPr>
          <w:rFonts w:ascii="Times New Roman" w:hAnsi="Times New Roman"/>
          <w:sz w:val="24"/>
          <w:szCs w:val="24"/>
        </w:rPr>
        <w:t xml:space="preserve"> and settings. We will work with AHRQ, Teladoc, and our recruitment partners to enhance and execute our approach. This includes collaborating with federal partners such as the Centers for Disease Control and Prevention (CDC), Centers for Medicare &amp; Medicaid Services (CMS), and Health Resources &amp; Services Administration (HRSA) through </w:t>
      </w:r>
      <w:r w:rsidRPr="009A23E6" w:rsidR="00490A8C">
        <w:rPr>
          <w:rFonts w:ascii="Times New Roman" w:hAnsi="Times New Roman"/>
          <w:sz w:val="24"/>
          <w:szCs w:val="24"/>
        </w:rPr>
        <w:t xml:space="preserve">AHRQ. </w:t>
      </w:r>
      <w:r w:rsidRPr="009A23E6" w:rsidR="00C73237">
        <w:rPr>
          <w:rFonts w:ascii="Times New Roman" w:hAnsi="Times New Roman"/>
          <w:sz w:val="24"/>
          <w:szCs w:val="24"/>
        </w:rPr>
        <w:t>To ensure representation from all</w:t>
      </w:r>
      <w:r w:rsidR="002046B4">
        <w:rPr>
          <w:rFonts w:ascii="Times New Roman" w:hAnsi="Times New Roman"/>
          <w:sz w:val="24"/>
          <w:szCs w:val="24"/>
        </w:rPr>
        <w:t xml:space="preserve"> </w:t>
      </w:r>
      <w:r w:rsidRPr="009A23E6" w:rsidR="00C73237">
        <w:rPr>
          <w:rFonts w:ascii="Times New Roman" w:hAnsi="Times New Roman"/>
          <w:sz w:val="24"/>
          <w:szCs w:val="24"/>
        </w:rPr>
        <w:t xml:space="preserve">10 HHS regions, we will approach national quality organizations and relevant medical specialty societies. </w:t>
      </w:r>
      <w:r w:rsidRPr="009A23E6">
        <w:rPr>
          <w:rFonts w:ascii="Times New Roman" w:hAnsi="Times New Roman"/>
          <w:sz w:val="24"/>
          <w:szCs w:val="24"/>
        </w:rPr>
        <w:t>Additional recruitment activities will include the following:</w:t>
      </w:r>
      <w:r w:rsidRPr="009A23E6">
        <w:rPr>
          <w:rFonts w:ascii="Times New Roman" w:hAnsi="Times New Roman"/>
        </w:rPr>
        <w:t xml:space="preserve"> </w:t>
      </w:r>
    </w:p>
    <w:p w:rsidR="000C21A5" w:rsidRPr="009A23E6" w:rsidP="000C21A5" w14:paraId="77DD8851" w14:textId="52812AD6">
      <w:pPr>
        <w:pStyle w:val="ListParagraph"/>
        <w:numPr>
          <w:ilvl w:val="0"/>
          <w:numId w:val="27"/>
        </w:numPr>
        <w:spacing w:before="120" w:after="120"/>
        <w:rPr>
          <w:rFonts w:ascii="Times New Roman" w:hAnsi="Times New Roman"/>
          <w:noProof/>
          <w:sz w:val="24"/>
          <w:szCs w:val="24"/>
        </w:rPr>
      </w:pPr>
      <w:r w:rsidRPr="009A23E6">
        <w:rPr>
          <w:rFonts w:ascii="Times New Roman" w:hAnsi="Times New Roman"/>
          <w:noProof/>
          <w:sz w:val="24"/>
          <w:szCs w:val="24"/>
        </w:rPr>
        <w:t>Engagement</w:t>
      </w:r>
      <w:r w:rsidRPr="009A23E6">
        <w:rPr>
          <w:rFonts w:ascii="Times New Roman" w:hAnsi="Times New Roman"/>
          <w:noProof/>
          <w:sz w:val="24"/>
          <w:szCs w:val="24"/>
        </w:rPr>
        <w:t xml:space="preserve"> with the TEP members from delivery organizations to gauge their interest in participating</w:t>
      </w:r>
      <w:r w:rsidRPr="009A23E6">
        <w:rPr>
          <w:rFonts w:ascii="Times New Roman" w:hAnsi="Times New Roman"/>
          <w:noProof/>
          <w:sz w:val="24"/>
          <w:szCs w:val="24"/>
        </w:rPr>
        <w:t xml:space="preserve"> in this program</w:t>
      </w:r>
      <w:r w:rsidRPr="009A23E6">
        <w:rPr>
          <w:rFonts w:ascii="Times New Roman" w:hAnsi="Times New Roman"/>
          <w:noProof/>
          <w:sz w:val="24"/>
          <w:szCs w:val="24"/>
        </w:rPr>
        <w:t xml:space="preserve">. </w:t>
      </w:r>
    </w:p>
    <w:p w:rsidR="000C21A5" w:rsidRPr="009A23E6" w:rsidP="000C21A5" w14:paraId="08C383D7" w14:textId="4D7974B7">
      <w:pPr>
        <w:pStyle w:val="ListParagraph"/>
        <w:numPr>
          <w:ilvl w:val="0"/>
          <w:numId w:val="27"/>
        </w:numPr>
        <w:spacing w:before="120" w:after="120"/>
        <w:rPr>
          <w:rFonts w:ascii="Times New Roman" w:hAnsi="Times New Roman"/>
          <w:noProof/>
          <w:sz w:val="24"/>
          <w:szCs w:val="24"/>
        </w:rPr>
      </w:pPr>
      <w:r w:rsidRPr="009A23E6">
        <w:rPr>
          <w:rFonts w:ascii="Times New Roman" w:hAnsi="Times New Roman"/>
          <w:sz w:val="24"/>
          <w:szCs w:val="24"/>
        </w:rPr>
        <w:t xml:space="preserve">Leverage the AHRQ patient safety listserv of over 55,000 contacts, the </w:t>
      </w:r>
      <w:r w:rsidR="00AF278F">
        <w:rPr>
          <w:rFonts w:ascii="Times New Roman" w:hAnsi="Times New Roman"/>
          <w:sz w:val="24"/>
          <w:szCs w:val="24"/>
        </w:rPr>
        <w:t xml:space="preserve">Johns Hopkins </w:t>
      </w:r>
      <w:r w:rsidRPr="009A23E6">
        <w:rPr>
          <w:rFonts w:ascii="Times New Roman" w:hAnsi="Times New Roman"/>
          <w:sz w:val="24"/>
          <w:szCs w:val="24"/>
        </w:rPr>
        <w:t>Armstrong Institute (</w:t>
      </w:r>
      <w:r w:rsidRPr="009A23E6" w:rsidR="005150A4">
        <w:rPr>
          <w:rFonts w:ascii="Times New Roman" w:hAnsi="Times New Roman"/>
          <w:sz w:val="24"/>
          <w:szCs w:val="24"/>
        </w:rPr>
        <w:t>JH</w:t>
      </w:r>
      <w:r w:rsidRPr="009A23E6">
        <w:rPr>
          <w:rFonts w:ascii="Times New Roman" w:hAnsi="Times New Roman"/>
          <w:sz w:val="24"/>
          <w:szCs w:val="24"/>
        </w:rPr>
        <w:t xml:space="preserve">AI) listserv of 8,000 contacts that have participated in prior patient safety interventions with </w:t>
      </w:r>
      <w:r w:rsidR="00571DE0">
        <w:rPr>
          <w:rFonts w:ascii="Times New Roman" w:hAnsi="Times New Roman"/>
          <w:sz w:val="24"/>
          <w:szCs w:val="24"/>
        </w:rPr>
        <w:t>JHAI</w:t>
      </w:r>
      <w:r w:rsidRPr="009A23E6">
        <w:rPr>
          <w:rFonts w:ascii="Times New Roman" w:hAnsi="Times New Roman"/>
          <w:sz w:val="24"/>
          <w:szCs w:val="24"/>
        </w:rPr>
        <w:t xml:space="preserve">, </w:t>
      </w:r>
      <w:r w:rsidRPr="009A23E6" w:rsidR="005150A4">
        <w:rPr>
          <w:rFonts w:ascii="Times New Roman" w:hAnsi="Times New Roman"/>
          <w:sz w:val="24"/>
          <w:szCs w:val="24"/>
        </w:rPr>
        <w:t>a</w:t>
      </w:r>
      <w:r w:rsidRPr="009A23E6" w:rsidR="00C0766E">
        <w:rPr>
          <w:rFonts w:ascii="Times New Roman" w:hAnsi="Times New Roman"/>
          <w:sz w:val="24"/>
          <w:szCs w:val="24"/>
        </w:rPr>
        <w:t xml:space="preserve">nd Teladoc dissemination channels. </w:t>
      </w:r>
    </w:p>
    <w:p w:rsidR="000C21A5" w:rsidRPr="009A23E6" w:rsidP="000C21A5" w14:paraId="1AF9E687" w14:textId="25640629">
      <w:pPr>
        <w:pStyle w:val="ListParagraph"/>
        <w:numPr>
          <w:ilvl w:val="0"/>
          <w:numId w:val="27"/>
        </w:numPr>
        <w:spacing w:before="120" w:after="120"/>
        <w:rPr>
          <w:rFonts w:ascii="Times New Roman" w:hAnsi="Times New Roman"/>
          <w:noProof/>
          <w:sz w:val="24"/>
          <w:szCs w:val="24"/>
        </w:rPr>
      </w:pPr>
      <w:r w:rsidRPr="009A23E6">
        <w:rPr>
          <w:rFonts w:ascii="Times New Roman" w:hAnsi="Times New Roman"/>
          <w:noProof/>
          <w:sz w:val="24"/>
          <w:szCs w:val="24"/>
        </w:rPr>
        <w:t xml:space="preserve">Use free social media to recruit </w:t>
      </w:r>
      <w:r w:rsidRPr="009A23E6" w:rsidR="00C0766E">
        <w:rPr>
          <w:rFonts w:ascii="Times New Roman" w:hAnsi="Times New Roman"/>
          <w:noProof/>
          <w:sz w:val="24"/>
          <w:szCs w:val="24"/>
        </w:rPr>
        <w:t>ambulatory clinics</w:t>
      </w:r>
      <w:r w:rsidRPr="009A23E6">
        <w:rPr>
          <w:rFonts w:ascii="Times New Roman" w:hAnsi="Times New Roman"/>
          <w:noProof/>
          <w:sz w:val="24"/>
          <w:szCs w:val="24"/>
        </w:rPr>
        <w:t xml:space="preserve">, including periodically posting on the </w:t>
      </w:r>
      <w:r w:rsidRPr="009A23E6">
        <w:rPr>
          <w:rFonts w:ascii="Times New Roman" w:hAnsi="Times New Roman"/>
          <w:sz w:val="24"/>
          <w:szCs w:val="24"/>
        </w:rPr>
        <w:t>Johns Hopkins School of Medicine’s (JHM) Facebook (</w:t>
      </w:r>
      <w:r w:rsidRPr="009A23E6" w:rsidR="00C0766E">
        <w:rPr>
          <w:rFonts w:ascii="Times New Roman" w:hAnsi="Times New Roman"/>
          <w:sz w:val="24"/>
          <w:szCs w:val="24"/>
        </w:rPr>
        <w:t>603</w:t>
      </w:r>
      <w:r w:rsidRPr="009A23E6">
        <w:rPr>
          <w:rFonts w:ascii="Times New Roman" w:hAnsi="Times New Roman"/>
          <w:sz w:val="24"/>
          <w:szCs w:val="24"/>
        </w:rPr>
        <w:t>k likes), Twitter (</w:t>
      </w:r>
      <w:r w:rsidRPr="009A23E6" w:rsidR="00C0766E">
        <w:rPr>
          <w:rFonts w:ascii="Times New Roman" w:hAnsi="Times New Roman"/>
          <w:sz w:val="24"/>
          <w:szCs w:val="24"/>
        </w:rPr>
        <w:t>522</w:t>
      </w:r>
      <w:r w:rsidRPr="009A23E6">
        <w:rPr>
          <w:rFonts w:ascii="Times New Roman" w:hAnsi="Times New Roman"/>
          <w:sz w:val="24"/>
          <w:szCs w:val="24"/>
        </w:rPr>
        <w:t>k followers), and LinkedIn (</w:t>
      </w:r>
      <w:r w:rsidRPr="009A23E6" w:rsidR="00C0766E">
        <w:rPr>
          <w:rFonts w:ascii="Times New Roman" w:hAnsi="Times New Roman"/>
          <w:sz w:val="24"/>
          <w:szCs w:val="24"/>
        </w:rPr>
        <w:t>37</w:t>
      </w:r>
      <w:r w:rsidRPr="009A23E6">
        <w:rPr>
          <w:rFonts w:ascii="Times New Roman" w:hAnsi="Times New Roman"/>
          <w:sz w:val="24"/>
          <w:szCs w:val="24"/>
        </w:rPr>
        <w:t>k followers)</w:t>
      </w:r>
      <w:r w:rsidRPr="009A23E6" w:rsidR="00C0766E">
        <w:rPr>
          <w:rFonts w:ascii="Times New Roman" w:hAnsi="Times New Roman"/>
          <w:sz w:val="24"/>
          <w:szCs w:val="24"/>
        </w:rPr>
        <w:t>,</w:t>
      </w:r>
      <w:r w:rsidR="00D179AE">
        <w:rPr>
          <w:rFonts w:ascii="Times New Roman" w:hAnsi="Times New Roman"/>
          <w:sz w:val="24"/>
          <w:szCs w:val="24"/>
        </w:rPr>
        <w:t xml:space="preserve"> as well as</w:t>
      </w:r>
      <w:r w:rsidRPr="009A23E6" w:rsidR="00C0766E">
        <w:rPr>
          <w:rFonts w:ascii="Times New Roman" w:hAnsi="Times New Roman"/>
          <w:sz w:val="24"/>
          <w:szCs w:val="24"/>
        </w:rPr>
        <w:t xml:space="preserve"> JHAI’s Twitter (1.6k</w:t>
      </w:r>
      <w:r w:rsidR="00D179AE">
        <w:rPr>
          <w:rFonts w:ascii="Times New Roman" w:hAnsi="Times New Roman"/>
          <w:sz w:val="24"/>
          <w:szCs w:val="24"/>
        </w:rPr>
        <w:t xml:space="preserve"> followers</w:t>
      </w:r>
      <w:r w:rsidRPr="009A23E6" w:rsidR="00C0766E">
        <w:rPr>
          <w:rFonts w:ascii="Times New Roman" w:hAnsi="Times New Roman"/>
          <w:sz w:val="24"/>
          <w:szCs w:val="24"/>
        </w:rPr>
        <w:t>)</w:t>
      </w:r>
      <w:r w:rsidR="00575C20">
        <w:rPr>
          <w:rFonts w:ascii="Times New Roman" w:hAnsi="Times New Roman"/>
          <w:sz w:val="24"/>
          <w:szCs w:val="24"/>
        </w:rPr>
        <w:t xml:space="preserve"> and</w:t>
      </w:r>
      <w:r w:rsidR="00D179AE">
        <w:rPr>
          <w:rFonts w:ascii="Times New Roman" w:hAnsi="Times New Roman"/>
          <w:sz w:val="24"/>
          <w:szCs w:val="24"/>
        </w:rPr>
        <w:t xml:space="preserve"> social media platforms</w:t>
      </w:r>
      <w:r w:rsidRPr="009A23E6">
        <w:rPr>
          <w:rFonts w:ascii="Times New Roman" w:hAnsi="Times New Roman"/>
          <w:sz w:val="24"/>
          <w:szCs w:val="24"/>
        </w:rPr>
        <w:t xml:space="preserve">.  </w:t>
      </w:r>
    </w:p>
    <w:p w:rsidR="000C21A5" w:rsidRPr="009A23E6" w:rsidP="000C21A5" w14:paraId="000D928D" w14:textId="578C748A">
      <w:pPr>
        <w:pStyle w:val="ListParagraph"/>
        <w:numPr>
          <w:ilvl w:val="0"/>
          <w:numId w:val="27"/>
        </w:numPr>
        <w:spacing w:before="120" w:after="120"/>
        <w:rPr>
          <w:rFonts w:ascii="Times New Roman" w:hAnsi="Times New Roman"/>
          <w:noProof/>
          <w:sz w:val="24"/>
          <w:szCs w:val="24"/>
        </w:rPr>
      </w:pPr>
      <w:r w:rsidRPr="009A23E6">
        <w:rPr>
          <w:rFonts w:ascii="Times New Roman" w:hAnsi="Times New Roman"/>
          <w:noProof/>
          <w:sz w:val="24"/>
          <w:szCs w:val="24"/>
        </w:rPr>
        <w:t xml:space="preserve">Host informational webinars to garner interest in the </w:t>
      </w:r>
      <w:r w:rsidRPr="009A23E6" w:rsidR="0018583E">
        <w:rPr>
          <w:rFonts w:ascii="Times New Roman" w:hAnsi="Times New Roman"/>
          <w:noProof/>
          <w:sz w:val="24"/>
          <w:szCs w:val="24"/>
        </w:rPr>
        <w:t>p</w:t>
      </w:r>
      <w:r w:rsidR="0018583E">
        <w:rPr>
          <w:rFonts w:ascii="Times New Roman" w:hAnsi="Times New Roman"/>
          <w:noProof/>
          <w:sz w:val="24"/>
          <w:szCs w:val="24"/>
        </w:rPr>
        <w:t>rogram</w:t>
      </w:r>
      <w:r w:rsidRPr="009A23E6">
        <w:rPr>
          <w:rFonts w:ascii="Times New Roman" w:hAnsi="Times New Roman"/>
          <w:noProof/>
          <w:sz w:val="24"/>
          <w:szCs w:val="24"/>
        </w:rPr>
        <w:t>.</w:t>
      </w:r>
    </w:p>
    <w:p w:rsidR="000C21A5" w:rsidRPr="009A23E6" w:rsidP="000C21A5" w14:paraId="23BBE5F8" w14:textId="392AB680">
      <w:pPr>
        <w:pStyle w:val="ListParagraph"/>
        <w:numPr>
          <w:ilvl w:val="0"/>
          <w:numId w:val="27"/>
        </w:numPr>
        <w:spacing w:before="120" w:after="120"/>
        <w:rPr>
          <w:rFonts w:ascii="Times New Roman" w:hAnsi="Times New Roman"/>
          <w:noProof/>
          <w:sz w:val="24"/>
          <w:szCs w:val="24"/>
        </w:rPr>
      </w:pPr>
      <w:r w:rsidRPr="009A23E6">
        <w:rPr>
          <w:rFonts w:ascii="Times New Roman" w:hAnsi="Times New Roman"/>
          <w:noProof/>
          <w:sz w:val="24"/>
          <w:szCs w:val="24"/>
        </w:rPr>
        <w:t xml:space="preserve">Develop a website for the </w:t>
      </w:r>
      <w:r w:rsidR="00AF278F">
        <w:rPr>
          <w:rFonts w:ascii="Times New Roman" w:hAnsi="Times New Roman"/>
          <w:iCs/>
          <w:noProof/>
          <w:sz w:val="24"/>
          <w:szCs w:val="24"/>
        </w:rPr>
        <w:t>Safety Program</w:t>
      </w:r>
      <w:r w:rsidRPr="009A23E6" w:rsidR="00ED0FD7">
        <w:rPr>
          <w:rFonts w:ascii="Times New Roman" w:hAnsi="Times New Roman"/>
          <w:iCs/>
          <w:noProof/>
          <w:sz w:val="24"/>
          <w:szCs w:val="24"/>
        </w:rPr>
        <w:t xml:space="preserve"> </w:t>
      </w:r>
      <w:r w:rsidRPr="009A23E6">
        <w:rPr>
          <w:rFonts w:ascii="Times New Roman" w:hAnsi="Times New Roman"/>
          <w:noProof/>
          <w:sz w:val="24"/>
          <w:szCs w:val="24"/>
        </w:rPr>
        <w:t xml:space="preserve">that will assist with recruitment. </w:t>
      </w:r>
    </w:p>
    <w:p w:rsidR="000C21A5" w:rsidRPr="009A23E6" w:rsidP="000C21A5" w14:paraId="7A721E27" w14:textId="2A5BBDBE">
      <w:pPr>
        <w:pStyle w:val="ListParagraph"/>
        <w:numPr>
          <w:ilvl w:val="0"/>
          <w:numId w:val="27"/>
        </w:numPr>
        <w:rPr>
          <w:rFonts w:ascii="Times New Roman" w:hAnsi="Times New Roman"/>
          <w:noProof/>
          <w:sz w:val="24"/>
          <w:szCs w:val="24"/>
        </w:rPr>
      </w:pPr>
      <w:r w:rsidRPr="009A23E6">
        <w:rPr>
          <w:rFonts w:ascii="Times New Roman" w:hAnsi="Times New Roman"/>
          <w:noProof/>
          <w:sz w:val="24"/>
          <w:szCs w:val="24"/>
        </w:rPr>
        <w:t>Collaborate with federal partners including CMS</w:t>
      </w:r>
      <w:r w:rsidRPr="009A23E6" w:rsidR="00C0766E">
        <w:rPr>
          <w:rFonts w:ascii="Times New Roman" w:hAnsi="Times New Roman"/>
          <w:noProof/>
          <w:sz w:val="24"/>
          <w:szCs w:val="24"/>
        </w:rPr>
        <w:t xml:space="preserve"> and HRSA</w:t>
      </w:r>
      <w:r w:rsidRPr="009A23E6">
        <w:rPr>
          <w:rFonts w:ascii="Times New Roman" w:hAnsi="Times New Roman"/>
          <w:noProof/>
          <w:sz w:val="24"/>
          <w:szCs w:val="24"/>
        </w:rPr>
        <w:t xml:space="preserve"> to ensure synergistic efforts across related projects. </w:t>
      </w:r>
    </w:p>
    <w:p w:rsidR="00F24A01" w:rsidRPr="009A23E6" w:rsidP="00F24A01" w14:paraId="1C8AE071" w14:textId="77777777">
      <w:pPr>
        <w:pStyle w:val="ListParagraph"/>
        <w:rPr>
          <w:rFonts w:ascii="Times New Roman" w:hAnsi="Times New Roman"/>
          <w:noProof/>
          <w:sz w:val="24"/>
          <w:szCs w:val="24"/>
        </w:rPr>
      </w:pPr>
    </w:p>
    <w:p w:rsidR="00CA1B8B" w:rsidRPr="009A23E6" w:rsidP="00CA1B8B" w14:paraId="02ABA4E0" w14:textId="462381A2">
      <w:r w:rsidRPr="009A23E6">
        <w:rPr>
          <w:b/>
          <w:bCs/>
          <w:i/>
          <w:iCs/>
        </w:rPr>
        <w:t xml:space="preserve">Respondent Selection </w:t>
      </w:r>
      <w:bookmarkEnd w:id="7"/>
      <w:r w:rsidRPr="009A23E6">
        <w:rPr>
          <w:b/>
          <w:bCs/>
          <w:i/>
          <w:iCs/>
        </w:rPr>
        <w:t>and Sample Sizes</w:t>
      </w:r>
      <w:r w:rsidRPr="009A23E6" w:rsidR="001278F4">
        <w:rPr>
          <w:b/>
          <w:bCs/>
          <w:i/>
          <w:iCs/>
        </w:rPr>
        <w:t xml:space="preserve">. </w:t>
      </w:r>
      <w:r w:rsidR="00FF2E16">
        <w:t>T</w:t>
      </w:r>
      <w:r w:rsidRPr="009A23E6">
        <w:t xml:space="preserve">he </w:t>
      </w:r>
      <w:r w:rsidR="00D73322">
        <w:rPr>
          <w:iCs/>
        </w:rPr>
        <w:t xml:space="preserve">Safety Program </w:t>
      </w:r>
      <w:r w:rsidRPr="009A23E6">
        <w:t xml:space="preserve">will collect data from all participating practices when possible. </w:t>
      </w:r>
    </w:p>
    <w:p w:rsidR="00EC5298" w:rsidRPr="009A23E6" w:rsidP="00CA1B8B" w14:paraId="42ACFC16" w14:textId="1C053CFB">
      <w:pPr>
        <w:spacing w:before="100" w:beforeAutospacing="1" w:after="100" w:afterAutospacing="1"/>
      </w:pPr>
      <w:r w:rsidRPr="00FF0648">
        <w:t xml:space="preserve">For the </w:t>
      </w:r>
      <w:r w:rsidRPr="00FF0648" w:rsidR="00EC601A">
        <w:t>practice</w:t>
      </w:r>
      <w:r w:rsidRPr="00FF0648">
        <w:t>-level measures</w:t>
      </w:r>
      <w:r w:rsidRPr="00FF0648" w:rsidR="00EC601A">
        <w:t xml:space="preserve"> </w:t>
      </w:r>
      <w:r w:rsidRPr="00FF0648">
        <w:t xml:space="preserve">including </w:t>
      </w:r>
      <w:r w:rsidRPr="00FF0648" w:rsidR="00EC601A">
        <w:t xml:space="preserve">the </w:t>
      </w:r>
      <w:r w:rsidRPr="00FF0648">
        <w:rPr>
          <w:b/>
          <w:bCs/>
        </w:rPr>
        <w:t>Structural Assessment</w:t>
      </w:r>
      <w:r w:rsidRPr="00FF0648">
        <w:t xml:space="preserve">, </w:t>
      </w:r>
      <w:r w:rsidRPr="00FF0648" w:rsidR="00654567">
        <w:t xml:space="preserve">the </w:t>
      </w:r>
      <w:r w:rsidRPr="00FF0648" w:rsidR="00654567">
        <w:rPr>
          <w:b/>
          <w:bCs/>
        </w:rPr>
        <w:t>Participant Experience Survey</w:t>
      </w:r>
      <w:r w:rsidRPr="00FF0648" w:rsidR="00654567">
        <w:t>, and</w:t>
      </w:r>
      <w:r w:rsidRPr="00FF0648">
        <w:t xml:space="preserve"> </w:t>
      </w:r>
      <w:r w:rsidRPr="00FF0648">
        <w:rPr>
          <w:b/>
          <w:bCs/>
        </w:rPr>
        <w:t>EHR data</w:t>
      </w:r>
      <w:r w:rsidRPr="00FF0648">
        <w:t xml:space="preserve">, the </w:t>
      </w:r>
      <w:r w:rsidRPr="00FF0648" w:rsidR="00BD5BF9">
        <w:t xml:space="preserve">program </w:t>
      </w:r>
      <w:r w:rsidRPr="00FF0648">
        <w:t xml:space="preserve">will </w:t>
      </w:r>
      <w:r w:rsidRPr="00FF0648" w:rsidR="00F24A01">
        <w:t xml:space="preserve">collect these data from </w:t>
      </w:r>
      <w:r w:rsidRPr="00FF0648" w:rsidR="00352316">
        <w:t>a practice lead/champion at each</w:t>
      </w:r>
      <w:r w:rsidRPr="00FF0648">
        <w:t xml:space="preserve"> participating </w:t>
      </w:r>
      <w:r w:rsidRPr="00FF0648" w:rsidR="00EC601A">
        <w:t>practice</w:t>
      </w:r>
      <w:r w:rsidRPr="00FF0648" w:rsidR="00352316">
        <w:t xml:space="preserve">. </w:t>
      </w:r>
      <w:r w:rsidRPr="00FF0648" w:rsidR="00CA1B8B">
        <w:t>Each lead</w:t>
      </w:r>
      <w:r w:rsidRPr="00FF0648" w:rsidR="004B258E">
        <w:t>er</w:t>
      </w:r>
      <w:r w:rsidRPr="00FF0648" w:rsidR="00CA1B8B">
        <w:t xml:space="preserve">/champion </w:t>
      </w:r>
      <w:r w:rsidRPr="00FF0648" w:rsidR="004B258E">
        <w:t xml:space="preserve">of brick-and-mortar practices or telemedicine-only organizations </w:t>
      </w:r>
      <w:r w:rsidRPr="00FF0648" w:rsidR="00CA1B8B">
        <w:t xml:space="preserve">will complete the </w:t>
      </w:r>
      <w:r w:rsidRPr="00FF0648">
        <w:t>S</w:t>
      </w:r>
      <w:r w:rsidRPr="00FF0648" w:rsidR="00CA1B8B">
        <w:t xml:space="preserve">tructural </w:t>
      </w:r>
      <w:r w:rsidRPr="00FF0648">
        <w:t>A</w:t>
      </w:r>
      <w:r w:rsidRPr="00FF0648" w:rsidR="00CA1B8B">
        <w:t xml:space="preserve">ssessment at pre- and post- intervention to measure changes in infrastructure and policy related to patient safety and quality improvement. </w:t>
      </w:r>
      <w:r w:rsidRPr="00FF0648" w:rsidR="004B258E">
        <w:t>A leader/champion from each practice w</w:t>
      </w:r>
      <w:r w:rsidRPr="00FF0648" w:rsidR="00654567">
        <w:t xml:space="preserve">ill complete the Participant Experience Survey at post-intervention to assess how practices implemented specific aspects of the Safety Program and how the Safety Program has influenced their practice’s </w:t>
      </w:r>
      <w:r w:rsidRPr="00FF0648" w:rsidR="004B258E">
        <w:t>antibiotic prescribing behaviors</w:t>
      </w:r>
      <w:r w:rsidRPr="00FF0648" w:rsidR="00654567">
        <w:t xml:space="preserve"> within telemedicine. </w:t>
      </w:r>
      <w:r w:rsidRPr="00FF0648">
        <w:t xml:space="preserve">For the EHR data, the </w:t>
      </w:r>
      <w:r w:rsidRPr="00FF0648" w:rsidR="0018583E">
        <w:t xml:space="preserve">program </w:t>
      </w:r>
      <w:r w:rsidRPr="00FF0648">
        <w:t xml:space="preserve">will sample all participating practices. </w:t>
      </w:r>
      <w:r w:rsidRPr="00FF0648" w:rsidR="000B0A71">
        <w:rPr>
          <w:i/>
          <w:iCs/>
        </w:rPr>
        <w:t xml:space="preserve">This revision </w:t>
      </w:r>
      <w:r w:rsidRPr="00FF0648" w:rsidR="00D2257B">
        <w:rPr>
          <w:i/>
          <w:iCs/>
        </w:rPr>
        <w:t xml:space="preserve">includes </w:t>
      </w:r>
      <w:r w:rsidRPr="00FF0648" w:rsidR="004B258E">
        <w:rPr>
          <w:i/>
          <w:iCs/>
        </w:rPr>
        <w:t>two different</w:t>
      </w:r>
      <w:r w:rsidRPr="00FF0648" w:rsidR="00D2257B">
        <w:rPr>
          <w:i/>
          <w:iCs/>
        </w:rPr>
        <w:t xml:space="preserve"> versions of the Structural Assessment and Participant Experience survey</w:t>
      </w:r>
      <w:r w:rsidRPr="00FF0648" w:rsidR="004B258E">
        <w:rPr>
          <w:i/>
          <w:iCs/>
        </w:rPr>
        <w:t>—one version for participants</w:t>
      </w:r>
      <w:r w:rsidRPr="00FF0648" w:rsidR="00D2257B">
        <w:rPr>
          <w:i/>
          <w:iCs/>
        </w:rPr>
        <w:t xml:space="preserve"> in brick-and-mortar and </w:t>
      </w:r>
      <w:r w:rsidRPr="00FF0648" w:rsidR="004B258E">
        <w:rPr>
          <w:i/>
          <w:iCs/>
        </w:rPr>
        <w:t xml:space="preserve">one version for participants in </w:t>
      </w:r>
      <w:r w:rsidRPr="00FF0648" w:rsidR="00D2257B">
        <w:rPr>
          <w:i/>
          <w:iCs/>
        </w:rPr>
        <w:t>telemedicine-only organizations</w:t>
      </w:r>
      <w:r w:rsidRPr="00FF0648" w:rsidR="004B258E">
        <w:rPr>
          <w:i/>
          <w:iCs/>
        </w:rPr>
        <w:t xml:space="preserve"> to account for the significant differences in their infrastructure and operations</w:t>
      </w:r>
      <w:r w:rsidRPr="00FF0648" w:rsidR="00D2257B">
        <w:rPr>
          <w:i/>
          <w:iCs/>
        </w:rPr>
        <w:t xml:space="preserve">. </w:t>
      </w:r>
      <w:r w:rsidRPr="00FF0648" w:rsidR="00D835F8">
        <w:rPr>
          <w:i/>
          <w:iCs/>
        </w:rPr>
        <w:t>This revision also includes modifications to the EHR data collection template to simplify the data collection process for participants.</w:t>
      </w:r>
      <w:r w:rsidR="00D835F8">
        <w:t xml:space="preserve"> </w:t>
      </w:r>
    </w:p>
    <w:p w:rsidR="00D835F8" w:rsidRPr="00FF0648" w:rsidP="00571DE0" w14:paraId="25407BD6" w14:textId="30CB26FA">
      <w:pPr>
        <w:spacing w:before="100" w:beforeAutospacing="1" w:after="100" w:afterAutospacing="1"/>
      </w:pPr>
      <w:r w:rsidRPr="009A23E6">
        <w:t>For individual-level measure</w:t>
      </w:r>
      <w:r w:rsidRPr="009A23E6" w:rsidR="00EC601A">
        <w:t>s including</w:t>
      </w:r>
      <w:r w:rsidRPr="009A23E6">
        <w:t xml:space="preserve"> the </w:t>
      </w:r>
      <w:r w:rsidRPr="00571DE0">
        <w:rPr>
          <w:b/>
          <w:bCs/>
        </w:rPr>
        <w:t xml:space="preserve">AHRQ </w:t>
      </w:r>
      <w:r w:rsidR="004B51D3">
        <w:rPr>
          <w:b/>
          <w:bCs/>
        </w:rPr>
        <w:t xml:space="preserve">Medical Office </w:t>
      </w:r>
      <w:r w:rsidRPr="00571DE0">
        <w:rPr>
          <w:b/>
          <w:bCs/>
        </w:rPr>
        <w:t>Survey on</w:t>
      </w:r>
      <w:r w:rsidR="00CB36B3">
        <w:rPr>
          <w:b/>
          <w:bCs/>
        </w:rPr>
        <w:t xml:space="preserve"> </w:t>
      </w:r>
      <w:r w:rsidRPr="00571DE0">
        <w:rPr>
          <w:b/>
          <w:bCs/>
        </w:rPr>
        <w:t>Patient Safety Culture</w:t>
      </w:r>
      <w:r w:rsidR="004B51D3">
        <w:rPr>
          <w:b/>
          <w:bCs/>
        </w:rPr>
        <w:t xml:space="preserve"> (MOSOPS)</w:t>
      </w:r>
      <w:r w:rsidRPr="009A23E6">
        <w:t xml:space="preserve">, the </w:t>
      </w:r>
      <w:r w:rsidR="00BD5BF9">
        <w:t>program</w:t>
      </w:r>
      <w:r w:rsidRPr="009A23E6" w:rsidR="00BD5BF9">
        <w:t xml:space="preserve"> </w:t>
      </w:r>
      <w:r w:rsidRPr="009A23E6">
        <w:t xml:space="preserve">will </w:t>
      </w:r>
      <w:r w:rsidRPr="009A23E6" w:rsidR="00F24A01">
        <w:t xml:space="preserve">collect these data from </w:t>
      </w:r>
      <w:r w:rsidRPr="009A23E6">
        <w:t xml:space="preserve">all eligible staff within each participating </w:t>
      </w:r>
      <w:r w:rsidRPr="009A23E6" w:rsidR="00EC601A">
        <w:t>practice</w:t>
      </w:r>
      <w:r w:rsidRPr="009A23E6" w:rsidR="00CA1B8B">
        <w:t xml:space="preserve">; because practice size varies, the </w:t>
      </w:r>
      <w:r w:rsidR="0018583E">
        <w:t>program</w:t>
      </w:r>
      <w:r w:rsidRPr="009A23E6" w:rsidR="0018583E">
        <w:t xml:space="preserve"> </w:t>
      </w:r>
      <w:r w:rsidRPr="009A23E6" w:rsidR="00CA1B8B">
        <w:t xml:space="preserve">estimates the average number of respondents to be </w:t>
      </w:r>
      <w:r w:rsidR="00D179AE">
        <w:t>seven</w:t>
      </w:r>
      <w:r w:rsidRPr="009A23E6" w:rsidR="00CA1B8B">
        <w:t xml:space="preserve"> </w:t>
      </w:r>
      <w:r w:rsidR="00D179AE">
        <w:t>per</w:t>
      </w:r>
      <w:r w:rsidRPr="009A23E6" w:rsidR="00CA1B8B">
        <w:t xml:space="preserve"> practice.</w:t>
      </w:r>
      <w:r w:rsidR="00D2257B">
        <w:t xml:space="preserve"> </w:t>
      </w:r>
      <w:r w:rsidRPr="00FF0648" w:rsidR="00D2257B">
        <w:rPr>
          <w:i/>
          <w:iCs/>
        </w:rPr>
        <w:t xml:space="preserve">This revision includes a modification to the </w:t>
      </w:r>
      <w:r w:rsidRPr="00FF0648">
        <w:rPr>
          <w:i/>
          <w:iCs/>
        </w:rPr>
        <w:t xml:space="preserve">number of anticipated </w:t>
      </w:r>
      <w:r w:rsidRPr="00FF0648" w:rsidR="00D2257B">
        <w:rPr>
          <w:i/>
          <w:iCs/>
        </w:rPr>
        <w:t xml:space="preserve">respondents </w:t>
      </w:r>
      <w:r w:rsidRPr="00FF0648">
        <w:rPr>
          <w:i/>
          <w:iCs/>
        </w:rPr>
        <w:t>to</w:t>
      </w:r>
      <w:r w:rsidRPr="00FF0648" w:rsidR="00D2257B">
        <w:rPr>
          <w:i/>
          <w:iCs/>
        </w:rPr>
        <w:t xml:space="preserve"> the MOSOPS</w:t>
      </w:r>
      <w:r w:rsidRPr="00FF0648" w:rsidR="004B51D3">
        <w:rPr>
          <w:i/>
          <w:iCs/>
        </w:rPr>
        <w:t xml:space="preserve">. This survey </w:t>
      </w:r>
      <w:r w:rsidRPr="00FF0648">
        <w:rPr>
          <w:i/>
          <w:iCs/>
        </w:rPr>
        <w:t xml:space="preserve">was designed to assess key characteristics of </w:t>
      </w:r>
      <w:r w:rsidRPr="00FF0648" w:rsidR="00C35499">
        <w:rPr>
          <w:i/>
          <w:iCs/>
        </w:rPr>
        <w:t>healthcare providers (</w:t>
      </w:r>
      <w:r w:rsidRPr="00FF0648">
        <w:rPr>
          <w:i/>
          <w:iCs/>
        </w:rPr>
        <w:t>HCPs</w:t>
      </w:r>
      <w:r w:rsidRPr="00FF0648" w:rsidR="00C35499">
        <w:rPr>
          <w:i/>
          <w:iCs/>
        </w:rPr>
        <w:t>)</w:t>
      </w:r>
      <w:r w:rsidRPr="00FF0648">
        <w:rPr>
          <w:i/>
          <w:iCs/>
        </w:rPr>
        <w:t xml:space="preserve"> working in-person in a single medical office and therefore the results are unlikely to be reliable or valid if administered among HCPs practicing in telemedicine-only settings. In this revised </w:t>
      </w:r>
      <w:r w:rsidRPr="00FF0648">
        <w:rPr>
          <w:i/>
          <w:iCs/>
        </w:rPr>
        <w:t>submission we have proposed administering the MOSOPS to HCPs practicing in brick-and-mortar settings only.</w:t>
      </w:r>
    </w:p>
    <w:p w:rsidR="000C21A5" w:rsidRPr="009A23E6" w:rsidP="000C21A5" w14:paraId="017EF38E" w14:textId="133E4029">
      <w:r w:rsidRPr="00FF0648">
        <w:t xml:space="preserve">For the </w:t>
      </w:r>
      <w:r w:rsidRPr="00FF0648">
        <w:rPr>
          <w:b/>
          <w:bCs/>
        </w:rPr>
        <w:t>semi-structured qualitative interviews</w:t>
      </w:r>
      <w:r w:rsidRPr="00FF0648">
        <w:t xml:space="preserve"> </w:t>
      </w:r>
      <w:r w:rsidRPr="00FF0648" w:rsidR="00F76C1C">
        <w:t>that will be conducted</w:t>
      </w:r>
      <w:r w:rsidRPr="00FF0648" w:rsidR="00F24A01">
        <w:t xml:space="preserve">, </w:t>
      </w:r>
      <w:r w:rsidRPr="00FF0648">
        <w:t xml:space="preserve">the </w:t>
      </w:r>
      <w:r w:rsidRPr="00FF0648" w:rsidR="0018583E">
        <w:t xml:space="preserve">program </w:t>
      </w:r>
      <w:r w:rsidRPr="00FF0648">
        <w:t xml:space="preserve">will aim to recruit </w:t>
      </w:r>
      <w:r w:rsidRPr="00FF0648" w:rsidR="00D179AE">
        <w:t>one</w:t>
      </w:r>
      <w:r w:rsidRPr="00FF0648" w:rsidR="00B92546">
        <w:t xml:space="preserve"> to </w:t>
      </w:r>
      <w:r w:rsidRPr="00FF0648" w:rsidR="00D179AE">
        <w:t>two</w:t>
      </w:r>
      <w:r w:rsidRPr="00FF0648" w:rsidR="008C003D">
        <w:t xml:space="preserve"> health care provider</w:t>
      </w:r>
      <w:r w:rsidRPr="00FF0648" w:rsidR="00B92546">
        <w:t>s</w:t>
      </w:r>
      <w:r w:rsidRPr="00FF0648" w:rsidR="00BD5BF9">
        <w:t xml:space="preserve"> (HCPs)</w:t>
      </w:r>
      <w:r w:rsidRPr="00FF0648" w:rsidR="008C003D">
        <w:t xml:space="preserve"> from </w:t>
      </w:r>
      <w:r w:rsidRPr="00FF0648" w:rsidR="00F76C1C">
        <w:t xml:space="preserve">approximately </w:t>
      </w:r>
      <w:r w:rsidRPr="00FF0648" w:rsidR="00DD4C2C">
        <w:t>20</w:t>
      </w:r>
      <w:r w:rsidRPr="00FF0648" w:rsidR="00F76C1C">
        <w:t xml:space="preserve"> </w:t>
      </w:r>
      <w:r w:rsidRPr="00FF0648" w:rsidR="008C003D">
        <w:t xml:space="preserve">participating </w:t>
      </w:r>
      <w:r w:rsidRPr="00FF0648" w:rsidR="00F76C1C">
        <w:t>practices</w:t>
      </w:r>
      <w:r w:rsidRPr="00FF0648" w:rsidR="00DD4C2C">
        <w:t xml:space="preserve"> </w:t>
      </w:r>
      <w:r w:rsidRPr="00FF0648" w:rsidR="008C003D">
        <w:t>based on a combination of contextual and structural factors (</w:t>
      </w:r>
      <w:r w:rsidRPr="00FF0648" w:rsidR="00F76C1C">
        <w:t xml:space="preserve">e.g., </w:t>
      </w:r>
      <w:r w:rsidRPr="00FF0648" w:rsidR="008C003D">
        <w:t>representation across telemedicine practice size</w:t>
      </w:r>
      <w:r w:rsidRPr="00FF0648" w:rsidR="00D179AE">
        <w:t>,</w:t>
      </w:r>
      <w:r w:rsidRPr="00FF0648" w:rsidR="008C003D">
        <w:t xml:space="preserve"> type, and HHS location)</w:t>
      </w:r>
      <w:r w:rsidRPr="00FF0648">
        <w:t xml:space="preserve"> for a total of </w:t>
      </w:r>
      <w:r w:rsidRPr="00FF0648" w:rsidR="00B92546">
        <w:t xml:space="preserve">up to </w:t>
      </w:r>
      <w:r w:rsidRPr="00FF0648" w:rsidR="009A519F">
        <w:t>4</w:t>
      </w:r>
      <w:r w:rsidRPr="00FF0648" w:rsidR="00DD4C2C">
        <w:t>0</w:t>
      </w:r>
      <w:r w:rsidRPr="00FF0648" w:rsidR="007140F1">
        <w:t xml:space="preserve"> participants</w:t>
      </w:r>
      <w:r w:rsidRPr="00FF0648" w:rsidR="009A519F">
        <w:t xml:space="preserve"> from 20 practices</w:t>
      </w:r>
      <w:r w:rsidRPr="00FF0648" w:rsidR="00F76C1C">
        <w:t>.</w:t>
      </w:r>
      <w:r w:rsidRPr="00FF0648" w:rsidR="00D835F8">
        <w:t xml:space="preserve"> </w:t>
      </w:r>
      <w:r w:rsidRPr="00FF0648" w:rsidR="00D835F8">
        <w:rPr>
          <w:i/>
          <w:iCs/>
        </w:rPr>
        <w:t>This revision includes changes based on lessons learned from the TEP and conversations with participants from the prior AHRQ Safety Program for Improving Antibiotic Use.</w:t>
      </w:r>
      <w:r w:rsidR="00D835F8">
        <w:t xml:space="preserve"> </w:t>
      </w:r>
    </w:p>
    <w:p w:rsidR="07EDD0EA" w:rsidRPr="009A23E6" w:rsidP="07EDD0EA" w14:paraId="4EF99724" w14:textId="0E9274C3"/>
    <w:p w:rsidR="000C21A5" w:rsidRPr="009A23E6" w:rsidP="000C21A5" w14:paraId="60A78E97" w14:textId="563023FC">
      <w:r w:rsidRPr="009A23E6">
        <w:rPr>
          <w:b/>
          <w:bCs/>
          <w:i/>
          <w:iCs/>
        </w:rPr>
        <w:t>Response Rates</w:t>
      </w:r>
      <w:r w:rsidRPr="009A23E6" w:rsidR="001278F4">
        <w:rPr>
          <w:b/>
          <w:bCs/>
          <w:i/>
          <w:iCs/>
        </w:rPr>
        <w:t xml:space="preserve">. </w:t>
      </w:r>
      <w:r w:rsidRPr="00FF0648">
        <w:t xml:space="preserve">We anticipate a </w:t>
      </w:r>
      <w:r w:rsidRPr="00FF0648" w:rsidR="00582B84">
        <w:t>75</w:t>
      </w:r>
      <w:r w:rsidRPr="00FF0648" w:rsidR="0031296D">
        <w:t xml:space="preserve"> percent</w:t>
      </w:r>
      <w:r w:rsidRPr="00FF0648">
        <w:t xml:space="preserve"> </w:t>
      </w:r>
      <w:r w:rsidRPr="00FF0648" w:rsidR="002C6168">
        <w:t>response</w:t>
      </w:r>
      <w:r w:rsidRPr="00FF0648">
        <w:t xml:space="preserve"> rate from the participating </w:t>
      </w:r>
      <w:r w:rsidRPr="00FF0648" w:rsidR="00024BF9">
        <w:t>practices</w:t>
      </w:r>
      <w:r w:rsidRPr="00FF0648">
        <w:t xml:space="preserve"> to the Structural Assessments</w:t>
      </w:r>
      <w:r w:rsidRPr="00FF0648" w:rsidR="00BD5BF9">
        <w:t xml:space="preserve"> and</w:t>
      </w:r>
      <w:r w:rsidRPr="00FF0648" w:rsidR="008A2C5F">
        <w:t xml:space="preserve"> Participant Experience </w:t>
      </w:r>
      <w:r w:rsidRPr="00FF0648" w:rsidR="0031296D">
        <w:t>Survey</w:t>
      </w:r>
      <w:r w:rsidRPr="00FF0648" w:rsidR="00246DA7">
        <w:t xml:space="preserve"> and a 90 percent response rate from participating practices </w:t>
      </w:r>
      <w:r w:rsidRPr="00FF0648" w:rsidR="009A519F">
        <w:t xml:space="preserve">for </w:t>
      </w:r>
      <w:r w:rsidRPr="00FF0648" w:rsidR="00246DA7">
        <w:t xml:space="preserve">the </w:t>
      </w:r>
      <w:r w:rsidRPr="00FF0648">
        <w:t>submission of EHR data</w:t>
      </w:r>
      <w:r w:rsidRPr="00FF0648" w:rsidR="00024BF9">
        <w:t xml:space="preserve"> </w:t>
      </w:r>
      <w:r w:rsidRPr="00FF0648">
        <w:t>(</w:t>
      </w:r>
      <w:r w:rsidRPr="00FF0648" w:rsidR="00C35499">
        <w:t>i.e.</w:t>
      </w:r>
      <w:r w:rsidRPr="00FF0648">
        <w:t>, antibiotic us</w:t>
      </w:r>
      <w:r w:rsidRPr="00FF0648" w:rsidR="005B4563">
        <w:t xml:space="preserve">age data including antibiotic prescriptions for </w:t>
      </w:r>
      <w:r w:rsidRPr="00FF0648" w:rsidR="00571DE0">
        <w:t>respiratory</w:t>
      </w:r>
      <w:r w:rsidRPr="00FF0648" w:rsidR="002C6168">
        <w:t xml:space="preserve"> tract</w:t>
      </w:r>
      <w:r w:rsidRPr="00FF0648" w:rsidR="00571DE0">
        <w:t xml:space="preserve"> infection-</w:t>
      </w:r>
      <w:r w:rsidRPr="00FF0648" w:rsidR="005B4563">
        <w:t xml:space="preserve">related </w:t>
      </w:r>
      <w:r w:rsidRPr="00FF0648" w:rsidR="00C35499">
        <w:t xml:space="preserve">telemedicine </w:t>
      </w:r>
      <w:r w:rsidRPr="00FF0648" w:rsidR="005B4563">
        <w:t>visits</w:t>
      </w:r>
      <w:r w:rsidRPr="00FF0648">
        <w:t xml:space="preserve">), </w:t>
      </w:r>
      <w:r w:rsidRPr="00FF0648" w:rsidR="005B4563">
        <w:t xml:space="preserve">and </w:t>
      </w:r>
      <w:r w:rsidRPr="00FF0648">
        <w:t>response to qualitative interviews</w:t>
      </w:r>
      <w:r w:rsidRPr="00FF0648" w:rsidR="005B4563">
        <w:t>.</w:t>
      </w:r>
    </w:p>
    <w:p w:rsidR="000C21A5" w:rsidRPr="009A23E6" w:rsidP="000C21A5" w14:paraId="17161C16" w14:textId="77777777"/>
    <w:p w:rsidR="000C21A5" w:rsidRPr="009A23E6" w:rsidP="000C21A5" w14:paraId="46403AAE" w14:textId="6446BFF3">
      <w:pPr>
        <w:rPr>
          <w:b/>
          <w:u w:val="single"/>
        </w:rPr>
      </w:pPr>
      <w:r w:rsidRPr="009A23E6">
        <w:t xml:space="preserve">Completion rates for the AHRQ Survey on Patient Safety Culture, based on previous CUSP interventions focusing on </w:t>
      </w:r>
      <w:r w:rsidRPr="009A23E6" w:rsidR="00BC2C4C">
        <w:t>ventilator associated pneumonia (</w:t>
      </w:r>
      <w:r w:rsidRPr="009A23E6">
        <w:t>VAP</w:t>
      </w:r>
      <w:r w:rsidRPr="009A23E6" w:rsidR="00BC2C4C">
        <w:t>)</w:t>
      </w:r>
      <w:r w:rsidRPr="009A23E6">
        <w:t xml:space="preserve"> and </w:t>
      </w:r>
      <w:r w:rsidRPr="009A23E6" w:rsidR="00BC2C4C">
        <w:t>central line associated bloodstream infection (</w:t>
      </w:r>
      <w:r w:rsidRPr="009A23E6">
        <w:t>CLABSI), are anticipated to range between 30-50</w:t>
      </w:r>
      <w:r w:rsidR="0031296D">
        <w:t xml:space="preserve"> percent</w:t>
      </w:r>
      <w:r w:rsidRPr="009A23E6">
        <w:t xml:space="preserve">. For those interventions, the </w:t>
      </w:r>
      <w:r w:rsidRPr="009A23E6" w:rsidR="00024BF9">
        <w:t>practice</w:t>
      </w:r>
      <w:r w:rsidRPr="009A23E6">
        <w:t xml:space="preserve"> response rates for the AHRQ Patient Safety </w:t>
      </w:r>
      <w:r w:rsidR="00BD5BF9">
        <w:t>S</w:t>
      </w:r>
      <w:r w:rsidRPr="009A23E6">
        <w:t>urveys varied from baseline to follow-up and from project to project. The response rates averaged 55</w:t>
      </w:r>
      <w:r w:rsidR="0031296D">
        <w:t xml:space="preserve"> percent</w:t>
      </w:r>
      <w:r w:rsidRPr="009A23E6">
        <w:t xml:space="preserve"> at baseline and between 16-28</w:t>
      </w:r>
      <w:r w:rsidR="0031296D">
        <w:t xml:space="preserve"> percent</w:t>
      </w:r>
      <w:r w:rsidRPr="009A23E6">
        <w:t xml:space="preserve"> at follow-up. </w:t>
      </w:r>
    </w:p>
    <w:p w:rsidR="000C21A5" w:rsidRPr="009A23E6" w:rsidP="000C21A5" w14:paraId="2917F204" w14:textId="77777777">
      <w:pPr>
        <w:pStyle w:val="Heading2"/>
        <w:rPr>
          <w:rFonts w:ascii="Times New Roman" w:hAnsi="Times New Roman" w:cs="Times New Roman"/>
          <w:sz w:val="24"/>
          <w:szCs w:val="24"/>
        </w:rPr>
      </w:pPr>
      <w:bookmarkStart w:id="9" w:name="_Toc160095452"/>
      <w:r w:rsidRPr="009A23E6">
        <w:rPr>
          <w:rFonts w:ascii="Times New Roman" w:hAnsi="Times New Roman" w:cs="Times New Roman"/>
          <w:sz w:val="24"/>
          <w:szCs w:val="24"/>
        </w:rPr>
        <w:t>2. Information Collection Procedures</w:t>
      </w:r>
      <w:bookmarkEnd w:id="8"/>
      <w:bookmarkEnd w:id="9"/>
    </w:p>
    <w:p w:rsidR="00105C59" w:rsidRPr="009A23E6" w:rsidP="00517657" w14:paraId="46045209" w14:textId="77777777">
      <w:pPr>
        <w:spacing w:before="100" w:beforeAutospacing="1"/>
        <w:rPr>
          <w:b/>
          <w:iCs/>
        </w:rPr>
      </w:pPr>
      <w:r w:rsidRPr="009A23E6">
        <w:rPr>
          <w:b/>
          <w:iCs/>
        </w:rPr>
        <w:t>Primary Data Collection</w:t>
      </w:r>
    </w:p>
    <w:p w:rsidR="00517657" w:rsidRPr="009A23E6" w:rsidP="00517657" w14:paraId="5E6FD015" w14:textId="3E994559">
      <w:pPr>
        <w:spacing w:before="100" w:beforeAutospacing="1"/>
      </w:pPr>
      <w:r w:rsidRPr="009A23E6">
        <w:t xml:space="preserve">The </w:t>
      </w:r>
      <w:r w:rsidRPr="009A23E6" w:rsidR="008E1928">
        <w:t>pr</w:t>
      </w:r>
      <w:r w:rsidR="008E1928">
        <w:t>ogram</w:t>
      </w:r>
      <w:r w:rsidRPr="009A23E6" w:rsidR="008E1928">
        <w:t xml:space="preserve"> </w:t>
      </w:r>
      <w:r w:rsidRPr="009A23E6">
        <w:t>will collect a range of data to contribute substantively to the evaluation and facilitate analysis of progress over time. Primary data collection includes surveys</w:t>
      </w:r>
      <w:r w:rsidR="009A519F">
        <w:t xml:space="preserve"> and</w:t>
      </w:r>
      <w:r w:rsidRPr="009A23E6">
        <w:t xml:space="preserve"> qualitative discussions (see Exhibit </w:t>
      </w:r>
      <w:r w:rsidRPr="009A23E6" w:rsidR="0036612F">
        <w:t>1</w:t>
      </w:r>
      <w:r w:rsidRPr="009A23E6">
        <w:t xml:space="preserve"> below). The </w:t>
      </w:r>
      <w:r w:rsidR="008E1928">
        <w:t xml:space="preserve">program </w:t>
      </w:r>
      <w:r w:rsidRPr="009A23E6">
        <w:t xml:space="preserve">will analyze EHR data submitted from individual </w:t>
      </w:r>
      <w:r w:rsidRPr="009A23E6" w:rsidR="008D4EAA">
        <w:t>practices</w:t>
      </w:r>
      <w:r w:rsidRPr="009A23E6">
        <w:t xml:space="preserve"> as secondary data sources.</w:t>
      </w:r>
    </w:p>
    <w:p w:rsidR="00F13EAC" w:rsidRPr="009A23E6" w:rsidP="000C21A5" w14:paraId="78C7FBD4" w14:textId="77777777">
      <w:pPr>
        <w:rPr>
          <w:rStyle w:val="NORCCaption-Color"/>
          <w:rFonts w:ascii="Times New Roman" w:eastAsia="Calibri" w:hAnsi="Times New Roman"/>
          <w:sz w:val="24"/>
        </w:rPr>
      </w:pPr>
    </w:p>
    <w:p w:rsidR="000C21A5" w:rsidRPr="009A23E6" w:rsidP="000C21A5" w14:paraId="78BFDB92" w14:textId="583ADADA">
      <w:bookmarkStart w:id="10" w:name="OLE_LINK4"/>
      <w:r w:rsidRPr="009A23E6">
        <w:rPr>
          <w:rStyle w:val="NORCCaption-Color"/>
          <w:rFonts w:ascii="Times New Roman" w:eastAsia="Calibri" w:hAnsi="Times New Roman"/>
          <w:sz w:val="24"/>
        </w:rPr>
        <w:t xml:space="preserve">Exhibit </w:t>
      </w:r>
      <w:r w:rsidRPr="009A23E6" w:rsidR="0036612F">
        <w:rPr>
          <w:rStyle w:val="NORCCaption-Color"/>
          <w:rFonts w:ascii="Times New Roman" w:eastAsia="Calibri" w:hAnsi="Times New Roman"/>
          <w:sz w:val="24"/>
        </w:rPr>
        <w:t>1</w:t>
      </w:r>
      <w:r w:rsidRPr="009A23E6">
        <w:rPr>
          <w:rStyle w:val="NORCCaption-Color"/>
          <w:rFonts w:ascii="Times New Roman" w:eastAsia="Calibri" w:hAnsi="Times New Roman"/>
          <w:sz w:val="24"/>
        </w:rPr>
        <w:t>:</w:t>
      </w:r>
      <w:r w:rsidRPr="009A23E6">
        <w:t xml:space="preserve"> Summary of Primary Data Collection Activities </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86"/>
        <w:gridCol w:w="1746"/>
        <w:gridCol w:w="2158"/>
        <w:gridCol w:w="2385"/>
      </w:tblGrid>
      <w:tr w14:paraId="54114BA6" w14:textId="77777777" w:rsidTr="005A0683">
        <w:tblPrEx>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blHeader/>
        </w:trPr>
        <w:tc>
          <w:tcPr>
            <w:tcW w:w="2186" w:type="dxa"/>
            <w:tcBorders>
              <w:top w:val="single" w:sz="4" w:space="0" w:color="auto"/>
              <w:left w:val="single" w:sz="4" w:space="0" w:color="auto"/>
              <w:bottom w:val="single" w:sz="4" w:space="0" w:color="auto"/>
              <w:right w:val="single" w:sz="4" w:space="0" w:color="auto"/>
            </w:tcBorders>
            <w:shd w:val="clear" w:color="auto" w:fill="8AB3A4"/>
            <w:tcMar>
              <w:top w:w="0" w:type="dxa"/>
              <w:left w:w="108" w:type="dxa"/>
              <w:bottom w:w="0" w:type="dxa"/>
              <w:right w:w="108" w:type="dxa"/>
            </w:tcMar>
            <w:vAlign w:val="center"/>
            <w:hideMark/>
          </w:tcPr>
          <w:p w:rsidR="000F3C9F" w:rsidRPr="009A23E6" w14:paraId="184F456E" w14:textId="77777777">
            <w:pPr>
              <w:pStyle w:val="NORCTableHeaderArial"/>
              <w:spacing w:line="276" w:lineRule="auto"/>
              <w:rPr>
                <w:rFonts w:ascii="Times New Roman" w:hAnsi="Times New Roman"/>
                <w:sz w:val="20"/>
                <w:szCs w:val="20"/>
              </w:rPr>
            </w:pPr>
            <w:r w:rsidRPr="009A23E6">
              <w:rPr>
                <w:rFonts w:ascii="Times New Roman" w:hAnsi="Times New Roman"/>
                <w:sz w:val="20"/>
                <w:szCs w:val="20"/>
              </w:rPr>
              <w:t>Primary Data Collection Sources</w:t>
            </w:r>
          </w:p>
        </w:tc>
        <w:tc>
          <w:tcPr>
            <w:tcW w:w="1746" w:type="dxa"/>
            <w:tcBorders>
              <w:top w:val="single" w:sz="4" w:space="0" w:color="auto"/>
              <w:left w:val="single" w:sz="4" w:space="0" w:color="auto"/>
              <w:bottom w:val="single" w:sz="4" w:space="0" w:color="auto"/>
              <w:right w:val="single" w:sz="4" w:space="0" w:color="auto"/>
            </w:tcBorders>
            <w:shd w:val="clear" w:color="auto" w:fill="8AB3A4"/>
            <w:tcMar>
              <w:top w:w="0" w:type="dxa"/>
              <w:left w:w="108" w:type="dxa"/>
              <w:bottom w:w="0" w:type="dxa"/>
              <w:right w:w="108" w:type="dxa"/>
            </w:tcMar>
            <w:vAlign w:val="center"/>
            <w:hideMark/>
          </w:tcPr>
          <w:p w:rsidR="000F3C9F" w:rsidRPr="009A23E6" w14:paraId="34275D36" w14:textId="77777777">
            <w:pPr>
              <w:pStyle w:val="NORCTableHeaderArial"/>
              <w:spacing w:line="276" w:lineRule="auto"/>
              <w:rPr>
                <w:rFonts w:ascii="Times New Roman" w:hAnsi="Times New Roman"/>
                <w:sz w:val="20"/>
                <w:szCs w:val="20"/>
              </w:rPr>
            </w:pPr>
            <w:r w:rsidRPr="009A23E6">
              <w:rPr>
                <w:rFonts w:ascii="Times New Roman" w:hAnsi="Times New Roman"/>
                <w:sz w:val="20"/>
                <w:szCs w:val="20"/>
              </w:rPr>
              <w:t>Data Collection Tools</w:t>
            </w:r>
          </w:p>
        </w:tc>
        <w:tc>
          <w:tcPr>
            <w:tcW w:w="2158" w:type="dxa"/>
            <w:tcBorders>
              <w:top w:val="single" w:sz="4" w:space="0" w:color="auto"/>
              <w:left w:val="single" w:sz="4" w:space="0" w:color="auto"/>
              <w:bottom w:val="single" w:sz="4" w:space="0" w:color="auto"/>
              <w:right w:val="single" w:sz="4" w:space="0" w:color="auto"/>
            </w:tcBorders>
            <w:shd w:val="clear" w:color="auto" w:fill="8AB3A4"/>
            <w:vAlign w:val="center"/>
            <w:hideMark/>
          </w:tcPr>
          <w:p w:rsidR="000F3C9F" w:rsidRPr="009A23E6" w14:paraId="652FA8B2" w14:textId="42D9B943">
            <w:pPr>
              <w:pStyle w:val="NORCTableHeaderArial"/>
              <w:spacing w:line="276" w:lineRule="auto"/>
              <w:rPr>
                <w:rFonts w:ascii="Times New Roman" w:hAnsi="Times New Roman"/>
                <w:sz w:val="20"/>
                <w:szCs w:val="20"/>
              </w:rPr>
            </w:pPr>
            <w:r w:rsidRPr="009A23E6">
              <w:rPr>
                <w:rFonts w:ascii="Times New Roman" w:hAnsi="Times New Roman"/>
                <w:sz w:val="20"/>
                <w:szCs w:val="20"/>
              </w:rPr>
              <w:t xml:space="preserve">Target </w:t>
            </w:r>
            <w:r w:rsidR="00240B9D">
              <w:rPr>
                <w:rFonts w:ascii="Times New Roman" w:hAnsi="Times New Roman"/>
                <w:sz w:val="20"/>
                <w:szCs w:val="20"/>
              </w:rPr>
              <w:t>P</w:t>
            </w:r>
            <w:r w:rsidRPr="009A23E6">
              <w:rPr>
                <w:rFonts w:ascii="Times New Roman" w:hAnsi="Times New Roman"/>
                <w:sz w:val="20"/>
                <w:szCs w:val="20"/>
              </w:rPr>
              <w:t>opulation</w:t>
            </w:r>
          </w:p>
        </w:tc>
        <w:tc>
          <w:tcPr>
            <w:tcW w:w="2385" w:type="dxa"/>
            <w:tcBorders>
              <w:top w:val="single" w:sz="4" w:space="0" w:color="auto"/>
              <w:left w:val="single" w:sz="4" w:space="0" w:color="auto"/>
              <w:bottom w:val="single" w:sz="4" w:space="0" w:color="auto"/>
              <w:right w:val="single" w:sz="4" w:space="0" w:color="auto"/>
            </w:tcBorders>
            <w:shd w:val="clear" w:color="auto" w:fill="8AB3A4"/>
            <w:vAlign w:val="center"/>
            <w:hideMark/>
          </w:tcPr>
          <w:p w:rsidR="000F3C9F" w:rsidRPr="009A23E6" w14:paraId="7067AAD3" w14:textId="47F14D20">
            <w:pPr>
              <w:pStyle w:val="NORCTableHeaderArial"/>
              <w:spacing w:line="276" w:lineRule="auto"/>
              <w:rPr>
                <w:rFonts w:ascii="Times New Roman" w:hAnsi="Times New Roman"/>
                <w:sz w:val="20"/>
                <w:szCs w:val="20"/>
              </w:rPr>
            </w:pPr>
            <w:r w:rsidRPr="009A23E6">
              <w:rPr>
                <w:rFonts w:ascii="Times New Roman" w:hAnsi="Times New Roman"/>
                <w:sz w:val="20"/>
                <w:szCs w:val="20"/>
              </w:rPr>
              <w:t xml:space="preserve">Data </w:t>
            </w:r>
            <w:r w:rsidR="00240B9D">
              <w:rPr>
                <w:rFonts w:ascii="Times New Roman" w:hAnsi="Times New Roman"/>
                <w:sz w:val="20"/>
                <w:szCs w:val="20"/>
              </w:rPr>
              <w:t>C</w:t>
            </w:r>
            <w:r w:rsidRPr="009A23E6">
              <w:rPr>
                <w:rFonts w:ascii="Times New Roman" w:hAnsi="Times New Roman"/>
                <w:sz w:val="20"/>
                <w:szCs w:val="20"/>
              </w:rPr>
              <w:t xml:space="preserve">ollection </w:t>
            </w:r>
            <w:r w:rsidR="00240B9D">
              <w:rPr>
                <w:rFonts w:ascii="Times New Roman" w:hAnsi="Times New Roman"/>
                <w:sz w:val="20"/>
                <w:szCs w:val="20"/>
              </w:rPr>
              <w:t>F</w:t>
            </w:r>
            <w:r w:rsidRPr="009A23E6">
              <w:rPr>
                <w:rFonts w:ascii="Times New Roman" w:hAnsi="Times New Roman"/>
                <w:sz w:val="20"/>
                <w:szCs w:val="20"/>
              </w:rPr>
              <w:t>requency</w:t>
            </w:r>
          </w:p>
        </w:tc>
      </w:tr>
      <w:tr w14:paraId="43637786" w14:textId="77777777" w:rsidTr="006179C5">
        <w:tblPrEx>
          <w:tblW w:w="8475" w:type="dxa"/>
          <w:tblLayout w:type="fixed"/>
          <w:tblCellMar>
            <w:left w:w="0" w:type="dxa"/>
            <w:right w:w="0" w:type="dxa"/>
          </w:tblCellMar>
          <w:tblLook w:val="04A0"/>
        </w:tblPrEx>
        <w:trPr>
          <w:cantSplit/>
          <w:trHeight w:val="1178"/>
        </w:trPr>
        <w:tc>
          <w:tcPr>
            <w:tcW w:w="2186" w:type="dxa"/>
            <w:tcBorders>
              <w:top w:val="single" w:sz="4" w:space="0" w:color="auto"/>
              <w:left w:val="single" w:sz="4" w:space="0" w:color="auto"/>
              <w:right w:val="single" w:sz="4" w:space="0" w:color="auto"/>
            </w:tcBorders>
            <w:shd w:val="clear" w:color="auto" w:fill="E9E6E3"/>
            <w:tcMar>
              <w:top w:w="0" w:type="dxa"/>
              <w:left w:w="108" w:type="dxa"/>
              <w:bottom w:w="0" w:type="dxa"/>
              <w:right w:w="108" w:type="dxa"/>
            </w:tcMar>
          </w:tcPr>
          <w:p w:rsidR="00B229C9" w:rsidP="00A86E07" w14:paraId="57F26E0B" w14:textId="77777777">
            <w:pPr>
              <w:pStyle w:val="NORCTableBodyLeft"/>
              <w:spacing w:line="276" w:lineRule="auto"/>
              <w:rPr>
                <w:rFonts w:ascii="Times New Roman" w:hAnsi="Times New Roman"/>
                <w:sz w:val="20"/>
                <w:szCs w:val="20"/>
              </w:rPr>
            </w:pPr>
          </w:p>
          <w:p w:rsidR="00B229C9" w:rsidRPr="009A23E6" w:rsidP="00A86E07" w14:paraId="1F681735" w14:textId="160D7554">
            <w:pPr>
              <w:pStyle w:val="NORCTableBodyLeft"/>
              <w:spacing w:line="276" w:lineRule="auto"/>
              <w:rPr>
                <w:rFonts w:ascii="Times New Roman" w:hAnsi="Times New Roman"/>
                <w:sz w:val="20"/>
                <w:szCs w:val="20"/>
              </w:rPr>
            </w:pPr>
            <w:r w:rsidRPr="003B690D">
              <w:rPr>
                <w:rFonts w:ascii="Times New Roman" w:hAnsi="Times New Roman"/>
                <w:sz w:val="20"/>
                <w:szCs w:val="20"/>
              </w:rPr>
              <w:t>Surveys</w:t>
            </w:r>
          </w:p>
        </w:tc>
        <w:tc>
          <w:tcPr>
            <w:tcW w:w="1746"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tcPr>
          <w:p w:rsidR="00B229C9" w:rsidRPr="00D835F8" w:rsidP="006179C5" w14:paraId="774F01AD" w14:textId="5900DDE3">
            <w:pPr>
              <w:pStyle w:val="NORCTableBodyLeft"/>
              <w:spacing w:line="276" w:lineRule="auto"/>
              <w:rPr>
                <w:rFonts w:ascii="Times New Roman" w:hAnsi="Times New Roman"/>
                <w:sz w:val="20"/>
                <w:szCs w:val="20"/>
                <w:highlight w:val="yellow"/>
              </w:rPr>
            </w:pPr>
            <w:r w:rsidRPr="00FF0648">
              <w:rPr>
                <w:rFonts w:ascii="Times New Roman" w:hAnsi="Times New Roman"/>
                <w:sz w:val="20"/>
                <w:szCs w:val="20"/>
              </w:rPr>
              <w:t>Structural Assessment (</w:t>
            </w:r>
            <w:r w:rsidRPr="00FF0648" w:rsidR="00D2257B">
              <w:rPr>
                <w:rFonts w:ascii="Times New Roman" w:hAnsi="Times New Roman"/>
                <w:sz w:val="20"/>
                <w:szCs w:val="20"/>
              </w:rPr>
              <w:t xml:space="preserve">different </w:t>
            </w:r>
            <w:r w:rsidRPr="00FF0648" w:rsidR="00D835F8">
              <w:rPr>
                <w:rFonts w:ascii="Times New Roman" w:hAnsi="Times New Roman"/>
                <w:sz w:val="20"/>
                <w:szCs w:val="20"/>
              </w:rPr>
              <w:t>versions</w:t>
            </w:r>
            <w:r w:rsidRPr="00FF0648" w:rsidR="00D2257B">
              <w:rPr>
                <w:rFonts w:ascii="Times New Roman" w:hAnsi="Times New Roman"/>
                <w:sz w:val="20"/>
                <w:szCs w:val="20"/>
              </w:rPr>
              <w:t xml:space="preserve"> for brick-and-mortar </w:t>
            </w:r>
            <w:r w:rsidRPr="00FF0648" w:rsidR="00D835F8">
              <w:rPr>
                <w:rFonts w:ascii="Times New Roman" w:hAnsi="Times New Roman"/>
                <w:sz w:val="20"/>
                <w:szCs w:val="20"/>
              </w:rPr>
              <w:t xml:space="preserve">practices </w:t>
            </w:r>
            <w:r w:rsidRPr="00FF0648" w:rsidR="00D2257B">
              <w:rPr>
                <w:rFonts w:ascii="Times New Roman" w:hAnsi="Times New Roman"/>
                <w:sz w:val="20"/>
                <w:szCs w:val="20"/>
              </w:rPr>
              <w:t xml:space="preserve">and telemedicine-only </w:t>
            </w:r>
            <w:r w:rsidRPr="00FF0648" w:rsidR="00D835F8">
              <w:rPr>
                <w:rFonts w:ascii="Times New Roman" w:hAnsi="Times New Roman"/>
                <w:sz w:val="20"/>
                <w:szCs w:val="20"/>
              </w:rPr>
              <w:t>organizations</w:t>
            </w:r>
            <w:r w:rsidRPr="00FF0648">
              <w:rPr>
                <w:rFonts w:ascii="Times New Roman" w:hAnsi="Times New Roman"/>
                <w:sz w:val="20"/>
                <w:szCs w:val="20"/>
              </w:rPr>
              <w:t>)</w:t>
            </w:r>
          </w:p>
        </w:tc>
        <w:tc>
          <w:tcPr>
            <w:tcW w:w="2158" w:type="dxa"/>
            <w:tcBorders>
              <w:top w:val="single" w:sz="4" w:space="0" w:color="auto"/>
              <w:left w:val="single" w:sz="4" w:space="0" w:color="auto"/>
              <w:bottom w:val="single" w:sz="4" w:space="0" w:color="auto"/>
              <w:right w:val="single" w:sz="4" w:space="0" w:color="auto"/>
            </w:tcBorders>
            <w:shd w:val="clear" w:color="auto" w:fill="E9E6E3"/>
          </w:tcPr>
          <w:p w:rsidR="00B229C9" w:rsidRPr="00D835F8" w:rsidP="00E72B07" w14:paraId="2D00373F" w14:textId="54C14318">
            <w:pPr>
              <w:pStyle w:val="NORCTableBullet110ptNarrow"/>
              <w:framePr w:hSpace="0" w:wrap="auto" w:vAnchor="margin" w:hAnchor="text" w:yAlign="inline"/>
              <w:numPr>
                <w:ilvl w:val="0"/>
                <w:numId w:val="0"/>
              </w:numPr>
              <w:tabs>
                <w:tab w:val="clear" w:pos="144"/>
                <w:tab w:val="left" w:pos="181"/>
              </w:tabs>
              <w:spacing w:line="276" w:lineRule="auto"/>
              <w:ind w:left="91"/>
              <w:rPr>
                <w:rFonts w:ascii="Times New Roman" w:hAnsi="Times New Roman"/>
                <w:highlight w:val="yellow"/>
              </w:rPr>
            </w:pPr>
            <w:r w:rsidRPr="00FF0648">
              <w:rPr>
                <w:rFonts w:ascii="Times New Roman" w:hAnsi="Times New Roman"/>
              </w:rPr>
              <w:t>L</w:t>
            </w:r>
            <w:r w:rsidRPr="00FF0648">
              <w:rPr>
                <w:rFonts w:ascii="Times New Roman" w:hAnsi="Times New Roman"/>
              </w:rPr>
              <w:t>eader/champion at the participating practice</w:t>
            </w:r>
            <w:r w:rsidRPr="00FF0648">
              <w:rPr>
                <w:rFonts w:ascii="Times New Roman" w:hAnsi="Times New Roman"/>
              </w:rPr>
              <w:t>/</w:t>
            </w:r>
            <w:r w:rsidRPr="00FF0648" w:rsidR="00D2257B">
              <w:rPr>
                <w:rFonts w:ascii="Times New Roman" w:hAnsi="Times New Roman"/>
              </w:rPr>
              <w:t xml:space="preserve"> organization </w:t>
            </w:r>
          </w:p>
        </w:tc>
        <w:tc>
          <w:tcPr>
            <w:tcW w:w="2385" w:type="dxa"/>
            <w:tcBorders>
              <w:top w:val="single" w:sz="4" w:space="0" w:color="auto"/>
              <w:left w:val="single" w:sz="4" w:space="0" w:color="auto"/>
              <w:bottom w:val="single" w:sz="4" w:space="0" w:color="auto"/>
              <w:right w:val="single" w:sz="4" w:space="0" w:color="auto"/>
            </w:tcBorders>
            <w:shd w:val="clear" w:color="auto" w:fill="E9E6E3"/>
          </w:tcPr>
          <w:p w:rsidR="00B229C9" w:rsidRPr="009A23E6" w:rsidP="000208BE" w14:paraId="4E4280BF" w14:textId="77777777">
            <w:pPr>
              <w:pStyle w:val="NORCTableBullet110ptNarrow"/>
              <w:framePr w:wrap="around"/>
              <w:numPr>
                <w:ilvl w:val="0"/>
                <w:numId w:val="0"/>
              </w:numPr>
              <w:rPr>
                <w:rFonts w:ascii="Times New Roman" w:hAnsi="Times New Roman"/>
              </w:rPr>
            </w:pPr>
            <w:r w:rsidRPr="009A23E6">
              <w:rPr>
                <w:rFonts w:ascii="Times New Roman" w:hAnsi="Times New Roman"/>
              </w:rPr>
              <w:t xml:space="preserve"> </w:t>
            </w:r>
            <w:bookmarkStart w:id="11" w:name="OLE_LINK3"/>
            <w:r w:rsidRPr="009A23E6">
              <w:rPr>
                <w:rFonts w:ascii="Times New Roman" w:hAnsi="Times New Roman"/>
              </w:rPr>
              <w:t xml:space="preserve">At baseline (pre- </w:t>
            </w:r>
          </w:p>
          <w:p w:rsidR="00B229C9" w:rsidRPr="009A23E6" w:rsidP="000208BE" w14:paraId="749D572B" w14:textId="77777777">
            <w:pPr>
              <w:pStyle w:val="NORCTableBullet110ptNarrow"/>
              <w:framePr w:wrap="around"/>
              <w:numPr>
                <w:ilvl w:val="0"/>
                <w:numId w:val="0"/>
              </w:numPr>
              <w:rPr>
                <w:rFonts w:ascii="Times New Roman" w:hAnsi="Times New Roman"/>
              </w:rPr>
            </w:pPr>
            <w:r w:rsidRPr="009A23E6">
              <w:rPr>
                <w:rFonts w:ascii="Times New Roman" w:hAnsi="Times New Roman"/>
              </w:rPr>
              <w:t xml:space="preserve"> intervention) and end of  </w:t>
            </w:r>
          </w:p>
          <w:p w:rsidR="00B229C9" w:rsidRPr="009A23E6" w:rsidP="000208BE" w14:paraId="7C5426DA" w14:textId="532605DB">
            <w:pPr>
              <w:pStyle w:val="NORCTableBullet110ptNarrow"/>
              <w:framePr w:wrap="around"/>
              <w:numPr>
                <w:ilvl w:val="0"/>
                <w:numId w:val="0"/>
              </w:numPr>
              <w:rPr>
                <w:rFonts w:ascii="Times New Roman" w:hAnsi="Times New Roman"/>
              </w:rPr>
            </w:pPr>
            <w:r w:rsidRPr="009A23E6">
              <w:rPr>
                <w:rFonts w:ascii="Times New Roman" w:hAnsi="Times New Roman"/>
              </w:rPr>
              <w:t xml:space="preserve"> intervention</w:t>
            </w:r>
            <w:bookmarkEnd w:id="11"/>
          </w:p>
        </w:tc>
      </w:tr>
      <w:tr w14:paraId="242A1717" w14:textId="77777777" w:rsidTr="00A86E07">
        <w:tblPrEx>
          <w:tblW w:w="8475" w:type="dxa"/>
          <w:tblLayout w:type="fixed"/>
          <w:tblCellMar>
            <w:left w:w="0" w:type="dxa"/>
            <w:right w:w="0" w:type="dxa"/>
          </w:tblCellMar>
          <w:tblLook w:val="04A0"/>
        </w:tblPrEx>
        <w:trPr>
          <w:cantSplit/>
          <w:trHeight w:val="2196"/>
        </w:trPr>
        <w:tc>
          <w:tcPr>
            <w:tcW w:w="2186" w:type="dxa"/>
            <w:vMerge w:val="restart"/>
            <w:tcBorders>
              <w:left w:val="single" w:sz="4" w:space="0" w:color="auto"/>
              <w:right w:val="single" w:sz="4" w:space="0" w:color="auto"/>
            </w:tcBorders>
            <w:shd w:val="clear" w:color="auto" w:fill="E9E6E3"/>
            <w:tcMar>
              <w:top w:w="0" w:type="dxa"/>
              <w:left w:w="108" w:type="dxa"/>
              <w:bottom w:w="0" w:type="dxa"/>
              <w:right w:w="108" w:type="dxa"/>
            </w:tcMar>
            <w:hideMark/>
          </w:tcPr>
          <w:p w:rsidR="00CB36B3" w:rsidRPr="009A23E6" w14:paraId="369007D5" w14:textId="6EAEC99C">
            <w:pPr>
              <w:pStyle w:val="NORCTableBodyLeft"/>
              <w:spacing w:line="276" w:lineRule="auto"/>
              <w:rPr>
                <w:rFonts w:ascii="Times New Roman" w:hAnsi="Times New Roman"/>
                <w:sz w:val="20"/>
                <w:szCs w:val="20"/>
              </w:rPr>
            </w:pPr>
          </w:p>
        </w:tc>
        <w:tc>
          <w:tcPr>
            <w:tcW w:w="1746" w:type="dxa"/>
            <w:tcBorders>
              <w:top w:val="single" w:sz="4" w:space="0" w:color="auto"/>
              <w:left w:val="single" w:sz="4" w:space="0" w:color="auto"/>
              <w:right w:val="single" w:sz="4" w:space="0" w:color="auto"/>
            </w:tcBorders>
            <w:shd w:val="clear" w:color="auto" w:fill="E9E6E3"/>
            <w:tcMar>
              <w:top w:w="0" w:type="dxa"/>
              <w:left w:w="108" w:type="dxa"/>
              <w:bottom w:w="0" w:type="dxa"/>
              <w:right w:w="108" w:type="dxa"/>
            </w:tcMar>
            <w:hideMark/>
          </w:tcPr>
          <w:p w:rsidR="00CB36B3" w:rsidRPr="009A23E6" w14:paraId="4E8938C4" w14:textId="7AF89773">
            <w:pPr>
              <w:pStyle w:val="NORCTableBodyLeft"/>
              <w:spacing w:line="276" w:lineRule="auto"/>
              <w:rPr>
                <w:rFonts w:ascii="Times New Roman" w:hAnsi="Times New Roman"/>
                <w:sz w:val="20"/>
                <w:szCs w:val="20"/>
              </w:rPr>
            </w:pPr>
            <w:r w:rsidRPr="009A23E6">
              <w:rPr>
                <w:rFonts w:ascii="Times New Roman" w:hAnsi="Times New Roman"/>
                <w:sz w:val="20"/>
                <w:szCs w:val="20"/>
              </w:rPr>
              <w:t>AHRQ MOSOPS</w:t>
            </w:r>
          </w:p>
        </w:tc>
        <w:tc>
          <w:tcPr>
            <w:tcW w:w="2158" w:type="dxa"/>
            <w:tcBorders>
              <w:top w:val="single" w:sz="4" w:space="0" w:color="auto"/>
              <w:left w:val="single" w:sz="4" w:space="0" w:color="auto"/>
              <w:right w:val="single" w:sz="4" w:space="0" w:color="auto"/>
            </w:tcBorders>
            <w:shd w:val="clear" w:color="auto" w:fill="E9E6E3"/>
            <w:hideMark/>
          </w:tcPr>
          <w:p w:rsidR="00CB36B3" w:rsidRPr="009A23E6" w14:paraId="01538E80" w14:textId="70389C75">
            <w:pPr>
              <w:pStyle w:val="NORCTableBullet110ptNarrow"/>
              <w:framePr w:hSpace="0" w:wrap="auto" w:vAnchor="margin" w:hAnchor="text" w:yAlign="inline"/>
              <w:numPr>
                <w:ilvl w:val="0"/>
                <w:numId w:val="0"/>
              </w:numPr>
              <w:tabs>
                <w:tab w:val="clear" w:pos="144"/>
                <w:tab w:val="left" w:pos="181"/>
              </w:tabs>
              <w:spacing w:line="276" w:lineRule="auto"/>
              <w:ind w:left="91"/>
              <w:rPr>
                <w:rFonts w:ascii="Times New Roman" w:hAnsi="Times New Roman"/>
              </w:rPr>
            </w:pPr>
            <w:r w:rsidRPr="00FF0648">
              <w:rPr>
                <w:rFonts w:ascii="Times New Roman" w:hAnsi="Times New Roman"/>
              </w:rPr>
              <w:t>All staff at the participating</w:t>
            </w:r>
            <w:r w:rsidRPr="00FF0648" w:rsidR="00D2257B">
              <w:rPr>
                <w:rFonts w:ascii="Times New Roman" w:hAnsi="Times New Roman"/>
              </w:rPr>
              <w:t xml:space="preserve"> brick-and-mortar</w:t>
            </w:r>
            <w:r w:rsidRPr="00FF0648">
              <w:rPr>
                <w:rFonts w:ascii="Times New Roman" w:hAnsi="Times New Roman"/>
              </w:rPr>
              <w:t xml:space="preserve"> practices</w:t>
            </w:r>
          </w:p>
        </w:tc>
        <w:tc>
          <w:tcPr>
            <w:tcW w:w="2385" w:type="dxa"/>
            <w:tcBorders>
              <w:top w:val="single" w:sz="4" w:space="0" w:color="auto"/>
              <w:left w:val="single" w:sz="4" w:space="0" w:color="auto"/>
              <w:right w:val="single" w:sz="4" w:space="0" w:color="auto"/>
            </w:tcBorders>
            <w:shd w:val="clear" w:color="auto" w:fill="E9E6E3"/>
          </w:tcPr>
          <w:p w:rsidR="00CB36B3" w:rsidRPr="009A23E6" w:rsidP="000208BE" w14:paraId="14815392" w14:textId="0D53B762">
            <w:pPr>
              <w:pStyle w:val="NORCTableBullet110ptNarrow"/>
              <w:framePr w:hSpace="0" w:wrap="auto" w:vAnchor="margin" w:hAnchor="text" w:yAlign="inline"/>
              <w:numPr>
                <w:ilvl w:val="0"/>
                <w:numId w:val="0"/>
              </w:numPr>
              <w:suppressOverlap w:val="0"/>
              <w:rPr>
                <w:rFonts w:ascii="Times New Roman" w:hAnsi="Times New Roman"/>
              </w:rPr>
            </w:pPr>
            <w:r w:rsidRPr="009A23E6">
              <w:rPr>
                <w:rFonts w:ascii="Times New Roman" w:hAnsi="Times New Roman"/>
              </w:rPr>
              <w:t xml:space="preserve"> At baseline (pre- </w:t>
            </w:r>
          </w:p>
          <w:p w:rsidR="00CB36B3" w:rsidRPr="009A23E6" w:rsidP="000208BE" w14:paraId="406FBA2B" w14:textId="77777777">
            <w:pPr>
              <w:pStyle w:val="NORCTableBullet110ptNarrow"/>
              <w:framePr w:hSpace="0" w:wrap="auto" w:vAnchor="margin" w:hAnchor="text" w:yAlign="inline"/>
              <w:numPr>
                <w:ilvl w:val="0"/>
                <w:numId w:val="0"/>
              </w:numPr>
              <w:suppressOverlap w:val="0"/>
              <w:rPr>
                <w:rFonts w:ascii="Times New Roman" w:hAnsi="Times New Roman"/>
              </w:rPr>
            </w:pPr>
            <w:r w:rsidRPr="009A23E6">
              <w:rPr>
                <w:rFonts w:ascii="Times New Roman" w:hAnsi="Times New Roman"/>
              </w:rPr>
              <w:t xml:space="preserve"> intervention) and end of  </w:t>
            </w:r>
          </w:p>
          <w:p w:rsidR="00CB36B3" w:rsidRPr="009A23E6" w:rsidP="000208BE" w14:paraId="460E0D89" w14:textId="1945CAF5">
            <w:pPr>
              <w:pStyle w:val="NORCTableBullet110ptNarrow"/>
              <w:framePr w:wrap="around"/>
              <w:numPr>
                <w:ilvl w:val="0"/>
                <w:numId w:val="0"/>
              </w:numPr>
              <w:ind w:left="360" w:hanging="360"/>
              <w:rPr>
                <w:rFonts w:ascii="Times New Roman" w:hAnsi="Times New Roman"/>
              </w:rPr>
            </w:pPr>
            <w:r w:rsidRPr="009A23E6">
              <w:rPr>
                <w:rFonts w:ascii="Times New Roman" w:hAnsi="Times New Roman"/>
              </w:rPr>
              <w:t xml:space="preserve"> intervention</w:t>
            </w:r>
          </w:p>
        </w:tc>
      </w:tr>
      <w:tr w14:paraId="58910BAE" w14:textId="77777777" w:rsidTr="00A86E07">
        <w:tblPrEx>
          <w:tblW w:w="8475" w:type="dxa"/>
          <w:tblLayout w:type="fixed"/>
          <w:tblCellMar>
            <w:left w:w="0" w:type="dxa"/>
            <w:right w:w="0" w:type="dxa"/>
          </w:tblCellMar>
          <w:tblLook w:val="04A0"/>
        </w:tblPrEx>
        <w:trPr>
          <w:cantSplit/>
          <w:trHeight w:val="683"/>
        </w:trPr>
        <w:tc>
          <w:tcPr>
            <w:tcW w:w="2186" w:type="dxa"/>
            <w:vMerge/>
            <w:tcBorders>
              <w:left w:val="single" w:sz="4" w:space="0" w:color="auto"/>
              <w:right w:val="single" w:sz="4" w:space="0" w:color="auto"/>
            </w:tcBorders>
            <w:vAlign w:val="center"/>
            <w:hideMark/>
          </w:tcPr>
          <w:p w:rsidR="00CB36B3" w:rsidRPr="009A23E6" w14:paraId="68AA2484" w14:textId="77777777">
            <w:pPr>
              <w:spacing w:line="276" w:lineRule="auto"/>
              <w:rPr>
                <w:rFonts w:eastAsia="SimSun"/>
                <w:sz w:val="20"/>
                <w:szCs w:val="20"/>
              </w:rPr>
            </w:pPr>
          </w:p>
        </w:tc>
        <w:tc>
          <w:tcPr>
            <w:tcW w:w="1746" w:type="dxa"/>
            <w:tcBorders>
              <w:top w:val="single" w:sz="4" w:space="0" w:color="auto"/>
              <w:left w:val="single" w:sz="4" w:space="0" w:color="auto"/>
              <w:right w:val="single" w:sz="4" w:space="0" w:color="auto"/>
            </w:tcBorders>
            <w:shd w:val="clear" w:color="auto" w:fill="E9E6E3"/>
            <w:tcMar>
              <w:top w:w="0" w:type="dxa"/>
              <w:left w:w="108" w:type="dxa"/>
              <w:bottom w:w="0" w:type="dxa"/>
              <w:right w:w="108" w:type="dxa"/>
            </w:tcMar>
            <w:hideMark/>
          </w:tcPr>
          <w:p w:rsidR="00CB36B3" w:rsidRPr="00FF0648" w14:paraId="6247BFC1" w14:textId="0F77408C">
            <w:pPr>
              <w:pStyle w:val="NORCTableBodyLeft"/>
              <w:spacing w:line="276" w:lineRule="auto"/>
              <w:rPr>
                <w:rFonts w:ascii="Times New Roman" w:hAnsi="Times New Roman"/>
                <w:sz w:val="20"/>
                <w:szCs w:val="20"/>
              </w:rPr>
            </w:pPr>
            <w:r w:rsidRPr="00FF0648">
              <w:rPr>
                <w:rFonts w:ascii="Times New Roman" w:hAnsi="Times New Roman"/>
                <w:sz w:val="20"/>
                <w:szCs w:val="20"/>
              </w:rPr>
              <w:t>Participant Experience Survey</w:t>
            </w:r>
            <w:r w:rsidRPr="00FF0648" w:rsidR="00D835F8">
              <w:rPr>
                <w:rFonts w:ascii="Times New Roman" w:hAnsi="Times New Roman"/>
                <w:sz w:val="20"/>
                <w:szCs w:val="20"/>
              </w:rPr>
              <w:t xml:space="preserve"> (different versions for brick-and-mortar practices and telemedicine-only organizations</w:t>
            </w:r>
            <w:r w:rsidRPr="00FF0648" w:rsidR="002C6168">
              <w:rPr>
                <w:rFonts w:ascii="Times New Roman" w:hAnsi="Times New Roman"/>
                <w:sz w:val="20"/>
                <w:szCs w:val="20"/>
              </w:rPr>
              <w:t>)</w:t>
            </w:r>
          </w:p>
        </w:tc>
        <w:tc>
          <w:tcPr>
            <w:tcW w:w="2158" w:type="dxa"/>
            <w:tcBorders>
              <w:top w:val="single" w:sz="4" w:space="0" w:color="auto"/>
              <w:left w:val="single" w:sz="4" w:space="0" w:color="auto"/>
              <w:right w:val="single" w:sz="4" w:space="0" w:color="auto"/>
            </w:tcBorders>
            <w:shd w:val="clear" w:color="auto" w:fill="E9E6E3"/>
            <w:hideMark/>
          </w:tcPr>
          <w:p w:rsidR="00CB36B3" w:rsidRPr="00FF0648" w14:paraId="75944D37" w14:textId="066E24A9">
            <w:pPr>
              <w:pStyle w:val="NORCTableBullet110ptNarrow"/>
              <w:framePr w:hSpace="0" w:wrap="auto" w:vAnchor="margin" w:hAnchor="text" w:yAlign="inline"/>
              <w:numPr>
                <w:ilvl w:val="0"/>
                <w:numId w:val="0"/>
              </w:numPr>
              <w:tabs>
                <w:tab w:val="clear" w:pos="144"/>
                <w:tab w:val="left" w:pos="181"/>
              </w:tabs>
              <w:spacing w:line="276" w:lineRule="auto"/>
              <w:ind w:left="91"/>
              <w:rPr>
                <w:rFonts w:ascii="Times New Roman" w:hAnsi="Times New Roman"/>
              </w:rPr>
            </w:pPr>
            <w:r w:rsidRPr="00FF0648">
              <w:rPr>
                <w:rFonts w:ascii="Times New Roman" w:hAnsi="Times New Roman"/>
              </w:rPr>
              <w:t>L</w:t>
            </w:r>
            <w:r w:rsidRPr="00FF0648" w:rsidR="00B229C9">
              <w:rPr>
                <w:rFonts w:ascii="Times New Roman" w:hAnsi="Times New Roman"/>
              </w:rPr>
              <w:t>eader/champion</w:t>
            </w:r>
            <w:r w:rsidRPr="00FF0648">
              <w:rPr>
                <w:rFonts w:ascii="Times New Roman" w:hAnsi="Times New Roman"/>
              </w:rPr>
              <w:t xml:space="preserve"> at the participating practices</w:t>
            </w:r>
          </w:p>
        </w:tc>
        <w:tc>
          <w:tcPr>
            <w:tcW w:w="2385" w:type="dxa"/>
            <w:tcBorders>
              <w:top w:val="single" w:sz="4" w:space="0" w:color="auto"/>
              <w:left w:val="single" w:sz="4" w:space="0" w:color="auto"/>
              <w:right w:val="single" w:sz="4" w:space="0" w:color="auto"/>
            </w:tcBorders>
            <w:shd w:val="clear" w:color="auto" w:fill="E9E6E3"/>
            <w:hideMark/>
          </w:tcPr>
          <w:p w:rsidR="00CB36B3" w:rsidRPr="009A23E6" w:rsidP="0065358A" w14:paraId="55632BB8" w14:textId="2A33086A">
            <w:pPr>
              <w:pStyle w:val="NORCTableBullet110ptNarrow"/>
              <w:framePr w:hSpace="0" w:wrap="auto" w:vAnchor="margin" w:hAnchor="text" w:yAlign="inline"/>
              <w:numPr>
                <w:ilvl w:val="0"/>
                <w:numId w:val="0"/>
              </w:numPr>
              <w:spacing w:line="276" w:lineRule="auto"/>
              <w:ind w:left="62"/>
              <w:suppressOverlap w:val="0"/>
              <w:rPr>
                <w:rFonts w:ascii="Times New Roman" w:hAnsi="Times New Roman"/>
              </w:rPr>
            </w:pPr>
            <w:r>
              <w:rPr>
                <w:rFonts w:ascii="Times New Roman" w:hAnsi="Times New Roman"/>
              </w:rPr>
              <w:t>End of the intervention period</w:t>
            </w:r>
          </w:p>
        </w:tc>
      </w:tr>
      <w:tr w14:paraId="204D168A" w14:textId="77777777" w:rsidTr="006B7D71">
        <w:tblPrEx>
          <w:tblW w:w="8475" w:type="dxa"/>
          <w:tblLayout w:type="fixed"/>
          <w:tblCellMar>
            <w:left w:w="0" w:type="dxa"/>
            <w:right w:w="0" w:type="dxa"/>
          </w:tblCellMar>
          <w:tblLook w:val="04A0"/>
        </w:tblPrEx>
        <w:trPr>
          <w:cantSplit/>
          <w:trHeight w:val="1448"/>
        </w:trPr>
        <w:tc>
          <w:tcPr>
            <w:tcW w:w="2186"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hideMark/>
          </w:tcPr>
          <w:p w:rsidR="005A0683" w:rsidRPr="009A23E6" w14:paraId="449D86ED" w14:textId="28E97672">
            <w:pPr>
              <w:pStyle w:val="NORCTableBodyLeft"/>
              <w:spacing w:line="276" w:lineRule="auto"/>
              <w:rPr>
                <w:rFonts w:ascii="Times New Roman" w:hAnsi="Times New Roman"/>
                <w:sz w:val="20"/>
                <w:szCs w:val="20"/>
              </w:rPr>
            </w:pPr>
            <w:r>
              <w:rPr>
                <w:rFonts w:ascii="Times New Roman" w:hAnsi="Times New Roman"/>
                <w:sz w:val="20"/>
                <w:szCs w:val="20"/>
              </w:rPr>
              <w:t>Qualitative Interviews</w:t>
            </w:r>
            <w:r w:rsidR="00571DE0">
              <w:rPr>
                <w:rFonts w:ascii="Times New Roman" w:hAnsi="Times New Roman"/>
                <w:sz w:val="20"/>
                <w:szCs w:val="20"/>
              </w:rPr>
              <w:t xml:space="preserve"> (held virtually)</w:t>
            </w:r>
          </w:p>
        </w:tc>
        <w:tc>
          <w:tcPr>
            <w:tcW w:w="1746" w:type="dxa"/>
            <w:tcBorders>
              <w:top w:val="single" w:sz="4" w:space="0" w:color="auto"/>
              <w:left w:val="single" w:sz="4" w:space="0" w:color="auto"/>
              <w:right w:val="single" w:sz="4" w:space="0" w:color="auto"/>
            </w:tcBorders>
            <w:shd w:val="clear" w:color="auto" w:fill="E9E6E3"/>
            <w:tcMar>
              <w:top w:w="0" w:type="dxa"/>
              <w:left w:w="108" w:type="dxa"/>
              <w:bottom w:w="0" w:type="dxa"/>
              <w:right w:w="108" w:type="dxa"/>
            </w:tcMar>
          </w:tcPr>
          <w:p w:rsidR="000F3C9F" w:rsidRPr="009A23E6" w:rsidP="005A0683" w14:paraId="07E9018D" w14:textId="0F125E23">
            <w:pPr>
              <w:pStyle w:val="NORCTableBullet110ptNarrow"/>
              <w:framePr w:hSpace="0" w:wrap="auto" w:vAnchor="margin" w:hAnchor="text" w:yAlign="inline"/>
              <w:numPr>
                <w:ilvl w:val="0"/>
                <w:numId w:val="0"/>
              </w:numPr>
              <w:spacing w:line="276" w:lineRule="auto"/>
              <w:rPr>
                <w:rFonts w:ascii="Times New Roman" w:hAnsi="Times New Roman"/>
              </w:rPr>
            </w:pPr>
            <w:r w:rsidRPr="009A23E6">
              <w:rPr>
                <w:rFonts w:ascii="Times New Roman" w:hAnsi="Times New Roman"/>
              </w:rPr>
              <w:t xml:space="preserve">A semi-structured </w:t>
            </w:r>
            <w:r w:rsidR="00D539D7">
              <w:rPr>
                <w:rFonts w:ascii="Times New Roman" w:hAnsi="Times New Roman"/>
              </w:rPr>
              <w:t xml:space="preserve">interview </w:t>
            </w:r>
            <w:r w:rsidRPr="009A23E6">
              <w:rPr>
                <w:rFonts w:ascii="Times New Roman" w:hAnsi="Times New Roman"/>
              </w:rPr>
              <w:t>guide</w:t>
            </w:r>
          </w:p>
        </w:tc>
        <w:tc>
          <w:tcPr>
            <w:tcW w:w="2158" w:type="dxa"/>
            <w:tcBorders>
              <w:top w:val="single" w:sz="4" w:space="0" w:color="auto"/>
              <w:left w:val="single" w:sz="4" w:space="0" w:color="auto"/>
              <w:right w:val="single" w:sz="4" w:space="0" w:color="auto"/>
            </w:tcBorders>
            <w:shd w:val="clear" w:color="auto" w:fill="E9E6E3"/>
            <w:hideMark/>
          </w:tcPr>
          <w:p w:rsidR="00B97ABC" w:rsidRPr="009A23E6" w:rsidP="00D539D7" w14:paraId="6ECCBFF5" w14:textId="4AD86E53">
            <w:pPr>
              <w:pStyle w:val="NORCTableBullet110ptNarrow"/>
              <w:framePr w:hSpace="0" w:wrap="auto" w:vAnchor="margin" w:hAnchor="text" w:yAlign="inline"/>
              <w:numPr>
                <w:ilvl w:val="0"/>
                <w:numId w:val="0"/>
              </w:numPr>
              <w:tabs>
                <w:tab w:val="clear" w:pos="144"/>
                <w:tab w:val="left" w:pos="181"/>
              </w:tabs>
              <w:spacing w:line="276" w:lineRule="auto"/>
              <w:ind w:left="91"/>
              <w:rPr>
                <w:rFonts w:ascii="Times New Roman" w:hAnsi="Times New Roman"/>
              </w:rPr>
            </w:pPr>
            <w:r w:rsidRPr="009A23E6">
              <w:rPr>
                <w:rFonts w:ascii="Times New Roman" w:hAnsi="Times New Roman"/>
              </w:rPr>
              <w:t>1 to 2</w:t>
            </w:r>
            <w:r w:rsidRPr="009A23E6" w:rsidR="005A0683">
              <w:rPr>
                <w:rFonts w:ascii="Times New Roman" w:hAnsi="Times New Roman"/>
              </w:rPr>
              <w:t xml:space="preserve"> </w:t>
            </w:r>
            <w:r w:rsidR="00D539D7">
              <w:rPr>
                <w:rFonts w:ascii="Times New Roman" w:hAnsi="Times New Roman"/>
              </w:rPr>
              <w:t>HCPs</w:t>
            </w:r>
            <w:r w:rsidRPr="009A23E6">
              <w:rPr>
                <w:rFonts w:ascii="Times New Roman" w:hAnsi="Times New Roman"/>
              </w:rPr>
              <w:t xml:space="preserve"> </w:t>
            </w:r>
            <w:r w:rsidRPr="009A23E6" w:rsidR="005A0683">
              <w:rPr>
                <w:rFonts w:ascii="Times New Roman" w:hAnsi="Times New Roman"/>
              </w:rPr>
              <w:t xml:space="preserve">from </w:t>
            </w:r>
            <w:r w:rsidR="00057435">
              <w:rPr>
                <w:rFonts w:ascii="Times New Roman" w:hAnsi="Times New Roman"/>
              </w:rPr>
              <w:t>2</w:t>
            </w:r>
            <w:r w:rsidRPr="009A23E6" w:rsidR="00057435">
              <w:rPr>
                <w:rFonts w:ascii="Times New Roman" w:hAnsi="Times New Roman"/>
              </w:rPr>
              <w:t xml:space="preserve">0 </w:t>
            </w:r>
          </w:p>
          <w:p w:rsidR="005A0683" w:rsidRPr="009A23E6" w:rsidP="00571DE0" w14:paraId="7BA402DE" w14:textId="03BA151C">
            <w:pPr>
              <w:pStyle w:val="NORCTableBullet110ptNarrow"/>
              <w:framePr w:hSpace="0" w:wrap="auto" w:vAnchor="margin" w:hAnchor="text" w:yAlign="inline"/>
              <w:numPr>
                <w:ilvl w:val="0"/>
                <w:numId w:val="0"/>
              </w:numPr>
              <w:tabs>
                <w:tab w:val="clear" w:pos="144"/>
                <w:tab w:val="left" w:pos="181"/>
              </w:tabs>
              <w:spacing w:line="276" w:lineRule="auto"/>
              <w:ind w:left="91"/>
              <w:rPr>
                <w:rFonts w:ascii="Times New Roman" w:hAnsi="Times New Roman"/>
              </w:rPr>
            </w:pPr>
            <w:r w:rsidRPr="009A23E6">
              <w:rPr>
                <w:rFonts w:ascii="Times New Roman" w:hAnsi="Times New Roman"/>
              </w:rPr>
              <w:t>practices (</w:t>
            </w:r>
            <w:r w:rsidRPr="009A23E6" w:rsidR="00B97ABC">
              <w:rPr>
                <w:rFonts w:ascii="Times New Roman" w:hAnsi="Times New Roman"/>
              </w:rPr>
              <w:t xml:space="preserve">up to </w:t>
            </w:r>
            <w:r w:rsidR="00057435">
              <w:rPr>
                <w:rFonts w:ascii="Times New Roman" w:hAnsi="Times New Roman"/>
              </w:rPr>
              <w:t>4</w:t>
            </w:r>
            <w:r w:rsidRPr="009A23E6" w:rsidR="00B97ABC">
              <w:rPr>
                <w:rFonts w:ascii="Times New Roman" w:hAnsi="Times New Roman"/>
              </w:rPr>
              <w:t>0 providers total</w:t>
            </w:r>
            <w:r w:rsidRPr="009A23E6">
              <w:rPr>
                <w:rFonts w:ascii="Times New Roman" w:hAnsi="Times New Roman"/>
              </w:rPr>
              <w:t>)</w:t>
            </w:r>
          </w:p>
          <w:p w:rsidR="000F3C9F" w:rsidRPr="009A23E6" w:rsidP="00334992" w14:paraId="10ED28B6" w14:textId="41251562">
            <w:pPr>
              <w:pStyle w:val="NORCTableBullet110ptNarrow"/>
              <w:framePr w:wrap="around"/>
              <w:tabs>
                <w:tab w:val="left" w:pos="181"/>
              </w:tabs>
              <w:spacing w:line="276" w:lineRule="auto"/>
              <w:ind w:left="0"/>
              <w:rPr>
                <w:rFonts w:ascii="Times New Roman" w:hAnsi="Times New Roman"/>
              </w:rPr>
            </w:pPr>
          </w:p>
        </w:tc>
        <w:tc>
          <w:tcPr>
            <w:tcW w:w="2385" w:type="dxa"/>
            <w:tcBorders>
              <w:top w:val="single" w:sz="4" w:space="0" w:color="auto"/>
              <w:left w:val="single" w:sz="4" w:space="0" w:color="auto"/>
              <w:right w:val="single" w:sz="4" w:space="0" w:color="auto"/>
            </w:tcBorders>
            <w:shd w:val="clear" w:color="auto" w:fill="E9E6E3"/>
            <w:hideMark/>
          </w:tcPr>
          <w:p w:rsidR="005A0683" w:rsidRPr="009A23E6" w:rsidP="0065358A" w14:paraId="753F8137" w14:textId="77F2FF0E">
            <w:pPr>
              <w:pStyle w:val="NORCTableBullet110ptNarrow"/>
              <w:framePr w:hSpace="0" w:wrap="auto" w:vAnchor="margin" w:hAnchor="text" w:yAlign="inline"/>
              <w:numPr>
                <w:ilvl w:val="0"/>
                <w:numId w:val="0"/>
              </w:numPr>
              <w:spacing w:line="276" w:lineRule="auto"/>
              <w:ind w:left="62"/>
              <w:suppressOverlap w:val="0"/>
              <w:rPr>
                <w:rFonts w:ascii="Times New Roman" w:hAnsi="Times New Roman"/>
              </w:rPr>
            </w:pPr>
            <w:bookmarkStart w:id="12" w:name="OLE_LINK2"/>
            <w:r w:rsidRPr="009A23E6">
              <w:rPr>
                <w:rFonts w:ascii="Times New Roman" w:hAnsi="Times New Roman"/>
              </w:rPr>
              <w:t>End of the intervention period</w:t>
            </w:r>
            <w:bookmarkEnd w:id="12"/>
          </w:p>
        </w:tc>
      </w:tr>
    </w:tbl>
    <w:p w:rsidR="000F3C9F" w:rsidRPr="009A23E6" w:rsidP="000C21A5" w14:paraId="63AB4429" w14:textId="77777777"/>
    <w:bookmarkEnd w:id="10"/>
    <w:p w:rsidR="00DD30E4" w:rsidP="00DD30E4" w14:paraId="5A387462" w14:textId="6129560F">
      <w:pPr>
        <w:spacing w:before="100" w:beforeAutospacing="1" w:after="100" w:afterAutospacing="1"/>
      </w:pPr>
      <w:r w:rsidRPr="009A23E6">
        <w:rPr>
          <w:b/>
          <w:i/>
        </w:rPr>
        <w:t>Surveys.</w:t>
      </w:r>
      <w:r w:rsidRPr="009A23E6">
        <w:rPr>
          <w:i/>
        </w:rPr>
        <w:t xml:space="preserve"> </w:t>
      </w:r>
      <w:r w:rsidRPr="009A23E6">
        <w:t xml:space="preserve">The </w:t>
      </w:r>
      <w:r w:rsidR="0018583E">
        <w:t>program</w:t>
      </w:r>
      <w:r w:rsidRPr="009A23E6" w:rsidR="0018583E">
        <w:t xml:space="preserve"> </w:t>
      </w:r>
      <w:r w:rsidRPr="009A23E6">
        <w:t xml:space="preserve">will administer </w:t>
      </w:r>
      <w:r w:rsidRPr="009A23E6">
        <w:t xml:space="preserve">several surveys to practice staff involved in the </w:t>
      </w:r>
      <w:r w:rsidR="0018583E">
        <w:t>program’s</w:t>
      </w:r>
      <w:r w:rsidRPr="009A23E6" w:rsidR="0018583E">
        <w:t xml:space="preserve"> </w:t>
      </w:r>
      <w:r w:rsidRPr="009A23E6">
        <w:t xml:space="preserve">implementation. </w:t>
      </w:r>
    </w:p>
    <w:p w:rsidR="008728CC" w:rsidRPr="009A23E6" w:rsidP="008728CC" w14:paraId="09D75951" w14:textId="59F38CAF">
      <w:pPr>
        <w:spacing w:before="100" w:beforeAutospacing="1" w:after="100" w:afterAutospacing="1"/>
        <w:ind w:left="720"/>
      </w:pPr>
      <w:r>
        <w:rPr>
          <w:bCs/>
          <w:i/>
        </w:rPr>
        <w:t>Structural Assessment.</w:t>
      </w:r>
      <w:r>
        <w:rPr>
          <w:i/>
        </w:rPr>
        <w:t xml:space="preserve"> </w:t>
      </w:r>
      <w:r w:rsidRPr="00FF0648">
        <w:t xml:space="preserve">The program will administer the Structural Assessment to all practices </w:t>
      </w:r>
      <w:bookmarkStart w:id="13" w:name="OLE_LINK63"/>
      <w:r w:rsidRPr="00FF0648">
        <w:t>at baseline (pre-intervention) and at the end of the intervention period</w:t>
      </w:r>
      <w:bookmarkEnd w:id="13"/>
      <w:r w:rsidRPr="00FF0648" w:rsidR="00C35499">
        <w:t xml:space="preserve">. </w:t>
      </w:r>
      <w:r w:rsidRPr="00FF0648">
        <w:t>This online assessment tool will ask the lead/champion</w:t>
      </w:r>
      <w:r w:rsidRPr="00FF0648" w:rsidR="00D2257B">
        <w:t xml:space="preserve"> twelve to</w:t>
      </w:r>
      <w:r w:rsidRPr="00FF0648">
        <w:t xml:space="preserve"> thirteen multiple choice questions to understand the </w:t>
      </w:r>
      <w:r w:rsidRPr="00FF0648" w:rsidR="008A027A">
        <w:t xml:space="preserve">practice/organization </w:t>
      </w:r>
      <w:r w:rsidRPr="00FF0648">
        <w:t xml:space="preserve">infrastructure and capacity to carry out the </w:t>
      </w:r>
      <w:r w:rsidRPr="00FF0648">
        <w:rPr>
          <w:iCs/>
        </w:rPr>
        <w:t>Safety Program</w:t>
      </w:r>
      <w:r w:rsidRPr="00FF0648">
        <w:t xml:space="preserve">. </w:t>
      </w:r>
      <w:r w:rsidRPr="00FF0648" w:rsidR="00C35499">
        <w:rPr>
          <w:b/>
          <w:bCs/>
        </w:rPr>
        <w:t>Attachments A and B</w:t>
      </w:r>
      <w:r w:rsidRPr="00FF0648" w:rsidR="00C35499">
        <w:t xml:space="preserve"> contain the Structural Assessments for participants in brick-and-mortar settings and telemedicine-only settings, respectively.</w:t>
      </w:r>
      <w:r w:rsidRPr="00C35499" w:rsidR="00C35499">
        <w:t xml:space="preserve">   </w:t>
      </w:r>
    </w:p>
    <w:p w:rsidR="00240D5E" w:rsidRPr="009A23E6" w:rsidP="00240D5E" w14:paraId="7E524056" w14:textId="3F298FEF">
      <w:pPr>
        <w:spacing w:before="100" w:beforeAutospacing="1"/>
        <w:ind w:left="720"/>
      </w:pPr>
      <w:bookmarkStart w:id="14" w:name="OLE_LINK64"/>
      <w:r>
        <w:rPr>
          <w:i/>
          <w:iCs/>
        </w:rPr>
        <w:t xml:space="preserve">AHRQ’s </w:t>
      </w:r>
      <w:r w:rsidRPr="009A23E6" w:rsidR="009D3959">
        <w:rPr>
          <w:i/>
          <w:iCs/>
        </w:rPr>
        <w:t>Medical Office Survey on</w:t>
      </w:r>
      <w:r w:rsidRPr="009A23E6" w:rsidR="000C21A5">
        <w:rPr>
          <w:i/>
          <w:iCs/>
        </w:rPr>
        <w:t xml:space="preserve"> Patient Safety Culture</w:t>
      </w:r>
      <w:r w:rsidRPr="009A23E6" w:rsidR="009D3959">
        <w:rPr>
          <w:i/>
          <w:iCs/>
        </w:rPr>
        <w:t xml:space="preserve"> (MOSOPS</w:t>
      </w:r>
      <w:bookmarkEnd w:id="14"/>
      <w:r w:rsidRPr="009A23E6" w:rsidR="009D3959">
        <w:rPr>
          <w:i/>
          <w:iCs/>
        </w:rPr>
        <w:t>)</w:t>
      </w:r>
      <w:r w:rsidRPr="009A23E6" w:rsidR="00DD30E4">
        <w:rPr>
          <w:i/>
          <w:iCs/>
        </w:rPr>
        <w:t>.</w:t>
      </w:r>
      <w:r w:rsidRPr="009A23E6" w:rsidR="000C21A5">
        <w:t xml:space="preserve"> </w:t>
      </w:r>
      <w:r w:rsidRPr="00FF0648" w:rsidR="00DD30E4">
        <w:t xml:space="preserve">The </w:t>
      </w:r>
      <w:r w:rsidRPr="00FF0648" w:rsidR="0018583E">
        <w:t xml:space="preserve">program </w:t>
      </w:r>
      <w:r w:rsidRPr="00FF0648" w:rsidR="00DD30E4">
        <w:t xml:space="preserve">will administer the MOSOPS </w:t>
      </w:r>
      <w:r w:rsidRPr="00FF0648" w:rsidR="000C21A5">
        <w:t xml:space="preserve">to all </w:t>
      </w:r>
      <w:r w:rsidRPr="00FF0648">
        <w:t xml:space="preserve">participating </w:t>
      </w:r>
      <w:r w:rsidRPr="00FF0648" w:rsidR="000C21A5">
        <w:t xml:space="preserve">staff </w:t>
      </w:r>
      <w:r w:rsidRPr="00FF0648">
        <w:t xml:space="preserve">at each </w:t>
      </w:r>
      <w:r w:rsidRPr="00FF0648" w:rsidR="00D65669">
        <w:t xml:space="preserve">brick-and-mortar </w:t>
      </w:r>
      <w:r w:rsidRPr="00FF0648">
        <w:t>practice</w:t>
      </w:r>
      <w:r w:rsidRPr="00FF0648" w:rsidR="008A027A">
        <w:t>s only (telemedicine-only organizations excluded)</w:t>
      </w:r>
      <w:r w:rsidRPr="00FF0648">
        <w:t xml:space="preserve"> </w:t>
      </w:r>
      <w:r w:rsidRPr="00FF0648" w:rsidR="000C21A5">
        <w:t>at the beginning and end of the intervention</w:t>
      </w:r>
      <w:r w:rsidRPr="00FF0648" w:rsidR="009D3959">
        <w:t xml:space="preserve"> (see </w:t>
      </w:r>
      <w:r w:rsidRPr="00FF0648" w:rsidR="009D3959">
        <w:rPr>
          <w:b/>
          <w:bCs/>
        </w:rPr>
        <w:t xml:space="preserve">Attachment </w:t>
      </w:r>
      <w:r w:rsidRPr="00FF0648" w:rsidR="00057435">
        <w:rPr>
          <w:b/>
          <w:bCs/>
        </w:rPr>
        <w:t>C</w:t>
      </w:r>
      <w:r w:rsidRPr="00FF0648" w:rsidR="009D3959">
        <w:t>)</w:t>
      </w:r>
      <w:r w:rsidRPr="00FF0648" w:rsidR="000C21A5">
        <w:t xml:space="preserve">. </w:t>
      </w:r>
      <w:r w:rsidRPr="00FF0648" w:rsidR="00057435">
        <w:t>The</w:t>
      </w:r>
      <w:r w:rsidRPr="00FF0648">
        <w:t xml:space="preserve"> survey ask</w:t>
      </w:r>
      <w:r w:rsidRPr="00FF0648" w:rsidR="00057435">
        <w:t>s</w:t>
      </w:r>
      <w:r w:rsidRPr="00FF0648">
        <w:t xml:space="preserve"> questions about patient safety issues, medical error</w:t>
      </w:r>
      <w:r w:rsidRPr="00FF0648" w:rsidR="00240B9D">
        <w:t>s</w:t>
      </w:r>
      <w:r w:rsidRPr="00FF0648">
        <w:t xml:space="preserve">, and event reporting. </w:t>
      </w:r>
      <w:r w:rsidRPr="00FF0648" w:rsidR="00057435">
        <w:t>T</w:t>
      </w:r>
      <w:r w:rsidRPr="00FF0648">
        <w:t xml:space="preserve">he </w:t>
      </w:r>
      <w:r w:rsidRPr="00FF0648" w:rsidR="0018583E">
        <w:t xml:space="preserve">program </w:t>
      </w:r>
      <w:r w:rsidRPr="00FF0648">
        <w:t>will reach out to all eligible providers and staff to collect data according to AHRQ’s User Guide. All practice staff</w:t>
      </w:r>
      <w:r w:rsidRPr="00FF0648" w:rsidR="00D65669">
        <w:t xml:space="preserve"> at brick-and-mortar practices</w:t>
      </w:r>
      <w:r w:rsidRPr="00FF0648">
        <w:t xml:space="preserve"> that are involved in the implementation of </w:t>
      </w:r>
      <w:r w:rsidRPr="00FF0648" w:rsidR="00D539D7">
        <w:rPr>
          <w:bCs/>
          <w:iCs/>
          <w:color w:val="000000"/>
        </w:rPr>
        <w:t>Safety Program</w:t>
      </w:r>
      <w:r w:rsidRPr="00FF0648">
        <w:t xml:space="preserve"> will be asked to complete the survey.</w:t>
      </w:r>
      <w:r w:rsidRPr="009A23E6">
        <w:t xml:space="preserve"> </w:t>
      </w:r>
    </w:p>
    <w:p w:rsidR="00DD30E4" w:rsidRPr="009A23E6" w:rsidP="00DD30E4" w14:paraId="751C9452" w14:textId="1AE6E796">
      <w:pPr>
        <w:spacing w:before="100" w:beforeAutospacing="1" w:after="100" w:afterAutospacing="1"/>
        <w:ind w:left="720"/>
      </w:pPr>
      <w:r w:rsidRPr="009A23E6">
        <w:rPr>
          <w:i/>
          <w:iCs/>
        </w:rPr>
        <w:t>Participant Experience Survey</w:t>
      </w:r>
      <w:r w:rsidRPr="009A23E6">
        <w:rPr>
          <w:b/>
          <w:bCs/>
          <w:i/>
          <w:iCs/>
        </w:rPr>
        <w:t>.</w:t>
      </w:r>
      <w:r w:rsidRPr="009A23E6">
        <w:t xml:space="preserve"> </w:t>
      </w:r>
      <w:r w:rsidRPr="00FF0648">
        <w:t xml:space="preserve">The </w:t>
      </w:r>
      <w:r w:rsidRPr="00FF0648" w:rsidR="00D539D7">
        <w:t xml:space="preserve">program </w:t>
      </w:r>
      <w:r w:rsidRPr="00FF0648">
        <w:t xml:space="preserve">will administer the Participant Experience Survey to all </w:t>
      </w:r>
      <w:r w:rsidRPr="00FF0648" w:rsidR="008A027A">
        <w:t xml:space="preserve">practice </w:t>
      </w:r>
      <w:r w:rsidRPr="00FF0648" w:rsidR="008728CC">
        <w:t>leads/champions</w:t>
      </w:r>
      <w:r w:rsidRPr="00FF0648">
        <w:t xml:space="preserve"> at </w:t>
      </w:r>
      <w:r w:rsidRPr="00FF0648" w:rsidR="008728CC">
        <w:t>the end of the intervention period</w:t>
      </w:r>
      <w:r w:rsidRPr="00FF0648">
        <w:t xml:space="preserve">. This online assessment will ask each </w:t>
      </w:r>
      <w:r w:rsidRPr="00FF0648" w:rsidR="008A027A">
        <w:t>practice</w:t>
      </w:r>
      <w:r w:rsidRPr="00FF0648" w:rsidR="008728CC">
        <w:t xml:space="preserve"> lead/champion</w:t>
      </w:r>
      <w:r w:rsidRPr="00FF0648" w:rsidR="0000696B">
        <w:t xml:space="preserve"> </w:t>
      </w:r>
      <w:r w:rsidRPr="00FF0648">
        <w:t xml:space="preserve">to reflect on their experience </w:t>
      </w:r>
      <w:r w:rsidRPr="00FF0648" w:rsidR="00C709FB">
        <w:t>participating in the Safety Program</w:t>
      </w:r>
      <w:r w:rsidRPr="00FF0648">
        <w:t xml:space="preserve"> including </w:t>
      </w:r>
      <w:r w:rsidRPr="00FF0648" w:rsidR="008728CC">
        <w:t>their approach to implementing the Safety Program</w:t>
      </w:r>
      <w:r w:rsidRPr="00FF0648" w:rsidR="008F10A0">
        <w:t>.</w:t>
      </w:r>
      <w:r w:rsidRPr="00FF0648" w:rsidR="008A027A">
        <w:t xml:space="preserve"> </w:t>
      </w:r>
      <w:r w:rsidRPr="00FF0648" w:rsidR="008F10A0">
        <w:rPr>
          <w:b/>
          <w:bCs/>
        </w:rPr>
        <w:t>Attachments D and E</w:t>
      </w:r>
      <w:r w:rsidRPr="00FF0648" w:rsidR="008F10A0">
        <w:t xml:space="preserve"> contain the Participant Experience Surveys for participants in brick-and-mortar and telemedicine-only settings, respectively.</w:t>
      </w:r>
    </w:p>
    <w:p w:rsidR="000C21A5" w:rsidRPr="009A23E6" w:rsidP="000C21A5" w14:paraId="3A25CF42" w14:textId="37BC2437">
      <w:pPr>
        <w:spacing w:before="100" w:beforeAutospacing="1"/>
      </w:pPr>
      <w:r w:rsidRPr="009A23E6">
        <w:t xml:space="preserve">As </w:t>
      </w:r>
      <w:r w:rsidRPr="009A23E6" w:rsidR="00517657">
        <w:t>practice</w:t>
      </w:r>
      <w:r w:rsidRPr="009A23E6">
        <w:t xml:space="preserve"> size varies, the </w:t>
      </w:r>
      <w:r w:rsidR="00D539D7">
        <w:t xml:space="preserve">program </w:t>
      </w:r>
      <w:r w:rsidRPr="009A23E6">
        <w:t xml:space="preserve">estimates the average number of respondents to be </w:t>
      </w:r>
      <w:r w:rsidR="0000696B">
        <w:t>seven</w:t>
      </w:r>
      <w:r w:rsidRPr="009A23E6">
        <w:t xml:space="preserve"> </w:t>
      </w:r>
      <w:r w:rsidR="0000696B">
        <w:t>per</w:t>
      </w:r>
      <w:r w:rsidRPr="009A23E6">
        <w:t xml:space="preserve"> </w:t>
      </w:r>
      <w:r w:rsidRPr="009A23E6" w:rsidR="00517657">
        <w:t>practice</w:t>
      </w:r>
      <w:r w:rsidR="008728CC">
        <w:t xml:space="preserve"> for surveys assessing all participants at each site</w:t>
      </w:r>
      <w:r w:rsidRPr="009A23E6">
        <w:t xml:space="preserve">. Participating staff should have enough knowledge about the day-to-day activities in the </w:t>
      </w:r>
      <w:r w:rsidRPr="009A23E6" w:rsidR="00D12976">
        <w:t>practice</w:t>
      </w:r>
      <w:r w:rsidRPr="009A23E6">
        <w:t xml:space="preserve"> and interact regularly with other staff working in the </w:t>
      </w:r>
      <w:r w:rsidRPr="009A23E6" w:rsidR="00D12976">
        <w:t>practice</w:t>
      </w:r>
      <w:r w:rsidRPr="009A23E6">
        <w:t xml:space="preserve"> </w:t>
      </w:r>
      <w:r w:rsidRPr="009A23E6">
        <w:t>in order to</w:t>
      </w:r>
      <w:r w:rsidRPr="009A23E6">
        <w:t xml:space="preserve"> provide informed answers. These staff members, who spend all or most of their time at work within the </w:t>
      </w:r>
      <w:r w:rsidRPr="009A23E6" w:rsidR="00D12976">
        <w:t>practice</w:t>
      </w:r>
      <w:r w:rsidRPr="009A23E6">
        <w:t>, may include the following:</w:t>
      </w:r>
    </w:p>
    <w:p w:rsidR="000C21A5" w:rsidRPr="009A23E6" w:rsidP="000C21A5" w14:paraId="578CD95D" w14:textId="40631C8E">
      <w:pPr>
        <w:numPr>
          <w:ilvl w:val="0"/>
          <w:numId w:val="12"/>
        </w:numPr>
        <w:spacing w:before="100" w:beforeAutospacing="1" w:after="100" w:afterAutospacing="1"/>
      </w:pPr>
      <w:r w:rsidRPr="009A23E6">
        <w:t xml:space="preserve">Staff who have direct contact or interaction with </w:t>
      </w:r>
      <w:r w:rsidRPr="009A23E6" w:rsidR="00F30B22">
        <w:t>patients.</w:t>
      </w:r>
      <w:r w:rsidRPr="009A23E6">
        <w:t xml:space="preserve"> </w:t>
      </w:r>
    </w:p>
    <w:p w:rsidR="000C21A5" w:rsidRPr="009A23E6" w:rsidP="000C21A5" w14:paraId="517B9C13" w14:textId="2293B8DA">
      <w:pPr>
        <w:numPr>
          <w:ilvl w:val="0"/>
          <w:numId w:val="12"/>
        </w:numPr>
        <w:spacing w:before="100" w:beforeAutospacing="1" w:after="100" w:afterAutospacing="1"/>
      </w:pPr>
      <w:r w:rsidRPr="009A23E6">
        <w:t>Staff who may not have direct contact or interaction with patients but whose work directly affects patient care</w:t>
      </w:r>
      <w:r w:rsidRPr="009A23E6" w:rsidR="00D12976">
        <w:t>.</w:t>
      </w:r>
      <w:r w:rsidRPr="009A23E6">
        <w:t xml:space="preserve"> </w:t>
      </w:r>
    </w:p>
    <w:p w:rsidR="00240D5E" w:rsidRPr="009A23E6" w:rsidP="00240D5E" w14:paraId="182750C0" w14:textId="07FB9729">
      <w:pPr>
        <w:spacing w:before="100" w:beforeAutospacing="1" w:after="100" w:afterAutospacing="1"/>
      </w:pPr>
      <w:r w:rsidRPr="009A23E6">
        <w:rPr>
          <w:b/>
          <w:bCs/>
          <w:i/>
          <w:iCs/>
        </w:rPr>
        <w:t xml:space="preserve">Qualitative Interviews. </w:t>
      </w:r>
      <w:r w:rsidRPr="00FF0648">
        <w:t xml:space="preserve">The </w:t>
      </w:r>
      <w:r w:rsidRPr="00FF0648" w:rsidR="0018583E">
        <w:t xml:space="preserve">program </w:t>
      </w:r>
      <w:r w:rsidRPr="00FF0648">
        <w:t xml:space="preserve">will recruit </w:t>
      </w:r>
      <w:r w:rsidRPr="00FF0648" w:rsidR="0000696B">
        <w:t>one</w:t>
      </w:r>
      <w:r w:rsidRPr="00FF0648" w:rsidR="00BE37C3">
        <w:t xml:space="preserve"> to </w:t>
      </w:r>
      <w:r w:rsidRPr="00FF0648" w:rsidR="0000696B">
        <w:t>two</w:t>
      </w:r>
      <w:r w:rsidRPr="00FF0648" w:rsidR="007B119B">
        <w:t xml:space="preserve"> </w:t>
      </w:r>
      <w:r w:rsidRPr="00FF0648" w:rsidR="00350E1E">
        <w:t>HCPs</w:t>
      </w:r>
      <w:r w:rsidRPr="00FF0648" w:rsidR="007B119B">
        <w:t xml:space="preserve"> </w:t>
      </w:r>
      <w:r w:rsidRPr="00FF0648">
        <w:t xml:space="preserve">from approximately </w:t>
      </w:r>
      <w:r w:rsidRPr="00FF0648" w:rsidR="007B119B">
        <w:t>20</w:t>
      </w:r>
      <w:r w:rsidRPr="00FF0648">
        <w:t xml:space="preserve"> practices to participate in a qualitative interview to explore practice-level characteristics (e.g., barriers/facilitators, perceived usefulness of </w:t>
      </w:r>
      <w:r w:rsidRPr="00FF0648" w:rsidR="00350E1E">
        <w:t xml:space="preserve">program </w:t>
      </w:r>
      <w:r w:rsidRPr="00FF0648">
        <w:t>materials) that impact intervention implementation and adoption</w:t>
      </w:r>
      <w:r w:rsidRPr="00FF0648" w:rsidR="00105C59">
        <w:t>.</w:t>
      </w:r>
      <w:r w:rsidRPr="00FF0648" w:rsidR="00D65669">
        <w:rPr>
          <w:bCs/>
        </w:rPr>
        <w:t xml:space="preserve"> The draft interview guide (</w:t>
      </w:r>
      <w:r w:rsidRPr="00FF0648" w:rsidR="00D65669">
        <w:rPr>
          <w:b/>
          <w:bCs/>
        </w:rPr>
        <w:t xml:space="preserve">Attachment </w:t>
      </w:r>
      <w:r w:rsidRPr="00FF0648" w:rsidR="00057435">
        <w:rPr>
          <w:b/>
          <w:bCs/>
        </w:rPr>
        <w:t>F</w:t>
      </w:r>
      <w:r w:rsidRPr="00FF0648" w:rsidR="00D65669">
        <w:rPr>
          <w:b/>
          <w:bCs/>
        </w:rPr>
        <w:t xml:space="preserve">) </w:t>
      </w:r>
      <w:r w:rsidRPr="00FF0648" w:rsidR="00D65669">
        <w:rPr>
          <w:bCs/>
        </w:rPr>
        <w:t>has been updated from the version included in the original OMB review.</w:t>
      </w:r>
    </w:p>
    <w:p w:rsidR="000C21A5" w:rsidRPr="009A23E6" w:rsidP="000C21A5" w14:paraId="68766C4F" w14:textId="5EE74BE1">
      <w:pPr>
        <w:spacing w:before="100" w:beforeAutospacing="1"/>
        <w:rPr>
          <w:b/>
          <w:iCs/>
        </w:rPr>
      </w:pPr>
      <w:r w:rsidRPr="009A23E6">
        <w:rPr>
          <w:b/>
          <w:iCs/>
        </w:rPr>
        <w:t>Secondary Data Collection</w:t>
      </w:r>
    </w:p>
    <w:p w:rsidR="000F3C9F" w:rsidRPr="009A23E6" w:rsidP="000F3C9F" w14:paraId="4966620C" w14:textId="7AEC86AC">
      <w:pPr>
        <w:spacing w:before="100" w:beforeAutospacing="1"/>
      </w:pPr>
      <w:r w:rsidRPr="009A23E6">
        <w:rPr>
          <w:b/>
          <w:i/>
        </w:rPr>
        <w:t xml:space="preserve">EHR Data Extracts. </w:t>
      </w:r>
      <w:r w:rsidRPr="009A23E6" w:rsidR="00B1623E">
        <w:t xml:space="preserve">The </w:t>
      </w:r>
      <w:r w:rsidR="00660D86">
        <w:t>Safety Program</w:t>
      </w:r>
      <w:r w:rsidRPr="009A23E6">
        <w:t xml:space="preserve"> </w:t>
      </w:r>
      <w:r w:rsidRPr="009A23E6" w:rsidR="003207A1">
        <w:t xml:space="preserve">will collect </w:t>
      </w:r>
      <w:r w:rsidR="002C6168">
        <w:t>visit</w:t>
      </w:r>
      <w:r w:rsidRPr="009A23E6">
        <w:t xml:space="preserve">-level </w:t>
      </w:r>
      <w:r w:rsidR="002C6168">
        <w:t xml:space="preserve">telemedicine visit data to include diagnostic codes and any antibiotic prescriptions associated with the visit from each participating practice. </w:t>
      </w:r>
      <w:r w:rsidRPr="00ED3064" w:rsidR="00B1623E">
        <w:t xml:space="preserve">The </w:t>
      </w:r>
      <w:r w:rsidR="002C6168">
        <w:t>data</w:t>
      </w:r>
      <w:r w:rsidRPr="00ED3064" w:rsidR="002C6168">
        <w:t xml:space="preserve"> </w:t>
      </w:r>
      <w:r w:rsidRPr="00ED3064">
        <w:t>will be used to evaluate the effectiv</w:t>
      </w:r>
      <w:r w:rsidRPr="009A23E6">
        <w:t>eness of the program</w:t>
      </w:r>
      <w:r w:rsidRPr="009A23E6" w:rsidR="00B1623E">
        <w:t xml:space="preserve"> including:</w:t>
      </w:r>
      <w:r w:rsidRPr="009A23E6">
        <w:t xml:space="preserve"> 1) if the </w:t>
      </w:r>
      <w:r w:rsidR="00660D86">
        <w:t>Safety Program</w:t>
      </w:r>
      <w:r w:rsidRPr="009A23E6">
        <w:t xml:space="preserve"> is effective </w:t>
      </w:r>
      <w:r w:rsidR="0000696B">
        <w:t>in</w:t>
      </w:r>
      <w:r w:rsidRPr="009A23E6">
        <w:t xml:space="preserve"> improv</w:t>
      </w:r>
      <w:r w:rsidR="0000696B">
        <w:t>ing</w:t>
      </w:r>
      <w:r w:rsidRPr="009A23E6">
        <w:t xml:space="preserve"> antibiotic use, and 2) the extent of the improvement</w:t>
      </w:r>
      <w:r w:rsidRPr="009A23E6" w:rsidR="002128DA">
        <w:t xml:space="preserve"> in antibiotic use</w:t>
      </w:r>
      <w:r w:rsidRPr="009A23E6">
        <w:t xml:space="preserve">. </w:t>
      </w:r>
    </w:p>
    <w:p w:rsidR="00D27F1A" w:rsidP="0020004E" w14:paraId="2D270DA8" w14:textId="029324A4">
      <w:pPr>
        <w:spacing w:before="100" w:beforeAutospacing="1"/>
      </w:pPr>
      <w:r w:rsidRPr="00FF0648">
        <w:t xml:space="preserve">Every quarter </w:t>
      </w:r>
      <w:r w:rsidRPr="00FF0648" w:rsidR="00470FD9">
        <w:t>beginning at</w:t>
      </w:r>
      <w:r w:rsidRPr="00FF0648">
        <w:t xml:space="preserve"> baseline </w:t>
      </w:r>
      <w:r w:rsidRPr="00FF0648" w:rsidR="00470FD9">
        <w:t>through</w:t>
      </w:r>
      <w:r w:rsidRPr="00FF0648">
        <w:t xml:space="preserve"> the end of the intervention, each onsite data coordinator will extract monthly data</w:t>
      </w:r>
      <w:r w:rsidRPr="00FF0648" w:rsidR="00C10132">
        <w:t xml:space="preserve"> </w:t>
      </w:r>
      <w:r w:rsidRPr="00FF0648" w:rsidR="00DE57C2">
        <w:t>from</w:t>
      </w:r>
      <w:r w:rsidRPr="00FF0648">
        <w:t xml:space="preserve"> their EHR system and submit the data</w:t>
      </w:r>
      <w:r w:rsidRPr="00FF0648" w:rsidR="00C10132">
        <w:t xml:space="preserve"> electronically</w:t>
      </w:r>
      <w:r w:rsidRPr="00FF0648">
        <w:t xml:space="preserve"> to the </w:t>
      </w:r>
      <w:r w:rsidRPr="00FF0648" w:rsidR="0018583E">
        <w:t xml:space="preserve">program </w:t>
      </w:r>
      <w:r w:rsidRPr="00FF0648">
        <w:t>evaluation team</w:t>
      </w:r>
      <w:r w:rsidRPr="00FF0648" w:rsidR="00DE57C2">
        <w:t xml:space="preserve"> at NORC</w:t>
      </w:r>
      <w:r w:rsidRPr="00FF0648">
        <w:t xml:space="preserve">. </w:t>
      </w:r>
      <w:r w:rsidRPr="00FF0648" w:rsidR="008A027A">
        <w:t>In this revision, we have added three months of baseline data to the initial data request</w:t>
      </w:r>
      <w:r w:rsidRPr="00FF0648" w:rsidR="008853C0">
        <w:t xml:space="preserve"> to</w:t>
      </w:r>
      <w:r w:rsidRPr="00FF0648" w:rsidR="00FB5278">
        <w:t xml:space="preserve"> now</w:t>
      </w:r>
      <w:r w:rsidRPr="00FF0648" w:rsidR="008853C0">
        <w:t xml:space="preserve"> include </w:t>
      </w:r>
      <w:r w:rsidRPr="00FF0648" w:rsidR="00FB5278">
        <w:t xml:space="preserve">monthly </w:t>
      </w:r>
      <w:r w:rsidRPr="00FF0648" w:rsidR="008853C0">
        <w:t xml:space="preserve">data from March 2024 through </w:t>
      </w:r>
      <w:r w:rsidRPr="00FF0648" w:rsidR="00FB5278">
        <w:t xml:space="preserve">August </w:t>
      </w:r>
      <w:r w:rsidRPr="00FF0648" w:rsidR="008853C0">
        <w:t xml:space="preserve">2024 in the initial submission. </w:t>
      </w:r>
      <w:r w:rsidRPr="00FF0648" w:rsidR="00A40944">
        <w:t>The</w:t>
      </w:r>
      <w:r w:rsidRPr="00FF0648">
        <w:t xml:space="preserve"> data will include</w:t>
      </w:r>
      <w:r w:rsidRPr="00FF0648" w:rsidR="00D65669">
        <w:t xml:space="preserve"> deidentified</w:t>
      </w:r>
      <w:r w:rsidRPr="00FF0648">
        <w:t xml:space="preserve"> </w:t>
      </w:r>
      <w:r w:rsidRPr="00FF0648" w:rsidR="00D65669">
        <w:t>visit-level information on respiratory tract infection</w:t>
      </w:r>
      <w:r w:rsidRPr="00FF0648" w:rsidR="00BE41C9">
        <w:t xml:space="preserve"> (</w:t>
      </w:r>
      <w:r w:rsidRPr="00FF0648" w:rsidR="00FB5278">
        <w:t>RTI</w:t>
      </w:r>
      <w:r w:rsidRPr="00FF0648" w:rsidR="00BE41C9">
        <w:t xml:space="preserve">) </w:t>
      </w:r>
      <w:r w:rsidRPr="00FF0648" w:rsidR="00D65669">
        <w:t>related telemedicine visits</w:t>
      </w:r>
      <w:r w:rsidRPr="00FF0648" w:rsidR="00BE41C9">
        <w:t>, including ICD-10 codes and any antibiotics that were prescribed. This will be used by the program team to calculate</w:t>
      </w:r>
      <w:r w:rsidRPr="00FF0648" w:rsidR="00D65669">
        <w:t xml:space="preserve"> </w:t>
      </w:r>
      <w:r w:rsidRPr="00FF0648">
        <w:t xml:space="preserve">the </w:t>
      </w:r>
      <w:r w:rsidRPr="00FF0648" w:rsidR="00DE57C2">
        <w:t xml:space="preserve">overall </w:t>
      </w:r>
      <w:r w:rsidRPr="00FF0648">
        <w:t>rates of antibiotic use</w:t>
      </w:r>
      <w:r w:rsidRPr="00FF0648" w:rsidR="00BE41C9">
        <w:t xml:space="preserve"> for</w:t>
      </w:r>
      <w:r w:rsidRPr="00FF0648">
        <w:t xml:space="preserve"> </w:t>
      </w:r>
      <w:r w:rsidRPr="00FF0648" w:rsidR="00FB5278">
        <w:t>RTI</w:t>
      </w:r>
      <w:r w:rsidRPr="00FF0648" w:rsidR="00BE41C9">
        <w:t xml:space="preserve">-related telemedicine visits </w:t>
      </w:r>
      <w:r w:rsidRPr="00FF0648">
        <w:t xml:space="preserve">by class and </w:t>
      </w:r>
      <w:r w:rsidRPr="00FF0648" w:rsidR="00490A57">
        <w:t>diagnosis (using ICD-10 codes)</w:t>
      </w:r>
      <w:r w:rsidRPr="00FF0648" w:rsidR="00DE57C2">
        <w:t>.</w:t>
      </w:r>
      <w:r w:rsidRPr="00FF0648">
        <w:t xml:space="preserve"> </w:t>
      </w:r>
      <w:r w:rsidRPr="00FF0648">
        <w:rPr>
          <w:b/>
        </w:rPr>
        <w:t xml:space="preserve">Attachment </w:t>
      </w:r>
      <w:r w:rsidRPr="00FF0648" w:rsidR="00057435">
        <w:rPr>
          <w:b/>
        </w:rPr>
        <w:t xml:space="preserve">G </w:t>
      </w:r>
      <w:r w:rsidRPr="00FF0648">
        <w:t xml:space="preserve">contains the </w:t>
      </w:r>
      <w:r w:rsidRPr="00FF0648" w:rsidR="008F315B">
        <w:t>EHR data template</w:t>
      </w:r>
      <w:r w:rsidRPr="00FF0648">
        <w:t xml:space="preserve"> and </w:t>
      </w:r>
      <w:r w:rsidRPr="00FF0648">
        <w:rPr>
          <w:b/>
        </w:rPr>
        <w:t xml:space="preserve">Attachment </w:t>
      </w:r>
      <w:r w:rsidRPr="00FF0648" w:rsidR="00057435">
        <w:rPr>
          <w:b/>
        </w:rPr>
        <w:t>H</w:t>
      </w:r>
      <w:r w:rsidRPr="00FF0648" w:rsidR="00057435">
        <w:t xml:space="preserve"> </w:t>
      </w:r>
      <w:r w:rsidRPr="00FF0648">
        <w:t xml:space="preserve">contains the instructions for conducting the data extract. Exhibit </w:t>
      </w:r>
      <w:r w:rsidRPr="00FF0648" w:rsidR="00F13EAC">
        <w:t>2</w:t>
      </w:r>
      <w:r w:rsidRPr="00FF0648">
        <w:t xml:space="preserve"> describes the </w:t>
      </w:r>
      <w:r w:rsidRPr="00FF0648" w:rsidR="008F315B">
        <w:t xml:space="preserve">EHR data that will be collected. </w:t>
      </w:r>
      <w:r w:rsidRPr="00FF0648" w:rsidR="00BE41C9">
        <w:rPr>
          <w:bCs/>
        </w:rPr>
        <w:t>The EHR template and instructions have been updated from the version included in the original OMB review</w:t>
      </w:r>
      <w:r w:rsidRPr="00FF0648" w:rsidR="00FB5278">
        <w:rPr>
          <w:bCs/>
        </w:rPr>
        <w:t xml:space="preserve"> to simplify data collection for participants</w:t>
      </w:r>
      <w:r w:rsidRPr="00FF0648" w:rsidR="00BE41C9">
        <w:rPr>
          <w:bCs/>
        </w:rPr>
        <w:t>.</w:t>
      </w:r>
    </w:p>
    <w:p w:rsidR="00C719B3" w:rsidRPr="009A23E6" w14:paraId="60C1D5F3" w14:textId="77777777">
      <w:pPr>
        <w:rPr>
          <w:rStyle w:val="NORCCaption-Color"/>
          <w:rFonts w:ascii="Times New Roman" w:eastAsia="Calibri" w:hAnsi="Times New Roman"/>
          <w:sz w:val="24"/>
        </w:rPr>
      </w:pPr>
    </w:p>
    <w:p w:rsidR="00240D5E" w:rsidRPr="009A23E6" w14:paraId="6AF08571" w14:textId="11F75E7D">
      <w:r w:rsidRPr="009A23E6">
        <w:rPr>
          <w:rStyle w:val="NORCCaption-Color"/>
          <w:rFonts w:ascii="Times New Roman" w:eastAsia="Calibri" w:hAnsi="Times New Roman"/>
          <w:sz w:val="24"/>
        </w:rPr>
        <w:t>E</w:t>
      </w:r>
      <w:r w:rsidRPr="009A23E6" w:rsidR="000C21A5">
        <w:rPr>
          <w:rStyle w:val="NORCCaption-Color"/>
          <w:rFonts w:ascii="Times New Roman" w:eastAsia="Calibri" w:hAnsi="Times New Roman"/>
          <w:sz w:val="24"/>
        </w:rPr>
        <w:t xml:space="preserve">xhibit </w:t>
      </w:r>
      <w:r w:rsidRPr="009A23E6" w:rsidR="00F13EAC">
        <w:rPr>
          <w:rStyle w:val="NORCCaption-Color"/>
          <w:rFonts w:ascii="Times New Roman" w:eastAsia="Calibri" w:hAnsi="Times New Roman"/>
          <w:sz w:val="24"/>
        </w:rPr>
        <w:t>2</w:t>
      </w:r>
      <w:r w:rsidRPr="009A23E6" w:rsidR="000C21A5">
        <w:rPr>
          <w:rStyle w:val="NORCCaption-Color"/>
          <w:rFonts w:ascii="Times New Roman" w:eastAsia="Calibri" w:hAnsi="Times New Roman"/>
          <w:sz w:val="24"/>
        </w:rPr>
        <w:t>:</w:t>
      </w:r>
      <w:r w:rsidRPr="009A23E6" w:rsidR="000C21A5">
        <w:t xml:space="preserve"> </w:t>
      </w:r>
      <w:r w:rsidRPr="009A23E6" w:rsidR="008F315B">
        <w:t xml:space="preserve">EHR Data Extracts </w:t>
      </w:r>
      <w:r w:rsidRPr="009A23E6" w:rsidR="005C400B">
        <w:t xml:space="preserve">for the </w:t>
      </w:r>
      <w:r w:rsidRPr="00ED3064" w:rsidR="00ED3064">
        <w:t xml:space="preserve">Improving Antibiotic Use </w:t>
      </w:r>
      <w:r w:rsidRPr="009A23E6" w:rsidR="005C400B">
        <w:t>Cohort</w:t>
      </w:r>
    </w:p>
    <w:p w:rsidR="00C719B3" w:rsidRPr="009A23E6" w:rsidP="000C21A5" w14:paraId="70016A41" w14:textId="77777777">
      <w:pPr>
        <w:rPr>
          <w:b/>
          <w:i/>
        </w:rPr>
      </w:pPr>
    </w:p>
    <w:tbl>
      <w:tblPr>
        <w:tblpPr w:leftFromText="180" w:rightFromText="180" w:bottomFromText="200" w:vertAnchor="text" w:horzAnchor="margin" w:tblpY="-52"/>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9"/>
        <w:gridCol w:w="6076"/>
      </w:tblGrid>
      <w:tr w14:paraId="057CB140" w14:textId="77777777" w:rsidTr="00C341A2">
        <w:tblPrEx>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52"/>
          <w:tblHeader/>
        </w:trPr>
        <w:tc>
          <w:tcPr>
            <w:tcW w:w="2649" w:type="dxa"/>
            <w:tcBorders>
              <w:top w:val="single" w:sz="4" w:space="0" w:color="auto"/>
              <w:left w:val="single" w:sz="4" w:space="0" w:color="auto"/>
              <w:bottom w:val="single" w:sz="4" w:space="0" w:color="auto"/>
              <w:right w:val="single" w:sz="4" w:space="0" w:color="auto"/>
            </w:tcBorders>
            <w:shd w:val="clear" w:color="auto" w:fill="8AB3A4"/>
            <w:hideMark/>
          </w:tcPr>
          <w:p w:rsidR="00C341A2" w:rsidRPr="009A23E6" w:rsidP="00C341A2" w14:paraId="466CC069" w14:textId="77777777">
            <w:pPr>
              <w:spacing w:line="276" w:lineRule="auto"/>
              <w:rPr>
                <w:rFonts w:eastAsia="Calibri"/>
                <w:b/>
                <w:sz w:val="20"/>
                <w:szCs w:val="20"/>
              </w:rPr>
            </w:pPr>
            <w:r w:rsidRPr="009A23E6">
              <w:rPr>
                <w:rFonts w:eastAsia="Calibri"/>
                <w:b/>
                <w:sz w:val="20"/>
                <w:szCs w:val="20"/>
              </w:rPr>
              <w:t>Clinical measures</w:t>
            </w:r>
          </w:p>
        </w:tc>
        <w:tc>
          <w:tcPr>
            <w:tcW w:w="6076" w:type="dxa"/>
            <w:tcBorders>
              <w:top w:val="single" w:sz="4" w:space="0" w:color="auto"/>
              <w:left w:val="single" w:sz="4" w:space="0" w:color="auto"/>
              <w:bottom w:val="single" w:sz="4" w:space="0" w:color="auto"/>
              <w:right w:val="single" w:sz="4" w:space="0" w:color="auto"/>
            </w:tcBorders>
            <w:shd w:val="clear" w:color="auto" w:fill="8AB3A4"/>
            <w:hideMark/>
          </w:tcPr>
          <w:p w:rsidR="00C341A2" w:rsidRPr="009A23E6" w:rsidP="00C341A2" w14:paraId="551E4653" w14:textId="77777777">
            <w:pPr>
              <w:spacing w:line="276" w:lineRule="auto"/>
              <w:rPr>
                <w:rFonts w:eastAsia="Calibri"/>
                <w:b/>
                <w:sz w:val="20"/>
                <w:szCs w:val="20"/>
              </w:rPr>
            </w:pPr>
            <w:r w:rsidRPr="009A23E6">
              <w:rPr>
                <w:rFonts w:eastAsia="Calibri"/>
                <w:b/>
                <w:sz w:val="20"/>
                <w:szCs w:val="20"/>
              </w:rPr>
              <w:t>Description</w:t>
            </w:r>
          </w:p>
        </w:tc>
      </w:tr>
      <w:tr w14:paraId="46E11150" w14:textId="77777777" w:rsidTr="00C341A2">
        <w:tblPrEx>
          <w:tblW w:w="8725" w:type="dxa"/>
          <w:tblLook w:val="04A0"/>
        </w:tblPrEx>
        <w:trPr>
          <w:cantSplit/>
        </w:trPr>
        <w:tc>
          <w:tcPr>
            <w:tcW w:w="2649" w:type="dxa"/>
            <w:tcBorders>
              <w:top w:val="single" w:sz="4" w:space="0" w:color="auto"/>
              <w:left w:val="single" w:sz="4" w:space="0" w:color="auto"/>
              <w:bottom w:val="single" w:sz="4" w:space="0" w:color="auto"/>
              <w:right w:val="single" w:sz="4" w:space="0" w:color="auto"/>
            </w:tcBorders>
            <w:shd w:val="clear" w:color="auto" w:fill="E9E6E3"/>
            <w:hideMark/>
          </w:tcPr>
          <w:p w:rsidR="00C341A2" w:rsidRPr="008A027A" w:rsidP="00C341A2" w14:paraId="1BA8A896" w14:textId="61F15C40">
            <w:pPr>
              <w:spacing w:line="276" w:lineRule="auto"/>
              <w:rPr>
                <w:rFonts w:eastAsia="Calibri"/>
                <w:sz w:val="20"/>
                <w:szCs w:val="20"/>
                <w:highlight w:val="yellow"/>
              </w:rPr>
            </w:pPr>
            <w:r w:rsidRPr="00FF0648">
              <w:rPr>
                <w:rFonts w:eastAsia="Calibri"/>
                <w:sz w:val="20"/>
                <w:szCs w:val="20"/>
              </w:rPr>
              <w:t xml:space="preserve">Antibiotic therapy prescription per 100 </w:t>
            </w:r>
            <w:r w:rsidRPr="00FF0648" w:rsidR="00BE41C9">
              <w:rPr>
                <w:rFonts w:eastAsia="Calibri"/>
                <w:sz w:val="20"/>
                <w:szCs w:val="20"/>
              </w:rPr>
              <w:t>respiratory tract infection</w:t>
            </w:r>
            <w:r w:rsidRPr="00FF0648" w:rsidR="00FB5278">
              <w:rPr>
                <w:rFonts w:eastAsia="Calibri"/>
                <w:sz w:val="20"/>
                <w:szCs w:val="20"/>
              </w:rPr>
              <w:t xml:space="preserve"> (RTI)</w:t>
            </w:r>
            <w:r w:rsidRPr="00FF0648" w:rsidR="00BE41C9">
              <w:rPr>
                <w:rFonts w:eastAsia="Calibri"/>
                <w:sz w:val="20"/>
                <w:szCs w:val="20"/>
              </w:rPr>
              <w:t xml:space="preserve">-related </w:t>
            </w:r>
            <w:r w:rsidRPr="00FF0648">
              <w:rPr>
                <w:rFonts w:eastAsia="Calibri"/>
                <w:sz w:val="20"/>
                <w:szCs w:val="20"/>
              </w:rPr>
              <w:t>telemedicine visits</w:t>
            </w:r>
          </w:p>
        </w:tc>
        <w:tc>
          <w:tcPr>
            <w:tcW w:w="6076" w:type="dxa"/>
            <w:tcBorders>
              <w:top w:val="single" w:sz="4" w:space="0" w:color="auto"/>
              <w:left w:val="single" w:sz="4" w:space="0" w:color="auto"/>
              <w:bottom w:val="single" w:sz="4" w:space="0" w:color="auto"/>
              <w:right w:val="single" w:sz="4" w:space="0" w:color="auto"/>
            </w:tcBorders>
            <w:shd w:val="clear" w:color="auto" w:fill="E9E6E3"/>
            <w:hideMark/>
          </w:tcPr>
          <w:p w:rsidR="00C341A2" w:rsidRPr="008A027A" w:rsidP="00C341A2" w14:paraId="30584F25" w14:textId="33ECF116">
            <w:pPr>
              <w:spacing w:line="276" w:lineRule="auto"/>
              <w:rPr>
                <w:rFonts w:eastAsia="Calibri"/>
                <w:sz w:val="20"/>
                <w:szCs w:val="20"/>
                <w:highlight w:val="yellow"/>
              </w:rPr>
            </w:pPr>
            <w:r w:rsidRPr="00FF0648">
              <w:rPr>
                <w:rFonts w:eastAsia="Calibri"/>
                <w:sz w:val="20"/>
                <w:szCs w:val="20"/>
              </w:rPr>
              <w:t xml:space="preserve">Antibiotic prescriptions are defined as any separate prescription electronically transmitted to a pharmacy for a patient associated with a telemedicine visit, either videoconferencing or over the phone. Each antibiotic prescription is counted independently, even if more than one antibiotic was prescribed in a visit. Antibiotic drug class will also be collected. </w:t>
            </w:r>
            <w:r w:rsidRPr="00FF0648" w:rsidR="00F45FB2">
              <w:rPr>
                <w:rFonts w:eastAsia="Calibri"/>
                <w:sz w:val="20"/>
                <w:szCs w:val="20"/>
              </w:rPr>
              <w:t>The d</w:t>
            </w:r>
            <w:r w:rsidRPr="00FF0648" w:rsidR="00BE41C9">
              <w:rPr>
                <w:rFonts w:eastAsia="Calibri"/>
                <w:sz w:val="20"/>
                <w:szCs w:val="20"/>
              </w:rPr>
              <w:t xml:space="preserve">enominator is total number of patients with a telemedicine visit (including videoconferencing or telephone-based visit) associated with an ICD-10 code for an acute respiratory condition. </w:t>
            </w:r>
            <w:r w:rsidRPr="00FF0648">
              <w:rPr>
                <w:rFonts w:eastAsia="Calibri"/>
                <w:sz w:val="20"/>
                <w:szCs w:val="20"/>
              </w:rPr>
              <w:t xml:space="preserve">This </w:t>
            </w:r>
            <w:r w:rsidRPr="00FF0648" w:rsidR="00F45FB2">
              <w:rPr>
                <w:rFonts w:eastAsia="Calibri"/>
                <w:sz w:val="20"/>
                <w:szCs w:val="20"/>
              </w:rPr>
              <w:t xml:space="preserve">measure </w:t>
            </w:r>
            <w:r w:rsidRPr="00FF0648" w:rsidR="00544EE1">
              <w:rPr>
                <w:rFonts w:eastAsia="Calibri"/>
                <w:sz w:val="20"/>
                <w:szCs w:val="20"/>
              </w:rPr>
              <w:t>will be</w:t>
            </w:r>
            <w:r w:rsidRPr="00FF0648">
              <w:rPr>
                <w:rFonts w:eastAsia="Calibri"/>
                <w:sz w:val="20"/>
                <w:szCs w:val="20"/>
              </w:rPr>
              <w:t xml:space="preserve"> collected </w:t>
            </w:r>
            <w:r w:rsidRPr="00FF0648" w:rsidR="00F45FB2">
              <w:rPr>
                <w:rFonts w:eastAsia="Calibri"/>
                <w:sz w:val="20"/>
                <w:szCs w:val="20"/>
              </w:rPr>
              <w:t xml:space="preserve">monthly </w:t>
            </w:r>
            <w:r w:rsidRPr="00FF0648">
              <w:rPr>
                <w:rFonts w:eastAsia="Calibri"/>
                <w:sz w:val="20"/>
                <w:szCs w:val="20"/>
              </w:rPr>
              <w:t xml:space="preserve">from </w:t>
            </w:r>
            <w:r w:rsidRPr="00FF0648" w:rsidR="008853C0">
              <w:rPr>
                <w:rFonts w:eastAsia="Calibri"/>
                <w:sz w:val="20"/>
                <w:szCs w:val="20"/>
              </w:rPr>
              <w:t>March</w:t>
            </w:r>
            <w:r w:rsidRPr="00FF0648">
              <w:rPr>
                <w:rFonts w:eastAsia="Calibri"/>
                <w:sz w:val="20"/>
                <w:szCs w:val="20"/>
              </w:rPr>
              <w:t xml:space="preserve"> 2024 to November 2025 and</w:t>
            </w:r>
            <w:r w:rsidRPr="00FF0648" w:rsidR="00544EE1">
              <w:rPr>
                <w:rFonts w:eastAsia="Calibri"/>
                <w:sz w:val="20"/>
                <w:szCs w:val="20"/>
              </w:rPr>
              <w:t xml:space="preserve"> data</w:t>
            </w:r>
            <w:r w:rsidRPr="00FF0648" w:rsidR="00F45FB2">
              <w:rPr>
                <w:rFonts w:eastAsia="Calibri"/>
                <w:sz w:val="20"/>
                <w:szCs w:val="20"/>
              </w:rPr>
              <w:t xml:space="preserve"> submitted</w:t>
            </w:r>
            <w:r w:rsidRPr="00FF0648">
              <w:rPr>
                <w:rFonts w:eastAsia="Calibri"/>
                <w:sz w:val="20"/>
                <w:szCs w:val="20"/>
              </w:rPr>
              <w:t xml:space="preserve"> quarterly</w:t>
            </w:r>
            <w:r w:rsidRPr="00FF0648" w:rsidR="00F45FB2">
              <w:rPr>
                <w:rFonts w:eastAsia="Calibri"/>
                <w:sz w:val="20"/>
                <w:szCs w:val="20"/>
              </w:rPr>
              <w:t xml:space="preserve"> to the program</w:t>
            </w:r>
            <w:r w:rsidRPr="00FF0648">
              <w:rPr>
                <w:rFonts w:eastAsia="Calibri"/>
                <w:sz w:val="20"/>
                <w:szCs w:val="20"/>
              </w:rPr>
              <w:t>.</w:t>
            </w:r>
          </w:p>
        </w:tc>
      </w:tr>
      <w:tr w14:paraId="4429D226" w14:textId="77777777" w:rsidTr="00C341A2">
        <w:tblPrEx>
          <w:tblW w:w="8725" w:type="dxa"/>
          <w:tblLook w:val="04A0"/>
        </w:tblPrEx>
        <w:trPr>
          <w:cantSplit/>
        </w:trPr>
        <w:tc>
          <w:tcPr>
            <w:tcW w:w="2649" w:type="dxa"/>
            <w:tcBorders>
              <w:top w:val="single" w:sz="4" w:space="0" w:color="auto"/>
              <w:left w:val="single" w:sz="4" w:space="0" w:color="auto"/>
              <w:bottom w:val="single" w:sz="4" w:space="0" w:color="auto"/>
              <w:right w:val="single" w:sz="4" w:space="0" w:color="auto"/>
            </w:tcBorders>
            <w:shd w:val="clear" w:color="auto" w:fill="E9E6E3"/>
            <w:hideMark/>
          </w:tcPr>
          <w:p w:rsidR="00C341A2" w:rsidRPr="009A23E6" w:rsidP="00C341A2" w14:paraId="4361FFDB" w14:textId="036CF7B2">
            <w:pPr>
              <w:spacing w:line="276" w:lineRule="auto"/>
              <w:rPr>
                <w:rFonts w:eastAsia="Calibri"/>
                <w:sz w:val="20"/>
                <w:szCs w:val="20"/>
              </w:rPr>
            </w:pPr>
            <w:r w:rsidRPr="009A23E6">
              <w:rPr>
                <w:rFonts w:eastAsia="Calibri"/>
                <w:sz w:val="20"/>
                <w:szCs w:val="20"/>
              </w:rPr>
              <w:t>Antibiotic prescriptions per 100 antibiotic-inappropriate respiratory tract infection</w:t>
            </w:r>
            <w:r w:rsidR="00FB5278">
              <w:rPr>
                <w:rFonts w:eastAsia="Calibri"/>
                <w:sz w:val="20"/>
                <w:szCs w:val="20"/>
              </w:rPr>
              <w:t xml:space="preserve"> (RTI)-</w:t>
            </w:r>
            <w:r w:rsidR="00FB5278">
              <w:rPr>
                <w:rFonts w:eastAsia="Calibri"/>
                <w:sz w:val="20"/>
                <w:szCs w:val="20"/>
              </w:rPr>
              <w:t>realted</w:t>
            </w:r>
            <w:r w:rsidRPr="009A23E6">
              <w:rPr>
                <w:rFonts w:eastAsia="Calibri"/>
                <w:sz w:val="20"/>
                <w:szCs w:val="20"/>
              </w:rPr>
              <w:t xml:space="preserve"> telemedicine visits</w:t>
            </w:r>
          </w:p>
        </w:tc>
        <w:tc>
          <w:tcPr>
            <w:tcW w:w="6076" w:type="dxa"/>
            <w:tcBorders>
              <w:top w:val="single" w:sz="4" w:space="0" w:color="auto"/>
              <w:left w:val="single" w:sz="4" w:space="0" w:color="auto"/>
              <w:bottom w:val="single" w:sz="4" w:space="0" w:color="auto"/>
              <w:right w:val="single" w:sz="4" w:space="0" w:color="auto"/>
            </w:tcBorders>
            <w:shd w:val="clear" w:color="auto" w:fill="E9E6E3"/>
            <w:hideMark/>
          </w:tcPr>
          <w:p w:rsidR="00C341A2" w:rsidRPr="009A23E6" w:rsidP="00C341A2" w14:paraId="21A14D93" w14:textId="421C2569">
            <w:pPr>
              <w:spacing w:line="276" w:lineRule="auto"/>
              <w:rPr>
                <w:rFonts w:eastAsia="Calibri"/>
                <w:sz w:val="20"/>
                <w:szCs w:val="20"/>
              </w:rPr>
            </w:pPr>
            <w:r w:rsidRPr="009A23E6">
              <w:rPr>
                <w:rFonts w:eastAsia="Calibri"/>
                <w:sz w:val="20"/>
                <w:szCs w:val="20"/>
              </w:rPr>
              <w:t xml:space="preserve">Antibiotic prescriptions are defined as any separate prescription electronically transmitted to a pharmacy for a patient associated with a telemedicine visit for an antibiotic-inappropriate acute respiratory tract infection. Each antibiotic prescription is counted independently, even if more than one antibiotic was prescribed in a visit. Antibiotic drug class will also be collected. </w:t>
            </w:r>
            <w:bookmarkStart w:id="15" w:name="OLE_LINK9"/>
            <w:r w:rsidRPr="009A23E6">
              <w:rPr>
                <w:rFonts w:eastAsia="Calibri"/>
                <w:sz w:val="20"/>
                <w:szCs w:val="20"/>
              </w:rPr>
              <w:t xml:space="preserve">Denominator is total number of patients with a telemedicine visit (including videoconferencing or telephone-based visit) associated with an ICD-10 code for a non-antibiotic-appropriate respiratory condition. </w:t>
            </w:r>
            <w:bookmarkEnd w:id="15"/>
            <w:r w:rsidRPr="00FF0648">
              <w:rPr>
                <w:rFonts w:eastAsia="Calibri"/>
                <w:sz w:val="20"/>
                <w:szCs w:val="20"/>
              </w:rPr>
              <w:t xml:space="preserve">This </w:t>
            </w:r>
            <w:r w:rsidRPr="00FF0648" w:rsidR="00F45FB2">
              <w:rPr>
                <w:rFonts w:eastAsia="Calibri"/>
                <w:sz w:val="20"/>
                <w:szCs w:val="20"/>
              </w:rPr>
              <w:t xml:space="preserve">measure </w:t>
            </w:r>
            <w:r w:rsidRPr="00FF0648" w:rsidR="00544EE1">
              <w:rPr>
                <w:rFonts w:eastAsia="Calibri"/>
                <w:sz w:val="20"/>
                <w:szCs w:val="20"/>
              </w:rPr>
              <w:t>will be</w:t>
            </w:r>
            <w:r w:rsidRPr="00FF0648" w:rsidR="00F45FB2">
              <w:rPr>
                <w:rFonts w:eastAsia="Calibri"/>
                <w:sz w:val="20"/>
                <w:szCs w:val="20"/>
              </w:rPr>
              <w:t xml:space="preserve"> </w:t>
            </w:r>
            <w:r w:rsidRPr="00FF0648">
              <w:rPr>
                <w:rFonts w:eastAsia="Calibri"/>
                <w:sz w:val="20"/>
                <w:szCs w:val="20"/>
              </w:rPr>
              <w:t xml:space="preserve">collected </w:t>
            </w:r>
            <w:r w:rsidRPr="00FF0648" w:rsidR="00F45FB2">
              <w:rPr>
                <w:rFonts w:eastAsia="Calibri"/>
                <w:sz w:val="20"/>
                <w:szCs w:val="20"/>
              </w:rPr>
              <w:t xml:space="preserve">monthly </w:t>
            </w:r>
            <w:r w:rsidRPr="00FF0648">
              <w:rPr>
                <w:rFonts w:eastAsia="Calibri"/>
                <w:sz w:val="20"/>
                <w:szCs w:val="20"/>
              </w:rPr>
              <w:t xml:space="preserve">from </w:t>
            </w:r>
            <w:r w:rsidRPr="00FF0648" w:rsidR="008853C0">
              <w:rPr>
                <w:rFonts w:eastAsia="Calibri"/>
                <w:sz w:val="20"/>
                <w:szCs w:val="20"/>
              </w:rPr>
              <w:t>March</w:t>
            </w:r>
            <w:r w:rsidRPr="00FF0648">
              <w:rPr>
                <w:rFonts w:eastAsia="Calibri"/>
                <w:sz w:val="20"/>
                <w:szCs w:val="20"/>
              </w:rPr>
              <w:t xml:space="preserve"> 2024 to November 2025 and</w:t>
            </w:r>
            <w:r w:rsidRPr="00FF0648" w:rsidR="00F45FB2">
              <w:rPr>
                <w:rFonts w:eastAsia="Calibri"/>
                <w:sz w:val="20"/>
                <w:szCs w:val="20"/>
              </w:rPr>
              <w:t xml:space="preserve"> data</w:t>
            </w:r>
            <w:r w:rsidRPr="00FF0648">
              <w:rPr>
                <w:rFonts w:eastAsia="Calibri"/>
                <w:sz w:val="20"/>
                <w:szCs w:val="20"/>
              </w:rPr>
              <w:t xml:space="preserve"> </w:t>
            </w:r>
            <w:r w:rsidRPr="00FF0648" w:rsidR="00F45FB2">
              <w:rPr>
                <w:rFonts w:eastAsia="Calibri"/>
                <w:sz w:val="20"/>
                <w:szCs w:val="20"/>
              </w:rPr>
              <w:t xml:space="preserve">submitted </w:t>
            </w:r>
            <w:r w:rsidRPr="00FF0648">
              <w:rPr>
                <w:rFonts w:eastAsia="Calibri"/>
                <w:sz w:val="20"/>
                <w:szCs w:val="20"/>
              </w:rPr>
              <w:t>quarterly</w:t>
            </w:r>
            <w:r w:rsidRPr="00FF0648" w:rsidR="00F45FB2">
              <w:rPr>
                <w:rFonts w:eastAsia="Calibri"/>
                <w:sz w:val="20"/>
                <w:szCs w:val="20"/>
              </w:rPr>
              <w:t xml:space="preserve"> to the program</w:t>
            </w:r>
            <w:r w:rsidRPr="00FF0648">
              <w:rPr>
                <w:rFonts w:eastAsia="Calibri"/>
                <w:sz w:val="20"/>
                <w:szCs w:val="20"/>
              </w:rPr>
              <w:t>.</w:t>
            </w:r>
          </w:p>
        </w:tc>
      </w:tr>
    </w:tbl>
    <w:p w:rsidR="00495DEC" w:rsidRPr="009A23E6" w:rsidP="000C21A5" w14:paraId="4279DA8E" w14:textId="77777777">
      <w:pPr>
        <w:rPr>
          <w:b/>
          <w:i/>
        </w:rPr>
      </w:pPr>
    </w:p>
    <w:p w:rsidR="000C21A5" w:rsidRPr="00FA4402" w:rsidP="000C21A5" w14:paraId="7CF93D8D" w14:textId="454350A6">
      <w:pPr>
        <w:rPr>
          <w:b/>
          <w:iCs/>
        </w:rPr>
      </w:pPr>
      <w:r w:rsidRPr="00FA4402">
        <w:rPr>
          <w:b/>
          <w:iCs/>
        </w:rPr>
        <w:t>Evaluation Design</w:t>
      </w:r>
    </w:p>
    <w:p w:rsidR="003950B4" w:rsidRPr="00FF0648" w:rsidP="003950B4" w14:paraId="5F6F9AEF" w14:textId="56FC878E">
      <w:r w:rsidRPr="009A23E6">
        <w:t xml:space="preserve">We will employ a pre-post longitudinal evaluation study </w:t>
      </w:r>
      <w:r w:rsidRPr="00FF0648">
        <w:t xml:space="preserve">with </w:t>
      </w:r>
      <w:r w:rsidRPr="00FF0648" w:rsidR="008853C0">
        <w:t>six</w:t>
      </w:r>
      <w:r w:rsidRPr="00FF0648">
        <w:t xml:space="preserve"> months for baseline, 12 months for intervention period, and </w:t>
      </w:r>
      <w:r w:rsidRPr="00FF0648" w:rsidR="00193A78">
        <w:t>three</w:t>
      </w:r>
      <w:r w:rsidRPr="00FF0648">
        <w:t xml:space="preserve"> months for endline. For </w:t>
      </w:r>
      <w:r w:rsidRPr="00FF0648" w:rsidR="00193A78">
        <w:t xml:space="preserve">the </w:t>
      </w:r>
      <w:r w:rsidRPr="00FF0648">
        <w:t>Structural Assessment</w:t>
      </w:r>
      <w:r w:rsidRPr="00FF0648" w:rsidR="00057435">
        <w:t xml:space="preserve"> and </w:t>
      </w:r>
      <w:r w:rsidRPr="00FF0648">
        <w:t xml:space="preserve">AHRQ </w:t>
      </w:r>
      <w:r w:rsidRPr="00FF0648" w:rsidR="008F10A0">
        <w:t>MOSOPS</w:t>
      </w:r>
      <w:r w:rsidRPr="00FF0648" w:rsidR="00057435">
        <w:t xml:space="preserve">, </w:t>
      </w:r>
      <w:r w:rsidRPr="00FF0648">
        <w:t xml:space="preserve">we will compare the responses from baseline to endline. For </w:t>
      </w:r>
      <w:r w:rsidRPr="00FF0648" w:rsidR="00C55BED">
        <w:t xml:space="preserve">the </w:t>
      </w:r>
      <w:r w:rsidRPr="00FF0648">
        <w:t>Participant Experience Survey, we will examine the response</w:t>
      </w:r>
      <w:r w:rsidRPr="00FF0648" w:rsidR="002C2888">
        <w:t>s</w:t>
      </w:r>
      <w:r w:rsidRPr="00FF0648">
        <w:t xml:space="preserve"> cross-sectionally. </w:t>
      </w:r>
      <w:r w:rsidRPr="00FF0648" w:rsidR="001317F3">
        <w:t xml:space="preserve">Differences in response rates by practice size and type will be explored and reported, if applicable. </w:t>
      </w:r>
      <w:bookmarkStart w:id="16" w:name="OLE_LINK1"/>
      <w:r w:rsidRPr="00FF0648">
        <w:t xml:space="preserve">For the primary outcomes that will be collected through the EHR extracts </w:t>
      </w:r>
      <w:r w:rsidRPr="00FF0648" w:rsidR="00660D86">
        <w:t xml:space="preserve">of </w:t>
      </w:r>
      <w:r w:rsidRPr="00FF0648">
        <w:t xml:space="preserve">antibiotic prescriptions, we will apply </w:t>
      </w:r>
      <w:r w:rsidRPr="00FF0648" w:rsidR="00A46A79">
        <w:t>a longitudinal</w:t>
      </w:r>
      <w:r w:rsidRPr="00FF0648">
        <w:t xml:space="preserve"> analysis </w:t>
      </w:r>
      <w:r w:rsidRPr="00FF0648" w:rsidR="00487C60">
        <w:t xml:space="preserve">at the visit level </w:t>
      </w:r>
      <w:r w:rsidRPr="00FF0648">
        <w:t>to assess the change in antibiotic usage over time.</w:t>
      </w:r>
    </w:p>
    <w:p w:rsidR="003950B4" w:rsidP="00FA4402" w14:paraId="72EC1B49" w14:textId="70D4955D">
      <w:pPr>
        <w:spacing w:before="240" w:after="240"/>
      </w:pPr>
      <w:bookmarkStart w:id="17" w:name="OLE_LINK29"/>
      <w:bookmarkEnd w:id="16"/>
      <w:r w:rsidRPr="009A23E6">
        <w:t xml:space="preserve">The </w:t>
      </w:r>
      <w:r w:rsidRPr="00ED3064">
        <w:t>implementation data collection is designed to be powered at 80</w:t>
      </w:r>
      <w:r w:rsidRPr="00ED3064" w:rsidR="00C0098D">
        <w:t xml:space="preserve"> percent</w:t>
      </w:r>
      <w:r w:rsidRPr="00ED3064">
        <w:t xml:space="preserve"> to detect a change from baseline to post-intervention period for </w:t>
      </w:r>
      <w:r w:rsidRPr="00ED3064" w:rsidR="003B042A">
        <w:t>2.89</w:t>
      </w:r>
      <w:r w:rsidRPr="00ED3064">
        <w:t xml:space="preserve"> antibiotic prescriptions per</w:t>
      </w:r>
      <w:r w:rsidRPr="009A23E6">
        <w:t xml:space="preserve"> 100 </w:t>
      </w:r>
      <w:r w:rsidR="00FB5278">
        <w:t>RTI</w:t>
      </w:r>
      <w:r w:rsidRPr="009A23E6">
        <w:t>-related visits (assuming SD of 20)</w:t>
      </w:r>
      <w:r w:rsidRPr="009A23E6" w:rsidR="0003673A">
        <w:t xml:space="preserve"> (see Exhibit 4)</w:t>
      </w:r>
      <w:r w:rsidRPr="009A23E6">
        <w:t xml:space="preserve">. The following assumptions were used in the power calculations: 1) </w:t>
      </w:r>
      <w:r w:rsidR="00FB5278">
        <w:t>1</w:t>
      </w:r>
      <w:r w:rsidRPr="009A23E6">
        <w:t>-sided significan</w:t>
      </w:r>
      <w:r w:rsidR="00FA4402">
        <w:t>ce</w:t>
      </w:r>
      <w:r w:rsidRPr="009A23E6">
        <w:t xml:space="preserve"> level of 0.05, 2) 500 practices, 3) within-practice correlation of 0.4, and 4) response rate of 90</w:t>
      </w:r>
      <w:r w:rsidR="00C0098D">
        <w:t xml:space="preserve"> percent</w:t>
      </w:r>
      <w:r w:rsidRPr="009A23E6">
        <w:t>.</w:t>
      </w:r>
    </w:p>
    <w:p w:rsidR="008F10A0" w:rsidP="00FA4402" w14:paraId="38B71F15" w14:textId="77777777">
      <w:pPr>
        <w:spacing w:before="240" w:after="240"/>
      </w:pPr>
    </w:p>
    <w:p w:rsidR="008F10A0" w:rsidP="00FA4402" w14:paraId="536C9A0B" w14:textId="77777777">
      <w:pPr>
        <w:spacing w:before="240" w:after="240"/>
      </w:pPr>
    </w:p>
    <w:p w:rsidR="008F10A0" w:rsidRPr="009A23E6" w:rsidP="00FA4402" w14:paraId="79D5F575" w14:textId="77777777">
      <w:pPr>
        <w:spacing w:before="240" w:after="240"/>
      </w:pPr>
    </w:p>
    <w:bookmarkEnd w:id="17"/>
    <w:p w:rsidR="000C21A5" w:rsidRPr="009A23E6" w:rsidP="000C21A5" w14:paraId="436ABE0C" w14:textId="7FDEB966"/>
    <w:p w:rsidR="00444EFC" w:rsidRPr="009A23E6" w:rsidP="00444EFC" w14:paraId="7A709446" w14:textId="431BFF05">
      <w:pPr>
        <w:rPr>
          <w:i/>
        </w:rPr>
      </w:pPr>
      <w:r w:rsidRPr="009A23E6">
        <w:rPr>
          <w:rStyle w:val="NORCCaption-Color"/>
          <w:rFonts w:ascii="Times New Roman" w:eastAsia="Calibri" w:hAnsi="Times New Roman"/>
          <w:sz w:val="24"/>
        </w:rPr>
        <w:t xml:space="preserve">Exhibit </w:t>
      </w:r>
      <w:r w:rsidRPr="009A23E6" w:rsidR="001618BE">
        <w:rPr>
          <w:rStyle w:val="NORCCaption-Color"/>
          <w:rFonts w:ascii="Times New Roman" w:eastAsia="Calibri" w:hAnsi="Times New Roman"/>
          <w:sz w:val="24"/>
        </w:rPr>
        <w:t>4</w:t>
      </w:r>
      <w:r w:rsidRPr="009A23E6">
        <w:rPr>
          <w:rStyle w:val="NORCCaption-Color"/>
          <w:rFonts w:ascii="Times New Roman" w:eastAsia="Calibri" w:hAnsi="Times New Roman"/>
          <w:sz w:val="24"/>
        </w:rPr>
        <w:t>:</w:t>
      </w:r>
      <w:r w:rsidRPr="009A23E6">
        <w:t xml:space="preserve"> Power Analysis </w:t>
      </w:r>
    </w:p>
    <w:tbl>
      <w:tblPr>
        <w:tblW w:w="4945" w:type="dxa"/>
        <w:tblLook w:val="04A0"/>
      </w:tblPr>
      <w:tblGrid>
        <w:gridCol w:w="1302"/>
        <w:gridCol w:w="1303"/>
        <w:gridCol w:w="2340"/>
      </w:tblGrid>
      <w:tr w14:paraId="4D0B73CF" w14:textId="77777777" w:rsidTr="002B1D38">
        <w:tblPrEx>
          <w:tblW w:w="4945" w:type="dxa"/>
          <w:tblLook w:val="04A0"/>
        </w:tblPrEx>
        <w:trPr>
          <w:trHeight w:val="575"/>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5278" w:rsidRPr="009A23E6" w:rsidP="00334992" w14:paraId="105BBA13" w14:textId="77777777">
            <w:pPr>
              <w:jc w:val="center"/>
              <w:rPr>
                <w:color w:val="000000"/>
                <w:sz w:val="20"/>
                <w:szCs w:val="20"/>
              </w:rPr>
            </w:pPr>
            <w:r w:rsidRPr="009A23E6">
              <w:rPr>
                <w:color w:val="000000"/>
                <w:sz w:val="20"/>
                <w:szCs w:val="20"/>
              </w:rPr>
              <w:t>Total number of practices</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FB5278" w:rsidRPr="009A23E6" w:rsidP="00334992" w14:paraId="29FE2174" w14:textId="77777777">
            <w:pPr>
              <w:jc w:val="center"/>
              <w:rPr>
                <w:color w:val="000000"/>
                <w:sz w:val="20"/>
                <w:szCs w:val="20"/>
              </w:rPr>
            </w:pPr>
            <w:r w:rsidRPr="009A23E6">
              <w:rPr>
                <w:color w:val="000000"/>
                <w:sz w:val="20"/>
                <w:szCs w:val="20"/>
              </w:rPr>
              <w:t>Correlation within practice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FB5278" w:rsidRPr="009A23E6" w:rsidP="00334992" w14:paraId="236DF98E" w14:textId="24133683">
            <w:pPr>
              <w:jc w:val="center"/>
              <w:rPr>
                <w:color w:val="000000"/>
                <w:sz w:val="20"/>
                <w:szCs w:val="20"/>
              </w:rPr>
            </w:pPr>
            <w:r w:rsidRPr="009A23E6">
              <w:rPr>
                <w:color w:val="000000"/>
                <w:sz w:val="20"/>
                <w:szCs w:val="20"/>
              </w:rPr>
              <w:t xml:space="preserve">Antibiotic prescriptions per 100 visits with </w:t>
            </w:r>
            <w:r>
              <w:rPr>
                <w:color w:val="000000"/>
                <w:sz w:val="20"/>
                <w:szCs w:val="20"/>
              </w:rPr>
              <w:t>RTI</w:t>
            </w:r>
            <w:r w:rsidRPr="009A23E6">
              <w:rPr>
                <w:color w:val="000000"/>
                <w:sz w:val="20"/>
                <w:szCs w:val="20"/>
              </w:rPr>
              <w:t xml:space="preserve"> diagnosis</w:t>
            </w:r>
          </w:p>
        </w:tc>
      </w:tr>
      <w:tr w14:paraId="76178523"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4B66A105" w14:textId="77777777">
            <w:pPr>
              <w:jc w:val="center"/>
              <w:rPr>
                <w:color w:val="000000"/>
                <w:sz w:val="20"/>
                <w:szCs w:val="20"/>
              </w:rPr>
            </w:pPr>
            <w:r w:rsidRPr="009A23E6">
              <w:rPr>
                <w:color w:val="000000"/>
                <w:sz w:val="20"/>
                <w:szCs w:val="20"/>
              </w:rPr>
              <w:t>500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3B3C07F8" w14:textId="77777777">
            <w:pPr>
              <w:jc w:val="center"/>
              <w:rPr>
                <w:color w:val="000000"/>
                <w:sz w:val="20"/>
                <w:szCs w:val="20"/>
              </w:rPr>
            </w:pPr>
            <w:r w:rsidRPr="009A23E6">
              <w:rPr>
                <w:color w:val="000000"/>
                <w:sz w:val="20"/>
                <w:szCs w:val="20"/>
              </w:rPr>
              <w:t>0.2</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762B4C35" w14:textId="77777777">
            <w:pPr>
              <w:jc w:val="center"/>
              <w:rPr>
                <w:color w:val="000000"/>
                <w:sz w:val="20"/>
                <w:szCs w:val="20"/>
              </w:rPr>
            </w:pPr>
            <w:r w:rsidRPr="009A23E6">
              <w:rPr>
                <w:color w:val="000000"/>
                <w:sz w:val="20"/>
                <w:szCs w:val="20"/>
              </w:rPr>
              <w:t>3.34</w:t>
            </w:r>
          </w:p>
        </w:tc>
      </w:tr>
      <w:tr w14:paraId="64D06DAB"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AC5D25" w:rsidP="00334992" w14:paraId="7F5B8187" w14:textId="77777777">
            <w:pPr>
              <w:jc w:val="center"/>
              <w:rPr>
                <w:b/>
                <w:bCs/>
                <w:color w:val="000000"/>
                <w:sz w:val="20"/>
                <w:szCs w:val="20"/>
              </w:rPr>
            </w:pPr>
            <w:r w:rsidRPr="00AC5D25">
              <w:rPr>
                <w:b/>
                <w:bCs/>
                <w:color w:val="000000"/>
                <w:sz w:val="20"/>
                <w:szCs w:val="20"/>
              </w:rPr>
              <w:t>500</w:t>
            </w:r>
          </w:p>
        </w:tc>
        <w:tc>
          <w:tcPr>
            <w:tcW w:w="1303" w:type="dxa"/>
            <w:tcBorders>
              <w:top w:val="nil"/>
              <w:left w:val="nil"/>
              <w:bottom w:val="single" w:sz="4" w:space="0" w:color="auto"/>
              <w:right w:val="single" w:sz="4" w:space="0" w:color="auto"/>
            </w:tcBorders>
            <w:shd w:val="clear" w:color="auto" w:fill="auto"/>
            <w:vAlign w:val="bottom"/>
            <w:hideMark/>
          </w:tcPr>
          <w:p w:rsidR="00FB5278" w:rsidRPr="00AC5D25" w:rsidP="00334992" w14:paraId="748514F2" w14:textId="77777777">
            <w:pPr>
              <w:jc w:val="center"/>
              <w:rPr>
                <w:b/>
                <w:bCs/>
                <w:color w:val="000000"/>
                <w:sz w:val="20"/>
                <w:szCs w:val="20"/>
              </w:rPr>
            </w:pPr>
            <w:r w:rsidRPr="00AC5D25">
              <w:rPr>
                <w:b/>
                <w:bCs/>
                <w:color w:val="000000"/>
                <w:sz w:val="20"/>
                <w:szCs w:val="20"/>
              </w:rPr>
              <w:t>0.4</w:t>
            </w:r>
          </w:p>
        </w:tc>
        <w:tc>
          <w:tcPr>
            <w:tcW w:w="2340" w:type="dxa"/>
            <w:tcBorders>
              <w:top w:val="nil"/>
              <w:left w:val="nil"/>
              <w:bottom w:val="single" w:sz="4" w:space="0" w:color="auto"/>
              <w:right w:val="single" w:sz="4" w:space="0" w:color="auto"/>
            </w:tcBorders>
            <w:shd w:val="clear" w:color="auto" w:fill="auto"/>
            <w:vAlign w:val="bottom"/>
            <w:hideMark/>
          </w:tcPr>
          <w:p w:rsidR="00FB5278" w:rsidRPr="00AC5D25" w:rsidP="00334992" w14:paraId="7324C618" w14:textId="77777777">
            <w:pPr>
              <w:jc w:val="center"/>
              <w:rPr>
                <w:b/>
                <w:bCs/>
                <w:color w:val="000000"/>
                <w:sz w:val="20"/>
                <w:szCs w:val="20"/>
              </w:rPr>
            </w:pPr>
            <w:r w:rsidRPr="00AC5D25">
              <w:rPr>
                <w:b/>
                <w:bCs/>
                <w:color w:val="000000"/>
                <w:sz w:val="20"/>
                <w:szCs w:val="20"/>
              </w:rPr>
              <w:t>2.89</w:t>
            </w:r>
          </w:p>
        </w:tc>
      </w:tr>
      <w:tr w14:paraId="3489C8C2"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2B0C2924" w14:textId="77777777">
            <w:pPr>
              <w:jc w:val="center"/>
              <w:rPr>
                <w:color w:val="000000"/>
                <w:sz w:val="20"/>
                <w:szCs w:val="20"/>
              </w:rPr>
            </w:pPr>
            <w:r w:rsidRPr="009A23E6">
              <w:rPr>
                <w:color w:val="000000"/>
                <w:sz w:val="20"/>
                <w:szCs w:val="20"/>
              </w:rPr>
              <w:t>500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0C9312C3" w14:textId="77777777">
            <w:pPr>
              <w:jc w:val="center"/>
              <w:rPr>
                <w:color w:val="000000"/>
                <w:sz w:val="20"/>
                <w:szCs w:val="20"/>
              </w:rPr>
            </w:pPr>
            <w:r w:rsidRPr="009A23E6">
              <w:rPr>
                <w:color w:val="000000"/>
                <w:sz w:val="20"/>
                <w:szCs w:val="20"/>
              </w:rPr>
              <w:t>0.6</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1538866D" w14:textId="77777777">
            <w:pPr>
              <w:jc w:val="center"/>
              <w:rPr>
                <w:color w:val="000000"/>
                <w:sz w:val="20"/>
                <w:szCs w:val="20"/>
              </w:rPr>
            </w:pPr>
            <w:r w:rsidRPr="009A23E6">
              <w:rPr>
                <w:color w:val="000000"/>
                <w:sz w:val="20"/>
                <w:szCs w:val="20"/>
              </w:rPr>
              <w:t>2.36</w:t>
            </w:r>
          </w:p>
        </w:tc>
      </w:tr>
      <w:tr w14:paraId="1CEBC6B9"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24E7928F" w14:textId="77777777">
            <w:pPr>
              <w:jc w:val="center"/>
              <w:rPr>
                <w:color w:val="000000"/>
                <w:sz w:val="20"/>
                <w:szCs w:val="20"/>
              </w:rPr>
            </w:pPr>
            <w:r w:rsidRPr="009A23E6">
              <w:rPr>
                <w:color w:val="000000"/>
                <w:sz w:val="20"/>
                <w:szCs w:val="20"/>
              </w:rPr>
              <w:t>400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62EE2C23" w14:textId="77777777">
            <w:pPr>
              <w:jc w:val="center"/>
              <w:rPr>
                <w:color w:val="000000"/>
                <w:sz w:val="20"/>
                <w:szCs w:val="20"/>
              </w:rPr>
            </w:pPr>
            <w:r w:rsidRPr="009A23E6">
              <w:rPr>
                <w:color w:val="000000"/>
                <w:sz w:val="20"/>
                <w:szCs w:val="20"/>
              </w:rPr>
              <w:t>0.2</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77D40C60" w14:textId="77777777">
            <w:pPr>
              <w:jc w:val="center"/>
              <w:rPr>
                <w:color w:val="000000"/>
                <w:sz w:val="20"/>
                <w:szCs w:val="20"/>
              </w:rPr>
            </w:pPr>
            <w:r w:rsidRPr="009A23E6">
              <w:rPr>
                <w:color w:val="000000"/>
                <w:sz w:val="20"/>
                <w:szCs w:val="20"/>
              </w:rPr>
              <w:t>3.74</w:t>
            </w:r>
          </w:p>
        </w:tc>
      </w:tr>
      <w:tr w14:paraId="16E8EA38"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1C3366D3" w14:textId="77777777">
            <w:pPr>
              <w:jc w:val="center"/>
              <w:rPr>
                <w:color w:val="000000"/>
                <w:sz w:val="20"/>
                <w:szCs w:val="20"/>
              </w:rPr>
            </w:pPr>
            <w:r w:rsidRPr="009A23E6">
              <w:rPr>
                <w:color w:val="000000"/>
                <w:sz w:val="20"/>
                <w:szCs w:val="20"/>
              </w:rPr>
              <w:t>400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7AFC684B" w14:textId="77777777">
            <w:pPr>
              <w:jc w:val="center"/>
              <w:rPr>
                <w:color w:val="000000"/>
                <w:sz w:val="20"/>
                <w:szCs w:val="20"/>
              </w:rPr>
            </w:pPr>
            <w:r w:rsidRPr="009A23E6">
              <w:rPr>
                <w:color w:val="000000"/>
                <w:sz w:val="20"/>
                <w:szCs w:val="20"/>
              </w:rPr>
              <w:t>0.4</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0A8E79F2" w14:textId="77777777">
            <w:pPr>
              <w:jc w:val="center"/>
              <w:rPr>
                <w:color w:val="000000"/>
                <w:sz w:val="20"/>
                <w:szCs w:val="20"/>
              </w:rPr>
            </w:pPr>
            <w:r w:rsidRPr="009A23E6">
              <w:rPr>
                <w:color w:val="000000"/>
                <w:sz w:val="20"/>
                <w:szCs w:val="20"/>
              </w:rPr>
              <w:t>3.23</w:t>
            </w:r>
          </w:p>
        </w:tc>
      </w:tr>
      <w:tr w14:paraId="7EB3E567"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006E2DC1" w14:textId="77777777">
            <w:pPr>
              <w:jc w:val="center"/>
              <w:rPr>
                <w:color w:val="000000"/>
                <w:sz w:val="20"/>
                <w:szCs w:val="20"/>
              </w:rPr>
            </w:pPr>
            <w:r w:rsidRPr="009A23E6">
              <w:rPr>
                <w:color w:val="000000"/>
                <w:sz w:val="20"/>
                <w:szCs w:val="20"/>
              </w:rPr>
              <w:t>400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1DDDFC90" w14:textId="77777777">
            <w:pPr>
              <w:jc w:val="center"/>
              <w:rPr>
                <w:color w:val="000000"/>
                <w:sz w:val="20"/>
                <w:szCs w:val="20"/>
              </w:rPr>
            </w:pPr>
            <w:r w:rsidRPr="009A23E6">
              <w:rPr>
                <w:color w:val="000000"/>
                <w:sz w:val="20"/>
                <w:szCs w:val="20"/>
              </w:rPr>
              <w:t>0.6</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69E12E23" w14:textId="77777777">
            <w:pPr>
              <w:jc w:val="center"/>
              <w:rPr>
                <w:color w:val="000000"/>
                <w:sz w:val="20"/>
                <w:szCs w:val="20"/>
              </w:rPr>
            </w:pPr>
            <w:r w:rsidRPr="009A23E6">
              <w:rPr>
                <w:color w:val="000000"/>
                <w:sz w:val="20"/>
                <w:szCs w:val="20"/>
              </w:rPr>
              <w:t>2.64</w:t>
            </w:r>
          </w:p>
        </w:tc>
      </w:tr>
      <w:tr w14:paraId="6D287D21"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5674A7D0" w14:textId="77777777">
            <w:pPr>
              <w:jc w:val="center"/>
              <w:rPr>
                <w:color w:val="000000"/>
                <w:sz w:val="20"/>
                <w:szCs w:val="20"/>
              </w:rPr>
            </w:pPr>
            <w:r w:rsidRPr="009A23E6">
              <w:rPr>
                <w:color w:val="000000"/>
                <w:sz w:val="20"/>
                <w:szCs w:val="20"/>
              </w:rPr>
              <w:t>300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5456B918" w14:textId="77777777">
            <w:pPr>
              <w:jc w:val="center"/>
              <w:rPr>
                <w:color w:val="000000"/>
                <w:sz w:val="20"/>
                <w:szCs w:val="20"/>
              </w:rPr>
            </w:pPr>
            <w:r w:rsidRPr="009A23E6">
              <w:rPr>
                <w:color w:val="000000"/>
                <w:sz w:val="20"/>
                <w:szCs w:val="20"/>
              </w:rPr>
              <w:t>0.2</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25E21410" w14:textId="77777777">
            <w:pPr>
              <w:jc w:val="center"/>
              <w:rPr>
                <w:color w:val="000000"/>
                <w:sz w:val="20"/>
                <w:szCs w:val="20"/>
              </w:rPr>
            </w:pPr>
            <w:r w:rsidRPr="009A23E6">
              <w:rPr>
                <w:color w:val="000000"/>
                <w:sz w:val="20"/>
                <w:szCs w:val="20"/>
              </w:rPr>
              <w:t>4.31</w:t>
            </w:r>
          </w:p>
        </w:tc>
      </w:tr>
      <w:tr w14:paraId="779FCDB1"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45555A97" w14:textId="77777777">
            <w:pPr>
              <w:jc w:val="center"/>
              <w:rPr>
                <w:color w:val="000000"/>
                <w:sz w:val="20"/>
                <w:szCs w:val="20"/>
              </w:rPr>
            </w:pPr>
            <w:r w:rsidRPr="009A23E6">
              <w:rPr>
                <w:color w:val="000000"/>
                <w:sz w:val="20"/>
                <w:szCs w:val="20"/>
              </w:rPr>
              <w:t>300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76813994" w14:textId="77777777">
            <w:pPr>
              <w:jc w:val="center"/>
              <w:rPr>
                <w:color w:val="000000"/>
                <w:sz w:val="20"/>
                <w:szCs w:val="20"/>
              </w:rPr>
            </w:pPr>
            <w:r w:rsidRPr="009A23E6">
              <w:rPr>
                <w:color w:val="000000"/>
                <w:sz w:val="20"/>
                <w:szCs w:val="20"/>
              </w:rPr>
              <w:t>0.4</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295D33FA" w14:textId="77777777">
            <w:pPr>
              <w:jc w:val="center"/>
              <w:rPr>
                <w:color w:val="000000"/>
                <w:sz w:val="20"/>
                <w:szCs w:val="20"/>
              </w:rPr>
            </w:pPr>
            <w:r w:rsidRPr="009A23E6">
              <w:rPr>
                <w:color w:val="000000"/>
                <w:sz w:val="20"/>
                <w:szCs w:val="20"/>
              </w:rPr>
              <w:t>3.74</w:t>
            </w:r>
          </w:p>
        </w:tc>
      </w:tr>
      <w:tr w14:paraId="62C0461C" w14:textId="77777777" w:rsidTr="002B1D38">
        <w:tblPrEx>
          <w:tblW w:w="4945" w:type="dxa"/>
          <w:tblLook w:val="04A0"/>
        </w:tblPrEx>
        <w:trPr>
          <w:trHeight w:val="255"/>
        </w:trPr>
        <w:tc>
          <w:tcPr>
            <w:tcW w:w="1302" w:type="dxa"/>
            <w:tcBorders>
              <w:top w:val="nil"/>
              <w:left w:val="single" w:sz="4" w:space="0" w:color="auto"/>
              <w:bottom w:val="single" w:sz="4" w:space="0" w:color="auto"/>
              <w:right w:val="single" w:sz="4" w:space="0" w:color="auto"/>
            </w:tcBorders>
            <w:shd w:val="clear" w:color="auto" w:fill="auto"/>
            <w:vAlign w:val="bottom"/>
            <w:hideMark/>
          </w:tcPr>
          <w:p w:rsidR="00FB5278" w:rsidRPr="009A23E6" w:rsidP="00334992" w14:paraId="48A2F144" w14:textId="77777777">
            <w:pPr>
              <w:jc w:val="center"/>
              <w:rPr>
                <w:color w:val="000000"/>
                <w:sz w:val="20"/>
                <w:szCs w:val="20"/>
              </w:rPr>
            </w:pPr>
            <w:r w:rsidRPr="009A23E6">
              <w:rPr>
                <w:color w:val="000000"/>
                <w:sz w:val="20"/>
                <w:szCs w:val="20"/>
              </w:rPr>
              <w:t>300</w:t>
            </w:r>
          </w:p>
        </w:tc>
        <w:tc>
          <w:tcPr>
            <w:tcW w:w="1303" w:type="dxa"/>
            <w:tcBorders>
              <w:top w:val="nil"/>
              <w:left w:val="nil"/>
              <w:bottom w:val="single" w:sz="4" w:space="0" w:color="auto"/>
              <w:right w:val="single" w:sz="4" w:space="0" w:color="auto"/>
            </w:tcBorders>
            <w:shd w:val="clear" w:color="auto" w:fill="auto"/>
            <w:vAlign w:val="bottom"/>
            <w:hideMark/>
          </w:tcPr>
          <w:p w:rsidR="00FB5278" w:rsidRPr="009A23E6" w:rsidP="00334992" w14:paraId="2E0EA22F" w14:textId="77777777">
            <w:pPr>
              <w:jc w:val="center"/>
              <w:rPr>
                <w:color w:val="000000"/>
                <w:sz w:val="20"/>
                <w:szCs w:val="20"/>
              </w:rPr>
            </w:pPr>
            <w:r w:rsidRPr="009A23E6">
              <w:rPr>
                <w:color w:val="000000"/>
                <w:sz w:val="20"/>
                <w:szCs w:val="20"/>
              </w:rPr>
              <w:t>0.6</w:t>
            </w:r>
          </w:p>
        </w:tc>
        <w:tc>
          <w:tcPr>
            <w:tcW w:w="2340" w:type="dxa"/>
            <w:tcBorders>
              <w:top w:val="nil"/>
              <w:left w:val="nil"/>
              <w:bottom w:val="single" w:sz="4" w:space="0" w:color="auto"/>
              <w:right w:val="single" w:sz="4" w:space="0" w:color="auto"/>
            </w:tcBorders>
            <w:shd w:val="clear" w:color="auto" w:fill="auto"/>
            <w:vAlign w:val="bottom"/>
            <w:hideMark/>
          </w:tcPr>
          <w:p w:rsidR="00FB5278" w:rsidRPr="009A23E6" w:rsidP="00334992" w14:paraId="37EEE47C" w14:textId="77777777">
            <w:pPr>
              <w:jc w:val="center"/>
              <w:rPr>
                <w:color w:val="000000"/>
                <w:sz w:val="20"/>
                <w:szCs w:val="20"/>
              </w:rPr>
            </w:pPr>
            <w:r w:rsidRPr="009A23E6">
              <w:rPr>
                <w:color w:val="000000"/>
                <w:sz w:val="20"/>
                <w:szCs w:val="20"/>
              </w:rPr>
              <w:t>3.05</w:t>
            </w:r>
          </w:p>
        </w:tc>
      </w:tr>
    </w:tbl>
    <w:p w:rsidR="000C21A5" w:rsidRPr="009A23E6" w:rsidP="000C21A5" w14:paraId="70E31C10" w14:textId="77777777"/>
    <w:p w:rsidR="000C21A5" w:rsidRPr="009A23E6" w:rsidP="000C21A5" w14:paraId="4243C55C" w14:textId="5F073FB0">
      <w:pPr>
        <w:spacing w:after="240"/>
      </w:pPr>
      <w:r w:rsidRPr="009A23E6">
        <w:rPr>
          <w:b/>
          <w:i/>
        </w:rPr>
        <w:t xml:space="preserve">Qualitative </w:t>
      </w:r>
      <w:r w:rsidRPr="009A23E6" w:rsidR="00A92B95">
        <w:rPr>
          <w:b/>
          <w:i/>
        </w:rPr>
        <w:t>Analysis</w:t>
      </w:r>
      <w:r w:rsidRPr="009A23E6">
        <w:rPr>
          <w:b/>
          <w:i/>
        </w:rPr>
        <w:t xml:space="preserve"> (</w:t>
      </w:r>
      <w:r w:rsidR="00ED3064">
        <w:rPr>
          <w:b/>
          <w:i/>
        </w:rPr>
        <w:t>Improving Antibiotic Use</w:t>
      </w:r>
      <w:r w:rsidRPr="009A23E6" w:rsidR="00D50301">
        <w:rPr>
          <w:b/>
          <w:i/>
        </w:rPr>
        <w:t xml:space="preserve"> </w:t>
      </w:r>
      <w:r w:rsidRPr="009A23E6">
        <w:rPr>
          <w:b/>
          <w:i/>
        </w:rPr>
        <w:t>Cohort).</w:t>
      </w:r>
      <w:r w:rsidRPr="009A23E6">
        <w:t xml:space="preserve"> </w:t>
      </w:r>
      <w:r w:rsidRPr="00FF0648">
        <w:t xml:space="preserve">The </w:t>
      </w:r>
      <w:r w:rsidRPr="00FF0648" w:rsidR="0018583E">
        <w:t>program</w:t>
      </w:r>
      <w:r w:rsidRPr="00FF0648">
        <w:t xml:space="preserve"> will also conduct semi-structured qualitative interviews to assess </w:t>
      </w:r>
      <w:r w:rsidRPr="00FF0648" w:rsidR="001918D9">
        <w:t xml:space="preserve">practice level characteristics impacting intervention implementation and adoptions. </w:t>
      </w:r>
      <w:r w:rsidRPr="00FF0648" w:rsidR="003163E2">
        <w:t>Specifically, the interviews</w:t>
      </w:r>
      <w:r w:rsidRPr="00FF0648" w:rsidR="001918D9">
        <w:t xml:space="preserve"> will explore the facilitators and barriers to </w:t>
      </w:r>
      <w:r w:rsidRPr="00FF0648" w:rsidR="00660D86">
        <w:t>participating in the Safety Program</w:t>
      </w:r>
      <w:r w:rsidRPr="00FF0648" w:rsidR="00DB49AC">
        <w:t xml:space="preserve"> as well as</w:t>
      </w:r>
      <w:r w:rsidRPr="00FF0648" w:rsidR="001918D9">
        <w:t xml:space="preserve"> perceptions of the usefulness of the </w:t>
      </w:r>
      <w:r w:rsidRPr="00FF0648" w:rsidR="00FF58E1">
        <w:t>Safety Program</w:t>
      </w:r>
      <w:r w:rsidRPr="00FF0648" w:rsidR="001918D9">
        <w:t xml:space="preserve"> and </w:t>
      </w:r>
      <w:r w:rsidRPr="00FF0648" w:rsidR="003163E2">
        <w:t xml:space="preserve">will be used to gain an </w:t>
      </w:r>
      <w:r w:rsidRPr="00FF0648" w:rsidR="001918D9">
        <w:t xml:space="preserve">understanding </w:t>
      </w:r>
      <w:r w:rsidRPr="00FF0648" w:rsidR="008B473D">
        <w:t xml:space="preserve">of </w:t>
      </w:r>
      <w:r w:rsidRPr="00FF0648" w:rsidR="003163E2">
        <w:t xml:space="preserve">how to </w:t>
      </w:r>
      <w:r w:rsidRPr="00FF0648" w:rsidR="008B473D">
        <w:t>operational</w:t>
      </w:r>
      <w:r w:rsidRPr="00FF0648" w:rsidR="003163E2">
        <w:t>ly</w:t>
      </w:r>
      <w:r w:rsidRPr="00FF0648" w:rsidR="008B473D">
        <w:t xml:space="preserve"> measure</w:t>
      </w:r>
      <w:r w:rsidRPr="00FF0648" w:rsidR="003163E2">
        <w:t xml:space="preserve"> appropriate </w:t>
      </w:r>
      <w:r w:rsidRPr="00FF0648" w:rsidR="002D57DD">
        <w:t>antibiotic</w:t>
      </w:r>
      <w:r w:rsidRPr="00FF0648" w:rsidR="003163E2">
        <w:t xml:space="preserve"> prescribing in a telemedicine environment</w:t>
      </w:r>
      <w:r w:rsidRPr="00FF0648" w:rsidR="008B473D">
        <w:t>.</w:t>
      </w:r>
      <w:r w:rsidRPr="00FF0648">
        <w:t xml:space="preserve"> These one-on-one in-depth discussions will </w:t>
      </w:r>
      <w:r w:rsidRPr="00FF0648" w:rsidR="003163E2">
        <w:t xml:space="preserve">take place virtually </w:t>
      </w:r>
      <w:r w:rsidRPr="00FF0648">
        <w:t>with</w:t>
      </w:r>
      <w:r w:rsidRPr="00FF0648" w:rsidR="009066A4">
        <w:t xml:space="preserve"> a</w:t>
      </w:r>
      <w:r w:rsidRPr="00FF0648" w:rsidR="002D57DD">
        <w:t>n</w:t>
      </w:r>
      <w:r w:rsidRPr="00FF0648" w:rsidR="009066A4">
        <w:t xml:space="preserve"> </w:t>
      </w:r>
      <w:r w:rsidRPr="00FF0648" w:rsidR="002C2888">
        <w:t>HCP</w:t>
      </w:r>
      <w:r w:rsidRPr="00FF0648" w:rsidR="003163E2">
        <w:t xml:space="preserve"> involved in the implementation of </w:t>
      </w:r>
      <w:r w:rsidRPr="00FF0648" w:rsidR="00FF58E1">
        <w:t>the Safety Program.</w:t>
      </w:r>
      <w:r w:rsidRPr="00FF0648" w:rsidR="003163E2">
        <w:t xml:space="preserve"> Approximately </w:t>
      </w:r>
      <w:r w:rsidRPr="00FF0648" w:rsidR="00057435">
        <w:t xml:space="preserve">20 </w:t>
      </w:r>
      <w:r w:rsidRPr="00FF0648" w:rsidR="003163E2">
        <w:t>practices will be selected</w:t>
      </w:r>
      <w:r w:rsidRPr="00FF0648" w:rsidR="00DB49AC">
        <w:t>, with</w:t>
      </w:r>
      <w:r w:rsidRPr="00FF0648" w:rsidR="003163E2">
        <w:t xml:space="preserve"> </w:t>
      </w:r>
      <w:r w:rsidRPr="00FF0648" w:rsidR="00DB49AC">
        <w:t>one</w:t>
      </w:r>
      <w:r w:rsidRPr="00FF0648" w:rsidR="003371C8">
        <w:t xml:space="preserve"> to </w:t>
      </w:r>
      <w:r w:rsidRPr="00FF0648" w:rsidR="00DB49AC">
        <w:t>two</w:t>
      </w:r>
      <w:r w:rsidRPr="00FF0648" w:rsidR="003163E2">
        <w:t xml:space="preserve"> </w:t>
      </w:r>
      <w:r w:rsidRPr="00FF0648" w:rsidR="002C2888">
        <w:t>HCPs</w:t>
      </w:r>
      <w:r w:rsidRPr="00FF0648" w:rsidR="003163E2">
        <w:t xml:space="preserve"> participat</w:t>
      </w:r>
      <w:r w:rsidRPr="00FF0648" w:rsidR="00DB49AC">
        <w:t>ing per selected practice</w:t>
      </w:r>
      <w:r w:rsidRPr="00FF0648">
        <w:t xml:space="preserve">. The </w:t>
      </w:r>
      <w:r w:rsidRPr="00FF0648" w:rsidR="003163E2">
        <w:t>interviews</w:t>
      </w:r>
      <w:r w:rsidRPr="00FF0648">
        <w:t xml:space="preserve"> will occur </w:t>
      </w:r>
      <w:r w:rsidRPr="00FF0648" w:rsidR="009066A4">
        <w:t>at endline (months 15-18)</w:t>
      </w:r>
      <w:r w:rsidRPr="00FF0648">
        <w:t>.</w:t>
      </w:r>
      <w:r w:rsidRPr="009A23E6">
        <w:t xml:space="preserve">  </w:t>
      </w:r>
    </w:p>
    <w:p w:rsidR="000C21A5" w:rsidRPr="009A23E6" w:rsidP="000C21A5" w14:paraId="3CF73FBA" w14:textId="77777777">
      <w:pPr>
        <w:pStyle w:val="Heading2"/>
        <w:rPr>
          <w:rFonts w:ascii="Times New Roman" w:hAnsi="Times New Roman" w:cs="Times New Roman"/>
          <w:sz w:val="24"/>
          <w:szCs w:val="24"/>
        </w:rPr>
      </w:pPr>
      <w:bookmarkStart w:id="18" w:name="_Toc151782201"/>
      <w:bookmarkStart w:id="19" w:name="_Toc158526237"/>
      <w:bookmarkStart w:id="20" w:name="_Toc160095453"/>
      <w:r w:rsidRPr="009A23E6">
        <w:rPr>
          <w:rFonts w:ascii="Times New Roman" w:hAnsi="Times New Roman" w:cs="Times New Roman"/>
          <w:sz w:val="24"/>
          <w:szCs w:val="24"/>
        </w:rPr>
        <w:t>3. Methods to Maximize Response Rates</w:t>
      </w:r>
      <w:bookmarkEnd w:id="18"/>
      <w:bookmarkEnd w:id="19"/>
      <w:bookmarkEnd w:id="20"/>
    </w:p>
    <w:p w:rsidR="00AE3023" w:rsidRPr="009A23E6" w:rsidP="000C21A5" w14:paraId="1D8D0C70" w14:textId="77777777"/>
    <w:p w:rsidR="000C21A5" w:rsidRPr="009A23E6" w:rsidP="000C21A5" w14:paraId="74548C39" w14:textId="1ED20F8F">
      <w:r w:rsidRPr="009A23E6">
        <w:t xml:space="preserve">The data collection planned under this </w:t>
      </w:r>
      <w:r w:rsidR="0018583E">
        <w:t>program</w:t>
      </w:r>
      <w:r w:rsidRPr="009A23E6" w:rsidR="0018583E">
        <w:t xml:space="preserve"> </w:t>
      </w:r>
      <w:r w:rsidRPr="009A23E6">
        <w:t xml:space="preserve">is part of an evaluation to assess the adoption of the </w:t>
      </w:r>
      <w:bookmarkStart w:id="21" w:name="OLE_LINK24"/>
      <w:r w:rsidR="00FF58E1">
        <w:t>Safety Program</w:t>
      </w:r>
      <w:r w:rsidRPr="009A23E6">
        <w:t xml:space="preserve"> </w:t>
      </w:r>
      <w:bookmarkEnd w:id="21"/>
      <w:r w:rsidRPr="009A23E6">
        <w:t xml:space="preserve">in </w:t>
      </w:r>
      <w:r w:rsidRPr="009A23E6" w:rsidR="0097691F">
        <w:t>practices that provide telemedicine</w:t>
      </w:r>
      <w:r w:rsidRPr="009A23E6">
        <w:t xml:space="preserve">. The results of the evaluation will be used to inform the </w:t>
      </w:r>
      <w:r w:rsidRPr="00FF58E1" w:rsidR="00FF58E1">
        <w:t>Safety Program</w:t>
      </w:r>
      <w:r w:rsidRPr="009A23E6">
        <w:t xml:space="preserve">; they will not yield generalizable results or be used for statistical estimation purposes. The </w:t>
      </w:r>
      <w:r w:rsidR="00FF58E1">
        <w:t>Safety Program</w:t>
      </w:r>
      <w:r w:rsidRPr="009A23E6" w:rsidR="00FF58E1">
        <w:t xml:space="preserve"> </w:t>
      </w:r>
      <w:r w:rsidRPr="009A23E6">
        <w:t xml:space="preserve">will recruit </w:t>
      </w:r>
      <w:r w:rsidRPr="009A23E6" w:rsidR="00DF7C63">
        <w:t xml:space="preserve">practices </w:t>
      </w:r>
      <w:r w:rsidRPr="009A23E6">
        <w:t xml:space="preserve">that have indicated a willingness to participate and meet the inclusion criteria, and who will </w:t>
      </w:r>
      <w:r w:rsidRPr="009A23E6" w:rsidR="0097691F">
        <w:t xml:space="preserve">be </w:t>
      </w:r>
      <w:r w:rsidRPr="009A23E6">
        <w:t xml:space="preserve">supportive of and likely to spread the </w:t>
      </w:r>
      <w:r w:rsidRPr="00782888" w:rsidR="00FF58E1">
        <w:t>Safety Program</w:t>
      </w:r>
      <w:r w:rsidRPr="009A23E6">
        <w:t xml:space="preserve"> model. </w:t>
      </w:r>
    </w:p>
    <w:p w:rsidR="000C21A5" w:rsidRPr="009A23E6" w:rsidP="000C21A5" w14:paraId="6A9455C0" w14:textId="77777777"/>
    <w:p w:rsidR="000C21A5" w:rsidRPr="009A23E6" w:rsidP="000C21A5" w14:paraId="57AA8815" w14:textId="2995E9B5">
      <w:r w:rsidRPr="009A23E6">
        <w:t xml:space="preserve">To encourage the participating </w:t>
      </w:r>
      <w:r w:rsidRPr="009A23E6" w:rsidR="008D4EAA">
        <w:t>practices</w:t>
      </w:r>
      <w:r w:rsidRPr="009A23E6">
        <w:t xml:space="preserve"> to complete and submit the Structural Assessment</w:t>
      </w:r>
      <w:r w:rsidR="00FF58E1">
        <w:t xml:space="preserve">, AHRQ’s </w:t>
      </w:r>
      <w:r w:rsidRPr="009A23E6" w:rsidR="00DF7C63">
        <w:t>MOSOPS</w:t>
      </w:r>
      <w:r w:rsidRPr="009A23E6" w:rsidR="0097691F">
        <w:t xml:space="preserve">, Participant Experience </w:t>
      </w:r>
      <w:r w:rsidR="00EA319B">
        <w:t>Survey</w:t>
      </w:r>
      <w:r w:rsidRPr="009A23E6" w:rsidR="0097691F">
        <w:t>,</w:t>
      </w:r>
      <w:r w:rsidRPr="009A23E6" w:rsidR="003E6D90">
        <w:t xml:space="preserve"> and </w:t>
      </w:r>
      <w:r w:rsidRPr="009A23E6">
        <w:t xml:space="preserve">EHR data, the </w:t>
      </w:r>
      <w:r w:rsidR="00FF58E1">
        <w:t>Safety Program</w:t>
      </w:r>
      <w:r w:rsidRPr="009A23E6" w:rsidR="00FF58E1">
        <w:t xml:space="preserve"> </w:t>
      </w:r>
      <w:r w:rsidRPr="009A23E6">
        <w:t xml:space="preserve">will implement the following strategies: </w:t>
      </w:r>
    </w:p>
    <w:p w:rsidR="000C21A5" w:rsidRPr="009A23E6" w:rsidP="000C21A5" w14:paraId="02CD5B81" w14:textId="44614BBD">
      <w:pPr>
        <w:numPr>
          <w:ilvl w:val="0"/>
          <w:numId w:val="24"/>
        </w:numPr>
        <w:spacing w:line="252" w:lineRule="auto"/>
        <w:contextualSpacing/>
      </w:pPr>
      <w:r w:rsidRPr="009A23E6">
        <w:t xml:space="preserve">Offer technical assistance webinars and onboarding calls (including information related to submitting data) to participating </w:t>
      </w:r>
      <w:r w:rsidRPr="009A23E6" w:rsidR="00DF7C63">
        <w:t>practices.</w:t>
      </w:r>
    </w:p>
    <w:p w:rsidR="000C21A5" w:rsidRPr="009A23E6" w:rsidP="000C21A5" w14:paraId="1B3C0AD4" w14:textId="19A3CB4E">
      <w:pPr>
        <w:numPr>
          <w:ilvl w:val="0"/>
          <w:numId w:val="24"/>
        </w:numPr>
      </w:pPr>
      <w:r w:rsidRPr="009A23E6">
        <w:t xml:space="preserve">Prompt the on-site data coordinator and </w:t>
      </w:r>
      <w:r w:rsidRPr="009A23E6" w:rsidR="0097691F">
        <w:t>practice</w:t>
      </w:r>
      <w:r w:rsidRPr="009A23E6">
        <w:t xml:space="preserve"> leader for feedback from each participating </w:t>
      </w:r>
      <w:r w:rsidRPr="009A23E6" w:rsidR="00DF7C63">
        <w:t>practice</w:t>
      </w:r>
      <w:r w:rsidRPr="009A23E6">
        <w:t xml:space="preserve"> regarding the data collection activities</w:t>
      </w:r>
      <w:r w:rsidRPr="009A23E6" w:rsidR="00DF7C63">
        <w:t xml:space="preserve">, </w:t>
      </w:r>
      <w:r w:rsidR="00EA319B">
        <w:t xml:space="preserve">and </w:t>
      </w:r>
      <w:r w:rsidRPr="009A23E6">
        <w:t>AS-related performance.</w:t>
      </w:r>
    </w:p>
    <w:p w:rsidR="07EDD0EA" w:rsidRPr="009A23E6" w:rsidP="07EDD0EA" w14:paraId="270690B6" w14:textId="057D38AA">
      <w:pPr>
        <w:numPr>
          <w:ilvl w:val="0"/>
          <w:numId w:val="24"/>
        </w:numPr>
      </w:pPr>
      <w:r w:rsidRPr="009A23E6">
        <w:t xml:space="preserve">Work closely with the </w:t>
      </w:r>
      <w:r w:rsidR="0018583E">
        <w:t>program’s</w:t>
      </w:r>
      <w:r w:rsidRPr="009A23E6" w:rsidR="0018583E">
        <w:t xml:space="preserve"> </w:t>
      </w:r>
      <w:r w:rsidRPr="009A23E6">
        <w:t>Implementation Advisors</w:t>
      </w:r>
      <w:r w:rsidR="007C46A8">
        <w:t xml:space="preserve"> </w:t>
      </w:r>
      <w:r w:rsidRPr="009A23E6">
        <w:t xml:space="preserve">to encourage timely completion of each assessment. </w:t>
      </w:r>
    </w:p>
    <w:p w:rsidR="000C21A5" w:rsidRPr="009A23E6" w:rsidP="000C21A5" w14:paraId="69782BE0" w14:textId="1EDC3FD4">
      <w:pPr>
        <w:numPr>
          <w:ilvl w:val="0"/>
          <w:numId w:val="24"/>
        </w:numPr>
        <w:spacing w:line="252" w:lineRule="auto"/>
        <w:contextualSpacing/>
      </w:pPr>
      <w:r w:rsidRPr="009A23E6">
        <w:t>Work closely with each on-site data coordinator to address any data collection issues and develop site-specific data collection strategies when necessary.</w:t>
      </w:r>
    </w:p>
    <w:p w:rsidR="000C21A5" w:rsidRPr="009A23E6" w:rsidP="000C21A5" w14:paraId="42381E72" w14:textId="4AC02D65">
      <w:pPr>
        <w:numPr>
          <w:ilvl w:val="0"/>
          <w:numId w:val="24"/>
        </w:numPr>
        <w:spacing w:line="252" w:lineRule="auto"/>
        <w:contextualSpacing/>
      </w:pPr>
      <w:r w:rsidRPr="009A23E6">
        <w:t xml:space="preserve">Discuss data management and submission methods with the participating </w:t>
      </w:r>
      <w:r w:rsidRPr="009A23E6" w:rsidR="00DF7C63">
        <w:t xml:space="preserve">practices </w:t>
      </w:r>
      <w:r w:rsidRPr="009A23E6">
        <w:t xml:space="preserve">early in the process. </w:t>
      </w:r>
    </w:p>
    <w:p w:rsidR="00470FD9" w:rsidP="00470FD9" w14:paraId="01842744" w14:textId="77777777">
      <w:pPr>
        <w:numPr>
          <w:ilvl w:val="0"/>
          <w:numId w:val="24"/>
        </w:numPr>
        <w:spacing w:line="252" w:lineRule="auto"/>
      </w:pPr>
      <w:r>
        <w:t xml:space="preserve">Provide sites with a secure portal to submit data. Users will receive a login and password to access the site. </w:t>
      </w:r>
    </w:p>
    <w:p w:rsidR="000C21A5" w:rsidRPr="009A23E6" w:rsidP="000C21A5" w14:paraId="33ABDB8A" w14:textId="7550D896">
      <w:pPr>
        <w:numPr>
          <w:ilvl w:val="0"/>
          <w:numId w:val="24"/>
        </w:numPr>
      </w:pPr>
      <w:r w:rsidRPr="009A23E6">
        <w:t>Provide step-by-step instructions on data sharing via the central data collection platform</w:t>
      </w:r>
      <w:r w:rsidR="00132213">
        <w:t>.</w:t>
      </w:r>
    </w:p>
    <w:p w:rsidR="000C21A5" w:rsidRPr="009A23E6" w:rsidP="000C21A5" w14:paraId="6311FD7F" w14:textId="388CDCBB">
      <w:pPr>
        <w:numPr>
          <w:ilvl w:val="0"/>
          <w:numId w:val="24"/>
        </w:numPr>
        <w:rPr>
          <w:rFonts w:eastAsia="Calibri"/>
        </w:rPr>
      </w:pPr>
      <w:r w:rsidRPr="009A23E6">
        <w:rPr>
          <w:rFonts w:eastAsia="Calibri"/>
        </w:rPr>
        <w:t>Ensure that data collection tools are simple, easy to use, and succinct</w:t>
      </w:r>
      <w:r w:rsidR="00132213">
        <w:rPr>
          <w:rFonts w:eastAsia="Calibri"/>
        </w:rPr>
        <w:t>.</w:t>
      </w:r>
    </w:p>
    <w:p w:rsidR="000C21A5" w:rsidRPr="009A23E6" w:rsidP="000C21A5" w14:paraId="4436CC1A" w14:textId="41BC213C">
      <w:pPr>
        <w:numPr>
          <w:ilvl w:val="0"/>
          <w:numId w:val="24"/>
        </w:numPr>
        <w:rPr>
          <w:rFonts w:eastAsia="Calibri"/>
        </w:rPr>
      </w:pPr>
      <w:r w:rsidRPr="009A23E6">
        <w:rPr>
          <w:rFonts w:eastAsia="Calibri"/>
        </w:rPr>
        <w:t xml:space="preserve">Ensure missing or inaccurate data </w:t>
      </w:r>
      <w:r w:rsidR="00132213">
        <w:rPr>
          <w:rFonts w:eastAsia="Calibri"/>
        </w:rPr>
        <w:t>are</w:t>
      </w:r>
      <w:r w:rsidRPr="009A23E6">
        <w:rPr>
          <w:rFonts w:eastAsia="Calibri"/>
        </w:rPr>
        <w:t xml:space="preserve"> identified early and that issues are resolved in a systematic, highly reliable way</w:t>
      </w:r>
      <w:r w:rsidR="00132213">
        <w:rPr>
          <w:rFonts w:eastAsia="Calibri"/>
        </w:rPr>
        <w:t>.</w:t>
      </w:r>
    </w:p>
    <w:p w:rsidR="000C21A5" w:rsidRPr="009A23E6" w:rsidP="000C21A5" w14:paraId="0540C88E" w14:textId="71D6061C">
      <w:pPr>
        <w:numPr>
          <w:ilvl w:val="0"/>
          <w:numId w:val="24"/>
        </w:numPr>
        <w:rPr>
          <w:rFonts w:eastAsia="Calibri"/>
        </w:rPr>
      </w:pPr>
      <w:r w:rsidRPr="009A23E6">
        <w:rPr>
          <w:rFonts w:eastAsia="Calibri"/>
        </w:rPr>
        <w:t>Share data collection strategies/best practices to simplify processes through coaching calls</w:t>
      </w:r>
      <w:r w:rsidR="00132213">
        <w:rPr>
          <w:rFonts w:eastAsia="Calibri"/>
        </w:rPr>
        <w:t>.</w:t>
      </w:r>
    </w:p>
    <w:p w:rsidR="000C21A5" w:rsidRPr="009A23E6" w:rsidP="000C21A5" w14:paraId="215AB186" w14:textId="77777777">
      <w:pPr>
        <w:ind w:left="720"/>
        <w:rPr>
          <w:rFonts w:eastAsia="Calibri"/>
        </w:rPr>
      </w:pPr>
    </w:p>
    <w:p w:rsidR="000C21A5" w:rsidRPr="009A23E6" w:rsidP="000C21A5" w14:paraId="2F593587" w14:textId="77777777">
      <w:pPr>
        <w:pStyle w:val="Heading2"/>
        <w:rPr>
          <w:rFonts w:ascii="Times New Roman" w:hAnsi="Times New Roman" w:cs="Times New Roman"/>
          <w:sz w:val="24"/>
          <w:szCs w:val="24"/>
        </w:rPr>
      </w:pPr>
      <w:bookmarkStart w:id="22" w:name="_Toc151782202"/>
      <w:bookmarkStart w:id="23" w:name="_Toc158526238"/>
      <w:bookmarkStart w:id="24" w:name="_Toc160095454"/>
      <w:r w:rsidRPr="009A23E6">
        <w:rPr>
          <w:rFonts w:ascii="Times New Roman" w:hAnsi="Times New Roman" w:cs="Times New Roman"/>
          <w:sz w:val="24"/>
          <w:szCs w:val="24"/>
        </w:rPr>
        <w:t>4. Tests of Procedures</w:t>
      </w:r>
      <w:bookmarkStart w:id="25" w:name="_Toc151782203"/>
      <w:bookmarkStart w:id="26" w:name="_Toc158526239"/>
      <w:bookmarkEnd w:id="22"/>
      <w:bookmarkEnd w:id="23"/>
      <w:bookmarkEnd w:id="24"/>
    </w:p>
    <w:p w:rsidR="00AF03F7" w:rsidRPr="009A23E6" w:rsidP="000C21A5" w14:paraId="38E477FF" w14:textId="56556DD1">
      <w:r w:rsidRPr="009A23E6">
        <w:t xml:space="preserve">The </w:t>
      </w:r>
      <w:r w:rsidR="00FF58E1">
        <w:t>Safety Program</w:t>
      </w:r>
      <w:r w:rsidRPr="009A23E6">
        <w:t xml:space="preserve"> data collection procedures and instruments have either been used previously in prior CUSP projects or were developed using existing </w:t>
      </w:r>
      <w:r w:rsidR="002D57DD">
        <w:t>frameworks such as RE-AIM</w:t>
      </w:r>
      <w:r w:rsidRPr="009A23E6">
        <w:t xml:space="preserve">. The data collection tools proposed for use in the </w:t>
      </w:r>
      <w:r w:rsidR="008F10A0">
        <w:t>Safety Program</w:t>
      </w:r>
      <w:r w:rsidRPr="009A23E6">
        <w:t xml:space="preserve"> were used previously in the </w:t>
      </w:r>
      <w:r w:rsidRPr="00C553B3">
        <w:t>AHRQ Safety Program for Improving Antibiotic Use</w:t>
      </w:r>
      <w:r w:rsidRPr="009A23E6">
        <w:t xml:space="preserve"> and have been adapted for us</w:t>
      </w:r>
      <w:r w:rsidR="00132213">
        <w:t>e</w:t>
      </w:r>
      <w:r w:rsidRPr="009A23E6">
        <w:t xml:space="preserve"> </w:t>
      </w:r>
      <w:r w:rsidR="00057435">
        <w:t>in the</w:t>
      </w:r>
      <w:r w:rsidRPr="009A23E6">
        <w:t xml:space="preserve"> telemedicine environment. The AHRQ </w:t>
      </w:r>
      <w:r w:rsidR="008F10A0">
        <w:t xml:space="preserve">MOSOPS is </w:t>
      </w:r>
      <w:r w:rsidRPr="009A23E6">
        <w:t>publicly available and ha</w:t>
      </w:r>
      <w:r w:rsidR="00057435">
        <w:t>s</w:t>
      </w:r>
      <w:r w:rsidRPr="009A23E6">
        <w:t xml:space="preserve"> been widely used to assess patient safety culture in a variety of health care settings. Finally, the Participant Experience </w:t>
      </w:r>
      <w:r w:rsidR="00132213">
        <w:t>Survey</w:t>
      </w:r>
      <w:r w:rsidRPr="009A23E6" w:rsidR="00132213">
        <w:t xml:space="preserve"> </w:t>
      </w:r>
      <w:r w:rsidRPr="009A23E6">
        <w:t xml:space="preserve">was developed using </w:t>
      </w:r>
      <w:r w:rsidRPr="009A23E6" w:rsidR="008B45E3">
        <w:t xml:space="preserve">the </w:t>
      </w:r>
      <w:r w:rsidR="002D57DD">
        <w:t>RE-AIM framework</w:t>
      </w:r>
      <w:r w:rsidRPr="009A23E6" w:rsidR="008B45E3">
        <w:t xml:space="preserve">, which </w:t>
      </w:r>
      <w:r w:rsidR="00C553B3">
        <w:t>has</w:t>
      </w:r>
      <w:r w:rsidRPr="009A23E6" w:rsidR="00C553B3">
        <w:t xml:space="preserve"> </w:t>
      </w:r>
      <w:r w:rsidRPr="009A23E6" w:rsidR="008B45E3">
        <w:t xml:space="preserve">been widely used to </w:t>
      </w:r>
      <w:r w:rsidR="002D57DD">
        <w:t>assess implementation of healthcare interventions and programs</w:t>
      </w:r>
      <w:r w:rsidRPr="009A23E6" w:rsidR="008B45E3">
        <w:t>.</w:t>
      </w:r>
    </w:p>
    <w:p w:rsidR="00AF03F7" w:rsidRPr="009A23E6" w:rsidP="000C21A5" w14:paraId="2EAD76FF" w14:textId="77777777"/>
    <w:p w:rsidR="000C21A5" w:rsidRPr="009A23E6" w:rsidP="000C21A5" w14:paraId="603A1077" w14:textId="7156C8DA">
      <w:pPr>
        <w:pStyle w:val="Heading2"/>
        <w:rPr>
          <w:rFonts w:ascii="Times New Roman" w:hAnsi="Times New Roman" w:cs="Times New Roman"/>
          <w:sz w:val="24"/>
          <w:szCs w:val="24"/>
        </w:rPr>
      </w:pPr>
      <w:bookmarkStart w:id="27" w:name="_Toc160095455"/>
      <w:r w:rsidRPr="009A23E6">
        <w:rPr>
          <w:rFonts w:ascii="Times New Roman" w:hAnsi="Times New Roman" w:cs="Times New Roman"/>
          <w:sz w:val="24"/>
          <w:szCs w:val="24"/>
        </w:rPr>
        <w:t>5. Statistical Consultants</w:t>
      </w:r>
      <w:bookmarkEnd w:id="25"/>
      <w:bookmarkEnd w:id="26"/>
      <w:bookmarkEnd w:id="27"/>
    </w:p>
    <w:p w:rsidR="008B45E3" w:rsidRPr="009A23E6" w:rsidP="008B45E3" w14:paraId="66C41566" w14:textId="4AAC2989">
      <w:pPr>
        <w:spacing w:after="100" w:afterAutospacing="1"/>
      </w:pPr>
      <w:r w:rsidRPr="009A23E6">
        <w:t>NORC at the University of Chicago will serve as the primary consultant</w:t>
      </w:r>
      <w:r w:rsidR="002D57DD">
        <w:t>s</w:t>
      </w:r>
      <w:r w:rsidRPr="009A23E6">
        <w:t xml:space="preserve"> for statistical aspects of the design and analysis of the evaluation data.</w:t>
      </w:r>
      <w:r w:rsidR="00B37890">
        <w:t xml:space="preserve"> Exhibit 5 provides the names, titles, affiliations, and contact details for the </w:t>
      </w:r>
      <w:r w:rsidR="00F8641E">
        <w:t xml:space="preserve">program’s </w:t>
      </w:r>
      <w:r w:rsidR="00B37890">
        <w:t xml:space="preserve">three main statistical consultants. </w:t>
      </w:r>
    </w:p>
    <w:p w:rsidR="008B45E3" w:rsidRPr="009A23E6" w:rsidP="008B45E3" w14:paraId="0B75E71D" w14:textId="06234D83">
      <w:r w:rsidRPr="009A23E6">
        <w:rPr>
          <w:rStyle w:val="NORCCaption-Color"/>
          <w:rFonts w:ascii="Times New Roman" w:eastAsia="Calibri" w:hAnsi="Times New Roman"/>
          <w:sz w:val="24"/>
        </w:rPr>
        <w:t xml:space="preserve">Exhibit </w:t>
      </w:r>
      <w:r w:rsidR="00B37890">
        <w:rPr>
          <w:rStyle w:val="NORCCaption-Color"/>
          <w:rFonts w:ascii="Times New Roman" w:eastAsia="Calibri" w:hAnsi="Times New Roman"/>
          <w:sz w:val="24"/>
        </w:rPr>
        <w:t>5</w:t>
      </w:r>
      <w:r w:rsidRPr="009A23E6">
        <w:rPr>
          <w:rStyle w:val="NORCCaption-Color"/>
          <w:rFonts w:ascii="Times New Roman" w:eastAsia="Calibri" w:hAnsi="Times New Roman"/>
          <w:sz w:val="24"/>
        </w:rPr>
        <w:t>:</w:t>
      </w:r>
      <w:r w:rsidRPr="009A23E6">
        <w:t xml:space="preserve"> List of Statistical Consultants</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05"/>
        <w:gridCol w:w="4921"/>
        <w:gridCol w:w="1614"/>
      </w:tblGrid>
      <w:tr w14:paraId="6FB5C715" w14:textId="77777777" w:rsidTr="00444EFC">
        <w:tblPrEx>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826"/>
          <w:tblHeader/>
          <w:jc w:val="center"/>
        </w:trPr>
        <w:tc>
          <w:tcPr>
            <w:tcW w:w="1805" w:type="dxa"/>
            <w:tcBorders>
              <w:top w:val="single" w:sz="4" w:space="0" w:color="auto"/>
              <w:left w:val="single" w:sz="4" w:space="0" w:color="auto"/>
              <w:bottom w:val="single" w:sz="4" w:space="0" w:color="auto"/>
              <w:right w:val="single" w:sz="4" w:space="0" w:color="auto"/>
            </w:tcBorders>
            <w:shd w:val="clear" w:color="auto" w:fill="8AB3A4"/>
            <w:tcMar>
              <w:top w:w="0" w:type="dxa"/>
              <w:left w:w="108" w:type="dxa"/>
              <w:bottom w:w="0" w:type="dxa"/>
              <w:right w:w="108" w:type="dxa"/>
            </w:tcMar>
            <w:vAlign w:val="center"/>
            <w:hideMark/>
          </w:tcPr>
          <w:p w:rsidR="008B45E3" w:rsidRPr="009A23E6" w14:paraId="452FFD15" w14:textId="77777777">
            <w:pPr>
              <w:pStyle w:val="NORCTableHeaderArial"/>
              <w:spacing w:line="276" w:lineRule="auto"/>
              <w:rPr>
                <w:rFonts w:ascii="Times New Roman" w:hAnsi="Times New Roman"/>
                <w:sz w:val="20"/>
                <w:szCs w:val="20"/>
              </w:rPr>
            </w:pPr>
            <w:r w:rsidRPr="009A23E6">
              <w:rPr>
                <w:rFonts w:ascii="Times New Roman" w:hAnsi="Times New Roman"/>
                <w:sz w:val="20"/>
                <w:szCs w:val="20"/>
              </w:rPr>
              <w:t>Name</w:t>
            </w:r>
          </w:p>
        </w:tc>
        <w:tc>
          <w:tcPr>
            <w:tcW w:w="4921" w:type="dxa"/>
            <w:tcBorders>
              <w:top w:val="single" w:sz="4" w:space="0" w:color="auto"/>
              <w:left w:val="single" w:sz="4" w:space="0" w:color="auto"/>
              <w:bottom w:val="single" w:sz="4" w:space="0" w:color="auto"/>
              <w:right w:val="single" w:sz="4" w:space="0" w:color="auto"/>
            </w:tcBorders>
            <w:shd w:val="clear" w:color="auto" w:fill="8AB3A4"/>
            <w:tcMar>
              <w:top w:w="0" w:type="dxa"/>
              <w:left w:w="108" w:type="dxa"/>
              <w:bottom w:w="0" w:type="dxa"/>
              <w:right w:w="108" w:type="dxa"/>
            </w:tcMar>
            <w:vAlign w:val="center"/>
            <w:hideMark/>
          </w:tcPr>
          <w:p w:rsidR="008B45E3" w:rsidRPr="009A23E6" w14:paraId="5D0CD549" w14:textId="77777777">
            <w:pPr>
              <w:pStyle w:val="NORCTableHeaderArial"/>
              <w:spacing w:line="276" w:lineRule="auto"/>
              <w:rPr>
                <w:rFonts w:ascii="Times New Roman" w:hAnsi="Times New Roman"/>
                <w:sz w:val="20"/>
                <w:szCs w:val="20"/>
              </w:rPr>
            </w:pPr>
            <w:r w:rsidRPr="009A23E6">
              <w:rPr>
                <w:rFonts w:ascii="Times New Roman" w:hAnsi="Times New Roman"/>
                <w:sz w:val="20"/>
                <w:szCs w:val="20"/>
              </w:rPr>
              <w:t>Title and Institution</w:t>
            </w:r>
          </w:p>
        </w:tc>
        <w:tc>
          <w:tcPr>
            <w:tcW w:w="1614" w:type="dxa"/>
            <w:tcBorders>
              <w:top w:val="single" w:sz="4" w:space="0" w:color="auto"/>
              <w:left w:val="single" w:sz="4" w:space="0" w:color="auto"/>
              <w:bottom w:val="single" w:sz="4" w:space="0" w:color="auto"/>
              <w:right w:val="single" w:sz="4" w:space="0" w:color="auto"/>
            </w:tcBorders>
            <w:shd w:val="clear" w:color="auto" w:fill="8AB3A4"/>
            <w:hideMark/>
          </w:tcPr>
          <w:p w:rsidR="008B45E3" w:rsidRPr="009A23E6" w14:paraId="505F365F" w14:textId="77777777">
            <w:pPr>
              <w:pStyle w:val="NORCTableHeaderArial"/>
              <w:spacing w:line="276" w:lineRule="auto"/>
              <w:rPr>
                <w:rFonts w:ascii="Times New Roman" w:hAnsi="Times New Roman"/>
                <w:sz w:val="20"/>
                <w:szCs w:val="20"/>
              </w:rPr>
            </w:pPr>
            <w:r w:rsidRPr="009A23E6">
              <w:rPr>
                <w:rFonts w:ascii="Times New Roman" w:hAnsi="Times New Roman"/>
                <w:sz w:val="20"/>
                <w:szCs w:val="20"/>
              </w:rPr>
              <w:t>Telephone Number</w:t>
            </w:r>
          </w:p>
        </w:tc>
      </w:tr>
      <w:tr w14:paraId="108F146D" w14:textId="77777777" w:rsidTr="00444EFC">
        <w:tblPrEx>
          <w:tblW w:w="8340" w:type="dxa"/>
          <w:jc w:val="center"/>
          <w:tblLayout w:type="fixed"/>
          <w:tblCellMar>
            <w:left w:w="0" w:type="dxa"/>
            <w:right w:w="0" w:type="dxa"/>
          </w:tblCellMar>
          <w:tblLook w:val="04A0"/>
        </w:tblPrEx>
        <w:trPr>
          <w:cantSplit/>
          <w:trHeight w:val="622"/>
          <w:jc w:val="center"/>
        </w:trPr>
        <w:tc>
          <w:tcPr>
            <w:tcW w:w="1805"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hideMark/>
          </w:tcPr>
          <w:p w:rsidR="008B45E3" w:rsidRPr="009A23E6" w14:paraId="2BA3520A" w14:textId="77777777">
            <w:pPr>
              <w:spacing w:line="276" w:lineRule="auto"/>
              <w:rPr>
                <w:sz w:val="20"/>
                <w:szCs w:val="20"/>
              </w:rPr>
            </w:pPr>
            <w:r w:rsidRPr="009A23E6">
              <w:rPr>
                <w:sz w:val="20"/>
                <w:szCs w:val="20"/>
              </w:rPr>
              <w:t>Roy Ahn, ScD, MPH</w:t>
            </w:r>
          </w:p>
        </w:tc>
        <w:tc>
          <w:tcPr>
            <w:tcW w:w="4921"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hideMark/>
          </w:tcPr>
          <w:p w:rsidR="008B45E3" w:rsidRPr="009A23E6" w14:paraId="338F0234" w14:textId="11D56A50">
            <w:pPr>
              <w:spacing w:line="276" w:lineRule="auto"/>
              <w:rPr>
                <w:sz w:val="20"/>
                <w:szCs w:val="20"/>
              </w:rPr>
            </w:pPr>
            <w:r w:rsidRPr="009A23E6">
              <w:rPr>
                <w:sz w:val="20"/>
                <w:szCs w:val="20"/>
              </w:rPr>
              <w:t>Vice President, Public Health Department, NORC</w:t>
            </w:r>
          </w:p>
        </w:tc>
        <w:tc>
          <w:tcPr>
            <w:tcW w:w="1614" w:type="dxa"/>
            <w:tcBorders>
              <w:top w:val="single" w:sz="4" w:space="0" w:color="auto"/>
              <w:left w:val="single" w:sz="4" w:space="0" w:color="auto"/>
              <w:bottom w:val="single" w:sz="4" w:space="0" w:color="auto"/>
              <w:right w:val="single" w:sz="4" w:space="0" w:color="auto"/>
            </w:tcBorders>
            <w:shd w:val="clear" w:color="auto" w:fill="E9E6E3"/>
            <w:hideMark/>
          </w:tcPr>
          <w:p w:rsidR="008B45E3" w:rsidRPr="009A23E6" w14:paraId="1054640E" w14:textId="4B471517">
            <w:pPr>
              <w:spacing w:line="276" w:lineRule="auto"/>
              <w:rPr>
                <w:sz w:val="20"/>
                <w:szCs w:val="20"/>
              </w:rPr>
            </w:pPr>
            <w:r w:rsidRPr="009A23E6">
              <w:rPr>
                <w:sz w:val="20"/>
                <w:szCs w:val="20"/>
              </w:rPr>
              <w:t>312</w:t>
            </w:r>
            <w:r w:rsidRPr="009A23E6" w:rsidR="00B83FC0">
              <w:rPr>
                <w:sz w:val="20"/>
                <w:szCs w:val="20"/>
              </w:rPr>
              <w:t>-</w:t>
            </w:r>
            <w:r w:rsidRPr="009A23E6">
              <w:rPr>
                <w:sz w:val="20"/>
                <w:szCs w:val="20"/>
              </w:rPr>
              <w:t>759-4068</w:t>
            </w:r>
          </w:p>
        </w:tc>
      </w:tr>
      <w:tr w14:paraId="27823D2B" w14:textId="77777777" w:rsidTr="00444EFC">
        <w:tblPrEx>
          <w:tblW w:w="8340" w:type="dxa"/>
          <w:jc w:val="center"/>
          <w:tblLayout w:type="fixed"/>
          <w:tblCellMar>
            <w:left w:w="0" w:type="dxa"/>
            <w:right w:w="0" w:type="dxa"/>
          </w:tblCellMar>
          <w:tblLook w:val="04A0"/>
        </w:tblPrEx>
        <w:trPr>
          <w:cantSplit/>
          <w:trHeight w:val="622"/>
          <w:jc w:val="center"/>
        </w:trPr>
        <w:tc>
          <w:tcPr>
            <w:tcW w:w="1805"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hideMark/>
          </w:tcPr>
          <w:p w:rsidR="008B45E3" w:rsidRPr="009A23E6" w14:paraId="79B5D689" w14:textId="77777777">
            <w:pPr>
              <w:spacing w:line="276" w:lineRule="auto"/>
              <w:rPr>
                <w:sz w:val="20"/>
                <w:szCs w:val="20"/>
              </w:rPr>
            </w:pPr>
            <w:r w:rsidRPr="009A23E6">
              <w:rPr>
                <w:sz w:val="20"/>
                <w:szCs w:val="20"/>
              </w:rPr>
              <w:t>Yue Gao, MPH</w:t>
            </w:r>
          </w:p>
        </w:tc>
        <w:tc>
          <w:tcPr>
            <w:tcW w:w="4921"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hideMark/>
          </w:tcPr>
          <w:p w:rsidR="008B45E3" w:rsidRPr="009A23E6" w14:paraId="4FF447FF" w14:textId="71668390">
            <w:pPr>
              <w:spacing w:line="276" w:lineRule="auto"/>
              <w:rPr>
                <w:sz w:val="20"/>
                <w:szCs w:val="20"/>
              </w:rPr>
            </w:pPr>
            <w:r w:rsidRPr="009A23E6">
              <w:rPr>
                <w:sz w:val="20"/>
                <w:szCs w:val="20"/>
              </w:rPr>
              <w:t>Senior Research Scientist, Health Care Evaluation Research Department, NORC</w:t>
            </w:r>
          </w:p>
        </w:tc>
        <w:tc>
          <w:tcPr>
            <w:tcW w:w="1614" w:type="dxa"/>
            <w:tcBorders>
              <w:top w:val="single" w:sz="4" w:space="0" w:color="auto"/>
              <w:left w:val="single" w:sz="4" w:space="0" w:color="auto"/>
              <w:bottom w:val="single" w:sz="4" w:space="0" w:color="auto"/>
              <w:right w:val="single" w:sz="4" w:space="0" w:color="auto"/>
            </w:tcBorders>
            <w:shd w:val="clear" w:color="auto" w:fill="E9E6E3"/>
            <w:hideMark/>
          </w:tcPr>
          <w:p w:rsidR="008B45E3" w:rsidRPr="009A23E6" w14:paraId="697ACFC9" w14:textId="1D4AFAA0">
            <w:pPr>
              <w:spacing w:line="276" w:lineRule="auto"/>
              <w:rPr>
                <w:sz w:val="20"/>
                <w:szCs w:val="20"/>
              </w:rPr>
            </w:pPr>
            <w:r w:rsidRPr="009A23E6">
              <w:rPr>
                <w:sz w:val="20"/>
                <w:szCs w:val="20"/>
              </w:rPr>
              <w:t>301</w:t>
            </w:r>
            <w:r w:rsidRPr="009A23E6" w:rsidR="00B83FC0">
              <w:rPr>
                <w:sz w:val="20"/>
                <w:szCs w:val="20"/>
              </w:rPr>
              <w:t>-</w:t>
            </w:r>
            <w:r w:rsidRPr="009A23E6">
              <w:rPr>
                <w:sz w:val="20"/>
                <w:szCs w:val="20"/>
              </w:rPr>
              <w:t>634-9440</w:t>
            </w:r>
          </w:p>
        </w:tc>
      </w:tr>
      <w:tr w14:paraId="55237DA4" w14:textId="77777777" w:rsidTr="004F2FD0">
        <w:tblPrEx>
          <w:tblW w:w="8340" w:type="dxa"/>
          <w:jc w:val="center"/>
          <w:tblLayout w:type="fixed"/>
          <w:tblCellMar>
            <w:left w:w="0" w:type="dxa"/>
            <w:right w:w="0" w:type="dxa"/>
          </w:tblCellMar>
          <w:tblLook w:val="04A0"/>
        </w:tblPrEx>
        <w:trPr>
          <w:cantSplit/>
          <w:trHeight w:val="773"/>
          <w:jc w:val="center"/>
        </w:trPr>
        <w:tc>
          <w:tcPr>
            <w:tcW w:w="1805"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tcPr>
          <w:p w:rsidR="00B83FC0" w:rsidRPr="009A23E6" w14:paraId="42013DC5" w14:textId="2D667AD0">
            <w:pPr>
              <w:spacing w:line="276" w:lineRule="auto"/>
              <w:rPr>
                <w:sz w:val="20"/>
                <w:szCs w:val="20"/>
              </w:rPr>
            </w:pPr>
            <w:r>
              <w:rPr>
                <w:sz w:val="20"/>
                <w:szCs w:val="20"/>
              </w:rPr>
              <w:t>Ed Mulrow</w:t>
            </w:r>
            <w:r w:rsidRPr="009A23E6">
              <w:rPr>
                <w:sz w:val="20"/>
                <w:szCs w:val="20"/>
              </w:rPr>
              <w:t xml:space="preserve">, PhD, </w:t>
            </w:r>
            <w:r>
              <w:rPr>
                <w:sz w:val="20"/>
                <w:szCs w:val="20"/>
              </w:rPr>
              <w:t>MS</w:t>
            </w:r>
          </w:p>
        </w:tc>
        <w:tc>
          <w:tcPr>
            <w:tcW w:w="4921" w:type="dxa"/>
            <w:tcBorders>
              <w:top w:val="single" w:sz="4" w:space="0" w:color="auto"/>
              <w:left w:val="single" w:sz="4" w:space="0" w:color="auto"/>
              <w:bottom w:val="single" w:sz="4" w:space="0" w:color="auto"/>
              <w:right w:val="single" w:sz="4" w:space="0" w:color="auto"/>
            </w:tcBorders>
            <w:shd w:val="clear" w:color="auto" w:fill="E9E6E3"/>
            <w:tcMar>
              <w:top w:w="0" w:type="dxa"/>
              <w:left w:w="108" w:type="dxa"/>
              <w:bottom w:w="0" w:type="dxa"/>
              <w:right w:w="108" w:type="dxa"/>
            </w:tcMar>
          </w:tcPr>
          <w:p w:rsidR="00B83FC0" w:rsidRPr="009A23E6" w14:paraId="44AB8D20" w14:textId="664CF28E">
            <w:pPr>
              <w:spacing w:line="276" w:lineRule="auto"/>
              <w:rPr>
                <w:sz w:val="20"/>
                <w:szCs w:val="20"/>
              </w:rPr>
            </w:pPr>
            <w:r w:rsidRPr="009A23E6">
              <w:rPr>
                <w:sz w:val="20"/>
                <w:szCs w:val="20"/>
              </w:rPr>
              <w:t xml:space="preserve">Senior </w:t>
            </w:r>
            <w:r w:rsidR="0058428C">
              <w:rPr>
                <w:sz w:val="20"/>
                <w:szCs w:val="20"/>
              </w:rPr>
              <w:t>Vice President</w:t>
            </w:r>
            <w:r w:rsidRPr="009A23E6">
              <w:rPr>
                <w:sz w:val="20"/>
                <w:szCs w:val="20"/>
              </w:rPr>
              <w:t xml:space="preserve">, </w:t>
            </w:r>
            <w:r w:rsidR="0058428C">
              <w:rPr>
                <w:sz w:val="20"/>
                <w:szCs w:val="20"/>
              </w:rPr>
              <w:t>Statistics and Methodology</w:t>
            </w:r>
            <w:r w:rsidRPr="009A23E6">
              <w:rPr>
                <w:sz w:val="20"/>
                <w:szCs w:val="20"/>
              </w:rPr>
              <w:t xml:space="preserve"> Department, NORC</w:t>
            </w:r>
          </w:p>
        </w:tc>
        <w:tc>
          <w:tcPr>
            <w:tcW w:w="1614" w:type="dxa"/>
            <w:tcBorders>
              <w:top w:val="single" w:sz="4" w:space="0" w:color="auto"/>
              <w:left w:val="single" w:sz="4" w:space="0" w:color="auto"/>
              <w:bottom w:val="single" w:sz="4" w:space="0" w:color="auto"/>
              <w:right w:val="single" w:sz="4" w:space="0" w:color="auto"/>
            </w:tcBorders>
            <w:shd w:val="clear" w:color="auto" w:fill="E9E6E3"/>
          </w:tcPr>
          <w:p w:rsidR="00B83FC0" w:rsidRPr="009A23E6" w14:paraId="0451E74F" w14:textId="4484FF69">
            <w:pPr>
              <w:spacing w:line="276" w:lineRule="auto"/>
              <w:rPr>
                <w:sz w:val="20"/>
                <w:szCs w:val="20"/>
              </w:rPr>
            </w:pPr>
            <w:r w:rsidRPr="009A23E6">
              <w:rPr>
                <w:sz w:val="20"/>
                <w:szCs w:val="20"/>
              </w:rPr>
              <w:t>301-634-</w:t>
            </w:r>
            <w:r w:rsidRPr="009A23E6" w:rsidR="0058428C">
              <w:rPr>
                <w:sz w:val="20"/>
                <w:szCs w:val="20"/>
              </w:rPr>
              <w:t>94</w:t>
            </w:r>
            <w:r w:rsidR="0058428C">
              <w:rPr>
                <w:sz w:val="20"/>
                <w:szCs w:val="20"/>
              </w:rPr>
              <w:t>41</w:t>
            </w:r>
          </w:p>
        </w:tc>
      </w:tr>
    </w:tbl>
    <w:p w:rsidR="008B45E3" w:rsidRPr="009A23E6" w:rsidP="00444EFC" w14:paraId="08E55EF0" w14:textId="77777777">
      <w:pPr>
        <w:ind w:left="360"/>
      </w:pPr>
    </w:p>
    <w:p w:rsidR="00A11278" w:rsidRPr="009A23E6" w14:paraId="5CE0A936" w14:textId="7680B52E">
      <w:r w:rsidRPr="009A23E6">
        <w:t xml:space="preserve">The data will be collected by NORC at the University of Chicago. </w:t>
      </w:r>
    </w:p>
    <w:sectPr w:rsidSect="00334992">
      <w:footerReference w:type="default" r:id="rId11"/>
      <w:footerReference w:type="firs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21A5" w:rsidP="00334992" w14:paraId="6E6CC2CB" w14:textId="1C625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A9E">
      <w:rPr>
        <w:rStyle w:val="PageNumber"/>
        <w:noProof/>
      </w:rPr>
      <w:t>2</w:t>
    </w:r>
    <w:r>
      <w:rPr>
        <w:rStyle w:val="PageNumber"/>
      </w:rPr>
      <w:fldChar w:fldCharType="end"/>
    </w:r>
  </w:p>
  <w:p w:rsidR="000C21A5" w14:paraId="5D79DD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21A5" w:rsidP="00334992" w14:paraId="34299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 roman </w:instrText>
    </w:r>
    <w:r>
      <w:rPr>
        <w:rStyle w:val="PageNumber"/>
      </w:rPr>
      <w:fldChar w:fldCharType="separate"/>
    </w:r>
    <w:r w:rsidR="00377233">
      <w:rPr>
        <w:rStyle w:val="PageNumber"/>
        <w:noProof/>
      </w:rPr>
      <w:t>ii</w:t>
    </w:r>
    <w:r>
      <w:rPr>
        <w:rStyle w:val="PageNumber"/>
      </w:rPr>
      <w:fldChar w:fldCharType="end"/>
    </w:r>
  </w:p>
  <w:p w:rsidR="000C21A5" w14:paraId="3997035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bookmarkStart w:id="28" w:name="OLE_LINK5"/>
  <w:p w:rsidR="00334992" w:rsidP="00334992" w14:paraId="11BC4B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377233">
      <w:rPr>
        <w:rStyle w:val="PageNumber"/>
        <w:noProof/>
      </w:rPr>
      <w:t>14</w:t>
    </w:r>
    <w:r>
      <w:rPr>
        <w:rStyle w:val="PageNumber"/>
      </w:rPr>
      <w:fldChar w:fldCharType="end"/>
    </w:r>
  </w:p>
  <w:bookmarkEnd w:id="28"/>
  <w:p w:rsidR="00334992" w14:paraId="7FA49DB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10C3B" w:rsidP="00710C3B" w14:paraId="3FB319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Pr>
        <w:rStyle w:val="PageNumber"/>
      </w:rPr>
      <w:t>4</w:t>
    </w:r>
    <w:r>
      <w:rPr>
        <w:rStyle w:val="PageNumber"/>
      </w:rPr>
      <w:fldChar w:fldCharType="end"/>
    </w:r>
  </w:p>
  <w:p w:rsidR="00334992" w14:paraId="3A35DA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548F" w14:paraId="6A594D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1D"/>
    <w:multiLevelType w:val="multilevel"/>
    <w:tmpl w:val="CF8CA36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FFA4F048"/>
    <w:lvl w:ilvl="0">
      <w:start w:val="1"/>
      <w:numFmt w:val="decimal"/>
      <w:pStyle w:val="ListNumber"/>
      <w:lvlText w:val="%1."/>
      <w:lvlJc w:val="left"/>
      <w:pPr>
        <w:tabs>
          <w:tab w:val="num" w:pos="360"/>
        </w:tabs>
        <w:ind w:left="360" w:hanging="360"/>
      </w:pPr>
    </w:lvl>
  </w:abstractNum>
  <w:abstractNum w:abstractNumId="2">
    <w:nsid w:val="025F1F76"/>
    <w:multiLevelType w:val="hybridMultilevel"/>
    <w:tmpl w:val="77882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BF3B0B"/>
    <w:multiLevelType w:val="hybridMultilevel"/>
    <w:tmpl w:val="9A3C7A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C1579B"/>
    <w:multiLevelType w:val="hybridMultilevel"/>
    <w:tmpl w:val="A4BADF0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A0F0346"/>
    <w:multiLevelType w:val="hybridMultilevel"/>
    <w:tmpl w:val="364691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6E60AD"/>
    <w:multiLevelType w:val="hybridMultilevel"/>
    <w:tmpl w:val="98321C22"/>
    <w:lvl w:ilvl="0">
      <w:start w:val="1"/>
      <w:numFmt w:val="bullet"/>
      <w:pStyle w:val="TableBullet1"/>
      <w:lvlText w:val="●"/>
      <w:lvlJc w:val="left"/>
      <w:pPr>
        <w:ind w:left="720" w:hanging="360"/>
      </w:pPr>
      <w:rPr>
        <w:rFonts w:ascii="Calibri" w:hAnsi="Calibri" w:cs="Times New Roman" w:hint="default"/>
        <w:color w:val="6E6259"/>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993A2E"/>
    <w:multiLevelType w:val="hybridMultilevel"/>
    <w:tmpl w:val="857086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110DFA"/>
    <w:multiLevelType w:val="hybridMultilevel"/>
    <w:tmpl w:val="D340F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66228F"/>
    <w:multiLevelType w:val="hybridMultilevel"/>
    <w:tmpl w:val="316AF5EE"/>
    <w:lvl w:ilvl="0">
      <w:start w:val="1"/>
      <w:numFmt w:val="bullet"/>
      <w:pStyle w:val="TableBullet2"/>
      <w:lvlText w:val="o"/>
      <w:lvlJc w:val="left"/>
      <w:pPr>
        <w:ind w:left="925" w:hanging="360"/>
      </w:pPr>
      <w:rPr>
        <w:rFonts w:ascii="Courier New" w:hAnsi="Courier New" w:cs="Courier New" w:hint="default"/>
      </w:rPr>
    </w:lvl>
    <w:lvl w:ilvl="1">
      <w:start w:val="1"/>
      <w:numFmt w:val="bullet"/>
      <w:lvlText w:val="o"/>
      <w:lvlJc w:val="left"/>
      <w:pPr>
        <w:ind w:left="1645" w:hanging="360"/>
      </w:pPr>
      <w:rPr>
        <w:rFonts w:ascii="Courier New" w:hAnsi="Courier New" w:cs="Courier New" w:hint="default"/>
      </w:rPr>
    </w:lvl>
    <w:lvl w:ilvl="2">
      <w:start w:val="1"/>
      <w:numFmt w:val="bullet"/>
      <w:lvlText w:val=""/>
      <w:lvlJc w:val="left"/>
      <w:pPr>
        <w:ind w:left="2365" w:hanging="360"/>
      </w:pPr>
      <w:rPr>
        <w:rFonts w:ascii="Wingdings" w:hAnsi="Wingdings" w:hint="default"/>
      </w:rPr>
    </w:lvl>
    <w:lvl w:ilvl="3">
      <w:start w:val="1"/>
      <w:numFmt w:val="bullet"/>
      <w:lvlText w:val=""/>
      <w:lvlJc w:val="left"/>
      <w:pPr>
        <w:ind w:left="3085" w:hanging="360"/>
      </w:pPr>
      <w:rPr>
        <w:rFonts w:ascii="Symbol" w:hAnsi="Symbol" w:hint="default"/>
      </w:rPr>
    </w:lvl>
    <w:lvl w:ilvl="4">
      <w:start w:val="1"/>
      <w:numFmt w:val="bullet"/>
      <w:lvlText w:val="o"/>
      <w:lvlJc w:val="left"/>
      <w:pPr>
        <w:ind w:left="3805" w:hanging="360"/>
      </w:pPr>
      <w:rPr>
        <w:rFonts w:ascii="Courier New" w:hAnsi="Courier New" w:cs="Courier New" w:hint="default"/>
      </w:rPr>
    </w:lvl>
    <w:lvl w:ilvl="5">
      <w:start w:val="1"/>
      <w:numFmt w:val="bullet"/>
      <w:lvlText w:val=""/>
      <w:lvlJc w:val="left"/>
      <w:pPr>
        <w:ind w:left="4525" w:hanging="360"/>
      </w:pPr>
      <w:rPr>
        <w:rFonts w:ascii="Wingdings" w:hAnsi="Wingdings" w:hint="default"/>
      </w:rPr>
    </w:lvl>
    <w:lvl w:ilvl="6">
      <w:start w:val="1"/>
      <w:numFmt w:val="bullet"/>
      <w:lvlText w:val=""/>
      <w:lvlJc w:val="left"/>
      <w:pPr>
        <w:ind w:left="5245" w:hanging="360"/>
      </w:pPr>
      <w:rPr>
        <w:rFonts w:ascii="Symbol" w:hAnsi="Symbol" w:hint="default"/>
      </w:rPr>
    </w:lvl>
    <w:lvl w:ilvl="7">
      <w:start w:val="1"/>
      <w:numFmt w:val="bullet"/>
      <w:lvlText w:val="o"/>
      <w:lvlJc w:val="left"/>
      <w:pPr>
        <w:ind w:left="5965" w:hanging="360"/>
      </w:pPr>
      <w:rPr>
        <w:rFonts w:ascii="Courier New" w:hAnsi="Courier New" w:cs="Courier New" w:hint="default"/>
      </w:rPr>
    </w:lvl>
    <w:lvl w:ilvl="8">
      <w:start w:val="1"/>
      <w:numFmt w:val="bullet"/>
      <w:lvlText w:val=""/>
      <w:lvlJc w:val="left"/>
      <w:pPr>
        <w:ind w:left="6685" w:hanging="360"/>
      </w:pPr>
      <w:rPr>
        <w:rFonts w:ascii="Wingdings" w:hAnsi="Wingdings" w:hint="default"/>
      </w:rPr>
    </w:lvl>
  </w:abstractNum>
  <w:abstractNum w:abstractNumId="12">
    <w:nsid w:val="2330199F"/>
    <w:multiLevelType w:val="hybridMultilevel"/>
    <w:tmpl w:val="8AE8505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2573765E"/>
    <w:multiLevelType w:val="hybridMultilevel"/>
    <w:tmpl w:val="C5027A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8434079"/>
    <w:multiLevelType w:val="hybridMultilevel"/>
    <w:tmpl w:val="51B636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AF53BCD"/>
    <w:multiLevelType w:val="hybridMultilevel"/>
    <w:tmpl w:val="EDD24D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A66F97"/>
    <w:multiLevelType w:val="hybridMultilevel"/>
    <w:tmpl w:val="85245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8326B5"/>
    <w:multiLevelType w:val="hybridMultilevel"/>
    <w:tmpl w:val="1E9A3940"/>
    <w:lvl w:ilvl="0">
      <w:start w:val="1"/>
      <w:numFmt w:val="bullet"/>
      <w:lvlText w:val=""/>
      <w:lvlJc w:val="left"/>
      <w:pPr>
        <w:ind w:left="36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804961"/>
    <w:multiLevelType w:val="hybridMultilevel"/>
    <w:tmpl w:val="B6DEF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A366446"/>
    <w:multiLevelType w:val="hybridMultilevel"/>
    <w:tmpl w:val="1BDC27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E8F2DE4"/>
    <w:multiLevelType w:val="hybridMultilevel"/>
    <w:tmpl w:val="58D8C6E0"/>
    <w:lvl w:ilvl="0">
      <w:start w:val="1"/>
      <w:numFmt w:val="bullet"/>
      <w:lvlText w:val=""/>
      <w:lvlJc w:val="left"/>
      <w:pPr>
        <w:ind w:left="360" w:hanging="360"/>
      </w:pPr>
      <w:rPr>
        <w:rFonts w:ascii="Wingdings" w:hAnsi="Wingdings" w:hint="default"/>
        <w:color w:val="B6DDE8" w:themeColor="accent5" w:themeTint="6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0EC5146"/>
    <w:multiLevelType w:val="hybridMultilevel"/>
    <w:tmpl w:val="58623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7FC597F"/>
    <w:multiLevelType w:val="hybridMultilevel"/>
    <w:tmpl w:val="9FA4D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0F191B"/>
    <w:multiLevelType w:val="hybridMultilevel"/>
    <w:tmpl w:val="CA2CB3D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9C4D57"/>
    <w:multiLevelType w:val="hybridMultilevel"/>
    <w:tmpl w:val="93FEE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713042"/>
    <w:multiLevelType w:val="hybridMultilevel"/>
    <w:tmpl w:val="266441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C328EB"/>
    <w:multiLevelType w:val="hybridMultilevel"/>
    <w:tmpl w:val="0B1205F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55D46BC2"/>
    <w:multiLevelType w:val="hybridMultilevel"/>
    <w:tmpl w:val="908CF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F707B3"/>
    <w:multiLevelType w:val="hybridMultilevel"/>
    <w:tmpl w:val="1C1E005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1">
    <w:nsid w:val="58132377"/>
    <w:multiLevelType w:val="hybridMultilevel"/>
    <w:tmpl w:val="70A24FDC"/>
    <w:lvl w:ilvl="0">
      <w:start w:val="1"/>
      <w:numFmt w:val="bullet"/>
      <w:pStyle w:val="NORCTableBullet110ptNarrow"/>
      <w:lvlText w:val="■"/>
      <w:lvlJc w:val="left"/>
      <w:pPr>
        <w:ind w:left="360" w:hanging="360"/>
      </w:p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2">
    <w:nsid w:val="5AAD64F7"/>
    <w:multiLevelType w:val="hybridMultilevel"/>
    <w:tmpl w:val="8C9E1B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961012"/>
    <w:multiLevelType w:val="hybridMultilevel"/>
    <w:tmpl w:val="58D44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8624C0"/>
    <w:multiLevelType w:val="hybridMultilevel"/>
    <w:tmpl w:val="4948B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953582"/>
    <w:multiLevelType w:val="hybridMultilevel"/>
    <w:tmpl w:val="13645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B445DA9"/>
    <w:multiLevelType w:val="hybridMultilevel"/>
    <w:tmpl w:val="4CB40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D07BC6"/>
    <w:multiLevelType w:val="hybridMultilevel"/>
    <w:tmpl w:val="0EC4EC5E"/>
    <w:lvl w:ilvl="0">
      <w:start w:val="1"/>
      <w:numFmt w:val="bullet"/>
      <w:lvlText w:val=""/>
      <w:lvlJc w:val="left"/>
      <w:pPr>
        <w:ind w:left="360" w:hanging="360"/>
      </w:pPr>
      <w:rPr>
        <w:rFonts w:ascii="Arial Narrow" w:hAnsi="Arial Narrow" w:cs="Arial" w:hint="default"/>
        <w:color w:val="auto"/>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94C240B"/>
    <w:multiLevelType w:val="hybridMultilevel"/>
    <w:tmpl w:val="E5CA2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DA42AA"/>
    <w:multiLevelType w:val="hybridMultilevel"/>
    <w:tmpl w:val="E9BC75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0009830">
    <w:abstractNumId w:val="3"/>
  </w:num>
  <w:num w:numId="2" w16cid:durableId="2015644032">
    <w:abstractNumId w:val="8"/>
  </w:num>
  <w:num w:numId="3" w16cid:durableId="386148613">
    <w:abstractNumId w:val="16"/>
  </w:num>
  <w:num w:numId="4" w16cid:durableId="57171297">
    <w:abstractNumId w:val="33"/>
  </w:num>
  <w:num w:numId="5" w16cid:durableId="1028485511">
    <w:abstractNumId w:val="25"/>
  </w:num>
  <w:num w:numId="6" w16cid:durableId="1069159385">
    <w:abstractNumId w:val="31"/>
  </w:num>
  <w:num w:numId="7" w16cid:durableId="1694108280">
    <w:abstractNumId w:val="1"/>
  </w:num>
  <w:num w:numId="8" w16cid:durableId="5006588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4510350">
    <w:abstractNumId w:val="26"/>
  </w:num>
  <w:num w:numId="10" w16cid:durableId="727144086">
    <w:abstractNumId w:val="24"/>
  </w:num>
  <w:num w:numId="11" w16cid:durableId="2013413490">
    <w:abstractNumId w:val="9"/>
  </w:num>
  <w:num w:numId="12" w16cid:durableId="842086392">
    <w:abstractNumId w:val="15"/>
  </w:num>
  <w:num w:numId="13" w16cid:durableId="848524155">
    <w:abstractNumId w:val="36"/>
  </w:num>
  <w:num w:numId="14" w16cid:durableId="841429070">
    <w:abstractNumId w:val="37"/>
  </w:num>
  <w:num w:numId="15" w16cid:durableId="310135933">
    <w:abstractNumId w:val="27"/>
  </w:num>
  <w:num w:numId="16" w16cid:durableId="2021420275">
    <w:abstractNumId w:val="35"/>
  </w:num>
  <w:num w:numId="17" w16cid:durableId="1865702054">
    <w:abstractNumId w:val="23"/>
  </w:num>
  <w:num w:numId="18" w16cid:durableId="575824464">
    <w:abstractNumId w:val="22"/>
  </w:num>
  <w:num w:numId="19" w16cid:durableId="191502626">
    <w:abstractNumId w:val="12"/>
  </w:num>
  <w:num w:numId="20" w16cid:durableId="1122916151">
    <w:abstractNumId w:val="28"/>
  </w:num>
  <w:num w:numId="21" w16cid:durableId="85931520">
    <w:abstractNumId w:val="30"/>
  </w:num>
  <w:num w:numId="22" w16cid:durableId="643583075">
    <w:abstractNumId w:val="10"/>
  </w:num>
  <w:num w:numId="23" w16cid:durableId="1502501371">
    <w:abstractNumId w:val="6"/>
  </w:num>
  <w:num w:numId="24" w16cid:durableId="2087678358">
    <w:abstractNumId w:val="39"/>
  </w:num>
  <w:num w:numId="25" w16cid:durableId="969281896">
    <w:abstractNumId w:val="0"/>
  </w:num>
  <w:num w:numId="26" w16cid:durableId="465902985">
    <w:abstractNumId w:val="4"/>
  </w:num>
  <w:num w:numId="27" w16cid:durableId="1786383353">
    <w:abstractNumId w:val="2"/>
  </w:num>
  <w:num w:numId="28" w16cid:durableId="322314556">
    <w:abstractNumId w:val="7"/>
  </w:num>
  <w:num w:numId="29" w16cid:durableId="585844404">
    <w:abstractNumId w:val="11"/>
  </w:num>
  <w:num w:numId="30" w16cid:durableId="896864548">
    <w:abstractNumId w:val="20"/>
  </w:num>
  <w:num w:numId="31" w16cid:durableId="540821812">
    <w:abstractNumId w:val="3"/>
  </w:num>
  <w:num w:numId="32" w16cid:durableId="54474241">
    <w:abstractNumId w:val="8"/>
  </w:num>
  <w:num w:numId="33" w16cid:durableId="570698384">
    <w:abstractNumId w:val="16"/>
  </w:num>
  <w:num w:numId="34" w16cid:durableId="2128156994">
    <w:abstractNumId w:val="33"/>
  </w:num>
  <w:num w:numId="35" w16cid:durableId="379326575">
    <w:abstractNumId w:val="25"/>
  </w:num>
  <w:num w:numId="36" w16cid:durableId="635187931">
    <w:abstractNumId w:val="7"/>
  </w:num>
  <w:num w:numId="37" w16cid:durableId="1363358268">
    <w:abstractNumId w:val="11"/>
  </w:num>
  <w:num w:numId="38" w16cid:durableId="1683698366">
    <w:abstractNumId w:val="4"/>
  </w:num>
  <w:num w:numId="39" w16cid:durableId="752434674">
    <w:abstractNumId w:val="17"/>
  </w:num>
  <w:num w:numId="40" w16cid:durableId="1321234004">
    <w:abstractNumId w:val="34"/>
  </w:num>
  <w:num w:numId="41" w16cid:durableId="1666473891">
    <w:abstractNumId w:val="31"/>
  </w:num>
  <w:num w:numId="42" w16cid:durableId="535234467">
    <w:abstractNumId w:val="31"/>
  </w:num>
  <w:num w:numId="43" w16cid:durableId="297077768">
    <w:abstractNumId w:val="21"/>
  </w:num>
  <w:num w:numId="44" w16cid:durableId="1107967448">
    <w:abstractNumId w:val="18"/>
  </w:num>
  <w:num w:numId="45" w16cid:durableId="35081510">
    <w:abstractNumId w:val="38"/>
  </w:num>
  <w:num w:numId="46" w16cid:durableId="1445344859">
    <w:abstractNumId w:val="31"/>
  </w:num>
  <w:num w:numId="47" w16cid:durableId="1616254420">
    <w:abstractNumId w:val="19"/>
  </w:num>
  <w:num w:numId="48" w16cid:durableId="512458559">
    <w:abstractNumId w:val="29"/>
  </w:num>
  <w:num w:numId="49" w16cid:durableId="1724787636">
    <w:abstractNumId w:val="10"/>
  </w:num>
  <w:num w:numId="50" w16cid:durableId="120348156">
    <w:abstractNumId w:val="31"/>
  </w:num>
  <w:num w:numId="51" w16cid:durableId="2042167730">
    <w:abstractNumId w:val="31"/>
  </w:num>
  <w:num w:numId="52" w16cid:durableId="445319284">
    <w:abstractNumId w:val="39"/>
  </w:num>
  <w:num w:numId="53" w16cid:durableId="346564448">
    <w:abstractNumId w:val="5"/>
  </w:num>
  <w:num w:numId="54" w16cid:durableId="812137924">
    <w:abstractNumId w:val="32"/>
  </w:num>
  <w:num w:numId="55" w16cid:durableId="1763985493">
    <w:abstractNumId w:val="14"/>
  </w:num>
  <w:num w:numId="56" w16cid:durableId="1783258782">
    <w:abstractNumId w:val="13"/>
  </w:num>
  <w:num w:numId="57" w16cid:durableId="1776245717">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owdhury, Sadeq (AHRQ/CFACT)">
    <w15:presenceInfo w15:providerId="AD" w15:userId="S::Sadeq.Chowdhury@AHRQ.hhs.gov::cbba0e0f-9e73-4c2d-8470-f44e57452786"/>
  </w15:person>
  <w15:person w15:author="Roy Ahn">
    <w15:presenceInfo w15:providerId="AD" w15:userId="S::Ahn-Roy@norc.org::dcc45c08-8e27-46cc-beaa-f282268cd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A5"/>
    <w:rsid w:val="000022E6"/>
    <w:rsid w:val="0000696B"/>
    <w:rsid w:val="000208BE"/>
    <w:rsid w:val="00024BF9"/>
    <w:rsid w:val="00024FA5"/>
    <w:rsid w:val="0003673A"/>
    <w:rsid w:val="000369C6"/>
    <w:rsid w:val="00047DFA"/>
    <w:rsid w:val="0005205F"/>
    <w:rsid w:val="00057435"/>
    <w:rsid w:val="00090E2A"/>
    <w:rsid w:val="00094284"/>
    <w:rsid w:val="0009467A"/>
    <w:rsid w:val="000B0A71"/>
    <w:rsid w:val="000C21A5"/>
    <w:rsid w:val="000C27FC"/>
    <w:rsid w:val="000E6592"/>
    <w:rsid w:val="000E79EA"/>
    <w:rsid w:val="000F0617"/>
    <w:rsid w:val="000F3C9F"/>
    <w:rsid w:val="00105C59"/>
    <w:rsid w:val="0011158E"/>
    <w:rsid w:val="00120107"/>
    <w:rsid w:val="001278F4"/>
    <w:rsid w:val="001317F3"/>
    <w:rsid w:val="00132213"/>
    <w:rsid w:val="001333D4"/>
    <w:rsid w:val="001452B0"/>
    <w:rsid w:val="0014681D"/>
    <w:rsid w:val="001546CC"/>
    <w:rsid w:val="00155863"/>
    <w:rsid w:val="001561B6"/>
    <w:rsid w:val="001618BE"/>
    <w:rsid w:val="00162FB2"/>
    <w:rsid w:val="00173D43"/>
    <w:rsid w:val="0018583E"/>
    <w:rsid w:val="001866CB"/>
    <w:rsid w:val="001918D9"/>
    <w:rsid w:val="00191CC1"/>
    <w:rsid w:val="00193A78"/>
    <w:rsid w:val="001B3F42"/>
    <w:rsid w:val="001C41CF"/>
    <w:rsid w:val="001D4272"/>
    <w:rsid w:val="001E3249"/>
    <w:rsid w:val="001F4617"/>
    <w:rsid w:val="0020004E"/>
    <w:rsid w:val="00202245"/>
    <w:rsid w:val="002046B4"/>
    <w:rsid w:val="002128DA"/>
    <w:rsid w:val="00221C7D"/>
    <w:rsid w:val="0022248E"/>
    <w:rsid w:val="00224525"/>
    <w:rsid w:val="00240B9D"/>
    <w:rsid w:val="00240D5E"/>
    <w:rsid w:val="00242A6A"/>
    <w:rsid w:val="00246DA7"/>
    <w:rsid w:val="00267512"/>
    <w:rsid w:val="0027011C"/>
    <w:rsid w:val="002759A1"/>
    <w:rsid w:val="00284832"/>
    <w:rsid w:val="00284939"/>
    <w:rsid w:val="00287E7F"/>
    <w:rsid w:val="00290E53"/>
    <w:rsid w:val="0029780B"/>
    <w:rsid w:val="002A0ED0"/>
    <w:rsid w:val="002A52BD"/>
    <w:rsid w:val="002A6A7E"/>
    <w:rsid w:val="002B1D38"/>
    <w:rsid w:val="002B4BD2"/>
    <w:rsid w:val="002C2888"/>
    <w:rsid w:val="002C6168"/>
    <w:rsid w:val="002D57DD"/>
    <w:rsid w:val="002E66A7"/>
    <w:rsid w:val="002F0C23"/>
    <w:rsid w:val="0031296D"/>
    <w:rsid w:val="003151FA"/>
    <w:rsid w:val="003163E2"/>
    <w:rsid w:val="003207A1"/>
    <w:rsid w:val="003221B2"/>
    <w:rsid w:val="00323003"/>
    <w:rsid w:val="003317D5"/>
    <w:rsid w:val="00334992"/>
    <w:rsid w:val="0033568C"/>
    <w:rsid w:val="003371C8"/>
    <w:rsid w:val="003425BB"/>
    <w:rsid w:val="003430D3"/>
    <w:rsid w:val="00343201"/>
    <w:rsid w:val="00344712"/>
    <w:rsid w:val="00350E1E"/>
    <w:rsid w:val="00350F67"/>
    <w:rsid w:val="00352316"/>
    <w:rsid w:val="00353D95"/>
    <w:rsid w:val="00362E76"/>
    <w:rsid w:val="0036612F"/>
    <w:rsid w:val="003734E5"/>
    <w:rsid w:val="00377233"/>
    <w:rsid w:val="003950B4"/>
    <w:rsid w:val="003A21FE"/>
    <w:rsid w:val="003B042A"/>
    <w:rsid w:val="003B690D"/>
    <w:rsid w:val="003D0316"/>
    <w:rsid w:val="003E6D90"/>
    <w:rsid w:val="003F021B"/>
    <w:rsid w:val="003F4124"/>
    <w:rsid w:val="004156C3"/>
    <w:rsid w:val="00425625"/>
    <w:rsid w:val="004301A7"/>
    <w:rsid w:val="0043098B"/>
    <w:rsid w:val="0043191B"/>
    <w:rsid w:val="00440AD4"/>
    <w:rsid w:val="00444EFC"/>
    <w:rsid w:val="004450FD"/>
    <w:rsid w:val="00454A1E"/>
    <w:rsid w:val="00457083"/>
    <w:rsid w:val="004607B7"/>
    <w:rsid w:val="00462A28"/>
    <w:rsid w:val="004641FB"/>
    <w:rsid w:val="00470FD9"/>
    <w:rsid w:val="00475371"/>
    <w:rsid w:val="00487521"/>
    <w:rsid w:val="00487C60"/>
    <w:rsid w:val="00490A57"/>
    <w:rsid w:val="00490A8C"/>
    <w:rsid w:val="00491332"/>
    <w:rsid w:val="0049477E"/>
    <w:rsid w:val="00495DB9"/>
    <w:rsid w:val="00495DEC"/>
    <w:rsid w:val="004B258E"/>
    <w:rsid w:val="004B51D3"/>
    <w:rsid w:val="004B6C91"/>
    <w:rsid w:val="004B75B5"/>
    <w:rsid w:val="004C066E"/>
    <w:rsid w:val="004D022D"/>
    <w:rsid w:val="004D32CE"/>
    <w:rsid w:val="004D4C4F"/>
    <w:rsid w:val="004E557C"/>
    <w:rsid w:val="004F2FD0"/>
    <w:rsid w:val="0050110D"/>
    <w:rsid w:val="005062DA"/>
    <w:rsid w:val="005104E7"/>
    <w:rsid w:val="00510DCD"/>
    <w:rsid w:val="005150A4"/>
    <w:rsid w:val="00517657"/>
    <w:rsid w:val="00525797"/>
    <w:rsid w:val="00536A60"/>
    <w:rsid w:val="00544EE1"/>
    <w:rsid w:val="0055177C"/>
    <w:rsid w:val="00571077"/>
    <w:rsid w:val="00571DE0"/>
    <w:rsid w:val="00575C20"/>
    <w:rsid w:val="00582B84"/>
    <w:rsid w:val="0058428C"/>
    <w:rsid w:val="005930BC"/>
    <w:rsid w:val="00593491"/>
    <w:rsid w:val="005A0683"/>
    <w:rsid w:val="005A3282"/>
    <w:rsid w:val="005B4563"/>
    <w:rsid w:val="005C400B"/>
    <w:rsid w:val="005C6520"/>
    <w:rsid w:val="005C7CD4"/>
    <w:rsid w:val="005D3A4C"/>
    <w:rsid w:val="005E12F5"/>
    <w:rsid w:val="005F199A"/>
    <w:rsid w:val="005F6669"/>
    <w:rsid w:val="005F7F0A"/>
    <w:rsid w:val="00602AF9"/>
    <w:rsid w:val="0061682E"/>
    <w:rsid w:val="006179C5"/>
    <w:rsid w:val="006360F8"/>
    <w:rsid w:val="00637ECF"/>
    <w:rsid w:val="00642461"/>
    <w:rsid w:val="00650DCF"/>
    <w:rsid w:val="0065358A"/>
    <w:rsid w:val="00654567"/>
    <w:rsid w:val="00660D86"/>
    <w:rsid w:val="00661B58"/>
    <w:rsid w:val="006644AE"/>
    <w:rsid w:val="00665389"/>
    <w:rsid w:val="00670C48"/>
    <w:rsid w:val="0068120D"/>
    <w:rsid w:val="00681D36"/>
    <w:rsid w:val="006840DB"/>
    <w:rsid w:val="00684B26"/>
    <w:rsid w:val="006972E9"/>
    <w:rsid w:val="006A3128"/>
    <w:rsid w:val="006A39EC"/>
    <w:rsid w:val="006B3183"/>
    <w:rsid w:val="006B7D71"/>
    <w:rsid w:val="006C15BB"/>
    <w:rsid w:val="006D0E1C"/>
    <w:rsid w:val="006F43D8"/>
    <w:rsid w:val="0070612A"/>
    <w:rsid w:val="00710C3B"/>
    <w:rsid w:val="007113D8"/>
    <w:rsid w:val="007140F1"/>
    <w:rsid w:val="007429E0"/>
    <w:rsid w:val="0075396F"/>
    <w:rsid w:val="007600F5"/>
    <w:rsid w:val="0078253D"/>
    <w:rsid w:val="00782888"/>
    <w:rsid w:val="0078518A"/>
    <w:rsid w:val="00786D03"/>
    <w:rsid w:val="007A383C"/>
    <w:rsid w:val="007A6EC1"/>
    <w:rsid w:val="007A788E"/>
    <w:rsid w:val="007B119B"/>
    <w:rsid w:val="007C09D7"/>
    <w:rsid w:val="007C46A8"/>
    <w:rsid w:val="007C46EF"/>
    <w:rsid w:val="007C730E"/>
    <w:rsid w:val="007E3B12"/>
    <w:rsid w:val="007F39CE"/>
    <w:rsid w:val="0080351C"/>
    <w:rsid w:val="008233BD"/>
    <w:rsid w:val="00826001"/>
    <w:rsid w:val="0082693B"/>
    <w:rsid w:val="00831410"/>
    <w:rsid w:val="0083791E"/>
    <w:rsid w:val="00845104"/>
    <w:rsid w:val="00847E83"/>
    <w:rsid w:val="00851615"/>
    <w:rsid w:val="008728CC"/>
    <w:rsid w:val="00873705"/>
    <w:rsid w:val="008738AD"/>
    <w:rsid w:val="008828D7"/>
    <w:rsid w:val="008853C0"/>
    <w:rsid w:val="00892F86"/>
    <w:rsid w:val="00895321"/>
    <w:rsid w:val="008A027A"/>
    <w:rsid w:val="008A2C5F"/>
    <w:rsid w:val="008B45E3"/>
    <w:rsid w:val="008B473D"/>
    <w:rsid w:val="008C003D"/>
    <w:rsid w:val="008C5D6B"/>
    <w:rsid w:val="008D4EAA"/>
    <w:rsid w:val="008E102F"/>
    <w:rsid w:val="008E1928"/>
    <w:rsid w:val="008F10A0"/>
    <w:rsid w:val="008F315B"/>
    <w:rsid w:val="009036F6"/>
    <w:rsid w:val="009066A4"/>
    <w:rsid w:val="00922078"/>
    <w:rsid w:val="00924050"/>
    <w:rsid w:val="009351A8"/>
    <w:rsid w:val="00950E77"/>
    <w:rsid w:val="009540FA"/>
    <w:rsid w:val="00956B84"/>
    <w:rsid w:val="009617E9"/>
    <w:rsid w:val="009666A8"/>
    <w:rsid w:val="0097691F"/>
    <w:rsid w:val="00990167"/>
    <w:rsid w:val="009915B5"/>
    <w:rsid w:val="009A23E6"/>
    <w:rsid w:val="009A519F"/>
    <w:rsid w:val="009B5A7F"/>
    <w:rsid w:val="009B69BC"/>
    <w:rsid w:val="009C181F"/>
    <w:rsid w:val="009C4A9E"/>
    <w:rsid w:val="009D3959"/>
    <w:rsid w:val="00A02A18"/>
    <w:rsid w:val="00A11278"/>
    <w:rsid w:val="00A13E0C"/>
    <w:rsid w:val="00A17904"/>
    <w:rsid w:val="00A21D32"/>
    <w:rsid w:val="00A2294C"/>
    <w:rsid w:val="00A22FC0"/>
    <w:rsid w:val="00A3059E"/>
    <w:rsid w:val="00A40944"/>
    <w:rsid w:val="00A46A79"/>
    <w:rsid w:val="00A74748"/>
    <w:rsid w:val="00A76F41"/>
    <w:rsid w:val="00A81DC7"/>
    <w:rsid w:val="00A86E07"/>
    <w:rsid w:val="00A92B95"/>
    <w:rsid w:val="00A943BD"/>
    <w:rsid w:val="00AB65EC"/>
    <w:rsid w:val="00AC1738"/>
    <w:rsid w:val="00AC41A4"/>
    <w:rsid w:val="00AC5D25"/>
    <w:rsid w:val="00AD512A"/>
    <w:rsid w:val="00AE1D9B"/>
    <w:rsid w:val="00AE2EE6"/>
    <w:rsid w:val="00AE3023"/>
    <w:rsid w:val="00AE71AA"/>
    <w:rsid w:val="00AF03F7"/>
    <w:rsid w:val="00AF278F"/>
    <w:rsid w:val="00B0368E"/>
    <w:rsid w:val="00B1623E"/>
    <w:rsid w:val="00B229C9"/>
    <w:rsid w:val="00B27AE6"/>
    <w:rsid w:val="00B30DEC"/>
    <w:rsid w:val="00B37890"/>
    <w:rsid w:val="00B51C77"/>
    <w:rsid w:val="00B6026C"/>
    <w:rsid w:val="00B6197C"/>
    <w:rsid w:val="00B619AA"/>
    <w:rsid w:val="00B62320"/>
    <w:rsid w:val="00B64763"/>
    <w:rsid w:val="00B64A9D"/>
    <w:rsid w:val="00B83FC0"/>
    <w:rsid w:val="00B86DE2"/>
    <w:rsid w:val="00B87814"/>
    <w:rsid w:val="00B92546"/>
    <w:rsid w:val="00B9522A"/>
    <w:rsid w:val="00B97ABC"/>
    <w:rsid w:val="00B97C4C"/>
    <w:rsid w:val="00BB1565"/>
    <w:rsid w:val="00BC2C4C"/>
    <w:rsid w:val="00BD5BF9"/>
    <w:rsid w:val="00BE34EA"/>
    <w:rsid w:val="00BE37C3"/>
    <w:rsid w:val="00BE41C9"/>
    <w:rsid w:val="00BE4D37"/>
    <w:rsid w:val="00BF7F81"/>
    <w:rsid w:val="00C0098D"/>
    <w:rsid w:val="00C0766E"/>
    <w:rsid w:val="00C10132"/>
    <w:rsid w:val="00C21855"/>
    <w:rsid w:val="00C2396F"/>
    <w:rsid w:val="00C23ACE"/>
    <w:rsid w:val="00C341A2"/>
    <w:rsid w:val="00C35499"/>
    <w:rsid w:val="00C464AB"/>
    <w:rsid w:val="00C516D3"/>
    <w:rsid w:val="00C553B3"/>
    <w:rsid w:val="00C55BED"/>
    <w:rsid w:val="00C55D24"/>
    <w:rsid w:val="00C60895"/>
    <w:rsid w:val="00C709FB"/>
    <w:rsid w:val="00C719B3"/>
    <w:rsid w:val="00C71C27"/>
    <w:rsid w:val="00C71E73"/>
    <w:rsid w:val="00C71EF0"/>
    <w:rsid w:val="00C73237"/>
    <w:rsid w:val="00C76446"/>
    <w:rsid w:val="00C81A61"/>
    <w:rsid w:val="00C865AE"/>
    <w:rsid w:val="00C9548F"/>
    <w:rsid w:val="00C979D9"/>
    <w:rsid w:val="00CA1B8B"/>
    <w:rsid w:val="00CA44F5"/>
    <w:rsid w:val="00CA4CBB"/>
    <w:rsid w:val="00CB36B3"/>
    <w:rsid w:val="00CC6C70"/>
    <w:rsid w:val="00CD0DE1"/>
    <w:rsid w:val="00CE22DC"/>
    <w:rsid w:val="00CE389C"/>
    <w:rsid w:val="00CF3009"/>
    <w:rsid w:val="00D0271C"/>
    <w:rsid w:val="00D12976"/>
    <w:rsid w:val="00D179AE"/>
    <w:rsid w:val="00D2249D"/>
    <w:rsid w:val="00D2257B"/>
    <w:rsid w:val="00D2447A"/>
    <w:rsid w:val="00D27F1A"/>
    <w:rsid w:val="00D4292B"/>
    <w:rsid w:val="00D50301"/>
    <w:rsid w:val="00D539D7"/>
    <w:rsid w:val="00D61F0A"/>
    <w:rsid w:val="00D65669"/>
    <w:rsid w:val="00D73144"/>
    <w:rsid w:val="00D73322"/>
    <w:rsid w:val="00D835F8"/>
    <w:rsid w:val="00D921D7"/>
    <w:rsid w:val="00D97A42"/>
    <w:rsid w:val="00DA4C8F"/>
    <w:rsid w:val="00DB09DA"/>
    <w:rsid w:val="00DB49AC"/>
    <w:rsid w:val="00DC3971"/>
    <w:rsid w:val="00DC4300"/>
    <w:rsid w:val="00DC43CE"/>
    <w:rsid w:val="00DD04A4"/>
    <w:rsid w:val="00DD30E4"/>
    <w:rsid w:val="00DD4C2C"/>
    <w:rsid w:val="00DD5599"/>
    <w:rsid w:val="00DD76B0"/>
    <w:rsid w:val="00DE28E3"/>
    <w:rsid w:val="00DE57C2"/>
    <w:rsid w:val="00DE61F3"/>
    <w:rsid w:val="00DF7C63"/>
    <w:rsid w:val="00E066ED"/>
    <w:rsid w:val="00E11AB2"/>
    <w:rsid w:val="00E22EE0"/>
    <w:rsid w:val="00E27F5C"/>
    <w:rsid w:val="00E320CC"/>
    <w:rsid w:val="00E71816"/>
    <w:rsid w:val="00E72B07"/>
    <w:rsid w:val="00E90FDF"/>
    <w:rsid w:val="00E9179F"/>
    <w:rsid w:val="00E937E0"/>
    <w:rsid w:val="00E94D86"/>
    <w:rsid w:val="00EA319B"/>
    <w:rsid w:val="00EA3306"/>
    <w:rsid w:val="00EB133D"/>
    <w:rsid w:val="00EC1341"/>
    <w:rsid w:val="00EC4B8B"/>
    <w:rsid w:val="00EC5298"/>
    <w:rsid w:val="00EC601A"/>
    <w:rsid w:val="00EC77EF"/>
    <w:rsid w:val="00ED0FD7"/>
    <w:rsid w:val="00ED3064"/>
    <w:rsid w:val="00EE1A51"/>
    <w:rsid w:val="00EE635B"/>
    <w:rsid w:val="00EE710F"/>
    <w:rsid w:val="00EF5D0F"/>
    <w:rsid w:val="00F014AF"/>
    <w:rsid w:val="00F05332"/>
    <w:rsid w:val="00F10B0D"/>
    <w:rsid w:val="00F13EAC"/>
    <w:rsid w:val="00F146C9"/>
    <w:rsid w:val="00F21B28"/>
    <w:rsid w:val="00F24A01"/>
    <w:rsid w:val="00F2506C"/>
    <w:rsid w:val="00F26D26"/>
    <w:rsid w:val="00F3011C"/>
    <w:rsid w:val="00F30B22"/>
    <w:rsid w:val="00F31A49"/>
    <w:rsid w:val="00F36359"/>
    <w:rsid w:val="00F44A1A"/>
    <w:rsid w:val="00F45AC3"/>
    <w:rsid w:val="00F45FB2"/>
    <w:rsid w:val="00F4638D"/>
    <w:rsid w:val="00F46569"/>
    <w:rsid w:val="00F471FB"/>
    <w:rsid w:val="00F522DA"/>
    <w:rsid w:val="00F54230"/>
    <w:rsid w:val="00F65F96"/>
    <w:rsid w:val="00F76C1C"/>
    <w:rsid w:val="00F83841"/>
    <w:rsid w:val="00F8641E"/>
    <w:rsid w:val="00F90EA0"/>
    <w:rsid w:val="00F932F6"/>
    <w:rsid w:val="00FA1C3D"/>
    <w:rsid w:val="00FA4402"/>
    <w:rsid w:val="00FB115A"/>
    <w:rsid w:val="00FB2B95"/>
    <w:rsid w:val="00FB5278"/>
    <w:rsid w:val="00FC66E3"/>
    <w:rsid w:val="00FD3815"/>
    <w:rsid w:val="00FE2C6A"/>
    <w:rsid w:val="00FE7E28"/>
    <w:rsid w:val="00FF0648"/>
    <w:rsid w:val="00FF2E16"/>
    <w:rsid w:val="00FF4F82"/>
    <w:rsid w:val="00FF58E1"/>
    <w:rsid w:val="00FF7BD7"/>
    <w:rsid w:val="037C1C4A"/>
    <w:rsid w:val="0414E055"/>
    <w:rsid w:val="05185520"/>
    <w:rsid w:val="06292237"/>
    <w:rsid w:val="07AEC152"/>
    <w:rsid w:val="07EDD0EA"/>
    <w:rsid w:val="09379D6A"/>
    <w:rsid w:val="099DDC12"/>
    <w:rsid w:val="09D4FFDA"/>
    <w:rsid w:val="11FF2A55"/>
    <w:rsid w:val="122BB898"/>
    <w:rsid w:val="13E40D58"/>
    <w:rsid w:val="152A4B05"/>
    <w:rsid w:val="16593F5D"/>
    <w:rsid w:val="1B0DA66D"/>
    <w:rsid w:val="1BA5A7F4"/>
    <w:rsid w:val="1C17371C"/>
    <w:rsid w:val="2228B405"/>
    <w:rsid w:val="226C7C04"/>
    <w:rsid w:val="23C48466"/>
    <w:rsid w:val="2812FA6A"/>
    <w:rsid w:val="2BD9FD80"/>
    <w:rsid w:val="3072A457"/>
    <w:rsid w:val="31A862DB"/>
    <w:rsid w:val="38C0C083"/>
    <w:rsid w:val="3DB513BD"/>
    <w:rsid w:val="3F16432D"/>
    <w:rsid w:val="45BF2983"/>
    <w:rsid w:val="466F2477"/>
    <w:rsid w:val="4CA557A6"/>
    <w:rsid w:val="4DADB2E8"/>
    <w:rsid w:val="4E84F006"/>
    <w:rsid w:val="4FE913D3"/>
    <w:rsid w:val="5184E434"/>
    <w:rsid w:val="540267D0"/>
    <w:rsid w:val="551513A1"/>
    <w:rsid w:val="552D3FDF"/>
    <w:rsid w:val="5A14B8F8"/>
    <w:rsid w:val="5A6C19AE"/>
    <w:rsid w:val="6E50B0D1"/>
    <w:rsid w:val="6ED90B18"/>
    <w:rsid w:val="790B2CAE"/>
    <w:rsid w:val="7B86E0B4"/>
    <w:rsid w:val="7C2C08C6"/>
    <w:rsid w:val="7DAB2E76"/>
    <w:rsid w:val="7F6616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D5A52"/>
  <w15:docId w15:val="{3E345580-B5E8-4CF6-95D0-22A125EE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9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1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21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A5"/>
    <w:rPr>
      <w:rFonts w:ascii="Arial" w:eastAsia="Times New Roman" w:hAnsi="Arial" w:cs="Arial"/>
      <w:b/>
      <w:bCs/>
      <w:kern w:val="32"/>
      <w:sz w:val="32"/>
      <w:szCs w:val="32"/>
    </w:rPr>
  </w:style>
  <w:style w:type="character" w:customStyle="1" w:styleId="Heading2Char">
    <w:name w:val="Heading 2 Char"/>
    <w:basedOn w:val="DefaultParagraphFont"/>
    <w:link w:val="Heading2"/>
    <w:rsid w:val="000C21A5"/>
    <w:rPr>
      <w:rFonts w:ascii="Arial" w:eastAsia="Times New Roman" w:hAnsi="Arial" w:cs="Arial"/>
      <w:b/>
      <w:bCs/>
      <w:i/>
      <w:iCs/>
      <w:sz w:val="28"/>
      <w:szCs w:val="28"/>
    </w:rPr>
  </w:style>
  <w:style w:type="character" w:styleId="Emphasis">
    <w:name w:val="Emphasis"/>
    <w:qFormat/>
    <w:rsid w:val="000C21A5"/>
    <w:rPr>
      <w:i/>
      <w:iCs/>
    </w:rPr>
  </w:style>
  <w:style w:type="paragraph" w:styleId="EndnoteText">
    <w:name w:val="endnote text"/>
    <w:basedOn w:val="Normal"/>
    <w:link w:val="EndnoteTextChar"/>
    <w:semiHidden/>
    <w:rsid w:val="000C21A5"/>
    <w:rPr>
      <w:sz w:val="20"/>
      <w:szCs w:val="20"/>
    </w:rPr>
  </w:style>
  <w:style w:type="character" w:customStyle="1" w:styleId="EndnoteTextChar">
    <w:name w:val="Endnote Text Char"/>
    <w:basedOn w:val="DefaultParagraphFont"/>
    <w:link w:val="EndnoteText"/>
    <w:semiHidden/>
    <w:rsid w:val="000C21A5"/>
    <w:rPr>
      <w:rFonts w:ascii="Times New Roman" w:eastAsia="Times New Roman" w:hAnsi="Times New Roman" w:cs="Times New Roman"/>
      <w:sz w:val="20"/>
      <w:szCs w:val="20"/>
    </w:rPr>
  </w:style>
  <w:style w:type="paragraph" w:styleId="TOC1">
    <w:name w:val="toc 1"/>
    <w:basedOn w:val="Normal"/>
    <w:next w:val="Normal"/>
    <w:autoRedefine/>
    <w:uiPriority w:val="39"/>
    <w:rsid w:val="009C4A9E"/>
  </w:style>
  <w:style w:type="paragraph" w:styleId="TOC2">
    <w:name w:val="toc 2"/>
    <w:basedOn w:val="Normal"/>
    <w:next w:val="Normal"/>
    <w:autoRedefine/>
    <w:uiPriority w:val="39"/>
    <w:rsid w:val="009C4A9E"/>
    <w:pPr>
      <w:tabs>
        <w:tab w:val="left" w:pos="660"/>
        <w:tab w:val="right" w:leader="dot" w:pos="8630"/>
      </w:tabs>
      <w:ind w:left="240"/>
    </w:pPr>
  </w:style>
  <w:style w:type="character" w:styleId="Hyperlink">
    <w:name w:val="Hyperlink"/>
    <w:uiPriority w:val="99"/>
    <w:rsid w:val="000C21A5"/>
    <w:rPr>
      <w:color w:val="0000FF"/>
      <w:u w:val="single"/>
    </w:rPr>
  </w:style>
  <w:style w:type="paragraph" w:styleId="Footer">
    <w:name w:val="footer"/>
    <w:basedOn w:val="Normal"/>
    <w:link w:val="FooterChar"/>
    <w:uiPriority w:val="99"/>
    <w:rsid w:val="000C21A5"/>
    <w:pPr>
      <w:tabs>
        <w:tab w:val="center" w:pos="4320"/>
        <w:tab w:val="right" w:pos="8640"/>
      </w:tabs>
    </w:pPr>
  </w:style>
  <w:style w:type="character" w:customStyle="1" w:styleId="FooterChar">
    <w:name w:val="Footer Char"/>
    <w:basedOn w:val="DefaultParagraphFont"/>
    <w:link w:val="Footer"/>
    <w:uiPriority w:val="99"/>
    <w:rsid w:val="000C21A5"/>
    <w:rPr>
      <w:rFonts w:ascii="Times New Roman" w:eastAsia="Times New Roman" w:hAnsi="Times New Roman" w:cs="Times New Roman"/>
      <w:sz w:val="24"/>
      <w:szCs w:val="24"/>
    </w:rPr>
  </w:style>
  <w:style w:type="character" w:styleId="PageNumber">
    <w:name w:val="page number"/>
    <w:basedOn w:val="DefaultParagraphFont"/>
    <w:rsid w:val="000C21A5"/>
  </w:style>
  <w:style w:type="character" w:styleId="Strong">
    <w:name w:val="Strong"/>
    <w:qFormat/>
    <w:rsid w:val="000C21A5"/>
    <w:rPr>
      <w:b/>
      <w:bCs/>
    </w:rPr>
  </w:style>
  <w:style w:type="paragraph" w:styleId="BodyText">
    <w:name w:val="Body Text"/>
    <w:basedOn w:val="Normal"/>
    <w:link w:val="BodyTextChar"/>
    <w:uiPriority w:val="99"/>
    <w:rsid w:val="000C21A5"/>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0C21A5"/>
    <w:rPr>
      <w:rFonts w:ascii="Times New Roman" w:eastAsia="Calibri" w:hAnsi="Times New Roman" w:cs="Times New Roman"/>
    </w:rPr>
  </w:style>
  <w:style w:type="paragraph" w:customStyle="1" w:styleId="NORCTableSubheadingCenter10ptNarrow">
    <w:name w:val="NORC Table Subheading Center 10ptNarrow"/>
    <w:qFormat/>
    <w:rsid w:val="000C21A5"/>
    <w:pPr>
      <w:keepNext/>
      <w:spacing w:after="0" w:line="240" w:lineRule="auto"/>
      <w:jc w:val="center"/>
    </w:pPr>
    <w:rPr>
      <w:rFonts w:ascii="Arial Narrow" w:eastAsia="Times New Roman" w:hAnsi="Arial Narrow" w:cs="Times New Roman"/>
      <w:b/>
      <w:bCs/>
      <w:color w:val="000000"/>
      <w:sz w:val="20"/>
    </w:rPr>
  </w:style>
  <w:style w:type="paragraph" w:customStyle="1" w:styleId="NORCTableBodyLeft10ptNarrow">
    <w:name w:val="NORC Table Body Left (10ptNarrow)"/>
    <w:basedOn w:val="Normal"/>
    <w:qFormat/>
    <w:rsid w:val="000C21A5"/>
    <w:pPr>
      <w:tabs>
        <w:tab w:val="left" w:pos="144"/>
      </w:tabs>
    </w:pPr>
    <w:rPr>
      <w:rFonts w:ascii="Arial Narrow" w:hAnsi="Arial Narrow"/>
      <w:color w:val="000000"/>
      <w:sz w:val="20"/>
      <w:szCs w:val="20"/>
    </w:rPr>
  </w:style>
  <w:style w:type="character" w:customStyle="1" w:styleId="NORCCaption-Color">
    <w:name w:val="NORC Caption - Color"/>
    <w:qFormat/>
    <w:rsid w:val="000C21A5"/>
    <w:rPr>
      <w:rFonts w:ascii="Arial Narrow" w:hAnsi="Arial Narrow"/>
      <w:b/>
      <w:color w:val="8AB3A4"/>
      <w:sz w:val="22"/>
    </w:rPr>
  </w:style>
  <w:style w:type="paragraph" w:customStyle="1" w:styleId="NORCTableBullet110ptNarrow">
    <w:name w:val="NORC Table Bullet 1 (10ptNarrow)"/>
    <w:basedOn w:val="Normal"/>
    <w:qFormat/>
    <w:rsid w:val="000C21A5"/>
    <w:pPr>
      <w:framePr w:hSpace="180" w:wrap="around" w:vAnchor="text" w:hAnchor="margin" w:y="2375"/>
      <w:numPr>
        <w:numId w:val="6"/>
      </w:numPr>
      <w:tabs>
        <w:tab w:val="left" w:pos="144"/>
      </w:tabs>
      <w:suppressOverlap/>
    </w:pPr>
    <w:rPr>
      <w:rFonts w:ascii="Arial Narrow" w:hAnsi="Arial Narrow"/>
      <w:color w:val="000000"/>
      <w:sz w:val="20"/>
      <w:szCs w:val="20"/>
    </w:rPr>
  </w:style>
  <w:style w:type="paragraph" w:styleId="FootnoteText">
    <w:name w:val="footnote text"/>
    <w:basedOn w:val="Normal"/>
    <w:link w:val="FootnoteTextChar"/>
    <w:uiPriority w:val="99"/>
    <w:unhideWhenUsed/>
    <w:rsid w:val="000C21A5"/>
    <w:rPr>
      <w:rFonts w:ascii="Calibri" w:eastAsia="Calibri" w:hAnsi="Calibri"/>
      <w:sz w:val="20"/>
      <w:szCs w:val="20"/>
    </w:rPr>
  </w:style>
  <w:style w:type="character" w:customStyle="1" w:styleId="FootnoteTextChar">
    <w:name w:val="Footnote Text Char"/>
    <w:basedOn w:val="DefaultParagraphFont"/>
    <w:link w:val="FootnoteText"/>
    <w:uiPriority w:val="99"/>
    <w:rsid w:val="000C21A5"/>
    <w:rPr>
      <w:rFonts w:ascii="Calibri" w:eastAsia="Calibri" w:hAnsi="Calibri" w:cs="Times New Roman"/>
      <w:sz w:val="20"/>
      <w:szCs w:val="20"/>
    </w:rPr>
  </w:style>
  <w:style w:type="character" w:styleId="FootnoteReference">
    <w:name w:val="footnote reference"/>
    <w:uiPriority w:val="99"/>
    <w:unhideWhenUsed/>
    <w:rsid w:val="000C21A5"/>
    <w:rPr>
      <w:vertAlign w:val="superscript"/>
    </w:rPr>
  </w:style>
  <w:style w:type="paragraph" w:customStyle="1" w:styleId="NORCTableHeaderArial">
    <w:name w:val="NORC Table Header (Arial)"/>
    <w:basedOn w:val="Normal"/>
    <w:rsid w:val="000C21A5"/>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0C21A5"/>
    <w:pPr>
      <w:spacing w:before="40" w:after="40"/>
    </w:pPr>
    <w:rPr>
      <w:rFonts w:ascii="Arial" w:eastAsia="SimSun" w:hAnsi="Arial"/>
      <w:sz w:val="17"/>
      <w:szCs w:val="22"/>
    </w:rPr>
  </w:style>
  <w:style w:type="table" w:styleId="TableGrid">
    <w:name w:val="Table Grid"/>
    <w:aliases w:val="NASHP Table Grid"/>
    <w:basedOn w:val="TableNormal"/>
    <w:uiPriority w:val="59"/>
    <w:rsid w:val="000C21A5"/>
    <w:pPr>
      <w:spacing w:after="0" w:line="240" w:lineRule="auto"/>
    </w:pPr>
    <w:rPr>
      <w:rFonts w:ascii="Garamond" w:eastAsia="Calibri" w:hAnsi="Garamond"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0C21A5"/>
    <w:pPr>
      <w:keepLines/>
      <w:numPr>
        <w:numId w:val="7"/>
      </w:numPr>
      <w:tabs>
        <w:tab w:val="clear" w:pos="360"/>
      </w:tabs>
      <w:contextualSpacing/>
    </w:pPr>
    <w:rPr>
      <w:rFonts w:eastAsia="Calibri"/>
      <w:sz w:val="22"/>
      <w:szCs w:val="22"/>
    </w:rPr>
  </w:style>
  <w:style w:type="character" w:styleId="CommentReference">
    <w:name w:val="annotation reference"/>
    <w:uiPriority w:val="99"/>
    <w:unhideWhenUsed/>
    <w:rsid w:val="000C21A5"/>
    <w:rPr>
      <w:sz w:val="16"/>
      <w:szCs w:val="16"/>
    </w:rPr>
  </w:style>
  <w:style w:type="paragraph" w:styleId="CommentText">
    <w:name w:val="annotation text"/>
    <w:basedOn w:val="Normal"/>
    <w:link w:val="CommentTextChar"/>
    <w:uiPriority w:val="99"/>
    <w:rsid w:val="000C21A5"/>
    <w:rPr>
      <w:rFonts w:ascii="Calibri" w:hAnsi="Calibri"/>
      <w:sz w:val="22"/>
      <w:szCs w:val="20"/>
    </w:rPr>
  </w:style>
  <w:style w:type="character" w:customStyle="1" w:styleId="CommentTextChar">
    <w:name w:val="Comment Text Char"/>
    <w:basedOn w:val="DefaultParagraphFont"/>
    <w:link w:val="CommentText"/>
    <w:uiPriority w:val="99"/>
    <w:rsid w:val="000C21A5"/>
    <w:rPr>
      <w:rFonts w:ascii="Calibri" w:eastAsia="Times New Roman" w:hAnsi="Calibri" w:cs="Times New Roman"/>
      <w:szCs w:val="20"/>
    </w:rPr>
  </w:style>
  <w:style w:type="paragraph" w:styleId="BalloonText">
    <w:name w:val="Balloon Text"/>
    <w:basedOn w:val="Normal"/>
    <w:link w:val="BalloonTextChar"/>
    <w:rsid w:val="000C21A5"/>
    <w:rPr>
      <w:rFonts w:ascii="Segoe UI" w:hAnsi="Segoe UI" w:cs="Segoe UI"/>
      <w:sz w:val="18"/>
      <w:szCs w:val="18"/>
    </w:rPr>
  </w:style>
  <w:style w:type="character" w:customStyle="1" w:styleId="BalloonTextChar">
    <w:name w:val="Balloon Text Char"/>
    <w:basedOn w:val="DefaultParagraphFont"/>
    <w:link w:val="BalloonText"/>
    <w:rsid w:val="000C21A5"/>
    <w:rPr>
      <w:rFonts w:ascii="Segoe UI" w:eastAsia="Times New Roman" w:hAnsi="Segoe UI" w:cs="Segoe UI"/>
      <w:sz w:val="18"/>
      <w:szCs w:val="18"/>
    </w:rPr>
  </w:style>
  <w:style w:type="paragraph" w:styleId="Header">
    <w:name w:val="header"/>
    <w:basedOn w:val="Normal"/>
    <w:link w:val="HeaderChar"/>
    <w:rsid w:val="000C21A5"/>
    <w:pPr>
      <w:tabs>
        <w:tab w:val="center" w:pos="4680"/>
        <w:tab w:val="right" w:pos="9360"/>
      </w:tabs>
    </w:pPr>
  </w:style>
  <w:style w:type="character" w:customStyle="1" w:styleId="HeaderChar">
    <w:name w:val="Header Char"/>
    <w:basedOn w:val="DefaultParagraphFont"/>
    <w:link w:val="Header"/>
    <w:rsid w:val="000C21A5"/>
    <w:rPr>
      <w:rFonts w:ascii="Times New Roman" w:eastAsia="Times New Roman" w:hAnsi="Times New Roman" w:cs="Times New Roman"/>
      <w:sz w:val="24"/>
      <w:szCs w:val="24"/>
    </w:rPr>
  </w:style>
  <w:style w:type="paragraph" w:customStyle="1" w:styleId="GridTable31">
    <w:name w:val="Grid Table 31"/>
    <w:basedOn w:val="Heading1"/>
    <w:next w:val="Normal"/>
    <w:uiPriority w:val="39"/>
    <w:unhideWhenUsed/>
    <w:qFormat/>
    <w:rsid w:val="000C21A5"/>
    <w:pPr>
      <w:keepLines/>
      <w:spacing w:after="0" w:line="259" w:lineRule="auto"/>
      <w:outlineLvl w:val="9"/>
    </w:pPr>
    <w:rPr>
      <w:rFonts w:ascii="Calibri Light" w:hAnsi="Calibri Light" w:cs="Times New Roman"/>
      <w:b w:val="0"/>
      <w:bCs w:val="0"/>
      <w:color w:val="2E74B5"/>
      <w:kern w:val="0"/>
    </w:rPr>
  </w:style>
  <w:style w:type="paragraph" w:styleId="CommentSubject">
    <w:name w:val="annotation subject"/>
    <w:basedOn w:val="CommentText"/>
    <w:next w:val="CommentText"/>
    <w:link w:val="CommentSubjectChar"/>
    <w:rsid w:val="000C21A5"/>
    <w:rPr>
      <w:rFonts w:ascii="Times New Roman" w:hAnsi="Times New Roman"/>
      <w:b/>
      <w:bCs/>
      <w:sz w:val="20"/>
    </w:rPr>
  </w:style>
  <w:style w:type="character" w:customStyle="1" w:styleId="CommentSubjectChar">
    <w:name w:val="Comment Subject Char"/>
    <w:basedOn w:val="CommentTextChar"/>
    <w:link w:val="CommentSubject"/>
    <w:rsid w:val="000C21A5"/>
    <w:rPr>
      <w:rFonts w:ascii="Times New Roman" w:eastAsia="Times New Roman" w:hAnsi="Times New Roman" w:cs="Times New Roman"/>
      <w:b/>
      <w:bCs/>
      <w:sz w:val="20"/>
      <w:szCs w:val="20"/>
    </w:rPr>
  </w:style>
  <w:style w:type="paragraph" w:customStyle="1" w:styleId="Default">
    <w:name w:val="Default"/>
    <w:rsid w:val="000C21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CCaption-Exhibit">
    <w:name w:val="NORC Caption - Exhibit"/>
    <w:qFormat/>
    <w:rsid w:val="000C21A5"/>
    <w:pPr>
      <w:keepNext/>
      <w:keepLines/>
      <w:tabs>
        <w:tab w:val="left" w:pos="1296"/>
        <w:tab w:val="left" w:pos="1800"/>
      </w:tabs>
      <w:spacing w:before="320" w:after="120" w:line="240" w:lineRule="auto"/>
      <w:ind w:left="1296" w:hanging="1296"/>
    </w:pPr>
    <w:rPr>
      <w:rFonts w:ascii="Garamond" w:eastAsia="Times New Roman" w:hAnsi="Garamond" w:cs="AGaramond-Regular"/>
    </w:rPr>
  </w:style>
  <w:style w:type="paragraph" w:customStyle="1" w:styleId="NORCTableBodyCenterArial">
    <w:name w:val="NORC Table Body Center (Arial)"/>
    <w:basedOn w:val="Normal"/>
    <w:qFormat/>
    <w:rsid w:val="000C21A5"/>
    <w:pPr>
      <w:tabs>
        <w:tab w:val="left" w:pos="144"/>
      </w:tabs>
      <w:spacing w:before="20" w:after="20"/>
      <w:jc w:val="center"/>
    </w:pPr>
    <w:rPr>
      <w:rFonts w:ascii="Arial Narrow" w:hAnsi="Arial Narrow"/>
      <w:color w:val="000000"/>
      <w:sz w:val="20"/>
      <w:szCs w:val="20"/>
    </w:rPr>
  </w:style>
  <w:style w:type="paragraph" w:customStyle="1" w:styleId="NORCProposalBodyDoubleSpacing-Garamond">
    <w:name w:val="NORC Proposal Body Double Spacing - Garamond"/>
    <w:qFormat/>
    <w:rsid w:val="000C21A5"/>
    <w:pPr>
      <w:textboxTightWrap w:val="allLines"/>
      <w:tabs>
        <w:tab w:val="right" w:pos="9360"/>
      </w:tabs>
      <w:spacing w:after="0" w:line="480" w:lineRule="auto"/>
      <w:ind w:firstLine="360"/>
    </w:pPr>
    <w:rPr>
      <w:rFonts w:ascii="Garamond" w:eastAsia="Times New Roman" w:hAnsi="Garamond" w:cs="AGaramond-Regular"/>
      <w:szCs w:val="20"/>
    </w:rPr>
  </w:style>
  <w:style w:type="paragraph" w:styleId="ListParagraph">
    <w:name w:val="List Paragraph"/>
    <w:basedOn w:val="Normal"/>
    <w:uiPriority w:val="34"/>
    <w:qFormat/>
    <w:rsid w:val="000C21A5"/>
    <w:pPr>
      <w:ind w:left="720"/>
      <w:contextualSpacing/>
    </w:pPr>
    <w:rPr>
      <w:rFonts w:ascii="Garamond" w:eastAsia="Calibri" w:hAnsi="Garamond"/>
      <w:sz w:val="22"/>
      <w:szCs w:val="22"/>
    </w:rPr>
  </w:style>
  <w:style w:type="paragraph" w:styleId="Revision">
    <w:name w:val="Revision"/>
    <w:hidden/>
    <w:uiPriority w:val="99"/>
    <w:semiHidden/>
    <w:rsid w:val="000C21A5"/>
    <w:pPr>
      <w:spacing w:after="0" w:line="240" w:lineRule="auto"/>
    </w:pPr>
    <w:rPr>
      <w:rFonts w:ascii="Times New Roman" w:eastAsia="Times New Roman" w:hAnsi="Times New Roman" w:cs="Times New Roman"/>
      <w:sz w:val="24"/>
      <w:szCs w:val="24"/>
    </w:rPr>
  </w:style>
  <w:style w:type="paragraph" w:customStyle="1" w:styleId="Normal15Spaced">
    <w:name w:val="Normal 1.5 Spaced"/>
    <w:basedOn w:val="Normal"/>
    <w:uiPriority w:val="99"/>
    <w:qFormat/>
    <w:rsid w:val="00457083"/>
    <w:pPr>
      <w:spacing w:line="360" w:lineRule="auto"/>
      <w:ind w:firstLine="288"/>
    </w:pPr>
    <w:rPr>
      <w:rFonts w:ascii="Arial Narrow" w:hAnsi="Arial Narrow"/>
      <w:sz w:val="22"/>
      <w:szCs w:val="20"/>
    </w:rPr>
  </w:style>
  <w:style w:type="paragraph" w:customStyle="1" w:styleId="TableNormalL">
    <w:name w:val="Table Normal L"/>
    <w:basedOn w:val="Normal"/>
    <w:qFormat/>
    <w:rsid w:val="00C71C27"/>
    <w:rPr>
      <w:rFonts w:ascii="Arial Narrow" w:hAnsi="Arial Narrow"/>
      <w:color w:val="000000"/>
      <w:sz w:val="20"/>
      <w:szCs w:val="20"/>
    </w:rPr>
  </w:style>
  <w:style w:type="character" w:customStyle="1" w:styleId="Caption-ExhibitChar">
    <w:name w:val="Caption - Exhibit Char"/>
    <w:basedOn w:val="DefaultParagraphFont"/>
    <w:link w:val="Caption-Exhibit"/>
    <w:locked/>
    <w:rsid w:val="00C71C27"/>
    <w:rPr>
      <w:rFonts w:ascii="Arial Narrow" w:eastAsia="Arial Narrow" w:hAnsi="Arial Narrow" w:cs="Times New Roman"/>
      <w:b/>
      <w:iCs/>
      <w:color w:val="000000"/>
      <w:szCs w:val="18"/>
    </w:rPr>
  </w:style>
  <w:style w:type="paragraph" w:customStyle="1" w:styleId="Caption-Exhibit">
    <w:name w:val="Caption - Exhibit"/>
    <w:basedOn w:val="Normal"/>
    <w:link w:val="Caption-ExhibitChar"/>
    <w:qFormat/>
    <w:rsid w:val="00C71C27"/>
    <w:pPr>
      <w:keepNext/>
      <w:keepLines/>
      <w:tabs>
        <w:tab w:val="left" w:pos="990"/>
      </w:tabs>
    </w:pPr>
    <w:rPr>
      <w:rFonts w:ascii="Arial Narrow" w:eastAsia="Arial Narrow" w:hAnsi="Arial Narrow"/>
      <w:b/>
      <w:iCs/>
      <w:color w:val="000000"/>
      <w:sz w:val="22"/>
      <w:szCs w:val="18"/>
    </w:rPr>
  </w:style>
  <w:style w:type="paragraph" w:customStyle="1" w:styleId="TableHeadLeft">
    <w:name w:val="Table Head Left"/>
    <w:basedOn w:val="Normal"/>
    <w:qFormat/>
    <w:rsid w:val="00C71C27"/>
    <w:rPr>
      <w:rFonts w:ascii="Arial Narrow" w:hAnsi="Arial Narrow"/>
      <w:b/>
      <w:color w:val="000000"/>
      <w:sz w:val="20"/>
      <w:szCs w:val="20"/>
    </w:rPr>
  </w:style>
  <w:style w:type="paragraph" w:customStyle="1" w:styleId="TableBullet1">
    <w:name w:val="Table Bullet 1"/>
    <w:basedOn w:val="TableNormalL"/>
    <w:qFormat/>
    <w:rsid w:val="00C71C27"/>
    <w:pPr>
      <w:numPr>
        <w:numId w:val="28"/>
      </w:numPr>
    </w:pPr>
    <w:rPr>
      <w:rFonts w:eastAsiaTheme="minorHAnsi"/>
    </w:rPr>
  </w:style>
  <w:style w:type="paragraph" w:customStyle="1" w:styleId="TableBullet2">
    <w:name w:val="Table Bullet 2"/>
    <w:basedOn w:val="TableBullet1"/>
    <w:qFormat/>
    <w:rsid w:val="00C71C27"/>
    <w:pPr>
      <w:numPr>
        <w:numId w:val="29"/>
      </w:numPr>
    </w:pPr>
  </w:style>
  <w:style w:type="character" w:styleId="UnresolvedMention">
    <w:name w:val="Unresolved Mention"/>
    <w:basedOn w:val="DefaultParagraphFont"/>
    <w:uiPriority w:val="99"/>
    <w:unhideWhenUsed/>
    <w:rsid w:val="000E6592"/>
    <w:rPr>
      <w:color w:val="605E5C"/>
      <w:shd w:val="clear" w:color="auto" w:fill="E1DFDD"/>
    </w:rPr>
  </w:style>
  <w:style w:type="character" w:styleId="Mention">
    <w:name w:val="Mention"/>
    <w:basedOn w:val="DefaultParagraphFont"/>
    <w:uiPriority w:val="99"/>
    <w:unhideWhenUsed/>
    <w:rsid w:val="00E90FDF"/>
    <w:rPr>
      <w:color w:val="2B579A"/>
      <w:shd w:val="clear" w:color="auto" w:fill="E6E6E6"/>
    </w:rPr>
  </w:style>
  <w:style w:type="character" w:customStyle="1" w:styleId="normaltextrun">
    <w:name w:val="normaltextrun"/>
    <w:basedOn w:val="DefaultParagraphFont"/>
    <w:rsid w:val="002046B4"/>
  </w:style>
  <w:style w:type="character" w:customStyle="1" w:styleId="findhit">
    <w:name w:val="findhit"/>
    <w:basedOn w:val="DefaultParagraphFont"/>
    <w:rsid w:val="0020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E334453B01764AB9D170C5E0A81A3F" ma:contentTypeVersion="7" ma:contentTypeDescription="Create a new document." ma:contentTypeScope="" ma:versionID="cee6ab3fb6deed4ce2a39ee4756fc2f9">
  <xsd:schema xmlns:xsd="http://www.w3.org/2001/XMLSchema" xmlns:xs="http://www.w3.org/2001/XMLSchema" xmlns:p="http://schemas.microsoft.com/office/2006/metadata/properties" xmlns:ns1="http://schemas.microsoft.com/sharepoint/v3" xmlns:ns2="87b3014e-fe00-4e4e-892f-8f0a76489077" xmlns:ns3="ce0c851c-d23c-4c05-95cd-d0352d667fbe" targetNamespace="http://schemas.microsoft.com/office/2006/metadata/properties" ma:root="true" ma:fieldsID="5ef883a0ed55ba4be9b93cc94aae2876" ns1:_="" ns2:_="" ns3:_="">
    <xsd:import namespace="http://schemas.microsoft.com/sharepoint/v3"/>
    <xsd:import namespace="87b3014e-fe00-4e4e-892f-8f0a76489077"/>
    <xsd:import namespace="ce0c851c-d23c-4c05-95cd-d0352d667fbe"/>
    <xsd:element name="properties">
      <xsd:complexType>
        <xsd:sequence>
          <xsd:element name="documentManagement">
            <xsd:complexType>
              <xsd:all>
                <xsd:element ref="ns2:TaxCatchAll" minOccurs="0"/>
                <xsd:element ref="ns2:TaxCatchAllLabel" minOccurs="0"/>
                <xsd:element ref="ns1:DocumentSetDescription"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3014e-fe00-4e4e-892f-8f0a7648907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66deb2d-acf4-41f7-9ef7-ce88a46ed612}" ma:internalName="TaxCatchAll" ma:showField="CatchAllData" ma:web="87b3014e-fe00-4e4e-892f-8f0a7648907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66deb2d-acf4-41f7-9ef7-ce88a46ed612}" ma:internalName="TaxCatchAllLabel" ma:readOnly="true" ma:showField="CatchAllDataLabel" ma:web="87b3014e-fe00-4e4e-892f-8f0a76489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0c851c-d23c-4c05-95cd-d0352d667f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87b3014e-fe00-4e4e-892f-8f0a76489077" xsi:nil="true"/>
  </documentManagement>
</p:properties>
</file>

<file path=customXml/itemProps1.xml><?xml version="1.0" encoding="utf-8"?>
<ds:datastoreItem xmlns:ds="http://schemas.openxmlformats.org/officeDocument/2006/customXml" ds:itemID="{87379F33-1C64-4AF4-A001-B3444F04D642}">
  <ds:schemaRefs>
    <ds:schemaRef ds:uri="http://schemas.openxmlformats.org/officeDocument/2006/bibliography"/>
  </ds:schemaRefs>
</ds:datastoreItem>
</file>

<file path=customXml/itemProps2.xml><?xml version="1.0" encoding="utf-8"?>
<ds:datastoreItem xmlns:ds="http://schemas.openxmlformats.org/officeDocument/2006/customXml" ds:itemID="{3D034CE1-90EC-4F45-93A0-E04F98338A72}">
  <ds:schemaRefs>
    <ds:schemaRef ds:uri="http://schemas.microsoft.com/sharepoint/v3/contenttype/forms"/>
  </ds:schemaRefs>
</ds:datastoreItem>
</file>

<file path=customXml/itemProps3.xml><?xml version="1.0" encoding="utf-8"?>
<ds:datastoreItem xmlns:ds="http://schemas.openxmlformats.org/officeDocument/2006/customXml" ds:itemID="{3A5FBA70-AD3F-402C-B0E8-F3E7DF362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b3014e-fe00-4e4e-892f-8f0a76489077"/>
    <ds:schemaRef ds:uri="ce0c851c-d23c-4c05-95cd-d0352d66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8D472-DA46-4131-818F-FAA59F446F58}">
  <ds:schemaRefs>
    <ds:schemaRef ds:uri="http://schemas.microsoft.com/office/2006/metadata/properties"/>
    <ds:schemaRef ds:uri="http://schemas.microsoft.com/office/infopath/2007/PartnerControls"/>
    <ds:schemaRef ds:uri="http://schemas.microsoft.com/sharepoint/v3"/>
    <ds:schemaRef ds:uri="87b3014e-fe00-4e4e-892f-8f0a764890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3964</Words>
  <Characters>22599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SChowdhury</dc:creator>
  <cp:lastModifiedBy>Roberts, Michelle (AHRQ/CFACT)</cp:lastModifiedBy>
  <cp:revision>2</cp:revision>
  <dcterms:created xsi:type="dcterms:W3CDTF">2024-07-11T19:51:00Z</dcterms:created>
  <dcterms:modified xsi:type="dcterms:W3CDTF">2024-07-11T19:51:00Z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0x01010018E334453B01764AB9D170C5E0A81A3F</vt:lpwstr>
  </property>
</Properties>
</file>