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20F0" w:rsidRPr="00BC4A10" w:rsidP="009B633D" w14:paraId="47E11DB3" w14:textId="77777777">
      <w:pPr>
        <w:jc w:val="center"/>
      </w:pPr>
    </w:p>
    <w:p w:rsidR="002520F0" w:rsidRPr="00BC4A10" w:rsidP="009B633D" w14:paraId="223D3F89" w14:textId="77777777">
      <w:pPr>
        <w:jc w:val="center"/>
      </w:pPr>
    </w:p>
    <w:p w:rsidR="009B633D" w:rsidRPr="00BC4A10" w:rsidP="009B633D" w14:paraId="22BB26A4" w14:textId="77777777">
      <w:pPr>
        <w:jc w:val="center"/>
      </w:pPr>
    </w:p>
    <w:p w:rsidR="009B633D" w:rsidRPr="00817F43" w:rsidP="009B633D" w14:paraId="00C61A14" w14:textId="77777777">
      <w:pPr>
        <w:jc w:val="center"/>
        <w:rPr>
          <w:b/>
          <w:sz w:val="28"/>
          <w:szCs w:val="28"/>
        </w:rPr>
      </w:pPr>
      <w:r w:rsidRPr="00817F43">
        <w:rPr>
          <w:b/>
          <w:sz w:val="28"/>
          <w:szCs w:val="28"/>
        </w:rPr>
        <w:t>SUPPORTING STATEMENT</w:t>
      </w:r>
    </w:p>
    <w:p w:rsidR="00635119" w:rsidRPr="00817F43" w:rsidP="009B633D" w14:paraId="4AE32318" w14:textId="77777777">
      <w:pPr>
        <w:jc w:val="center"/>
        <w:rPr>
          <w:b/>
          <w:sz w:val="28"/>
          <w:szCs w:val="28"/>
        </w:rPr>
      </w:pPr>
    </w:p>
    <w:p w:rsidR="009B633D" w:rsidRPr="00817F43" w:rsidP="009B633D" w14:paraId="06C6218C" w14:textId="77777777">
      <w:pPr>
        <w:jc w:val="center"/>
        <w:rPr>
          <w:sz w:val="28"/>
          <w:szCs w:val="28"/>
        </w:rPr>
      </w:pPr>
      <w:r w:rsidRPr="00817F43">
        <w:rPr>
          <w:b/>
          <w:sz w:val="28"/>
          <w:szCs w:val="28"/>
        </w:rPr>
        <w:t>Part A</w:t>
      </w:r>
    </w:p>
    <w:p w:rsidR="009B633D" w:rsidRPr="00817F43" w:rsidP="009B633D" w14:paraId="7A019DEB" w14:textId="77777777">
      <w:pPr>
        <w:jc w:val="center"/>
        <w:rPr>
          <w:sz w:val="28"/>
          <w:szCs w:val="28"/>
        </w:rPr>
      </w:pPr>
    </w:p>
    <w:p w:rsidR="009B633D" w:rsidRPr="00817F43" w:rsidP="009B633D" w14:paraId="2B144B11" w14:textId="77777777">
      <w:pPr>
        <w:jc w:val="center"/>
        <w:rPr>
          <w:sz w:val="28"/>
          <w:szCs w:val="28"/>
        </w:rPr>
      </w:pPr>
    </w:p>
    <w:p w:rsidR="009B633D" w:rsidRPr="00817F43" w:rsidP="009B633D" w14:paraId="4490870B" w14:textId="77777777">
      <w:pPr>
        <w:jc w:val="center"/>
        <w:rPr>
          <w:sz w:val="28"/>
          <w:szCs w:val="28"/>
        </w:rPr>
      </w:pPr>
    </w:p>
    <w:p w:rsidR="009B633D" w:rsidRPr="00817F43" w:rsidP="009B633D" w14:paraId="77998FDA" w14:textId="77777777">
      <w:pPr>
        <w:jc w:val="center"/>
        <w:rPr>
          <w:sz w:val="28"/>
          <w:szCs w:val="28"/>
        </w:rPr>
      </w:pPr>
    </w:p>
    <w:p w:rsidR="009B633D" w:rsidRPr="00817F43" w:rsidP="009B633D" w14:paraId="59309CBF" w14:textId="77777777">
      <w:pPr>
        <w:jc w:val="center"/>
        <w:rPr>
          <w:sz w:val="28"/>
          <w:szCs w:val="28"/>
        </w:rPr>
      </w:pPr>
    </w:p>
    <w:p w:rsidR="009B633D" w:rsidRPr="00817F43" w:rsidP="009B633D" w14:paraId="38FA43A6" w14:textId="77777777">
      <w:pPr>
        <w:jc w:val="center"/>
        <w:rPr>
          <w:sz w:val="28"/>
          <w:szCs w:val="28"/>
        </w:rPr>
      </w:pPr>
    </w:p>
    <w:p w:rsidR="009B633D" w:rsidP="009B633D" w14:paraId="7401FF3C" w14:textId="5B75338D">
      <w:pPr>
        <w:jc w:val="center"/>
        <w:rPr>
          <w:b/>
          <w:bCs/>
          <w:iCs/>
          <w:sz w:val="28"/>
          <w:szCs w:val="28"/>
        </w:rPr>
      </w:pPr>
      <w:bookmarkStart w:id="0" w:name="OLE_LINK11"/>
      <w:bookmarkStart w:id="1" w:name="_Hlk162009153"/>
      <w:r w:rsidRPr="00817F43">
        <w:rPr>
          <w:b/>
          <w:bCs/>
          <w:iCs/>
          <w:sz w:val="28"/>
          <w:szCs w:val="28"/>
        </w:rPr>
        <w:t>The AHRQ</w:t>
      </w:r>
      <w:r w:rsidRPr="00817F43" w:rsidR="00F337B4">
        <w:rPr>
          <w:b/>
          <w:bCs/>
          <w:iCs/>
          <w:sz w:val="28"/>
          <w:szCs w:val="28"/>
        </w:rPr>
        <w:t xml:space="preserve"> </w:t>
      </w:r>
      <w:r w:rsidRPr="00817F43" w:rsidR="00076EC1">
        <w:rPr>
          <w:b/>
          <w:bCs/>
          <w:iCs/>
          <w:sz w:val="28"/>
          <w:szCs w:val="28"/>
        </w:rPr>
        <w:t>S</w:t>
      </w:r>
      <w:r w:rsidRPr="00817F43" w:rsidR="00F337B4">
        <w:rPr>
          <w:b/>
          <w:bCs/>
          <w:iCs/>
          <w:sz w:val="28"/>
          <w:szCs w:val="28"/>
        </w:rPr>
        <w:t xml:space="preserve">afety </w:t>
      </w:r>
      <w:r w:rsidRPr="00817F43" w:rsidR="00076EC1">
        <w:rPr>
          <w:b/>
          <w:bCs/>
          <w:iCs/>
          <w:sz w:val="28"/>
          <w:szCs w:val="28"/>
        </w:rPr>
        <w:t>P</w:t>
      </w:r>
      <w:r w:rsidRPr="00817F43" w:rsidR="00F337B4">
        <w:rPr>
          <w:b/>
          <w:bCs/>
          <w:iCs/>
          <w:sz w:val="28"/>
          <w:szCs w:val="28"/>
        </w:rPr>
        <w:t>rogram</w:t>
      </w:r>
      <w:r w:rsidRPr="00817F43" w:rsidR="00076EC1">
        <w:rPr>
          <w:b/>
          <w:bCs/>
          <w:iCs/>
          <w:sz w:val="28"/>
          <w:szCs w:val="28"/>
        </w:rPr>
        <w:t xml:space="preserve"> for Telemedicine</w:t>
      </w:r>
      <w:bookmarkEnd w:id="0"/>
      <w:r w:rsidRPr="00817F43" w:rsidR="00076EC1">
        <w:rPr>
          <w:b/>
          <w:bCs/>
          <w:iCs/>
          <w:sz w:val="28"/>
          <w:szCs w:val="28"/>
        </w:rPr>
        <w:t xml:space="preserve">: </w:t>
      </w:r>
      <w:r w:rsidRPr="006F462D" w:rsidR="003C2CCD">
        <w:rPr>
          <w:b/>
          <w:bCs/>
          <w:iCs/>
          <w:sz w:val="28"/>
          <w:szCs w:val="28"/>
        </w:rPr>
        <w:t xml:space="preserve">Improving </w:t>
      </w:r>
      <w:r w:rsidRPr="006F462D" w:rsidR="00C4623B">
        <w:rPr>
          <w:b/>
          <w:bCs/>
          <w:iCs/>
          <w:sz w:val="28"/>
          <w:szCs w:val="28"/>
        </w:rPr>
        <w:t xml:space="preserve">Antibiotic </w:t>
      </w:r>
      <w:r w:rsidRPr="006F462D" w:rsidR="003C2CCD">
        <w:rPr>
          <w:b/>
          <w:bCs/>
          <w:iCs/>
          <w:sz w:val="28"/>
          <w:szCs w:val="28"/>
        </w:rPr>
        <w:t>Use</w:t>
      </w:r>
    </w:p>
    <w:bookmarkEnd w:id="1"/>
    <w:p w:rsidR="00F46F7B" w:rsidP="009B633D" w14:paraId="3A478702" w14:textId="61BDF231">
      <w:pPr>
        <w:jc w:val="center"/>
        <w:rPr>
          <w:b/>
          <w:bCs/>
          <w:iCs/>
          <w:sz w:val="28"/>
          <w:szCs w:val="28"/>
        </w:rPr>
      </w:pPr>
      <w:r>
        <w:rPr>
          <w:b/>
          <w:bCs/>
          <w:iCs/>
          <w:sz w:val="28"/>
          <w:szCs w:val="28"/>
        </w:rPr>
        <w:t>(OMB 0935-0265)</w:t>
      </w:r>
    </w:p>
    <w:p w:rsidR="00DE691B" w:rsidRPr="00817F43" w:rsidP="009B633D" w14:paraId="63E39D1F" w14:textId="77777777">
      <w:pPr>
        <w:jc w:val="center"/>
        <w:rPr>
          <w:sz w:val="28"/>
          <w:szCs w:val="28"/>
        </w:rPr>
      </w:pPr>
    </w:p>
    <w:p w:rsidR="009B633D" w:rsidRPr="00817F43" w:rsidP="009B633D" w14:paraId="0BA98907" w14:textId="354F10A3">
      <w:pPr>
        <w:jc w:val="center"/>
        <w:rPr>
          <w:sz w:val="28"/>
          <w:szCs w:val="28"/>
        </w:rPr>
      </w:pPr>
      <w:r>
        <w:rPr>
          <w:sz w:val="28"/>
          <w:szCs w:val="28"/>
        </w:rPr>
        <w:t xml:space="preserve">Revision </w:t>
      </w:r>
      <w:r>
        <w:rPr>
          <w:sz w:val="28"/>
          <w:szCs w:val="28"/>
        </w:rPr>
        <w:t xml:space="preserve">of </w:t>
      </w:r>
      <w:r w:rsidR="00310A6D">
        <w:rPr>
          <w:sz w:val="28"/>
          <w:szCs w:val="28"/>
        </w:rPr>
        <w:t xml:space="preserve">a </w:t>
      </w:r>
      <w:r>
        <w:rPr>
          <w:sz w:val="28"/>
          <w:szCs w:val="28"/>
        </w:rPr>
        <w:t>Previously Approved Collection</w:t>
      </w:r>
    </w:p>
    <w:p w:rsidR="009B633D" w:rsidRPr="00817F43" w:rsidP="009B633D" w14:paraId="01FA7823" w14:textId="77777777">
      <w:pPr>
        <w:jc w:val="center"/>
        <w:rPr>
          <w:sz w:val="28"/>
          <w:szCs w:val="28"/>
        </w:rPr>
      </w:pPr>
    </w:p>
    <w:p w:rsidR="009B633D" w:rsidRPr="00817F43" w:rsidP="009B633D" w14:paraId="00DF78BD" w14:textId="77777777">
      <w:pPr>
        <w:jc w:val="center"/>
        <w:rPr>
          <w:sz w:val="28"/>
          <w:szCs w:val="28"/>
        </w:rPr>
      </w:pPr>
    </w:p>
    <w:p w:rsidR="009B633D" w:rsidRPr="00817F43" w:rsidP="009B633D" w14:paraId="1827899C" w14:textId="6412F466">
      <w:pPr>
        <w:jc w:val="center"/>
        <w:rPr>
          <w:sz w:val="28"/>
          <w:szCs w:val="28"/>
        </w:rPr>
      </w:pPr>
      <w:r w:rsidRPr="00024101">
        <w:rPr>
          <w:b/>
          <w:sz w:val="28"/>
          <w:szCs w:val="28"/>
        </w:rPr>
        <w:t>Version</w:t>
      </w:r>
      <w:r w:rsidRPr="00024101" w:rsidR="00FF42BD">
        <w:rPr>
          <w:b/>
          <w:sz w:val="28"/>
          <w:szCs w:val="28"/>
        </w:rPr>
        <w:t>:</w:t>
      </w:r>
      <w:r w:rsidRPr="00024101">
        <w:rPr>
          <w:b/>
          <w:sz w:val="28"/>
          <w:szCs w:val="28"/>
        </w:rPr>
        <w:t xml:space="preserve"> </w:t>
      </w:r>
      <w:r w:rsidRPr="00024101" w:rsidR="00E66420">
        <w:rPr>
          <w:sz w:val="28"/>
          <w:szCs w:val="28"/>
        </w:rPr>
        <w:t>Ju</w:t>
      </w:r>
      <w:r w:rsidR="00F772E1">
        <w:rPr>
          <w:sz w:val="28"/>
          <w:szCs w:val="28"/>
        </w:rPr>
        <w:t>ly</w:t>
      </w:r>
      <w:r w:rsidRPr="00024101" w:rsidR="00E66420">
        <w:rPr>
          <w:sz w:val="28"/>
          <w:szCs w:val="28"/>
        </w:rPr>
        <w:t xml:space="preserve"> 1</w:t>
      </w:r>
      <w:r w:rsidRPr="00024101" w:rsidR="003C2CCD">
        <w:rPr>
          <w:sz w:val="28"/>
          <w:szCs w:val="28"/>
        </w:rPr>
        <w:t>, 202</w:t>
      </w:r>
      <w:r w:rsidRPr="00024101" w:rsidR="004461A7">
        <w:rPr>
          <w:sz w:val="28"/>
          <w:szCs w:val="28"/>
        </w:rPr>
        <w:t>4</w:t>
      </w:r>
    </w:p>
    <w:p w:rsidR="009B633D" w:rsidRPr="00817F43" w:rsidP="009B633D" w14:paraId="3FD6F0D2" w14:textId="77777777">
      <w:pPr>
        <w:jc w:val="center"/>
        <w:rPr>
          <w:i/>
          <w:sz w:val="28"/>
          <w:szCs w:val="28"/>
        </w:rPr>
      </w:pPr>
    </w:p>
    <w:p w:rsidR="009B633D" w:rsidRPr="00817F43" w:rsidP="009B633D" w14:paraId="33E1761F" w14:textId="77777777">
      <w:pPr>
        <w:jc w:val="center"/>
        <w:rPr>
          <w:sz w:val="28"/>
          <w:szCs w:val="28"/>
        </w:rPr>
      </w:pPr>
    </w:p>
    <w:p w:rsidR="009B633D" w:rsidRPr="00817F43" w:rsidP="009B633D" w14:paraId="6B7D5A67" w14:textId="77777777">
      <w:pPr>
        <w:jc w:val="center"/>
        <w:rPr>
          <w:sz w:val="28"/>
          <w:szCs w:val="28"/>
        </w:rPr>
      </w:pPr>
    </w:p>
    <w:p w:rsidR="009B633D" w:rsidRPr="00817F43" w:rsidP="009B633D" w14:paraId="430204C6" w14:textId="77777777">
      <w:pPr>
        <w:jc w:val="center"/>
        <w:rPr>
          <w:sz w:val="28"/>
          <w:szCs w:val="28"/>
        </w:rPr>
      </w:pPr>
    </w:p>
    <w:p w:rsidR="009B633D" w:rsidRPr="00817F43" w:rsidP="009B633D" w14:paraId="3F7DF460" w14:textId="77777777">
      <w:pPr>
        <w:jc w:val="center"/>
        <w:rPr>
          <w:sz w:val="28"/>
          <w:szCs w:val="28"/>
        </w:rPr>
      </w:pPr>
    </w:p>
    <w:p w:rsidR="009B633D" w:rsidRPr="00817F43" w:rsidP="009B633D" w14:paraId="5E14D58C" w14:textId="77777777">
      <w:pPr>
        <w:jc w:val="center"/>
        <w:rPr>
          <w:sz w:val="28"/>
          <w:szCs w:val="28"/>
        </w:rPr>
      </w:pPr>
    </w:p>
    <w:p w:rsidR="009B633D" w:rsidRPr="00817F43" w:rsidP="009B633D" w14:paraId="6051516C" w14:textId="77777777">
      <w:pPr>
        <w:jc w:val="center"/>
        <w:rPr>
          <w:sz w:val="28"/>
          <w:szCs w:val="28"/>
        </w:rPr>
      </w:pPr>
      <w:r w:rsidRPr="00817F43">
        <w:rPr>
          <w:sz w:val="28"/>
          <w:szCs w:val="28"/>
        </w:rPr>
        <w:t xml:space="preserve">Agency </w:t>
      </w:r>
      <w:r w:rsidR="006C3F5F">
        <w:rPr>
          <w:sz w:val="28"/>
          <w:szCs w:val="28"/>
        </w:rPr>
        <w:t>for</w:t>
      </w:r>
      <w:r w:rsidRPr="00817F43" w:rsidR="006C3F5F">
        <w:rPr>
          <w:sz w:val="28"/>
          <w:szCs w:val="28"/>
        </w:rPr>
        <w:t xml:space="preserve"> </w:t>
      </w:r>
      <w:r w:rsidRPr="00817F43">
        <w:rPr>
          <w:sz w:val="28"/>
          <w:szCs w:val="28"/>
        </w:rPr>
        <w:t xml:space="preserve">Healthcare Research and </w:t>
      </w:r>
      <w:r w:rsidRPr="00817F43">
        <w:rPr>
          <w:sz w:val="28"/>
          <w:szCs w:val="28"/>
        </w:rPr>
        <w:t>Quality (AHRQ)</w:t>
      </w:r>
    </w:p>
    <w:p w:rsidR="009B633D" w:rsidRPr="00817F43" w14:paraId="2AAD75DA" w14:textId="77777777">
      <w:pPr>
        <w:rPr>
          <w:sz w:val="28"/>
          <w:szCs w:val="28"/>
        </w:rPr>
      </w:pPr>
    </w:p>
    <w:p w:rsidR="009B633D" w:rsidRPr="00BC4A10" w14:paraId="5B8EE8F6" w14:textId="77777777"/>
    <w:p w:rsidR="00EB58F3" w:rsidRPr="0040777A" w:rsidP="00233775" w14:paraId="148C0B1F" w14:textId="77777777">
      <w:pPr>
        <w:pStyle w:val="GridTable31"/>
        <w:rPr>
          <w:rFonts w:ascii="Times New Roman" w:hAnsi="Times New Roman"/>
          <w:bCs w:val="0"/>
          <w:sz w:val="24"/>
          <w:szCs w:val="24"/>
        </w:rPr>
      </w:pPr>
      <w:r w:rsidRPr="00BC4A10">
        <w:rPr>
          <w:rFonts w:ascii="Times New Roman" w:hAnsi="Times New Roman"/>
          <w:b w:val="0"/>
          <w:sz w:val="24"/>
          <w:szCs w:val="24"/>
        </w:rPr>
        <w:br w:type="page"/>
      </w:r>
      <w:r w:rsidRPr="0040777A" w:rsidR="00233775">
        <w:rPr>
          <w:rFonts w:ascii="Times New Roman" w:hAnsi="Times New Roman"/>
          <w:bCs w:val="0"/>
          <w:sz w:val="24"/>
          <w:szCs w:val="24"/>
        </w:rPr>
        <w:t>Table of Contents</w:t>
      </w:r>
    </w:p>
    <w:p w:rsidR="004F723F" w14:paraId="399DDA3C" w14:textId="67253484">
      <w:pPr>
        <w:pStyle w:val="TOC1"/>
        <w:rPr>
          <w:rFonts w:asciiTheme="minorHAnsi" w:eastAsiaTheme="minorEastAsia" w:hAnsiTheme="minorHAnsi" w:cstheme="minorBidi"/>
          <w:noProof/>
          <w:kern w:val="2"/>
          <w:sz w:val="22"/>
          <w:szCs w:val="22"/>
          <w14:ligatures w14:val="standardContextual"/>
        </w:rPr>
      </w:pPr>
      <w:r w:rsidRPr="00010908">
        <w:rPr>
          <w:b/>
        </w:rPr>
        <w:fldChar w:fldCharType="begin"/>
      </w:r>
      <w:r w:rsidRPr="00010908">
        <w:rPr>
          <w:b/>
        </w:rPr>
        <w:instrText xml:space="preserve"> TOC \o "1-3" \h \z \u </w:instrText>
      </w:r>
      <w:r w:rsidRPr="00010908">
        <w:rPr>
          <w:b/>
        </w:rPr>
        <w:fldChar w:fldCharType="separate"/>
      </w:r>
      <w:hyperlink w:anchor="_Toc160095507" w:history="1">
        <w:r w:rsidRPr="004F723F">
          <w:rPr>
            <w:rStyle w:val="Hyperlink"/>
            <w:noProof/>
          </w:rPr>
          <w:t>Overview of Revision</w:t>
        </w:r>
        <w:r>
          <w:rPr>
            <w:noProof/>
            <w:webHidden/>
          </w:rPr>
          <w:tab/>
        </w:r>
        <w:r>
          <w:rPr>
            <w:noProof/>
            <w:webHidden/>
          </w:rPr>
          <w:fldChar w:fldCharType="begin"/>
        </w:r>
        <w:r>
          <w:rPr>
            <w:noProof/>
            <w:webHidden/>
          </w:rPr>
          <w:instrText xml:space="preserve"> PAGEREF _Toc160095507 \h </w:instrText>
        </w:r>
        <w:r>
          <w:rPr>
            <w:noProof/>
            <w:webHidden/>
          </w:rPr>
          <w:fldChar w:fldCharType="separate"/>
        </w:r>
        <w:r w:rsidR="007A2073">
          <w:rPr>
            <w:noProof/>
            <w:webHidden/>
          </w:rPr>
          <w:t>3</w:t>
        </w:r>
        <w:r>
          <w:rPr>
            <w:noProof/>
            <w:webHidden/>
          </w:rPr>
          <w:fldChar w:fldCharType="end"/>
        </w:r>
      </w:hyperlink>
    </w:p>
    <w:p w:rsidR="004F723F" w14:paraId="77CA0F1A" w14:textId="5C82D77A">
      <w:pPr>
        <w:pStyle w:val="TOC1"/>
        <w:rPr>
          <w:rFonts w:asciiTheme="minorHAnsi" w:eastAsiaTheme="minorEastAsia" w:hAnsiTheme="minorHAnsi" w:cstheme="minorBidi"/>
          <w:noProof/>
          <w:kern w:val="2"/>
          <w:sz w:val="22"/>
          <w:szCs w:val="22"/>
          <w14:ligatures w14:val="standardContextual"/>
        </w:rPr>
      </w:pPr>
      <w:hyperlink w:anchor="_Toc160095508" w:history="1">
        <w:r w:rsidRPr="004F3910">
          <w:rPr>
            <w:rStyle w:val="Hyperlink"/>
            <w:noProof/>
          </w:rPr>
          <w:t>A. Justification</w:t>
        </w:r>
        <w:r>
          <w:rPr>
            <w:noProof/>
            <w:webHidden/>
          </w:rPr>
          <w:tab/>
        </w:r>
        <w:r>
          <w:rPr>
            <w:noProof/>
            <w:webHidden/>
          </w:rPr>
          <w:fldChar w:fldCharType="begin"/>
        </w:r>
        <w:r>
          <w:rPr>
            <w:noProof/>
            <w:webHidden/>
          </w:rPr>
          <w:instrText xml:space="preserve"> PAGEREF _Toc160095508 \h </w:instrText>
        </w:r>
        <w:r>
          <w:rPr>
            <w:noProof/>
            <w:webHidden/>
          </w:rPr>
          <w:fldChar w:fldCharType="separate"/>
        </w:r>
        <w:r w:rsidR="007A2073">
          <w:rPr>
            <w:noProof/>
            <w:webHidden/>
          </w:rPr>
          <w:t>4</w:t>
        </w:r>
        <w:r>
          <w:rPr>
            <w:noProof/>
            <w:webHidden/>
          </w:rPr>
          <w:fldChar w:fldCharType="end"/>
        </w:r>
      </w:hyperlink>
    </w:p>
    <w:p w:rsidR="004F723F" w14:paraId="1DB25A73" w14:textId="3A626E5E">
      <w:pPr>
        <w:pStyle w:val="TOC2"/>
        <w:rPr>
          <w:rFonts w:asciiTheme="minorHAnsi" w:eastAsiaTheme="minorEastAsia" w:hAnsiTheme="minorHAnsi" w:cstheme="minorBidi"/>
          <w:noProof/>
          <w:kern w:val="2"/>
          <w:sz w:val="22"/>
          <w:szCs w:val="22"/>
          <w14:ligatures w14:val="standardContextual"/>
        </w:rPr>
      </w:pPr>
      <w:hyperlink w:anchor="_Toc160095509" w:history="1">
        <w:r w:rsidRPr="004F3910">
          <w:rPr>
            <w:rStyle w:val="Hyperlink"/>
            <w:noProof/>
          </w:rPr>
          <w:t>1. Circumstances that make the collection of information necessary</w:t>
        </w:r>
        <w:r>
          <w:rPr>
            <w:noProof/>
            <w:webHidden/>
          </w:rPr>
          <w:tab/>
        </w:r>
        <w:r>
          <w:rPr>
            <w:noProof/>
            <w:webHidden/>
          </w:rPr>
          <w:fldChar w:fldCharType="begin"/>
        </w:r>
        <w:r>
          <w:rPr>
            <w:noProof/>
            <w:webHidden/>
          </w:rPr>
          <w:instrText xml:space="preserve"> PAGEREF _Toc160095509 \h </w:instrText>
        </w:r>
        <w:r>
          <w:rPr>
            <w:noProof/>
            <w:webHidden/>
          </w:rPr>
          <w:fldChar w:fldCharType="separate"/>
        </w:r>
        <w:r w:rsidR="007A2073">
          <w:rPr>
            <w:noProof/>
            <w:webHidden/>
          </w:rPr>
          <w:t>4</w:t>
        </w:r>
        <w:r>
          <w:rPr>
            <w:noProof/>
            <w:webHidden/>
          </w:rPr>
          <w:fldChar w:fldCharType="end"/>
        </w:r>
      </w:hyperlink>
    </w:p>
    <w:p w:rsidR="004F723F" w14:paraId="5E44A6F2" w14:textId="063C205F">
      <w:pPr>
        <w:pStyle w:val="TOC2"/>
        <w:rPr>
          <w:rFonts w:asciiTheme="minorHAnsi" w:eastAsiaTheme="minorEastAsia" w:hAnsiTheme="minorHAnsi" w:cstheme="minorBidi"/>
          <w:noProof/>
          <w:kern w:val="2"/>
          <w:sz w:val="22"/>
          <w:szCs w:val="22"/>
          <w14:ligatures w14:val="standardContextual"/>
        </w:rPr>
      </w:pPr>
      <w:hyperlink w:anchor="_Toc160095510" w:history="1">
        <w:r w:rsidRPr="004F3910">
          <w:rPr>
            <w:rStyle w:val="Hyperlink"/>
            <w:noProof/>
          </w:rPr>
          <w:t>2. Purpose and Use of Information</w:t>
        </w:r>
        <w:r>
          <w:rPr>
            <w:noProof/>
            <w:webHidden/>
          </w:rPr>
          <w:tab/>
        </w:r>
        <w:r>
          <w:rPr>
            <w:noProof/>
            <w:webHidden/>
          </w:rPr>
          <w:fldChar w:fldCharType="begin"/>
        </w:r>
        <w:r>
          <w:rPr>
            <w:noProof/>
            <w:webHidden/>
          </w:rPr>
          <w:instrText xml:space="preserve"> PAGEREF _Toc160095510 \h </w:instrText>
        </w:r>
        <w:r>
          <w:rPr>
            <w:noProof/>
            <w:webHidden/>
          </w:rPr>
          <w:fldChar w:fldCharType="separate"/>
        </w:r>
        <w:r w:rsidR="007A2073">
          <w:rPr>
            <w:noProof/>
            <w:webHidden/>
          </w:rPr>
          <w:t>7</w:t>
        </w:r>
        <w:r>
          <w:rPr>
            <w:noProof/>
            <w:webHidden/>
          </w:rPr>
          <w:fldChar w:fldCharType="end"/>
        </w:r>
      </w:hyperlink>
    </w:p>
    <w:p w:rsidR="004F723F" w14:paraId="0AC58276" w14:textId="1EBD5264">
      <w:pPr>
        <w:pStyle w:val="TOC2"/>
        <w:rPr>
          <w:rFonts w:asciiTheme="minorHAnsi" w:eastAsiaTheme="minorEastAsia" w:hAnsiTheme="minorHAnsi" w:cstheme="minorBidi"/>
          <w:noProof/>
          <w:kern w:val="2"/>
          <w:sz w:val="22"/>
          <w:szCs w:val="22"/>
          <w14:ligatures w14:val="standardContextual"/>
        </w:rPr>
      </w:pPr>
      <w:hyperlink w:anchor="_Toc160095511" w:history="1">
        <w:r w:rsidRPr="004F3910">
          <w:rPr>
            <w:rStyle w:val="Hyperlink"/>
            <w:noProof/>
          </w:rPr>
          <w:t xml:space="preserve">3. Use of Improved </w:t>
        </w:r>
        <w:r w:rsidRPr="004F3910">
          <w:rPr>
            <w:rStyle w:val="Hyperlink"/>
            <w:noProof/>
          </w:rPr>
          <w:t>Information Technology</w:t>
        </w:r>
        <w:r>
          <w:rPr>
            <w:noProof/>
            <w:webHidden/>
          </w:rPr>
          <w:tab/>
        </w:r>
        <w:r>
          <w:rPr>
            <w:noProof/>
            <w:webHidden/>
          </w:rPr>
          <w:fldChar w:fldCharType="begin"/>
        </w:r>
        <w:r>
          <w:rPr>
            <w:noProof/>
            <w:webHidden/>
          </w:rPr>
          <w:instrText xml:space="preserve"> PAGEREF _Toc160095511 \h </w:instrText>
        </w:r>
        <w:r>
          <w:rPr>
            <w:noProof/>
            <w:webHidden/>
          </w:rPr>
          <w:fldChar w:fldCharType="separate"/>
        </w:r>
        <w:r w:rsidR="007A2073">
          <w:rPr>
            <w:noProof/>
            <w:webHidden/>
          </w:rPr>
          <w:t>9</w:t>
        </w:r>
        <w:r>
          <w:rPr>
            <w:noProof/>
            <w:webHidden/>
          </w:rPr>
          <w:fldChar w:fldCharType="end"/>
        </w:r>
      </w:hyperlink>
    </w:p>
    <w:p w:rsidR="004F723F" w14:paraId="562A9599" w14:textId="29AAFFBF">
      <w:pPr>
        <w:pStyle w:val="TOC2"/>
        <w:rPr>
          <w:rFonts w:asciiTheme="minorHAnsi" w:eastAsiaTheme="minorEastAsia" w:hAnsiTheme="minorHAnsi" w:cstheme="minorBidi"/>
          <w:noProof/>
          <w:kern w:val="2"/>
          <w:sz w:val="22"/>
          <w:szCs w:val="22"/>
          <w14:ligatures w14:val="standardContextual"/>
        </w:rPr>
      </w:pPr>
      <w:hyperlink w:anchor="_Toc160095512" w:history="1">
        <w:r w:rsidRPr="004F3910">
          <w:rPr>
            <w:rStyle w:val="Hyperlink"/>
            <w:noProof/>
          </w:rPr>
          <w:t>4. Efforts to Identify Duplication</w:t>
        </w:r>
        <w:r>
          <w:rPr>
            <w:noProof/>
            <w:webHidden/>
          </w:rPr>
          <w:tab/>
        </w:r>
        <w:r>
          <w:rPr>
            <w:noProof/>
            <w:webHidden/>
          </w:rPr>
          <w:fldChar w:fldCharType="begin"/>
        </w:r>
        <w:r>
          <w:rPr>
            <w:noProof/>
            <w:webHidden/>
          </w:rPr>
          <w:instrText xml:space="preserve"> PAGEREF _Toc160095512 \h </w:instrText>
        </w:r>
        <w:r>
          <w:rPr>
            <w:noProof/>
            <w:webHidden/>
          </w:rPr>
          <w:fldChar w:fldCharType="separate"/>
        </w:r>
        <w:r w:rsidR="007A2073">
          <w:rPr>
            <w:noProof/>
            <w:webHidden/>
          </w:rPr>
          <w:t>9</w:t>
        </w:r>
        <w:r>
          <w:rPr>
            <w:noProof/>
            <w:webHidden/>
          </w:rPr>
          <w:fldChar w:fldCharType="end"/>
        </w:r>
      </w:hyperlink>
    </w:p>
    <w:p w:rsidR="004F723F" w14:paraId="3AB9F948" w14:textId="557407D5">
      <w:pPr>
        <w:pStyle w:val="TOC2"/>
        <w:rPr>
          <w:rFonts w:asciiTheme="minorHAnsi" w:eastAsiaTheme="minorEastAsia" w:hAnsiTheme="minorHAnsi" w:cstheme="minorBidi"/>
          <w:noProof/>
          <w:kern w:val="2"/>
          <w:sz w:val="22"/>
          <w:szCs w:val="22"/>
          <w14:ligatures w14:val="standardContextual"/>
        </w:rPr>
      </w:pPr>
      <w:hyperlink w:anchor="_Toc160095513" w:history="1">
        <w:r w:rsidRPr="004F3910">
          <w:rPr>
            <w:rStyle w:val="Hyperlink"/>
            <w:noProof/>
          </w:rPr>
          <w:t>5. Involvement of Small Entities</w:t>
        </w:r>
        <w:r>
          <w:rPr>
            <w:noProof/>
            <w:webHidden/>
          </w:rPr>
          <w:tab/>
        </w:r>
        <w:r>
          <w:rPr>
            <w:noProof/>
            <w:webHidden/>
          </w:rPr>
          <w:fldChar w:fldCharType="begin"/>
        </w:r>
        <w:r>
          <w:rPr>
            <w:noProof/>
            <w:webHidden/>
          </w:rPr>
          <w:instrText xml:space="preserve"> PAGEREF _Toc160095513 \h </w:instrText>
        </w:r>
        <w:r>
          <w:rPr>
            <w:noProof/>
            <w:webHidden/>
          </w:rPr>
          <w:fldChar w:fldCharType="separate"/>
        </w:r>
        <w:r w:rsidR="007A2073">
          <w:rPr>
            <w:noProof/>
            <w:webHidden/>
          </w:rPr>
          <w:t>9</w:t>
        </w:r>
        <w:r>
          <w:rPr>
            <w:noProof/>
            <w:webHidden/>
          </w:rPr>
          <w:fldChar w:fldCharType="end"/>
        </w:r>
      </w:hyperlink>
    </w:p>
    <w:p w:rsidR="004F723F" w14:paraId="0B9D0BD0" w14:textId="18DE5166">
      <w:pPr>
        <w:pStyle w:val="TOC2"/>
        <w:rPr>
          <w:rFonts w:asciiTheme="minorHAnsi" w:eastAsiaTheme="minorEastAsia" w:hAnsiTheme="minorHAnsi" w:cstheme="minorBidi"/>
          <w:noProof/>
          <w:kern w:val="2"/>
          <w:sz w:val="22"/>
          <w:szCs w:val="22"/>
          <w14:ligatures w14:val="standardContextual"/>
        </w:rPr>
      </w:pPr>
      <w:hyperlink w:anchor="_Toc160095514" w:history="1">
        <w:r w:rsidRPr="004F3910">
          <w:rPr>
            <w:rStyle w:val="Hyperlink"/>
            <w:noProof/>
          </w:rPr>
          <w:t>6. Consequences if Information is Collected Less Frequently</w:t>
        </w:r>
        <w:r>
          <w:rPr>
            <w:noProof/>
            <w:webHidden/>
          </w:rPr>
          <w:tab/>
        </w:r>
        <w:r>
          <w:rPr>
            <w:noProof/>
            <w:webHidden/>
          </w:rPr>
          <w:fldChar w:fldCharType="begin"/>
        </w:r>
        <w:r>
          <w:rPr>
            <w:noProof/>
            <w:webHidden/>
          </w:rPr>
          <w:instrText xml:space="preserve"> PAGEREF _Toc160095514 \h </w:instrText>
        </w:r>
        <w:r>
          <w:rPr>
            <w:noProof/>
            <w:webHidden/>
          </w:rPr>
          <w:fldChar w:fldCharType="separate"/>
        </w:r>
        <w:r w:rsidR="007A2073">
          <w:rPr>
            <w:noProof/>
            <w:webHidden/>
          </w:rPr>
          <w:t>9</w:t>
        </w:r>
        <w:r>
          <w:rPr>
            <w:noProof/>
            <w:webHidden/>
          </w:rPr>
          <w:fldChar w:fldCharType="end"/>
        </w:r>
      </w:hyperlink>
    </w:p>
    <w:p w:rsidR="004F723F" w14:paraId="22DAD712" w14:textId="3597FADA">
      <w:pPr>
        <w:pStyle w:val="TOC2"/>
        <w:rPr>
          <w:rFonts w:asciiTheme="minorHAnsi" w:eastAsiaTheme="minorEastAsia" w:hAnsiTheme="minorHAnsi" w:cstheme="minorBidi"/>
          <w:noProof/>
          <w:kern w:val="2"/>
          <w:sz w:val="22"/>
          <w:szCs w:val="22"/>
          <w14:ligatures w14:val="standardContextual"/>
        </w:rPr>
      </w:pPr>
      <w:hyperlink w:anchor="_Toc160095515" w:history="1">
        <w:r w:rsidRPr="004F3910">
          <w:rPr>
            <w:rStyle w:val="Hyperlink"/>
            <w:noProof/>
          </w:rPr>
          <w:t>7. Special Circumstances</w:t>
        </w:r>
        <w:r>
          <w:rPr>
            <w:noProof/>
            <w:webHidden/>
          </w:rPr>
          <w:tab/>
        </w:r>
        <w:r>
          <w:rPr>
            <w:noProof/>
            <w:webHidden/>
          </w:rPr>
          <w:fldChar w:fldCharType="begin"/>
        </w:r>
        <w:r>
          <w:rPr>
            <w:noProof/>
            <w:webHidden/>
          </w:rPr>
          <w:instrText xml:space="preserve"> PAGEREF _Toc160095515 \h </w:instrText>
        </w:r>
        <w:r>
          <w:rPr>
            <w:noProof/>
            <w:webHidden/>
          </w:rPr>
          <w:fldChar w:fldCharType="separate"/>
        </w:r>
        <w:r w:rsidR="007A2073">
          <w:rPr>
            <w:noProof/>
            <w:webHidden/>
          </w:rPr>
          <w:t>10</w:t>
        </w:r>
        <w:r>
          <w:rPr>
            <w:noProof/>
            <w:webHidden/>
          </w:rPr>
          <w:fldChar w:fldCharType="end"/>
        </w:r>
      </w:hyperlink>
    </w:p>
    <w:p w:rsidR="004F723F" w14:paraId="4079A355" w14:textId="08915916">
      <w:pPr>
        <w:pStyle w:val="TOC2"/>
        <w:rPr>
          <w:rFonts w:asciiTheme="minorHAnsi" w:eastAsiaTheme="minorEastAsia" w:hAnsiTheme="minorHAnsi" w:cstheme="minorBidi"/>
          <w:noProof/>
          <w:kern w:val="2"/>
          <w:sz w:val="22"/>
          <w:szCs w:val="22"/>
          <w14:ligatures w14:val="standardContextual"/>
        </w:rPr>
      </w:pPr>
      <w:hyperlink w:anchor="_Toc160095516" w:history="1">
        <w:r w:rsidRPr="004F3910">
          <w:rPr>
            <w:rStyle w:val="Hyperlink"/>
            <w:noProof/>
          </w:rPr>
          <w:t xml:space="preserve">8. Federal Register Notice and Outside </w:t>
        </w:r>
        <w:r w:rsidRPr="004F3910">
          <w:rPr>
            <w:rStyle w:val="Hyperlink"/>
            <w:noProof/>
          </w:rPr>
          <w:t>Consultations</w:t>
        </w:r>
        <w:r>
          <w:rPr>
            <w:noProof/>
            <w:webHidden/>
          </w:rPr>
          <w:tab/>
        </w:r>
        <w:r>
          <w:rPr>
            <w:noProof/>
            <w:webHidden/>
          </w:rPr>
          <w:fldChar w:fldCharType="begin"/>
        </w:r>
        <w:r>
          <w:rPr>
            <w:noProof/>
            <w:webHidden/>
          </w:rPr>
          <w:instrText xml:space="preserve"> PAGEREF _Toc160095516 \h </w:instrText>
        </w:r>
        <w:r>
          <w:rPr>
            <w:noProof/>
            <w:webHidden/>
          </w:rPr>
          <w:fldChar w:fldCharType="separate"/>
        </w:r>
        <w:r w:rsidR="007A2073">
          <w:rPr>
            <w:noProof/>
            <w:webHidden/>
          </w:rPr>
          <w:t>10</w:t>
        </w:r>
        <w:r>
          <w:rPr>
            <w:noProof/>
            <w:webHidden/>
          </w:rPr>
          <w:fldChar w:fldCharType="end"/>
        </w:r>
      </w:hyperlink>
    </w:p>
    <w:p w:rsidR="004F723F" w14:paraId="157BCCE6" w14:textId="3EF598C4">
      <w:pPr>
        <w:pStyle w:val="TOC2"/>
        <w:rPr>
          <w:rFonts w:asciiTheme="minorHAnsi" w:eastAsiaTheme="minorEastAsia" w:hAnsiTheme="minorHAnsi" w:cstheme="minorBidi"/>
          <w:noProof/>
          <w:kern w:val="2"/>
          <w:sz w:val="22"/>
          <w:szCs w:val="22"/>
          <w14:ligatures w14:val="standardContextual"/>
        </w:rPr>
      </w:pPr>
      <w:hyperlink w:anchor="_Toc160095517" w:history="1">
        <w:r w:rsidRPr="004F3910">
          <w:rPr>
            <w:rStyle w:val="Hyperlink"/>
            <w:noProof/>
          </w:rPr>
          <w:t>8.a. Federal Register Notice</w:t>
        </w:r>
        <w:r>
          <w:rPr>
            <w:noProof/>
            <w:webHidden/>
          </w:rPr>
          <w:tab/>
        </w:r>
        <w:r>
          <w:rPr>
            <w:noProof/>
            <w:webHidden/>
          </w:rPr>
          <w:fldChar w:fldCharType="begin"/>
        </w:r>
        <w:r>
          <w:rPr>
            <w:noProof/>
            <w:webHidden/>
          </w:rPr>
          <w:instrText xml:space="preserve"> PAGEREF _Toc160095517 \h </w:instrText>
        </w:r>
        <w:r>
          <w:rPr>
            <w:noProof/>
            <w:webHidden/>
          </w:rPr>
          <w:fldChar w:fldCharType="separate"/>
        </w:r>
        <w:r w:rsidR="007A2073">
          <w:rPr>
            <w:noProof/>
            <w:webHidden/>
          </w:rPr>
          <w:t>10</w:t>
        </w:r>
        <w:r>
          <w:rPr>
            <w:noProof/>
            <w:webHidden/>
          </w:rPr>
          <w:fldChar w:fldCharType="end"/>
        </w:r>
      </w:hyperlink>
    </w:p>
    <w:p w:rsidR="004F723F" w14:paraId="49703EF0" w14:textId="6729762E">
      <w:pPr>
        <w:pStyle w:val="TOC2"/>
        <w:rPr>
          <w:rFonts w:asciiTheme="minorHAnsi" w:eastAsiaTheme="minorEastAsia" w:hAnsiTheme="minorHAnsi" w:cstheme="minorBidi"/>
          <w:noProof/>
          <w:kern w:val="2"/>
          <w:sz w:val="22"/>
          <w:szCs w:val="22"/>
          <w14:ligatures w14:val="standardContextual"/>
        </w:rPr>
      </w:pPr>
      <w:hyperlink w:anchor="_Toc160095518" w:history="1">
        <w:r w:rsidRPr="004F3910">
          <w:rPr>
            <w:rStyle w:val="Hyperlink"/>
            <w:noProof/>
          </w:rPr>
          <w:t>8.b. Outside Consultations</w:t>
        </w:r>
        <w:r>
          <w:rPr>
            <w:noProof/>
            <w:webHidden/>
          </w:rPr>
          <w:tab/>
        </w:r>
        <w:r>
          <w:rPr>
            <w:noProof/>
            <w:webHidden/>
          </w:rPr>
          <w:fldChar w:fldCharType="begin"/>
        </w:r>
        <w:r>
          <w:rPr>
            <w:noProof/>
            <w:webHidden/>
          </w:rPr>
          <w:instrText xml:space="preserve"> PAGEREF _Toc160095518 \h </w:instrText>
        </w:r>
        <w:r>
          <w:rPr>
            <w:noProof/>
            <w:webHidden/>
          </w:rPr>
          <w:fldChar w:fldCharType="separate"/>
        </w:r>
        <w:r w:rsidR="007A2073">
          <w:rPr>
            <w:noProof/>
            <w:webHidden/>
          </w:rPr>
          <w:t>10</w:t>
        </w:r>
        <w:r>
          <w:rPr>
            <w:noProof/>
            <w:webHidden/>
          </w:rPr>
          <w:fldChar w:fldCharType="end"/>
        </w:r>
      </w:hyperlink>
    </w:p>
    <w:p w:rsidR="004F723F" w14:paraId="722B5D8B" w14:textId="0AB3DF45">
      <w:pPr>
        <w:pStyle w:val="TOC2"/>
        <w:rPr>
          <w:rFonts w:asciiTheme="minorHAnsi" w:eastAsiaTheme="minorEastAsia" w:hAnsiTheme="minorHAnsi" w:cstheme="minorBidi"/>
          <w:noProof/>
          <w:kern w:val="2"/>
          <w:sz w:val="22"/>
          <w:szCs w:val="22"/>
          <w14:ligatures w14:val="standardContextual"/>
        </w:rPr>
      </w:pPr>
      <w:hyperlink w:anchor="_Toc160095519" w:history="1">
        <w:r w:rsidRPr="004F3910">
          <w:rPr>
            <w:rStyle w:val="Hyperlink"/>
            <w:noProof/>
          </w:rPr>
          <w:t>9. Payments/Gifts to Respondents</w:t>
        </w:r>
        <w:r>
          <w:rPr>
            <w:noProof/>
            <w:webHidden/>
          </w:rPr>
          <w:tab/>
        </w:r>
        <w:r>
          <w:rPr>
            <w:noProof/>
            <w:webHidden/>
          </w:rPr>
          <w:fldChar w:fldCharType="begin"/>
        </w:r>
        <w:r>
          <w:rPr>
            <w:noProof/>
            <w:webHidden/>
          </w:rPr>
          <w:instrText xml:space="preserve"> PAGEREF _Toc160095519 \h </w:instrText>
        </w:r>
        <w:r>
          <w:rPr>
            <w:noProof/>
            <w:webHidden/>
          </w:rPr>
          <w:fldChar w:fldCharType="separate"/>
        </w:r>
        <w:r w:rsidR="007A2073">
          <w:rPr>
            <w:noProof/>
            <w:webHidden/>
          </w:rPr>
          <w:t>11</w:t>
        </w:r>
        <w:r>
          <w:rPr>
            <w:noProof/>
            <w:webHidden/>
          </w:rPr>
          <w:fldChar w:fldCharType="end"/>
        </w:r>
      </w:hyperlink>
    </w:p>
    <w:p w:rsidR="004F723F" w14:paraId="04B08DF8" w14:textId="72A2961D">
      <w:pPr>
        <w:pStyle w:val="TOC2"/>
        <w:rPr>
          <w:rFonts w:asciiTheme="minorHAnsi" w:eastAsiaTheme="minorEastAsia" w:hAnsiTheme="minorHAnsi" w:cstheme="minorBidi"/>
          <w:noProof/>
          <w:kern w:val="2"/>
          <w:sz w:val="22"/>
          <w:szCs w:val="22"/>
          <w14:ligatures w14:val="standardContextual"/>
        </w:rPr>
      </w:pPr>
      <w:hyperlink w:anchor="_Toc160095520" w:history="1">
        <w:r w:rsidRPr="004F3910">
          <w:rPr>
            <w:rStyle w:val="Hyperlink"/>
            <w:noProof/>
          </w:rPr>
          <w:t>10. Assurance of Confidentiality</w:t>
        </w:r>
        <w:r>
          <w:rPr>
            <w:noProof/>
            <w:webHidden/>
          </w:rPr>
          <w:tab/>
        </w:r>
        <w:r>
          <w:rPr>
            <w:noProof/>
            <w:webHidden/>
          </w:rPr>
          <w:fldChar w:fldCharType="begin"/>
        </w:r>
        <w:r>
          <w:rPr>
            <w:noProof/>
            <w:webHidden/>
          </w:rPr>
          <w:instrText xml:space="preserve"> PAGEREF _Toc160095520 \h </w:instrText>
        </w:r>
        <w:r>
          <w:rPr>
            <w:noProof/>
            <w:webHidden/>
          </w:rPr>
          <w:fldChar w:fldCharType="separate"/>
        </w:r>
        <w:r w:rsidR="007A2073">
          <w:rPr>
            <w:noProof/>
            <w:webHidden/>
          </w:rPr>
          <w:t>11</w:t>
        </w:r>
        <w:r>
          <w:rPr>
            <w:noProof/>
            <w:webHidden/>
          </w:rPr>
          <w:fldChar w:fldCharType="end"/>
        </w:r>
      </w:hyperlink>
    </w:p>
    <w:p w:rsidR="004F723F" w14:paraId="044308F0" w14:textId="74DE0595">
      <w:pPr>
        <w:pStyle w:val="TOC2"/>
        <w:rPr>
          <w:rFonts w:asciiTheme="minorHAnsi" w:eastAsiaTheme="minorEastAsia" w:hAnsiTheme="minorHAnsi" w:cstheme="minorBidi"/>
          <w:noProof/>
          <w:kern w:val="2"/>
          <w:sz w:val="22"/>
          <w:szCs w:val="22"/>
          <w14:ligatures w14:val="standardContextual"/>
        </w:rPr>
      </w:pPr>
      <w:hyperlink w:anchor="_Toc160095521" w:history="1">
        <w:r w:rsidRPr="004F3910">
          <w:rPr>
            <w:rStyle w:val="Hyperlink"/>
            <w:noProof/>
          </w:rPr>
          <w:t>11. Questions of a Sensitive Nature</w:t>
        </w:r>
        <w:r>
          <w:rPr>
            <w:noProof/>
            <w:webHidden/>
          </w:rPr>
          <w:tab/>
        </w:r>
        <w:r>
          <w:rPr>
            <w:noProof/>
            <w:webHidden/>
          </w:rPr>
          <w:fldChar w:fldCharType="begin"/>
        </w:r>
        <w:r>
          <w:rPr>
            <w:noProof/>
            <w:webHidden/>
          </w:rPr>
          <w:instrText xml:space="preserve"> PAGEREF _Toc160095521 \h </w:instrText>
        </w:r>
        <w:r>
          <w:rPr>
            <w:noProof/>
            <w:webHidden/>
          </w:rPr>
          <w:fldChar w:fldCharType="separate"/>
        </w:r>
        <w:r w:rsidR="007A2073">
          <w:rPr>
            <w:noProof/>
            <w:webHidden/>
          </w:rPr>
          <w:t>11</w:t>
        </w:r>
        <w:r>
          <w:rPr>
            <w:noProof/>
            <w:webHidden/>
          </w:rPr>
          <w:fldChar w:fldCharType="end"/>
        </w:r>
      </w:hyperlink>
    </w:p>
    <w:p w:rsidR="004F723F" w14:paraId="1ABA8840" w14:textId="18E6482F">
      <w:pPr>
        <w:pStyle w:val="TOC2"/>
        <w:rPr>
          <w:rFonts w:asciiTheme="minorHAnsi" w:eastAsiaTheme="minorEastAsia" w:hAnsiTheme="minorHAnsi" w:cstheme="minorBidi"/>
          <w:noProof/>
          <w:kern w:val="2"/>
          <w:sz w:val="22"/>
          <w:szCs w:val="22"/>
          <w14:ligatures w14:val="standardContextual"/>
        </w:rPr>
      </w:pPr>
      <w:hyperlink w:anchor="_Toc160095522" w:history="1">
        <w:r w:rsidRPr="004F3910">
          <w:rPr>
            <w:rStyle w:val="Hyperlink"/>
            <w:noProof/>
          </w:rPr>
          <w:t>12. Estimates of Annualized Burden Hours and Costs</w:t>
        </w:r>
        <w:r>
          <w:rPr>
            <w:noProof/>
            <w:webHidden/>
          </w:rPr>
          <w:tab/>
        </w:r>
        <w:r>
          <w:rPr>
            <w:noProof/>
            <w:webHidden/>
          </w:rPr>
          <w:fldChar w:fldCharType="begin"/>
        </w:r>
        <w:r>
          <w:rPr>
            <w:noProof/>
            <w:webHidden/>
          </w:rPr>
          <w:instrText xml:space="preserve"> PAGEREF _Toc160095522 \h </w:instrText>
        </w:r>
        <w:r>
          <w:rPr>
            <w:noProof/>
            <w:webHidden/>
          </w:rPr>
          <w:fldChar w:fldCharType="separate"/>
        </w:r>
        <w:r w:rsidR="007A2073">
          <w:rPr>
            <w:noProof/>
            <w:webHidden/>
          </w:rPr>
          <w:t>11</w:t>
        </w:r>
        <w:r>
          <w:rPr>
            <w:noProof/>
            <w:webHidden/>
          </w:rPr>
          <w:fldChar w:fldCharType="end"/>
        </w:r>
      </w:hyperlink>
    </w:p>
    <w:p w:rsidR="004F723F" w14:paraId="0109C769" w14:textId="27532294">
      <w:pPr>
        <w:pStyle w:val="TOC2"/>
        <w:rPr>
          <w:rFonts w:asciiTheme="minorHAnsi" w:eastAsiaTheme="minorEastAsia" w:hAnsiTheme="minorHAnsi" w:cstheme="minorBidi"/>
          <w:noProof/>
          <w:kern w:val="2"/>
          <w:sz w:val="22"/>
          <w:szCs w:val="22"/>
          <w14:ligatures w14:val="standardContextual"/>
        </w:rPr>
      </w:pPr>
      <w:hyperlink w:anchor="_Toc160095523" w:history="1">
        <w:r w:rsidRPr="004F3910">
          <w:rPr>
            <w:rStyle w:val="Hyperlink"/>
            <w:noProof/>
          </w:rPr>
          <w:t xml:space="preserve">13. Estimates of </w:t>
        </w:r>
        <w:r w:rsidRPr="004F3910">
          <w:rPr>
            <w:rStyle w:val="Hyperlink"/>
            <w:noProof/>
          </w:rPr>
          <w:t>Annualized Respondent Capital and Maintenance Costs</w:t>
        </w:r>
        <w:r>
          <w:rPr>
            <w:noProof/>
            <w:webHidden/>
          </w:rPr>
          <w:tab/>
        </w:r>
        <w:r>
          <w:rPr>
            <w:noProof/>
            <w:webHidden/>
          </w:rPr>
          <w:fldChar w:fldCharType="begin"/>
        </w:r>
        <w:r>
          <w:rPr>
            <w:noProof/>
            <w:webHidden/>
          </w:rPr>
          <w:instrText xml:space="preserve"> PAGEREF _Toc160095523 \h </w:instrText>
        </w:r>
        <w:r>
          <w:rPr>
            <w:noProof/>
            <w:webHidden/>
          </w:rPr>
          <w:fldChar w:fldCharType="separate"/>
        </w:r>
        <w:r w:rsidR="007A2073">
          <w:rPr>
            <w:noProof/>
            <w:webHidden/>
          </w:rPr>
          <w:t>12</w:t>
        </w:r>
        <w:r>
          <w:rPr>
            <w:noProof/>
            <w:webHidden/>
          </w:rPr>
          <w:fldChar w:fldCharType="end"/>
        </w:r>
      </w:hyperlink>
    </w:p>
    <w:p w:rsidR="004F723F" w14:paraId="6F33B78C" w14:textId="44BDD1B8">
      <w:pPr>
        <w:pStyle w:val="TOC2"/>
        <w:rPr>
          <w:rFonts w:asciiTheme="minorHAnsi" w:eastAsiaTheme="minorEastAsia" w:hAnsiTheme="minorHAnsi" w:cstheme="minorBidi"/>
          <w:noProof/>
          <w:kern w:val="2"/>
          <w:sz w:val="22"/>
          <w:szCs w:val="22"/>
          <w14:ligatures w14:val="standardContextual"/>
        </w:rPr>
      </w:pPr>
      <w:hyperlink w:anchor="_Toc160095524" w:history="1">
        <w:r w:rsidRPr="004F3910">
          <w:rPr>
            <w:rStyle w:val="Hyperlink"/>
            <w:noProof/>
          </w:rPr>
          <w:t>14. Estimates of Total and Annualized Cos</w:t>
        </w:r>
        <w:r w:rsidRPr="004F3910">
          <w:rPr>
            <w:rStyle w:val="Hyperlink"/>
            <w:noProof/>
          </w:rPr>
          <w:t>t to the Government</w:t>
        </w:r>
        <w:r>
          <w:rPr>
            <w:noProof/>
            <w:webHidden/>
          </w:rPr>
          <w:tab/>
        </w:r>
        <w:r>
          <w:rPr>
            <w:noProof/>
            <w:webHidden/>
          </w:rPr>
          <w:fldChar w:fldCharType="begin"/>
        </w:r>
        <w:r>
          <w:rPr>
            <w:noProof/>
            <w:webHidden/>
          </w:rPr>
          <w:instrText xml:space="preserve"> PAGEREF _Toc160095524 \h </w:instrText>
        </w:r>
        <w:r>
          <w:rPr>
            <w:noProof/>
            <w:webHidden/>
          </w:rPr>
          <w:fldChar w:fldCharType="separate"/>
        </w:r>
        <w:r w:rsidR="007A2073">
          <w:rPr>
            <w:noProof/>
            <w:webHidden/>
          </w:rPr>
          <w:t>13</w:t>
        </w:r>
        <w:r>
          <w:rPr>
            <w:noProof/>
            <w:webHidden/>
          </w:rPr>
          <w:fldChar w:fldCharType="end"/>
        </w:r>
      </w:hyperlink>
    </w:p>
    <w:p w:rsidR="004F723F" w14:paraId="2E155CBD" w14:textId="03348BC3">
      <w:pPr>
        <w:pStyle w:val="TOC2"/>
        <w:rPr>
          <w:rFonts w:asciiTheme="minorHAnsi" w:eastAsiaTheme="minorEastAsia" w:hAnsiTheme="minorHAnsi" w:cstheme="minorBidi"/>
          <w:noProof/>
          <w:kern w:val="2"/>
          <w:sz w:val="22"/>
          <w:szCs w:val="22"/>
          <w14:ligatures w14:val="standardContextual"/>
        </w:rPr>
      </w:pPr>
      <w:hyperlink w:anchor="_Toc160095525" w:history="1">
        <w:r w:rsidRPr="004F3910">
          <w:rPr>
            <w:rStyle w:val="Hyperlink"/>
            <w:noProof/>
          </w:rPr>
          <w:t>15. Changes in Hour Burden</w:t>
        </w:r>
        <w:r>
          <w:rPr>
            <w:noProof/>
            <w:webHidden/>
          </w:rPr>
          <w:tab/>
        </w:r>
        <w:r>
          <w:rPr>
            <w:noProof/>
            <w:webHidden/>
          </w:rPr>
          <w:fldChar w:fldCharType="begin"/>
        </w:r>
        <w:r>
          <w:rPr>
            <w:noProof/>
            <w:webHidden/>
          </w:rPr>
          <w:instrText xml:space="preserve"> PAGEREF _Toc160095525 \h </w:instrText>
        </w:r>
        <w:r>
          <w:rPr>
            <w:noProof/>
            <w:webHidden/>
          </w:rPr>
          <w:fldChar w:fldCharType="separate"/>
        </w:r>
        <w:r w:rsidR="007A2073">
          <w:rPr>
            <w:noProof/>
            <w:webHidden/>
          </w:rPr>
          <w:t>13</w:t>
        </w:r>
        <w:r>
          <w:rPr>
            <w:noProof/>
            <w:webHidden/>
          </w:rPr>
          <w:fldChar w:fldCharType="end"/>
        </w:r>
      </w:hyperlink>
    </w:p>
    <w:p w:rsidR="004F723F" w14:paraId="04938CD0" w14:textId="33A3D1FA">
      <w:pPr>
        <w:pStyle w:val="TOC2"/>
        <w:rPr>
          <w:rFonts w:asciiTheme="minorHAnsi" w:eastAsiaTheme="minorEastAsia" w:hAnsiTheme="minorHAnsi" w:cstheme="minorBidi"/>
          <w:noProof/>
          <w:kern w:val="2"/>
          <w:sz w:val="22"/>
          <w:szCs w:val="22"/>
          <w14:ligatures w14:val="standardContextual"/>
        </w:rPr>
      </w:pPr>
      <w:hyperlink w:anchor="_Toc160095526" w:history="1">
        <w:r w:rsidRPr="004F3910">
          <w:rPr>
            <w:rStyle w:val="Hyperlink"/>
            <w:noProof/>
          </w:rPr>
          <w:t>16. Time Schedule, Publication and Analysis Plans</w:t>
        </w:r>
        <w:r>
          <w:rPr>
            <w:noProof/>
            <w:webHidden/>
          </w:rPr>
          <w:tab/>
        </w:r>
        <w:r>
          <w:rPr>
            <w:noProof/>
            <w:webHidden/>
          </w:rPr>
          <w:fldChar w:fldCharType="begin"/>
        </w:r>
        <w:r>
          <w:rPr>
            <w:noProof/>
            <w:webHidden/>
          </w:rPr>
          <w:instrText xml:space="preserve"> PAGEREF _Toc160095526 \h </w:instrText>
        </w:r>
        <w:r>
          <w:rPr>
            <w:noProof/>
            <w:webHidden/>
          </w:rPr>
          <w:fldChar w:fldCharType="separate"/>
        </w:r>
        <w:r w:rsidR="007A2073">
          <w:rPr>
            <w:noProof/>
            <w:webHidden/>
          </w:rPr>
          <w:t>13</w:t>
        </w:r>
        <w:r>
          <w:rPr>
            <w:noProof/>
            <w:webHidden/>
          </w:rPr>
          <w:fldChar w:fldCharType="end"/>
        </w:r>
      </w:hyperlink>
    </w:p>
    <w:p w:rsidR="004F723F" w14:paraId="2B8DCC59" w14:textId="5CC9B5A3">
      <w:pPr>
        <w:pStyle w:val="TOC2"/>
        <w:rPr>
          <w:rFonts w:asciiTheme="minorHAnsi" w:eastAsiaTheme="minorEastAsia" w:hAnsiTheme="minorHAnsi" w:cstheme="minorBidi"/>
          <w:noProof/>
          <w:kern w:val="2"/>
          <w:sz w:val="22"/>
          <w:szCs w:val="22"/>
          <w14:ligatures w14:val="standardContextual"/>
        </w:rPr>
      </w:pPr>
      <w:hyperlink w:anchor="_Toc160095527" w:history="1">
        <w:r w:rsidRPr="004F3910">
          <w:rPr>
            <w:rStyle w:val="Hyperlink"/>
            <w:noProof/>
          </w:rPr>
          <w:t>17. Exemption for Display of Expiration Date</w:t>
        </w:r>
        <w:r>
          <w:rPr>
            <w:noProof/>
            <w:webHidden/>
          </w:rPr>
          <w:tab/>
        </w:r>
        <w:r>
          <w:rPr>
            <w:noProof/>
            <w:webHidden/>
          </w:rPr>
          <w:fldChar w:fldCharType="begin"/>
        </w:r>
        <w:r>
          <w:rPr>
            <w:noProof/>
            <w:webHidden/>
          </w:rPr>
          <w:instrText xml:space="preserve"> PAGEREF _Toc160095527 \h </w:instrText>
        </w:r>
        <w:r>
          <w:rPr>
            <w:noProof/>
            <w:webHidden/>
          </w:rPr>
          <w:fldChar w:fldCharType="separate"/>
        </w:r>
        <w:r w:rsidR="007A2073">
          <w:rPr>
            <w:noProof/>
            <w:webHidden/>
          </w:rPr>
          <w:t>14</w:t>
        </w:r>
        <w:r>
          <w:rPr>
            <w:noProof/>
            <w:webHidden/>
          </w:rPr>
          <w:fldChar w:fldCharType="end"/>
        </w:r>
      </w:hyperlink>
    </w:p>
    <w:p w:rsidR="004F723F" w14:paraId="79E5426D" w14:textId="551499DA">
      <w:pPr>
        <w:pStyle w:val="TOC2"/>
        <w:rPr>
          <w:rFonts w:asciiTheme="minorHAnsi" w:eastAsiaTheme="minorEastAsia" w:hAnsiTheme="minorHAnsi" w:cstheme="minorBidi"/>
          <w:noProof/>
          <w:kern w:val="2"/>
          <w:sz w:val="22"/>
          <w:szCs w:val="22"/>
          <w14:ligatures w14:val="standardContextual"/>
        </w:rPr>
      </w:pPr>
      <w:hyperlink w:anchor="_Toc160095528" w:history="1">
        <w:r w:rsidRPr="004F3910">
          <w:rPr>
            <w:rStyle w:val="Hyperlink"/>
            <w:noProof/>
          </w:rPr>
          <w:t>18. List of Attachments</w:t>
        </w:r>
        <w:r>
          <w:rPr>
            <w:noProof/>
            <w:webHidden/>
          </w:rPr>
          <w:tab/>
        </w:r>
        <w:r>
          <w:rPr>
            <w:noProof/>
            <w:webHidden/>
          </w:rPr>
          <w:fldChar w:fldCharType="begin"/>
        </w:r>
        <w:r>
          <w:rPr>
            <w:noProof/>
            <w:webHidden/>
          </w:rPr>
          <w:instrText xml:space="preserve"> PAGEREF _Toc160095528 \h </w:instrText>
        </w:r>
        <w:r>
          <w:rPr>
            <w:noProof/>
            <w:webHidden/>
          </w:rPr>
          <w:fldChar w:fldCharType="separate"/>
        </w:r>
        <w:r w:rsidR="007A2073">
          <w:rPr>
            <w:noProof/>
            <w:webHidden/>
          </w:rPr>
          <w:t>14</w:t>
        </w:r>
        <w:r>
          <w:rPr>
            <w:noProof/>
            <w:webHidden/>
          </w:rPr>
          <w:fldChar w:fldCharType="end"/>
        </w:r>
      </w:hyperlink>
    </w:p>
    <w:p w:rsidR="009B633D" w:rsidRPr="00010908" w:rsidP="009B633D" w14:paraId="77057E31" w14:textId="6B325677">
      <w:pPr>
        <w:jc w:val="center"/>
        <w:rPr>
          <w:b/>
        </w:rPr>
      </w:pPr>
      <w:r w:rsidRPr="00010908">
        <w:rPr>
          <w:b/>
        </w:rPr>
        <w:fldChar w:fldCharType="end"/>
      </w:r>
    </w:p>
    <w:p w:rsidR="004461A7" w:rsidP="009B633D" w14:paraId="39E45BD5" w14:textId="77777777">
      <w:pPr>
        <w:pStyle w:val="Heading1"/>
        <w:rPr>
          <w:rFonts w:ascii="Times New Roman" w:hAnsi="Times New Roman" w:cs="Times New Roman"/>
          <w:sz w:val="24"/>
          <w:szCs w:val="24"/>
        </w:rPr>
      </w:pPr>
      <w:r w:rsidRPr="00BC4A10">
        <w:rPr>
          <w:rFonts w:ascii="Times New Roman" w:hAnsi="Times New Roman" w:cs="Times New Roman"/>
          <w:sz w:val="24"/>
          <w:szCs w:val="24"/>
        </w:rPr>
        <w:br w:type="page"/>
      </w:r>
      <w:bookmarkStart w:id="2" w:name="_Toc151782175"/>
      <w:bookmarkStart w:id="3" w:name="_Toc158526215"/>
    </w:p>
    <w:p w:rsidR="00232191" w:rsidRPr="00024101" w:rsidP="00232191" w14:paraId="429AE054" w14:textId="41F80005">
      <w:pPr>
        <w:pStyle w:val="Heading1"/>
      </w:pPr>
      <w:bookmarkStart w:id="4" w:name="_Toc160095507"/>
      <w:r w:rsidRPr="00024101">
        <w:rPr>
          <w:rFonts w:ascii="Times New Roman" w:hAnsi="Times New Roman" w:cs="Times New Roman"/>
          <w:sz w:val="24"/>
          <w:szCs w:val="24"/>
        </w:rPr>
        <w:t>Overview of Revision</w:t>
      </w:r>
      <w:bookmarkEnd w:id="4"/>
    </w:p>
    <w:p w:rsidR="004461A7" w:rsidRPr="00024101" w:rsidP="004461A7" w14:paraId="08CDBC56" w14:textId="37E451A1">
      <w:r w:rsidRPr="00B678E5">
        <w:t>The Agency for Healthcare Research and Quality (AHRQ) requests</w:t>
      </w:r>
      <w:r w:rsidRPr="00B678E5" w:rsidR="0072692A">
        <w:t xml:space="preserve"> </w:t>
      </w:r>
      <w:r w:rsidRPr="00B678E5">
        <w:t>a</w:t>
      </w:r>
      <w:r w:rsidRPr="00B678E5">
        <w:t xml:space="preserve"> revision of</w:t>
      </w:r>
      <w:r w:rsidRPr="00B678E5">
        <w:t xml:space="preserve"> </w:t>
      </w:r>
      <w:r w:rsidRPr="00B678E5">
        <w:t xml:space="preserve">the currently approved </w:t>
      </w:r>
      <w:r w:rsidRPr="00B678E5">
        <w:rPr>
          <w:i/>
          <w:iCs/>
        </w:rPr>
        <w:t>AHRQ Safety Program for Telemedicine: Improving Antibiotic Use</w:t>
      </w:r>
      <w:r w:rsidRPr="00B678E5" w:rsidR="00D94C20">
        <w:rPr>
          <w:i/>
          <w:iCs/>
        </w:rPr>
        <w:t xml:space="preserve"> and Improving the Diagnostic Process</w:t>
      </w:r>
      <w:r w:rsidRPr="00B678E5" w:rsidR="003C7CB1">
        <w:rPr>
          <w:b/>
          <w:bCs/>
          <w:i/>
          <w:iCs/>
        </w:rPr>
        <w:t xml:space="preserve"> </w:t>
      </w:r>
      <w:r w:rsidRPr="00B678E5" w:rsidR="003C7CB1">
        <w:t>(“AHRQ Safety Program for Telemedicine”)</w:t>
      </w:r>
      <w:r w:rsidRPr="00B678E5">
        <w:t>.</w:t>
      </w:r>
      <w:r w:rsidRPr="00024101">
        <w:rPr>
          <w:i/>
          <w:iCs/>
        </w:rPr>
        <w:t xml:space="preserve"> </w:t>
      </w:r>
      <w:r w:rsidRPr="00024101">
        <w:t>The AHRQ Safety Program</w:t>
      </w:r>
      <w:r w:rsidRPr="00024101" w:rsidR="003C7CB1">
        <w:t xml:space="preserve"> for Telemedicine</w:t>
      </w:r>
      <w:r w:rsidRPr="00024101">
        <w:t xml:space="preserve"> aims to help practices improve care within the telemedicine setting by developing a culture of patient safety and improving communicati</w:t>
      </w:r>
      <w:r w:rsidRPr="00024101">
        <w:t xml:space="preserve">on and teamwork between healthcare providers (HCPs) and staff and among HCPs and patients. The AHRQ </w:t>
      </w:r>
      <w:bookmarkStart w:id="5" w:name="OLE_LINK19"/>
      <w:r w:rsidRPr="00024101">
        <w:t xml:space="preserve">Safety Program for Telemedicine </w:t>
      </w:r>
      <w:bookmarkEnd w:id="5"/>
      <w:r w:rsidRPr="00024101">
        <w:t xml:space="preserve">was last approved by </w:t>
      </w:r>
      <w:r w:rsidRPr="00024101" w:rsidR="00517209">
        <w:t xml:space="preserve">the </w:t>
      </w:r>
      <w:r w:rsidRPr="00024101">
        <w:t xml:space="preserve">OMB on </w:t>
      </w:r>
      <w:r w:rsidRPr="00024101" w:rsidR="00592354">
        <w:t>April 21, 2023</w:t>
      </w:r>
      <w:r w:rsidRPr="00024101" w:rsidR="000333EA">
        <w:t>,</w:t>
      </w:r>
      <w:r w:rsidRPr="00024101">
        <w:t xml:space="preserve"> and will expire on </w:t>
      </w:r>
      <w:r w:rsidRPr="00024101" w:rsidR="00592354">
        <w:t>April</w:t>
      </w:r>
      <w:r w:rsidRPr="00024101" w:rsidR="003F7BEC">
        <w:t xml:space="preserve"> </w:t>
      </w:r>
      <w:r w:rsidRPr="00024101" w:rsidR="00592354">
        <w:t>30</w:t>
      </w:r>
      <w:r w:rsidRPr="00024101" w:rsidR="003F7BEC">
        <w:t>, 2026</w:t>
      </w:r>
      <w:r w:rsidRPr="00024101">
        <w:t>. The OMB control number for the AHRQ Safet</w:t>
      </w:r>
      <w:r w:rsidRPr="00024101">
        <w:t xml:space="preserve">y Program for Telemedicine is </w:t>
      </w:r>
      <w:bookmarkStart w:id="6" w:name="OLE_LINK21"/>
      <w:r w:rsidRPr="00024101" w:rsidR="003F7BEC">
        <w:t>0935-0265</w:t>
      </w:r>
      <w:bookmarkEnd w:id="6"/>
      <w:r w:rsidRPr="00024101">
        <w:t xml:space="preserve">. </w:t>
      </w:r>
      <w:r w:rsidRPr="00024101" w:rsidR="000333EA">
        <w:t>S</w:t>
      </w:r>
      <w:r w:rsidRPr="00024101">
        <w:t>upporting documents for the current AHRQ Safety Program for Telemedicine can be downloaded from OMB’s website at</w:t>
      </w:r>
      <w:r w:rsidRPr="00024101" w:rsidR="000333EA">
        <w:t>:</w:t>
      </w:r>
      <w:r w:rsidRPr="00024101">
        <w:t xml:space="preserve"> </w:t>
      </w:r>
      <w:hyperlink r:id="rId9" w:history="1">
        <w:r w:rsidRPr="00024101" w:rsidR="00592354">
          <w:rPr>
            <w:rStyle w:val="Hyperlink"/>
          </w:rPr>
          <w:t>https://www.reginfo.gov/public/do/PRAViewICR?ref_nbr=202303-0935-001</w:t>
        </w:r>
      </w:hyperlink>
      <w:r w:rsidRPr="00024101" w:rsidR="00592354">
        <w:t>.</w:t>
      </w:r>
      <w:r w:rsidRPr="00024101">
        <w:t xml:space="preserve"> </w:t>
      </w:r>
    </w:p>
    <w:p w:rsidR="004461A7" w:rsidRPr="00EB0876" w:rsidP="004461A7" w14:paraId="55DA8EDD" w14:textId="77777777">
      <w:pPr>
        <w:rPr>
          <w:highlight w:val="yellow"/>
        </w:rPr>
      </w:pPr>
    </w:p>
    <w:p w:rsidR="00232191" w:rsidRPr="00024101" w:rsidP="004461A7" w14:paraId="2AF93BE7" w14:textId="1C0EE7B1">
      <w:r w:rsidRPr="00024101">
        <w:t xml:space="preserve">First, the 2023 AHRQ Safety Program for Telemedicine materials submitted for OMB clearance included materials for two cohorts: the diagnostic process cohort and the </w:t>
      </w:r>
      <w:r w:rsidRPr="00024101" w:rsidR="0099643A">
        <w:t xml:space="preserve">improving </w:t>
      </w:r>
      <w:r w:rsidRPr="00024101">
        <w:t xml:space="preserve">antibiotic </w:t>
      </w:r>
      <w:r w:rsidRPr="00024101" w:rsidR="0099643A">
        <w:t>use</w:t>
      </w:r>
      <w:r w:rsidRPr="00024101">
        <w:t xml:space="preserve"> cohort. The diagnostic process cohort was cancelled prior to the c</w:t>
      </w:r>
      <w:r w:rsidRPr="00024101">
        <w:t>ohort’s start date. Therefore, this revision removes all references to the</w:t>
      </w:r>
      <w:r w:rsidRPr="00024101" w:rsidR="00944B8B">
        <w:t xml:space="preserve"> </w:t>
      </w:r>
      <w:r w:rsidRPr="00024101">
        <w:t>diagnostic process cohort</w:t>
      </w:r>
      <w:r w:rsidRPr="00024101" w:rsidR="00BB4779">
        <w:t xml:space="preserve"> including removal of all data collection tools specific to the cohort, updated versions of the annualized cost and burden tables, and removal of the reference to “Improving the Diagnostic Process” in the Safety Program name</w:t>
      </w:r>
      <w:r w:rsidRPr="00024101">
        <w:t>.</w:t>
      </w:r>
    </w:p>
    <w:p w:rsidR="00232191" w:rsidRPr="00024101" w:rsidP="004461A7" w14:paraId="4FB4DDE4" w14:textId="77777777"/>
    <w:p w:rsidR="009D1238" w:rsidRPr="00024101" w:rsidP="004461A7" w14:paraId="29589EF1" w14:textId="733F1CFF">
      <w:r w:rsidRPr="00024101">
        <w:t>Second, the 2023 AHRQ Safety Program for Telemedicine materials submitted for OMB clearance included a single version of the Structural Assessment and Participant Experience Survey to b</w:t>
      </w:r>
      <w:r w:rsidRPr="00024101">
        <w:t xml:space="preserve">e completed by all participants in the </w:t>
      </w:r>
      <w:r w:rsidRPr="00024101" w:rsidR="004712A0">
        <w:t>improving antibiotic use</w:t>
      </w:r>
      <w:r w:rsidRPr="00024101">
        <w:t xml:space="preserve"> cohort. However, following pre-recruitment discussions with our Technical Expert Panel (TEP) and potential participants, we have learned that our target audience for the </w:t>
      </w:r>
      <w:r w:rsidRPr="00024101" w:rsidR="004712A0">
        <w:t>improving antibiotic use</w:t>
      </w:r>
      <w:r w:rsidRPr="00024101">
        <w:t xml:space="preserve"> cohort is comprised of healthcare providers from two distinctly different settings </w:t>
      </w:r>
      <w:r w:rsidRPr="00024101" w:rsidR="00BC0331">
        <w:t>(</w:t>
      </w:r>
      <w:r w:rsidRPr="00024101">
        <w:t>brick-and-mortar and telemedicine-only</w:t>
      </w:r>
      <w:r w:rsidRPr="00024101" w:rsidR="00BC0331">
        <w:t>)</w:t>
      </w:r>
      <w:r w:rsidRPr="00024101">
        <w:t xml:space="preserve"> settings. Providers that practice in brick-and-mortar settings provide care both in-person and via telemedicine whereas providers</w:t>
      </w:r>
      <w:r w:rsidRPr="00024101">
        <w:t xml:space="preserve"> that practice in telemedicine-only settings provide care exclusively using telemedicine. Therefore, we are proposing the following revisions to account for the differences in the two practice settings. </w:t>
      </w:r>
    </w:p>
    <w:p w:rsidR="009D1238" w:rsidRPr="00024101" w:rsidP="004461A7" w14:paraId="3B800DB1" w14:textId="77777777"/>
    <w:p w:rsidR="001C7450" w:rsidRPr="00024101" w:rsidP="001C7450" w14:paraId="324ED53E" w14:textId="25AF9AA3">
      <w:pPr>
        <w:pStyle w:val="ListParagraph"/>
        <w:numPr>
          <w:ilvl w:val="0"/>
          <w:numId w:val="41"/>
        </w:numPr>
      </w:pPr>
      <w:r w:rsidRPr="00024101">
        <w:rPr>
          <w:b/>
          <w:bCs/>
        </w:rPr>
        <w:t>Structural Assessment and Participant Experience Su</w:t>
      </w:r>
      <w:r w:rsidRPr="00024101">
        <w:rPr>
          <w:b/>
          <w:bCs/>
        </w:rPr>
        <w:t>rvey</w:t>
      </w:r>
      <w:r w:rsidRPr="00024101" w:rsidR="009D1238">
        <w:rPr>
          <w:b/>
          <w:bCs/>
        </w:rPr>
        <w:t>s</w:t>
      </w:r>
      <w:r w:rsidRPr="00024101">
        <w:t xml:space="preserve">: </w:t>
      </w:r>
      <w:r w:rsidRPr="00024101" w:rsidR="007B50EE">
        <w:t xml:space="preserve">The 2023 AHRQ Safety Program for Telemedicine materials submitted for OMB clearance included a single version of the Structural Assessment and Participant Experience Survey to be completed by all participants in the </w:t>
      </w:r>
      <w:r w:rsidRPr="00024101" w:rsidR="004712A0">
        <w:t>improving antibiotic use</w:t>
      </w:r>
      <w:r w:rsidRPr="00024101" w:rsidR="007B50EE">
        <w:t xml:space="preserve"> cohort. </w:t>
      </w:r>
      <w:r w:rsidRPr="00024101">
        <w:t xml:space="preserve">We propose administering two different versions of the Structural Assessment and Participant Experience Survey for the </w:t>
      </w:r>
      <w:r w:rsidRPr="00024101" w:rsidR="004712A0">
        <w:t xml:space="preserve">improving antibiotic use </w:t>
      </w:r>
      <w:r w:rsidRPr="00024101">
        <w:t>cohort. One version will be administered to participants practicing in brick-and-mortar settings and one version</w:t>
      </w:r>
      <w:r w:rsidRPr="00024101">
        <w:t xml:space="preserve"> to participants practicing in telemedicine-only settings.</w:t>
      </w:r>
      <w:r w:rsidRPr="00024101" w:rsidR="009B5007">
        <w:t xml:space="preserve"> </w:t>
      </w:r>
    </w:p>
    <w:p w:rsidR="003012EE" w:rsidRPr="00024101" w:rsidP="003012EE" w14:paraId="7E92B2C8" w14:textId="3A126E43">
      <w:pPr>
        <w:pStyle w:val="ListParagraph"/>
        <w:numPr>
          <w:ilvl w:val="0"/>
          <w:numId w:val="42"/>
        </w:numPr>
      </w:pPr>
      <w:r w:rsidRPr="00024101">
        <w:rPr>
          <w:b/>
          <w:bCs/>
        </w:rPr>
        <w:t>M</w:t>
      </w:r>
      <w:r w:rsidRPr="00024101" w:rsidR="00A82B26">
        <w:rPr>
          <w:b/>
          <w:bCs/>
        </w:rPr>
        <w:t xml:space="preserve">edical </w:t>
      </w:r>
      <w:r w:rsidRPr="00024101">
        <w:rPr>
          <w:b/>
          <w:bCs/>
        </w:rPr>
        <w:t>O</w:t>
      </w:r>
      <w:r w:rsidRPr="00024101" w:rsidR="00A82B26">
        <w:rPr>
          <w:b/>
          <w:bCs/>
        </w:rPr>
        <w:t>ffice Survey on Patient Safety Culture (MO</w:t>
      </w:r>
      <w:r w:rsidRPr="00024101">
        <w:rPr>
          <w:b/>
          <w:bCs/>
        </w:rPr>
        <w:t>SOPS</w:t>
      </w:r>
      <w:r w:rsidRPr="00024101" w:rsidR="00A82B26">
        <w:rPr>
          <w:b/>
          <w:bCs/>
        </w:rPr>
        <w:t>)</w:t>
      </w:r>
      <w:r w:rsidRPr="00024101">
        <w:rPr>
          <w:b/>
          <w:bCs/>
        </w:rPr>
        <w:t xml:space="preserve">: </w:t>
      </w:r>
      <w:r w:rsidRPr="00024101" w:rsidR="00A82B26">
        <w:t xml:space="preserve">The 2023 AHRQ Safety Program for Telemedicine materials submitted for OMB clearance included completion of the MOSOPS by all participating staff across all participating practices. In this revision, we propose </w:t>
      </w:r>
      <w:r w:rsidRPr="00024101">
        <w:t>administering the MOSOPS to HCPs practicing in brick-and-mortar settings only. The MOSOPS was designed to assess key characteristics of HCPs working in-person in a single medical offic</w:t>
      </w:r>
      <w:r w:rsidRPr="00024101">
        <w:t xml:space="preserve">e and results are unlikely to be reliable or </w:t>
      </w:r>
      <w:r w:rsidRPr="00024101">
        <w:t>valid if administered among HCPs practicing in telemedicine-only settings. We have updated the estimated annual burden hours to reflect the reduced number of respondents to MOSOPS (see Table 1 below).</w:t>
      </w:r>
    </w:p>
    <w:p w:rsidR="00A71471" w:rsidRPr="00024101" w:rsidP="001C7450" w14:paraId="2526E617" w14:textId="2782023E">
      <w:pPr>
        <w:pStyle w:val="ListParagraph"/>
        <w:numPr>
          <w:ilvl w:val="0"/>
          <w:numId w:val="41"/>
        </w:numPr>
      </w:pPr>
      <w:r w:rsidRPr="00024101">
        <w:rPr>
          <w:b/>
          <w:bCs/>
        </w:rPr>
        <w:t>Schedule o</w:t>
      </w:r>
      <w:r w:rsidRPr="00024101">
        <w:rPr>
          <w:b/>
          <w:bCs/>
        </w:rPr>
        <w:t xml:space="preserve">f Assessment Activities: </w:t>
      </w:r>
      <w:r w:rsidRPr="00024101" w:rsidR="00C66043">
        <w:t xml:space="preserve">We propose revising the </w:t>
      </w:r>
      <w:r w:rsidRPr="00024101" w:rsidR="00013F3E">
        <w:t xml:space="preserve">Schedule of Assessment Activities </w:t>
      </w:r>
      <w:r w:rsidRPr="00024101">
        <w:t>to</w:t>
      </w:r>
      <w:r w:rsidRPr="00024101" w:rsidR="00013F3E">
        <w:t xml:space="preserve"> include </w:t>
      </w:r>
      <w:r w:rsidRPr="00024101" w:rsidR="00C66043">
        <w:t xml:space="preserve">an </w:t>
      </w:r>
      <w:r w:rsidRPr="00024101" w:rsidR="00D50F88">
        <w:t>additional three months of</w:t>
      </w:r>
      <w:r w:rsidRPr="00024101" w:rsidR="00C66043">
        <w:t xml:space="preserve"> </w:t>
      </w:r>
      <w:r w:rsidRPr="00024101" w:rsidR="00013F3E">
        <w:t>baseline antibiotic use data to better understand pre-intervention prescribing rates</w:t>
      </w:r>
      <w:r w:rsidRPr="00024101">
        <w:t xml:space="preserve">. </w:t>
      </w:r>
      <w:r w:rsidRPr="00024101" w:rsidR="00D50F88">
        <w:t>Baseline antibiotic use data will now include data from March 2024 to August 2024.</w:t>
      </w:r>
      <w:r w:rsidRPr="00024101">
        <w:t>T</w:t>
      </w:r>
      <w:r w:rsidRPr="00024101" w:rsidR="00013F3E">
        <w:t xml:space="preserve">his is consistent with the prior AHRQ Safety Program for Improving Antibiotic Use. </w:t>
      </w:r>
      <w:r w:rsidRPr="00024101" w:rsidR="004712A0">
        <w:t>T</w:t>
      </w:r>
      <w:r w:rsidRPr="00024101" w:rsidR="00D50F88">
        <w:t>his change</w:t>
      </w:r>
      <w:r w:rsidRPr="00024101" w:rsidR="004712A0">
        <w:t xml:space="preserve"> to the date range within the existing baseline</w:t>
      </w:r>
      <w:r w:rsidRPr="00024101" w:rsidR="00CD22C5">
        <w:t xml:space="preserve"> data requested</w:t>
      </w:r>
      <w:r w:rsidRPr="00024101" w:rsidR="00D50F88">
        <w:t xml:space="preserve"> </w:t>
      </w:r>
      <w:r w:rsidRPr="00024101" w:rsidR="004712A0">
        <w:t xml:space="preserve">in the original OMB submission </w:t>
      </w:r>
      <w:r w:rsidRPr="00024101">
        <w:t xml:space="preserve">will not increase </w:t>
      </w:r>
      <w:r w:rsidRPr="00024101" w:rsidR="00D50F88">
        <w:t xml:space="preserve">the estimated annualized burden hours. </w:t>
      </w:r>
    </w:p>
    <w:p w:rsidR="004461A7" w:rsidRPr="00024101" w:rsidP="002A7FE5" w14:paraId="034EE1E1" w14:textId="078C13CA">
      <w:pPr>
        <w:pStyle w:val="ListParagraph"/>
        <w:numPr>
          <w:ilvl w:val="0"/>
          <w:numId w:val="41"/>
        </w:numPr>
      </w:pPr>
      <w:r w:rsidRPr="00024101">
        <w:rPr>
          <w:b/>
          <w:bCs/>
        </w:rPr>
        <w:t>Other Materials:</w:t>
      </w:r>
      <w:r w:rsidRPr="00024101" w:rsidR="00013F3E">
        <w:t xml:space="preserve"> </w:t>
      </w:r>
      <w:r w:rsidRPr="00024101">
        <w:t>T</w:t>
      </w:r>
      <w:r w:rsidRPr="00024101" w:rsidR="00013F3E">
        <w:t xml:space="preserve">he </w:t>
      </w:r>
      <w:r w:rsidRPr="00024101" w:rsidR="00B33601">
        <w:t>Draft</w:t>
      </w:r>
      <w:r w:rsidRPr="00024101" w:rsidR="009B5007">
        <w:t xml:space="preserve"> Interview Guide </w:t>
      </w:r>
      <w:r w:rsidRPr="00024101" w:rsidR="00B33601">
        <w:t>for Semi-Structured Interviews (</w:t>
      </w:r>
      <w:r w:rsidRPr="00024101" w:rsidR="004C1298">
        <w:t xml:space="preserve">Improving </w:t>
      </w:r>
      <w:r w:rsidRPr="00024101" w:rsidR="009B5007">
        <w:t>A</w:t>
      </w:r>
      <w:r w:rsidRPr="00024101" w:rsidR="004C1298">
        <w:t xml:space="preserve">ntibiotic </w:t>
      </w:r>
      <w:r w:rsidRPr="00024101" w:rsidR="0099643A">
        <w:t>U</w:t>
      </w:r>
      <w:r w:rsidRPr="00024101" w:rsidR="004C1298">
        <w:t>se</w:t>
      </w:r>
      <w:r w:rsidRPr="00024101" w:rsidR="009B5007">
        <w:t xml:space="preserve"> cohort</w:t>
      </w:r>
      <w:r w:rsidRPr="00024101" w:rsidR="00B33601">
        <w:t xml:space="preserve"> only)</w:t>
      </w:r>
      <w:r w:rsidRPr="00024101" w:rsidR="009B5007">
        <w:t xml:space="preserve">, the Antibiotic Prescription Data Template, and the Instructions for </w:t>
      </w:r>
      <w:r w:rsidRPr="00024101" w:rsidR="003F7BEC">
        <w:t xml:space="preserve">the Antibiotic Prescription Data Template </w:t>
      </w:r>
      <w:r w:rsidRPr="00024101" w:rsidR="00C66043">
        <w:t>include</w:t>
      </w:r>
      <w:r w:rsidRPr="00024101">
        <w:t xml:space="preserve"> revisions </w:t>
      </w:r>
      <w:r w:rsidRPr="00024101" w:rsidR="003F7BEC">
        <w:t xml:space="preserve">based on lessons learned from the TEP and conversations with participants from the prior AHRQ Safety Program for Improving Antibiotic Use.  </w:t>
      </w:r>
    </w:p>
    <w:p w:rsidR="00592354" w:rsidRPr="00024101" w:rsidP="004461A7" w14:paraId="28453E8B" w14:textId="77777777"/>
    <w:p w:rsidR="00592354" w:rsidRPr="00EB0876" w:rsidP="00592354" w14:paraId="4B718C89" w14:textId="77777777">
      <w:pPr>
        <w:rPr>
          <w:bCs/>
        </w:rPr>
      </w:pPr>
    </w:p>
    <w:tbl>
      <w:tblPr>
        <w:tblW w:w="93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92"/>
        <w:gridCol w:w="1652"/>
        <w:gridCol w:w="1447"/>
        <w:gridCol w:w="1237"/>
        <w:gridCol w:w="1079"/>
      </w:tblGrid>
      <w:tr w14:paraId="5659A94E" w14:textId="77777777" w:rsidTr="00B36A3D">
        <w:tblPrEx>
          <w:tblW w:w="93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90"/>
        </w:trPr>
        <w:tc>
          <w:tcPr>
            <w:tcW w:w="9307" w:type="dxa"/>
            <w:gridSpan w:val="5"/>
            <w:tcBorders>
              <w:top w:val="nil"/>
              <w:left w:val="nil"/>
              <w:bottom w:val="single" w:sz="4" w:space="0" w:color="auto"/>
              <w:right w:val="nil"/>
            </w:tcBorders>
            <w:tcMar>
              <w:top w:w="0" w:type="dxa"/>
              <w:left w:w="108" w:type="dxa"/>
              <w:bottom w:w="0" w:type="dxa"/>
              <w:right w:w="108" w:type="dxa"/>
            </w:tcMar>
          </w:tcPr>
          <w:p w:rsidR="00253FC7" w:rsidRPr="00253FC7" w:rsidP="00253FC7" w14:paraId="3CBDBF1E" w14:textId="187B8777">
            <w:pPr>
              <w:rPr>
                <w:b/>
                <w:bCs/>
              </w:rPr>
            </w:pPr>
            <w:r w:rsidRPr="00253FC7">
              <w:rPr>
                <w:b/>
                <w:bCs/>
              </w:rPr>
              <w:t>Exhibit 1.  Estimated Annualized Burden Hours (See Section 12)</w:t>
            </w:r>
          </w:p>
        </w:tc>
      </w:tr>
      <w:tr w14:paraId="30E02DD8" w14:textId="77777777" w:rsidTr="00B36A3D">
        <w:tblPrEx>
          <w:tblW w:w="9307" w:type="dxa"/>
          <w:tblInd w:w="108" w:type="dxa"/>
          <w:tblCellMar>
            <w:left w:w="0" w:type="dxa"/>
            <w:right w:w="0" w:type="dxa"/>
          </w:tblCellMar>
          <w:tblLook w:val="04A0"/>
        </w:tblPrEx>
        <w:trPr>
          <w:trHeight w:val="1129"/>
        </w:trPr>
        <w:tc>
          <w:tcPr>
            <w:tcW w:w="3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1F6711" w14:paraId="34D11878" w14:textId="77777777">
            <w:pPr>
              <w:ind w:right="2418"/>
              <w:rPr>
                <w:b/>
              </w:rPr>
            </w:pPr>
            <w:r w:rsidRPr="00253FC7">
              <w:rPr>
                <w:b/>
              </w:rPr>
              <w:t>Form Name</w:t>
            </w:r>
          </w:p>
        </w:tc>
        <w:tc>
          <w:tcPr>
            <w:tcW w:w="1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1F6711" w14:paraId="54A4832B" w14:textId="77777777">
            <w:pPr>
              <w:jc w:val="center"/>
              <w:rPr>
                <w:b/>
                <w:bCs/>
              </w:rPr>
            </w:pPr>
            <w:r w:rsidRPr="00253FC7">
              <w:rPr>
                <w:b/>
                <w:bCs/>
              </w:rPr>
              <w:t xml:space="preserve">Number of </w:t>
            </w:r>
            <w:r w:rsidRPr="00253FC7">
              <w:rPr>
                <w:b/>
                <w:bCs/>
              </w:rPr>
              <w:t>Respondents*</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5915" w:rsidRPr="00253FC7" w:rsidP="001F6711" w14:paraId="4648DEB7" w14:textId="77777777">
            <w:pPr>
              <w:jc w:val="center"/>
              <w:rPr>
                <w:b/>
              </w:rPr>
            </w:pPr>
            <w:r w:rsidRPr="00253FC7">
              <w:rPr>
                <w:b/>
              </w:rPr>
              <w:t>Number of Responses per Respondent</w:t>
            </w:r>
          </w:p>
        </w:tc>
        <w:tc>
          <w:tcPr>
            <w:tcW w:w="1237" w:type="dxa"/>
            <w:tcBorders>
              <w:top w:val="single" w:sz="4" w:space="0" w:color="auto"/>
              <w:left w:val="single" w:sz="4" w:space="0" w:color="auto"/>
              <w:bottom w:val="single" w:sz="4" w:space="0" w:color="auto"/>
              <w:right w:val="single" w:sz="4" w:space="0" w:color="auto"/>
            </w:tcBorders>
          </w:tcPr>
          <w:p w:rsidR="00305915" w:rsidRPr="00253FC7" w:rsidP="001F6711" w14:paraId="7494E101" w14:textId="77777777">
            <w:pPr>
              <w:jc w:val="center"/>
              <w:rPr>
                <w:b/>
                <w:bCs/>
                <w:color w:val="000000"/>
              </w:rPr>
            </w:pPr>
            <w:r w:rsidRPr="00253FC7">
              <w:rPr>
                <w:b/>
                <w:bCs/>
                <w:color w:val="000000"/>
              </w:rPr>
              <w:t>Hours per Response</w:t>
            </w: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1F6711" w14:paraId="0E88CAFE" w14:textId="77777777">
            <w:pPr>
              <w:jc w:val="center"/>
              <w:rPr>
                <w:b/>
                <w:bCs/>
              </w:rPr>
            </w:pPr>
            <w:r w:rsidRPr="00253FC7">
              <w:rPr>
                <w:b/>
                <w:bCs/>
              </w:rPr>
              <w:t>Total Burden Hours</w:t>
            </w:r>
          </w:p>
        </w:tc>
      </w:tr>
      <w:tr w14:paraId="19E3C8AE" w14:textId="77777777" w:rsidTr="00B36A3D">
        <w:tblPrEx>
          <w:tblW w:w="9307" w:type="dxa"/>
          <w:tblInd w:w="108" w:type="dxa"/>
          <w:tblCellMar>
            <w:left w:w="0" w:type="dxa"/>
            <w:right w:w="0" w:type="dxa"/>
          </w:tblCellMar>
          <w:tblLook w:val="04A0"/>
        </w:tblPrEx>
        <w:trPr>
          <w:trHeight w:val="854"/>
        </w:trPr>
        <w:tc>
          <w:tcPr>
            <w:tcW w:w="3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1F6711" w14:paraId="234B7A75" w14:textId="77777777">
            <w:pPr>
              <w:pStyle w:val="ColorfulList-Accent11"/>
              <w:numPr>
                <w:ilvl w:val="0"/>
                <w:numId w:val="44"/>
              </w:numPr>
              <w:rPr>
                <w:bCs/>
              </w:rPr>
            </w:pPr>
            <w:r w:rsidRPr="00253FC7">
              <w:rPr>
                <w:bCs/>
              </w:rPr>
              <w:t>Structural Assessment (telemedicine-only and brick-and-mortar)</w:t>
            </w:r>
          </w:p>
        </w:tc>
        <w:tc>
          <w:tcPr>
            <w:tcW w:w="1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1F6711" w14:paraId="21A59CD1" w14:textId="77777777">
            <w:pPr>
              <w:jc w:val="center"/>
              <w:rPr>
                <w:bCs/>
              </w:rPr>
            </w:pPr>
            <w:r w:rsidRPr="00253FC7">
              <w:rPr>
                <w:bCs/>
              </w:rPr>
              <w:t>188</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5915" w:rsidRPr="00253FC7" w:rsidP="001F6711" w14:paraId="697DCE3F" w14:textId="77777777">
            <w:pPr>
              <w:jc w:val="center"/>
              <w:rPr>
                <w:bCs/>
              </w:rPr>
            </w:pPr>
            <w:r w:rsidRPr="00253FC7">
              <w:rPr>
                <w:bCs/>
              </w:rPr>
              <w:t>2</w:t>
            </w:r>
          </w:p>
        </w:tc>
        <w:tc>
          <w:tcPr>
            <w:tcW w:w="1237" w:type="dxa"/>
            <w:tcBorders>
              <w:top w:val="single" w:sz="4" w:space="0" w:color="auto"/>
              <w:left w:val="single" w:sz="4" w:space="0" w:color="auto"/>
              <w:bottom w:val="single" w:sz="4" w:space="0" w:color="auto"/>
              <w:right w:val="single" w:sz="4" w:space="0" w:color="auto"/>
            </w:tcBorders>
          </w:tcPr>
          <w:p w:rsidR="00305915" w:rsidRPr="00253FC7" w:rsidP="001F6711" w14:paraId="1A5E3C4D" w14:textId="77777777">
            <w:pPr>
              <w:jc w:val="center"/>
              <w:rPr>
                <w:bCs/>
                <w:color w:val="000000"/>
              </w:rPr>
            </w:pPr>
            <w:r w:rsidRPr="00253FC7">
              <w:rPr>
                <w:bCs/>
                <w:color w:val="000000"/>
              </w:rPr>
              <w:t>0.2</w:t>
            </w: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1F6711" w14:paraId="2C3C21A7" w14:textId="77777777">
            <w:pPr>
              <w:jc w:val="center"/>
              <w:rPr>
                <w:bCs/>
              </w:rPr>
            </w:pPr>
            <w:r w:rsidRPr="00253FC7">
              <w:rPr>
                <w:bCs/>
              </w:rPr>
              <w:t>75</w:t>
            </w:r>
          </w:p>
        </w:tc>
      </w:tr>
      <w:tr w14:paraId="379E52A8" w14:textId="77777777" w:rsidTr="00B36A3D">
        <w:tblPrEx>
          <w:tblW w:w="9307" w:type="dxa"/>
          <w:tblInd w:w="108" w:type="dxa"/>
          <w:tblCellMar>
            <w:left w:w="0" w:type="dxa"/>
            <w:right w:w="0" w:type="dxa"/>
          </w:tblCellMar>
          <w:tblLook w:val="04A0"/>
        </w:tblPrEx>
        <w:trPr>
          <w:trHeight w:val="890"/>
        </w:trPr>
        <w:tc>
          <w:tcPr>
            <w:tcW w:w="3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6A3D" w:rsidRPr="00B36A3D" w:rsidP="00B36A3D" w14:paraId="27B5BDF2" w14:textId="7B9E110C">
            <w:pPr>
              <w:pStyle w:val="ColorfulList-Accent11"/>
              <w:numPr>
                <w:ilvl w:val="0"/>
                <w:numId w:val="44"/>
              </w:numPr>
              <w:rPr>
                <w:bCs/>
              </w:rPr>
            </w:pPr>
            <w:r w:rsidRPr="00253FC7">
              <w:rPr>
                <w:bCs/>
              </w:rPr>
              <w:t xml:space="preserve">AHRQ Medical Office Survey on Patient Safety Culture (MOSOPS) </w:t>
            </w:r>
            <w:r w:rsidRPr="00253FC7">
              <w:rPr>
                <w:bCs/>
              </w:rPr>
              <w:t>(brick-and-mortar only)</w:t>
            </w:r>
          </w:p>
          <w:p w:rsidR="00B36A3D" w:rsidRPr="00B36A3D" w:rsidP="00B36A3D" w14:paraId="529679DA" w14:textId="77777777"/>
        </w:tc>
        <w:tc>
          <w:tcPr>
            <w:tcW w:w="1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1F6711" w14:paraId="71CD7456" w14:textId="5A899D28">
            <w:pPr>
              <w:jc w:val="center"/>
              <w:rPr>
                <w:bCs/>
              </w:rPr>
            </w:pPr>
            <w:r w:rsidRPr="00253FC7">
              <w:rPr>
                <w:bCs/>
              </w:rPr>
              <w:t>438</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5915" w:rsidRPr="00253FC7" w:rsidP="001F6711" w14:paraId="71F506C4" w14:textId="77777777">
            <w:pPr>
              <w:jc w:val="center"/>
              <w:rPr>
                <w:bCs/>
              </w:rPr>
            </w:pPr>
            <w:r w:rsidRPr="00253FC7">
              <w:rPr>
                <w:bCs/>
              </w:rPr>
              <w:t>2</w:t>
            </w:r>
          </w:p>
        </w:tc>
        <w:tc>
          <w:tcPr>
            <w:tcW w:w="1237" w:type="dxa"/>
            <w:tcBorders>
              <w:top w:val="single" w:sz="4" w:space="0" w:color="auto"/>
              <w:left w:val="single" w:sz="4" w:space="0" w:color="auto"/>
              <w:bottom w:val="single" w:sz="4" w:space="0" w:color="auto"/>
              <w:right w:val="single" w:sz="4" w:space="0" w:color="auto"/>
            </w:tcBorders>
          </w:tcPr>
          <w:p w:rsidR="00305915" w:rsidRPr="00253FC7" w:rsidP="001F6711" w14:paraId="60119366" w14:textId="77777777">
            <w:pPr>
              <w:jc w:val="center"/>
              <w:rPr>
                <w:bCs/>
                <w:color w:val="000000"/>
              </w:rPr>
            </w:pPr>
            <w:r w:rsidRPr="00253FC7">
              <w:rPr>
                <w:bCs/>
                <w:color w:val="000000"/>
              </w:rPr>
              <w:t>0.5</w:t>
            </w: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1F6711" w14:paraId="1D50962F" w14:textId="6AB1BC07">
            <w:pPr>
              <w:jc w:val="center"/>
              <w:rPr>
                <w:bCs/>
              </w:rPr>
            </w:pPr>
            <w:r w:rsidRPr="00253FC7">
              <w:rPr>
                <w:bCs/>
              </w:rPr>
              <w:t>438</w:t>
            </w:r>
          </w:p>
        </w:tc>
      </w:tr>
      <w:tr w14:paraId="51A3EF94" w14:textId="77777777" w:rsidTr="00B36A3D">
        <w:tblPrEx>
          <w:tblW w:w="9307" w:type="dxa"/>
          <w:tblInd w:w="108" w:type="dxa"/>
          <w:tblCellMar>
            <w:left w:w="0" w:type="dxa"/>
            <w:right w:w="0" w:type="dxa"/>
          </w:tblCellMar>
          <w:tblLook w:val="04A0"/>
        </w:tblPrEx>
        <w:trPr>
          <w:trHeight w:val="854"/>
        </w:trPr>
        <w:tc>
          <w:tcPr>
            <w:tcW w:w="3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1F6711" w14:paraId="4FD5B8BE" w14:textId="77777777">
            <w:pPr>
              <w:pStyle w:val="ColorfulList-Accent11"/>
              <w:numPr>
                <w:ilvl w:val="0"/>
                <w:numId w:val="44"/>
              </w:numPr>
              <w:rPr>
                <w:bCs/>
              </w:rPr>
            </w:pPr>
            <w:r w:rsidRPr="00253FC7">
              <w:rPr>
                <w:bCs/>
              </w:rPr>
              <w:t>Participant Experience Survey (telemedicine-only and brick-and-mortar)</w:t>
            </w:r>
          </w:p>
        </w:tc>
        <w:tc>
          <w:tcPr>
            <w:tcW w:w="1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1F6711" w14:paraId="551D3653" w14:textId="77777777">
            <w:pPr>
              <w:jc w:val="center"/>
              <w:rPr>
                <w:bCs/>
              </w:rPr>
            </w:pPr>
            <w:r w:rsidRPr="00253FC7">
              <w:rPr>
                <w:bCs/>
              </w:rPr>
              <w:t>188</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5915" w:rsidRPr="00253FC7" w:rsidP="001F6711" w14:paraId="5CB9FE2B" w14:textId="77777777">
            <w:pPr>
              <w:jc w:val="center"/>
              <w:rPr>
                <w:bCs/>
              </w:rPr>
            </w:pPr>
            <w:r w:rsidRPr="00253FC7">
              <w:rPr>
                <w:bCs/>
              </w:rPr>
              <w:t>1</w:t>
            </w:r>
          </w:p>
        </w:tc>
        <w:tc>
          <w:tcPr>
            <w:tcW w:w="1237" w:type="dxa"/>
            <w:tcBorders>
              <w:top w:val="single" w:sz="4" w:space="0" w:color="auto"/>
              <w:left w:val="single" w:sz="4" w:space="0" w:color="auto"/>
              <w:bottom w:val="single" w:sz="4" w:space="0" w:color="auto"/>
              <w:right w:val="single" w:sz="4" w:space="0" w:color="auto"/>
            </w:tcBorders>
          </w:tcPr>
          <w:p w:rsidR="00305915" w:rsidRPr="00253FC7" w:rsidP="001F6711" w14:paraId="6658A6AA" w14:textId="77777777">
            <w:pPr>
              <w:jc w:val="center"/>
              <w:rPr>
                <w:bCs/>
                <w:color w:val="000000"/>
              </w:rPr>
            </w:pPr>
            <w:r w:rsidRPr="00253FC7">
              <w:rPr>
                <w:bCs/>
                <w:color w:val="000000"/>
              </w:rPr>
              <w:t>0.33</w:t>
            </w: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1F6711" w14:paraId="71FEA8F0" w14:textId="77777777">
            <w:pPr>
              <w:jc w:val="center"/>
              <w:rPr>
                <w:bCs/>
              </w:rPr>
            </w:pPr>
            <w:r w:rsidRPr="00253FC7">
              <w:rPr>
                <w:bCs/>
              </w:rPr>
              <w:t>62</w:t>
            </w:r>
          </w:p>
        </w:tc>
      </w:tr>
      <w:tr w14:paraId="5131D86C" w14:textId="77777777" w:rsidTr="00B36A3D">
        <w:tblPrEx>
          <w:tblW w:w="9307" w:type="dxa"/>
          <w:tblInd w:w="108" w:type="dxa"/>
          <w:tblCellMar>
            <w:left w:w="0" w:type="dxa"/>
            <w:right w:w="0" w:type="dxa"/>
          </w:tblCellMar>
          <w:tblLook w:val="04A0"/>
        </w:tblPrEx>
        <w:trPr>
          <w:trHeight w:val="854"/>
        </w:trPr>
        <w:tc>
          <w:tcPr>
            <w:tcW w:w="3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1F6711" w14:paraId="192AEC4A" w14:textId="77777777">
            <w:pPr>
              <w:pStyle w:val="ColorfulList-Accent11"/>
              <w:numPr>
                <w:ilvl w:val="0"/>
                <w:numId w:val="44"/>
              </w:numPr>
              <w:rPr>
                <w:bCs/>
              </w:rPr>
            </w:pPr>
            <w:r w:rsidRPr="00253FC7">
              <w:rPr>
                <w:bCs/>
              </w:rPr>
              <w:t>Semi-structured qualitative interviews (telemedicine-only and brick-and-mortar)</w:t>
            </w:r>
          </w:p>
        </w:tc>
        <w:tc>
          <w:tcPr>
            <w:tcW w:w="1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1F6711" w14:paraId="1EB79F76" w14:textId="77777777">
            <w:pPr>
              <w:jc w:val="center"/>
              <w:rPr>
                <w:bCs/>
              </w:rPr>
            </w:pPr>
            <w:r w:rsidRPr="00253FC7">
              <w:rPr>
                <w:bCs/>
              </w:rPr>
              <w:t>18</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5915" w:rsidRPr="00253FC7" w:rsidP="001F6711" w14:paraId="056D3DC6" w14:textId="77777777">
            <w:pPr>
              <w:jc w:val="center"/>
              <w:rPr>
                <w:bCs/>
              </w:rPr>
            </w:pPr>
            <w:r w:rsidRPr="00253FC7">
              <w:rPr>
                <w:bCs/>
              </w:rPr>
              <w:t>1</w:t>
            </w:r>
          </w:p>
        </w:tc>
        <w:tc>
          <w:tcPr>
            <w:tcW w:w="1237" w:type="dxa"/>
            <w:tcBorders>
              <w:top w:val="single" w:sz="4" w:space="0" w:color="auto"/>
              <w:left w:val="single" w:sz="4" w:space="0" w:color="auto"/>
              <w:bottom w:val="single" w:sz="4" w:space="0" w:color="auto"/>
              <w:right w:val="single" w:sz="4" w:space="0" w:color="auto"/>
            </w:tcBorders>
          </w:tcPr>
          <w:p w:rsidR="00305915" w:rsidRPr="00253FC7" w:rsidP="001F6711" w14:paraId="4AE7887B" w14:textId="77777777">
            <w:pPr>
              <w:jc w:val="center"/>
              <w:rPr>
                <w:bCs/>
                <w:color w:val="000000"/>
              </w:rPr>
            </w:pPr>
            <w:r w:rsidRPr="00253FC7">
              <w:rPr>
                <w:bCs/>
                <w:color w:val="000000"/>
              </w:rPr>
              <w:t>1</w:t>
            </w: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1F6711" w14:paraId="2F6BAF53" w14:textId="77777777">
            <w:pPr>
              <w:jc w:val="center"/>
              <w:rPr>
                <w:bCs/>
              </w:rPr>
            </w:pPr>
            <w:r w:rsidRPr="00253FC7">
              <w:rPr>
                <w:bCs/>
              </w:rPr>
              <w:t>18</w:t>
            </w:r>
          </w:p>
        </w:tc>
      </w:tr>
      <w:tr w14:paraId="245A0887" w14:textId="77777777" w:rsidTr="00B36A3D">
        <w:tblPrEx>
          <w:tblW w:w="9307" w:type="dxa"/>
          <w:tblInd w:w="108" w:type="dxa"/>
          <w:tblCellMar>
            <w:left w:w="0" w:type="dxa"/>
            <w:right w:w="0" w:type="dxa"/>
          </w:tblCellMar>
          <w:tblLook w:val="04A0"/>
        </w:tblPrEx>
        <w:trPr>
          <w:trHeight w:val="564"/>
        </w:trPr>
        <w:tc>
          <w:tcPr>
            <w:tcW w:w="3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1F6711" w14:paraId="004875D7" w14:textId="77777777">
            <w:pPr>
              <w:pStyle w:val="ColorfulList-Accent11"/>
              <w:numPr>
                <w:ilvl w:val="0"/>
                <w:numId w:val="44"/>
              </w:numPr>
              <w:rPr>
                <w:bCs/>
              </w:rPr>
            </w:pPr>
            <w:r w:rsidRPr="00253FC7">
              <w:rPr>
                <w:bCs/>
              </w:rPr>
              <w:t xml:space="preserve">EHR data </w:t>
            </w:r>
            <w:r w:rsidRPr="00253FC7">
              <w:rPr>
                <w:bCs/>
              </w:rPr>
              <w:t>(telemedicine-only and brick-and-mortar)</w:t>
            </w:r>
          </w:p>
        </w:tc>
        <w:tc>
          <w:tcPr>
            <w:tcW w:w="1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1F6711" w14:paraId="76DD5AF8" w14:textId="77777777">
            <w:pPr>
              <w:jc w:val="center"/>
              <w:rPr>
                <w:bCs/>
              </w:rPr>
            </w:pPr>
            <w:r w:rsidRPr="00253FC7">
              <w:rPr>
                <w:bCs/>
              </w:rPr>
              <w:t>225</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5915" w:rsidRPr="00253FC7" w:rsidP="001F6711" w14:paraId="24F7E032" w14:textId="77777777">
            <w:pPr>
              <w:jc w:val="center"/>
              <w:rPr>
                <w:bCs/>
              </w:rPr>
            </w:pPr>
            <w:r w:rsidRPr="00253FC7">
              <w:rPr>
                <w:bCs/>
              </w:rPr>
              <w:t>18</w:t>
            </w:r>
          </w:p>
        </w:tc>
        <w:tc>
          <w:tcPr>
            <w:tcW w:w="1237" w:type="dxa"/>
            <w:tcBorders>
              <w:top w:val="single" w:sz="4" w:space="0" w:color="auto"/>
              <w:left w:val="single" w:sz="4" w:space="0" w:color="auto"/>
              <w:bottom w:val="single" w:sz="4" w:space="0" w:color="auto"/>
              <w:right w:val="single" w:sz="4" w:space="0" w:color="auto"/>
            </w:tcBorders>
          </w:tcPr>
          <w:p w:rsidR="00305915" w:rsidRPr="00253FC7" w:rsidP="001F6711" w14:paraId="5460A904" w14:textId="77777777">
            <w:pPr>
              <w:jc w:val="center"/>
              <w:rPr>
                <w:bCs/>
                <w:color w:val="000000"/>
              </w:rPr>
            </w:pPr>
            <w:r w:rsidRPr="00253FC7">
              <w:rPr>
                <w:bCs/>
                <w:color w:val="000000"/>
              </w:rPr>
              <w:t>1</w:t>
            </w: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1F6711" w14:paraId="1B40E9E7" w14:textId="77777777">
            <w:pPr>
              <w:jc w:val="center"/>
              <w:rPr>
                <w:bCs/>
              </w:rPr>
            </w:pPr>
            <w:r w:rsidRPr="00253FC7">
              <w:rPr>
                <w:bCs/>
              </w:rPr>
              <w:t>4,050</w:t>
            </w:r>
          </w:p>
        </w:tc>
      </w:tr>
      <w:tr w14:paraId="28E4CD7D" w14:textId="77777777" w:rsidTr="00B36A3D">
        <w:tblPrEx>
          <w:tblW w:w="9307" w:type="dxa"/>
          <w:tblInd w:w="108" w:type="dxa"/>
          <w:tblCellMar>
            <w:left w:w="0" w:type="dxa"/>
            <w:right w:w="0" w:type="dxa"/>
          </w:tblCellMar>
          <w:tblLook w:val="04A0"/>
        </w:tblPrEx>
        <w:trPr>
          <w:trHeight w:val="290"/>
        </w:trPr>
        <w:tc>
          <w:tcPr>
            <w:tcW w:w="3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14:paraId="2D05F311" w14:textId="77777777">
            <w:pPr>
              <w:rPr>
                <w:b/>
              </w:rPr>
            </w:pPr>
            <w:r w:rsidRPr="00253FC7">
              <w:rPr>
                <w:b/>
              </w:rPr>
              <w:t>Total</w:t>
            </w:r>
          </w:p>
        </w:tc>
        <w:tc>
          <w:tcPr>
            <w:tcW w:w="1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305915" w14:paraId="584AACB7" w14:textId="77777777">
            <w:pPr>
              <w:rPr>
                <w:b/>
                <w:bCs/>
              </w:rPr>
            </w:pP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5915" w:rsidRPr="00253FC7" w:rsidP="00305915" w14:paraId="43D0C4A4" w14:textId="77777777">
            <w:pPr>
              <w:rPr>
                <w:b/>
              </w:rPr>
            </w:pPr>
          </w:p>
        </w:tc>
        <w:tc>
          <w:tcPr>
            <w:tcW w:w="1237" w:type="dxa"/>
            <w:tcBorders>
              <w:top w:val="single" w:sz="4" w:space="0" w:color="auto"/>
              <w:left w:val="single" w:sz="4" w:space="0" w:color="auto"/>
              <w:bottom w:val="single" w:sz="4" w:space="0" w:color="auto"/>
              <w:right w:val="single" w:sz="4" w:space="0" w:color="auto"/>
            </w:tcBorders>
          </w:tcPr>
          <w:p w:rsidR="00305915" w:rsidRPr="00253FC7" w:rsidP="001F6711" w14:paraId="3B14B174" w14:textId="77777777">
            <w:pPr>
              <w:jc w:val="center"/>
              <w:rPr>
                <w:b/>
                <w:bCs/>
                <w:color w:val="000000"/>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5915" w:rsidRPr="00253FC7" w:rsidP="001F6711" w14:paraId="23E87BDF" w14:textId="77777777">
            <w:pPr>
              <w:jc w:val="center"/>
              <w:rPr>
                <w:b/>
                <w:bCs/>
              </w:rPr>
            </w:pPr>
            <w:r w:rsidRPr="00253FC7">
              <w:rPr>
                <w:b/>
                <w:bCs/>
              </w:rPr>
              <w:t>4,643</w:t>
            </w:r>
          </w:p>
        </w:tc>
      </w:tr>
      <w:tr w14:paraId="76C7AE22" w14:textId="77777777" w:rsidTr="00B36A3D">
        <w:tblPrEx>
          <w:tblW w:w="9307" w:type="dxa"/>
          <w:tblInd w:w="108" w:type="dxa"/>
          <w:tblCellMar>
            <w:left w:w="0" w:type="dxa"/>
            <w:right w:w="0" w:type="dxa"/>
          </w:tblCellMar>
          <w:tblLook w:val="04A0"/>
        </w:tblPrEx>
        <w:trPr>
          <w:trHeight w:val="695"/>
        </w:trPr>
        <w:tc>
          <w:tcPr>
            <w:tcW w:w="930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A3D" w:rsidRPr="00024101" w:rsidP="00B36A3D" w14:paraId="2AA1909F" w14:textId="77777777">
            <w:pPr>
              <w:rPr>
                <w:sz w:val="20"/>
                <w:szCs w:val="20"/>
              </w:rPr>
            </w:pPr>
            <w:r w:rsidRPr="00024101">
              <w:rPr>
                <w:sz w:val="20"/>
                <w:szCs w:val="20"/>
              </w:rPr>
              <w:t xml:space="preserve">*Annualized number of respondents is based on maximum practices recruited, assuming 50% of the   </w:t>
            </w:r>
          </w:p>
          <w:p w:rsidR="00B36A3D" w:rsidRPr="00024101" w:rsidP="00B36A3D" w14:paraId="1335F6B6" w14:textId="77777777">
            <w:pPr>
              <w:rPr>
                <w:sz w:val="20"/>
                <w:szCs w:val="20"/>
              </w:rPr>
            </w:pPr>
            <w:r w:rsidRPr="00024101">
              <w:rPr>
                <w:sz w:val="20"/>
                <w:szCs w:val="20"/>
              </w:rPr>
              <w:t xml:space="preserve">  practices are telemedicine-only and 50% are brick-and-mortar, and 75% response rate for forms 1 and 3, </w:t>
            </w:r>
          </w:p>
          <w:p w:rsidR="00B36A3D" w:rsidRPr="00B36A3D" w:rsidP="00B36A3D" w14:paraId="431E26EA" w14:textId="5E0B4ED8">
            <w:pPr>
              <w:rPr>
                <w:sz w:val="20"/>
                <w:szCs w:val="20"/>
              </w:rPr>
            </w:pPr>
            <w:r w:rsidRPr="00024101">
              <w:rPr>
                <w:sz w:val="20"/>
                <w:szCs w:val="20"/>
              </w:rPr>
              <w:t xml:space="preserve">  50% response rate for form 2, and 90% response rat</w:t>
            </w:r>
            <w:r w:rsidRPr="00024101">
              <w:rPr>
                <w:sz w:val="20"/>
                <w:szCs w:val="20"/>
              </w:rPr>
              <w:t>e for forms 4 and 5.</w:t>
            </w:r>
            <w:r>
              <w:rPr>
                <w:sz w:val="20"/>
                <w:szCs w:val="20"/>
              </w:rPr>
              <w:t xml:space="preserve"> </w:t>
            </w:r>
          </w:p>
        </w:tc>
      </w:tr>
    </w:tbl>
    <w:p w:rsidR="000C350C" w:rsidP="00E418E5" w14:paraId="0C8785D9" w14:textId="77777777">
      <w:pPr>
        <w:rPr>
          <w:sz w:val="20"/>
          <w:szCs w:val="20"/>
        </w:rPr>
      </w:pPr>
      <w:r w:rsidRPr="00024101">
        <w:rPr>
          <w:sz w:val="20"/>
          <w:szCs w:val="20"/>
        </w:rPr>
        <w:t xml:space="preserve">  </w:t>
      </w:r>
    </w:p>
    <w:p w:rsidR="00592354" w:rsidP="000C5C81" w14:paraId="26607077" w14:textId="77777777"/>
    <w:p w:rsidR="000C350C" w:rsidP="000C5C81" w14:paraId="52768A74" w14:textId="77777777"/>
    <w:p w:rsidR="000C350C" w:rsidRPr="004461A7" w:rsidP="000C5C81" w14:paraId="5A6BA7E1" w14:textId="77777777"/>
    <w:p w:rsidR="009B633D" w:rsidRPr="00BC4A10" w:rsidP="009B633D" w14:paraId="28C71FEA" w14:textId="02B3E204">
      <w:pPr>
        <w:pStyle w:val="Heading1"/>
        <w:rPr>
          <w:rFonts w:ascii="Times New Roman" w:hAnsi="Times New Roman" w:cs="Times New Roman"/>
          <w:sz w:val="24"/>
          <w:szCs w:val="24"/>
        </w:rPr>
      </w:pPr>
      <w:bookmarkStart w:id="7" w:name="_Toc160095508"/>
      <w:r w:rsidRPr="00BC4A10">
        <w:rPr>
          <w:rFonts w:ascii="Times New Roman" w:hAnsi="Times New Roman" w:cs="Times New Roman"/>
          <w:sz w:val="24"/>
          <w:szCs w:val="24"/>
        </w:rPr>
        <w:t>A. Justification</w:t>
      </w:r>
      <w:bookmarkEnd w:id="2"/>
      <w:bookmarkEnd w:id="3"/>
      <w:bookmarkEnd w:id="7"/>
    </w:p>
    <w:p w:rsidR="009B633D" w:rsidRPr="00010908" w:rsidP="009B633D" w14:paraId="7A202AD9" w14:textId="77777777"/>
    <w:p w:rsidR="009B633D" w:rsidRPr="00BC4A10" w:rsidP="006014DB" w14:paraId="3F18B4AD" w14:textId="77777777">
      <w:pPr>
        <w:pStyle w:val="Heading2"/>
        <w:spacing w:before="0" w:after="0"/>
        <w:rPr>
          <w:rFonts w:ascii="Times New Roman" w:hAnsi="Times New Roman" w:cs="Times New Roman"/>
          <w:sz w:val="24"/>
          <w:szCs w:val="24"/>
        </w:rPr>
      </w:pPr>
      <w:bookmarkStart w:id="8" w:name="_Toc151782176"/>
      <w:bookmarkStart w:id="9" w:name="_Toc158526216"/>
      <w:bookmarkStart w:id="10" w:name="_Toc160095509"/>
      <w:r w:rsidRPr="00BC4A10">
        <w:rPr>
          <w:rFonts w:ascii="Times New Roman" w:hAnsi="Times New Roman" w:cs="Times New Roman"/>
          <w:sz w:val="24"/>
          <w:szCs w:val="24"/>
        </w:rPr>
        <w:t xml:space="preserve">1. </w:t>
      </w:r>
      <w:bookmarkEnd w:id="8"/>
      <w:bookmarkEnd w:id="9"/>
      <w:r w:rsidRPr="00BC4A10" w:rsidR="006014DB">
        <w:rPr>
          <w:rFonts w:ascii="Times New Roman" w:hAnsi="Times New Roman" w:cs="Times New Roman"/>
          <w:sz w:val="24"/>
          <w:szCs w:val="24"/>
        </w:rPr>
        <w:t>Circumstances that make the collection of information necessary</w:t>
      </w:r>
      <w:bookmarkEnd w:id="10"/>
    </w:p>
    <w:p w:rsidR="006014DB" w:rsidRPr="00010908" w:rsidP="006014DB" w14:paraId="31D835C7" w14:textId="77777777"/>
    <w:p w:rsidR="000A140E" w:rsidRPr="00010908" w:rsidP="000A140E" w14:paraId="4E93E078" w14:textId="77777777">
      <w:r w:rsidRPr="00010908">
        <w:t xml:space="preserve">The mission of the Agency for Healthcare Research and Quality (AHRQ) set out in its authorizing legislation, The Healthcare Research and Quality Act of 1999 (see </w:t>
      </w:r>
      <w:hyperlink r:id="rId10" w:history="1">
        <w:r w:rsidRPr="00817F43" w:rsidR="00822EE1">
          <w:rPr>
            <w:rStyle w:val="Hyperlink"/>
          </w:rPr>
          <w:t>https://www.ahrq.gov/sites/default/files/wysiwyg/policymakers/hrqa99.pdf</w:t>
        </w:r>
      </w:hyperlink>
      <w:r w:rsidRPr="00010908">
        <w:t>), is to enhance the quality, appropriateness, and effectiveness of health services, and access to such services, through the establishment of a broad base</w:t>
      </w:r>
      <w:r w:rsidRPr="00010908">
        <w:t xml:space="preserv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RPr="00010908" w:rsidP="00606400" w14:paraId="1A1738E2" w14:textId="77777777">
      <w:pPr>
        <w:tabs>
          <w:tab w:val="left" w:pos="360"/>
        </w:tabs>
      </w:pPr>
      <w:r w:rsidRPr="00010908">
        <w:tab/>
      </w:r>
    </w:p>
    <w:p w:rsidR="00606400" w:rsidRPr="00010908" w:rsidP="00606400" w14:paraId="07EDEF0D" w14:textId="77777777">
      <w:pPr>
        <w:tabs>
          <w:tab w:val="left" w:pos="360"/>
        </w:tabs>
        <w:ind w:left="360"/>
      </w:pPr>
      <w:r w:rsidRPr="00010908">
        <w:t>1.</w:t>
      </w:r>
      <w:r w:rsidRPr="00010908">
        <w:tab/>
      </w:r>
      <w:r w:rsidRPr="00010908" w:rsidR="00DB1BBA">
        <w:t>R</w:t>
      </w:r>
      <w:r w:rsidRPr="00010908">
        <w:t>esearch that develops and presents scientific evidence regardi</w:t>
      </w:r>
      <w:r w:rsidRPr="00010908" w:rsidR="00AA1DDC">
        <w:t xml:space="preserve">ng all aspects of </w:t>
      </w:r>
      <w:r w:rsidRPr="00010908" w:rsidR="00AA1DDC">
        <w:tab/>
      </w:r>
      <w:r w:rsidRPr="00010908" w:rsidR="00AA1DDC">
        <w:tab/>
        <w:t>health care</w:t>
      </w:r>
      <w:r w:rsidRPr="00010908" w:rsidR="00325B9C">
        <w:t>;</w:t>
      </w:r>
      <w:r w:rsidRPr="00010908" w:rsidR="00B645ED">
        <w:t xml:space="preserve"> and</w:t>
      </w:r>
    </w:p>
    <w:p w:rsidR="00325B9C" w:rsidRPr="00010908" w:rsidP="00606400" w14:paraId="4DF87AFF" w14:textId="77777777">
      <w:pPr>
        <w:tabs>
          <w:tab w:val="left" w:pos="360"/>
        </w:tabs>
        <w:ind w:left="360"/>
      </w:pPr>
    </w:p>
    <w:p w:rsidR="00325B9C" w:rsidRPr="00010908" w:rsidP="00606400" w14:paraId="50936818" w14:textId="77777777">
      <w:pPr>
        <w:tabs>
          <w:tab w:val="left" w:pos="360"/>
        </w:tabs>
        <w:ind w:left="360"/>
      </w:pPr>
      <w:r w:rsidRPr="00010908">
        <w:t>2.</w:t>
      </w:r>
      <w:r w:rsidRPr="00010908">
        <w:tab/>
      </w:r>
      <w:r w:rsidRPr="00010908" w:rsidR="00DB1BBA">
        <w:t>T</w:t>
      </w:r>
      <w:r w:rsidRPr="00010908" w:rsidR="00B645ED">
        <w:t xml:space="preserve">he synthesis and dissemination of available scientific evidence for use by </w:t>
      </w:r>
      <w:r w:rsidRPr="00010908" w:rsidR="00B645ED">
        <w:tab/>
        <w:t xml:space="preserve">patients, consumers, practitioners, providers, purchasers, policy makers, and </w:t>
      </w:r>
      <w:r w:rsidRPr="00010908" w:rsidR="00B645ED">
        <w:tab/>
        <w:t>educators; and</w:t>
      </w:r>
    </w:p>
    <w:p w:rsidR="00B645ED" w:rsidRPr="00010908" w:rsidP="00606400" w14:paraId="420D4A4B" w14:textId="77777777">
      <w:pPr>
        <w:tabs>
          <w:tab w:val="left" w:pos="360"/>
        </w:tabs>
        <w:ind w:left="360"/>
      </w:pPr>
    </w:p>
    <w:p w:rsidR="00B645ED" w:rsidRPr="00010908" w:rsidP="00606400" w14:paraId="12E7F677" w14:textId="77777777">
      <w:pPr>
        <w:tabs>
          <w:tab w:val="left" w:pos="360"/>
        </w:tabs>
        <w:ind w:left="360"/>
      </w:pPr>
      <w:r w:rsidRPr="00010908">
        <w:t>3.</w:t>
      </w:r>
      <w:r w:rsidRPr="00010908">
        <w:tab/>
        <w:t>Initiatives to advance private and public efforts to improve health care quality.</w:t>
      </w:r>
    </w:p>
    <w:p w:rsidR="00B645ED" w:rsidRPr="00010908" w:rsidP="00B645ED" w14:paraId="67E6F730" w14:textId="77777777">
      <w:pPr>
        <w:tabs>
          <w:tab w:val="left" w:pos="360"/>
        </w:tabs>
      </w:pPr>
    </w:p>
    <w:p w:rsidR="00EE392C" w:rsidRPr="00010908" w:rsidP="00B645ED" w14:paraId="22A5E2FA" w14:textId="77777777">
      <w:pPr>
        <w:tabs>
          <w:tab w:val="left" w:pos="360"/>
        </w:tabs>
      </w:pPr>
      <w:r w:rsidRPr="00010908">
        <w:t>Also, AHRQ shall conduct and support research and evaluations, and support demonstration projects, with respect to (A) the delivery of health care in inner-city areas, and in rural areas (including frontier areas); and (B) health care for priority populat</w:t>
      </w:r>
      <w:r w:rsidRPr="00010908">
        <w:t>ions, which shall include (1) low-income groups, (2) minority groups, (3) women, (4) children, (5) the elderly, and (6) individuals with special health care needs, including individuals with disabilities and individuals who need chronic care or end-of-life</w:t>
      </w:r>
      <w:r w:rsidRPr="00010908">
        <w:t xml:space="preserve"> health car</w:t>
      </w:r>
      <w:r w:rsidR="00817F43">
        <w:t>e.</w:t>
      </w:r>
    </w:p>
    <w:p w:rsidR="00A53684" w:rsidRPr="00010908" w:rsidP="00B645ED" w14:paraId="510151EF" w14:textId="77777777">
      <w:pPr>
        <w:tabs>
          <w:tab w:val="left" w:pos="360"/>
        </w:tabs>
      </w:pPr>
    </w:p>
    <w:p w:rsidR="008450C0" w:rsidRPr="00010908" w:rsidP="00B645ED" w14:paraId="3AB111BF" w14:textId="77777777">
      <w:pPr>
        <w:tabs>
          <w:tab w:val="left" w:pos="360"/>
        </w:tabs>
      </w:pPr>
      <w:r w:rsidRPr="00010908">
        <w:rPr>
          <w:b/>
        </w:rPr>
        <w:t xml:space="preserve">Background </w:t>
      </w:r>
      <w:r w:rsidRPr="00010908" w:rsidR="00420AEC">
        <w:rPr>
          <w:b/>
        </w:rPr>
        <w:t>for this Collection</w:t>
      </w:r>
    </w:p>
    <w:p w:rsidR="00B51734" w:rsidP="00D650F5" w14:paraId="360290A6" w14:textId="3B26272C">
      <w:pPr>
        <w:pStyle w:val="Normal15Spaced"/>
        <w:spacing w:line="240" w:lineRule="auto"/>
        <w:ind w:firstLine="0"/>
        <w:rPr>
          <w:rFonts w:ascii="Times New Roman" w:hAnsi="Times New Roman"/>
          <w:sz w:val="24"/>
          <w:szCs w:val="24"/>
        </w:rPr>
      </w:pPr>
      <w:r w:rsidRPr="00040F42">
        <w:rPr>
          <w:rFonts w:ascii="Times New Roman" w:hAnsi="Times New Roman"/>
          <w:sz w:val="24"/>
          <w:szCs w:val="24"/>
        </w:rPr>
        <w:t>Telemedicine visits</w:t>
      </w:r>
      <w:r>
        <w:rPr>
          <w:rFonts w:ascii="Times New Roman" w:hAnsi="Times New Roman"/>
          <w:sz w:val="24"/>
          <w:szCs w:val="24"/>
        </w:rPr>
        <w:t xml:space="preserve"> have increased dramatically </w:t>
      </w:r>
      <w:r w:rsidR="00316D24">
        <w:rPr>
          <w:rFonts w:ascii="Times New Roman" w:hAnsi="Times New Roman"/>
          <w:sz w:val="24"/>
          <w:szCs w:val="24"/>
        </w:rPr>
        <w:t>in response to</w:t>
      </w:r>
      <w:r>
        <w:rPr>
          <w:rFonts w:ascii="Times New Roman" w:hAnsi="Times New Roman"/>
          <w:sz w:val="24"/>
          <w:szCs w:val="24"/>
        </w:rPr>
        <w:t xml:space="preserve"> the COVID-19 pandemic and resulting changes in third-party payer reimbursement policies</w:t>
      </w:r>
      <w:r>
        <w:rPr>
          <w:rStyle w:val="EndnoteReference"/>
          <w:rFonts w:ascii="Times New Roman" w:hAnsi="Times New Roman"/>
          <w:sz w:val="24"/>
          <w:szCs w:val="24"/>
        </w:rPr>
        <w:endnoteReference w:id="3"/>
      </w:r>
      <w:r w:rsidR="00316D24">
        <w:rPr>
          <w:rFonts w:ascii="Times New Roman" w:hAnsi="Times New Roman"/>
          <w:sz w:val="24"/>
          <w:szCs w:val="24"/>
        </w:rPr>
        <w:t>. Telemedicine visits increased</w:t>
      </w:r>
      <w:r w:rsidRPr="00040F42">
        <w:rPr>
          <w:rFonts w:ascii="Times New Roman" w:hAnsi="Times New Roman"/>
          <w:sz w:val="24"/>
          <w:szCs w:val="24"/>
        </w:rPr>
        <w:t xml:space="preserve"> from 0.3 percent of all ambulatory visits in 2019 to 23.6 percent by Spring 2020.</w:t>
      </w:r>
      <w:r>
        <w:rPr>
          <w:rStyle w:val="EndnoteReference"/>
          <w:rFonts w:ascii="Times New Roman" w:hAnsi="Times New Roman"/>
          <w:sz w:val="24"/>
          <w:szCs w:val="24"/>
        </w:rPr>
        <w:endnoteReference w:id="4"/>
      </w:r>
      <w:r w:rsidRPr="00040F42">
        <w:rPr>
          <w:rFonts w:ascii="Times New Roman" w:hAnsi="Times New Roman"/>
          <w:sz w:val="24"/>
          <w:szCs w:val="24"/>
        </w:rPr>
        <w:t xml:space="preserve"> </w:t>
      </w:r>
      <w:r w:rsidR="00D650F5">
        <w:rPr>
          <w:rFonts w:ascii="Times New Roman" w:hAnsi="Times New Roman"/>
          <w:sz w:val="24"/>
          <w:szCs w:val="24"/>
        </w:rPr>
        <w:t>Given th</w:t>
      </w:r>
      <w:r>
        <w:rPr>
          <w:rFonts w:ascii="Times New Roman" w:hAnsi="Times New Roman"/>
          <w:sz w:val="24"/>
          <w:szCs w:val="24"/>
        </w:rPr>
        <w:t>is</w:t>
      </w:r>
      <w:r w:rsidR="00D650F5">
        <w:rPr>
          <w:rFonts w:ascii="Times New Roman" w:hAnsi="Times New Roman"/>
          <w:sz w:val="24"/>
          <w:szCs w:val="24"/>
        </w:rPr>
        <w:t xml:space="preserve"> rapid growth</w:t>
      </w:r>
      <w:r>
        <w:rPr>
          <w:rFonts w:ascii="Times New Roman" w:hAnsi="Times New Roman"/>
          <w:sz w:val="24"/>
          <w:szCs w:val="24"/>
        </w:rPr>
        <w:t xml:space="preserve">, </w:t>
      </w:r>
      <w:r w:rsidRPr="00BC4A10" w:rsidR="009E0CC0">
        <w:rPr>
          <w:rFonts w:ascii="Times New Roman" w:hAnsi="Times New Roman"/>
          <w:sz w:val="24"/>
          <w:szCs w:val="24"/>
        </w:rPr>
        <w:t xml:space="preserve">the need to ensure safe and appropriate patient care </w:t>
      </w:r>
      <w:r w:rsidR="00006F95">
        <w:rPr>
          <w:rFonts w:ascii="Times New Roman" w:hAnsi="Times New Roman"/>
          <w:sz w:val="24"/>
          <w:szCs w:val="24"/>
        </w:rPr>
        <w:t xml:space="preserve">in this setting </w:t>
      </w:r>
      <w:r w:rsidRPr="00BC4A10" w:rsidR="009E0CC0">
        <w:rPr>
          <w:rFonts w:ascii="Times New Roman" w:hAnsi="Times New Roman"/>
          <w:sz w:val="24"/>
          <w:szCs w:val="24"/>
        </w:rPr>
        <w:t xml:space="preserve">is urgent. Telemedicine has many </w:t>
      </w:r>
      <w:r w:rsidRPr="00BC4A10" w:rsidR="00D650F5">
        <w:rPr>
          <w:rFonts w:ascii="Times New Roman" w:hAnsi="Times New Roman"/>
          <w:sz w:val="24"/>
          <w:szCs w:val="24"/>
        </w:rPr>
        <w:t>benefits</w:t>
      </w:r>
      <w:r>
        <w:rPr>
          <w:rFonts w:ascii="Times New Roman" w:hAnsi="Times New Roman"/>
          <w:sz w:val="24"/>
          <w:szCs w:val="24"/>
        </w:rPr>
        <w:t>, such as</w:t>
      </w:r>
      <w:r w:rsidRPr="00BC4A10" w:rsidR="00D650F5">
        <w:rPr>
          <w:rFonts w:ascii="Times New Roman" w:hAnsi="Times New Roman"/>
          <w:sz w:val="24"/>
          <w:szCs w:val="24"/>
        </w:rPr>
        <w:t xml:space="preserve"> </w:t>
      </w:r>
      <w:r w:rsidRPr="00040F42">
        <w:rPr>
          <w:rFonts w:ascii="Times New Roman" w:hAnsi="Times New Roman"/>
          <w:sz w:val="24"/>
          <w:szCs w:val="24"/>
        </w:rPr>
        <w:t>facilitat</w:t>
      </w:r>
      <w:r>
        <w:rPr>
          <w:rFonts w:ascii="Times New Roman" w:hAnsi="Times New Roman"/>
          <w:sz w:val="24"/>
          <w:szCs w:val="24"/>
        </w:rPr>
        <w:t>ing</w:t>
      </w:r>
      <w:r w:rsidRPr="00040F42">
        <w:rPr>
          <w:rFonts w:ascii="Times New Roman" w:hAnsi="Times New Roman"/>
          <w:sz w:val="24"/>
          <w:szCs w:val="24"/>
        </w:rPr>
        <w:t xml:space="preserve"> continuity of care; improv</w:t>
      </w:r>
      <w:r>
        <w:rPr>
          <w:rFonts w:ascii="Times New Roman" w:hAnsi="Times New Roman"/>
          <w:sz w:val="24"/>
          <w:szCs w:val="24"/>
        </w:rPr>
        <w:t>ing</w:t>
      </w:r>
      <w:r w:rsidRPr="00040F42">
        <w:rPr>
          <w:rFonts w:ascii="Times New Roman" w:hAnsi="Times New Roman"/>
          <w:sz w:val="24"/>
          <w:szCs w:val="24"/>
        </w:rPr>
        <w:t xml:space="preserve"> access beyond normal hours; reduc</w:t>
      </w:r>
      <w:r>
        <w:rPr>
          <w:rFonts w:ascii="Times New Roman" w:hAnsi="Times New Roman"/>
          <w:sz w:val="24"/>
          <w:szCs w:val="24"/>
        </w:rPr>
        <w:t>ing</w:t>
      </w:r>
      <w:r w:rsidRPr="00040F42">
        <w:rPr>
          <w:rFonts w:ascii="Times New Roman" w:hAnsi="Times New Roman"/>
          <w:sz w:val="24"/>
          <w:szCs w:val="24"/>
        </w:rPr>
        <w:t xml:space="preserve"> patients’ travel burden; overcom</w:t>
      </w:r>
      <w:r>
        <w:rPr>
          <w:rFonts w:ascii="Times New Roman" w:hAnsi="Times New Roman"/>
          <w:sz w:val="24"/>
          <w:szCs w:val="24"/>
        </w:rPr>
        <w:t>ing</w:t>
      </w:r>
      <w:r w:rsidRPr="00040F42">
        <w:rPr>
          <w:rFonts w:ascii="Times New Roman" w:hAnsi="Times New Roman"/>
          <w:sz w:val="24"/>
          <w:szCs w:val="24"/>
        </w:rPr>
        <w:t xml:space="preserve"> health</w:t>
      </w:r>
      <w:r>
        <w:rPr>
          <w:rFonts w:ascii="Times New Roman" w:hAnsi="Times New Roman"/>
          <w:sz w:val="24"/>
          <w:szCs w:val="24"/>
        </w:rPr>
        <w:t xml:space="preserve"> </w:t>
      </w:r>
      <w:r w:rsidRPr="00040F42">
        <w:rPr>
          <w:rFonts w:ascii="Times New Roman" w:hAnsi="Times New Roman"/>
          <w:sz w:val="24"/>
          <w:szCs w:val="24"/>
        </w:rPr>
        <w:t xml:space="preserve">care </w:t>
      </w:r>
      <w:r>
        <w:rPr>
          <w:rFonts w:ascii="Times New Roman" w:hAnsi="Times New Roman"/>
          <w:sz w:val="24"/>
          <w:szCs w:val="24"/>
        </w:rPr>
        <w:t>provider</w:t>
      </w:r>
      <w:r w:rsidRPr="00040F42">
        <w:rPr>
          <w:rFonts w:ascii="Times New Roman" w:hAnsi="Times New Roman"/>
          <w:sz w:val="24"/>
          <w:szCs w:val="24"/>
        </w:rPr>
        <w:t xml:space="preserve"> (HCP) shortages; and pro</w:t>
      </w:r>
      <w:r w:rsidRPr="00040F42">
        <w:rPr>
          <w:rFonts w:ascii="Times New Roman" w:hAnsi="Times New Roman"/>
          <w:sz w:val="24"/>
          <w:szCs w:val="24"/>
        </w:rPr>
        <w:t>vid</w:t>
      </w:r>
      <w:r>
        <w:rPr>
          <w:rFonts w:ascii="Times New Roman" w:hAnsi="Times New Roman"/>
          <w:sz w:val="24"/>
          <w:szCs w:val="24"/>
        </w:rPr>
        <w:t>ing</w:t>
      </w:r>
      <w:r w:rsidRPr="00040F42">
        <w:rPr>
          <w:rFonts w:ascii="Times New Roman" w:hAnsi="Times New Roman"/>
          <w:sz w:val="24"/>
          <w:szCs w:val="24"/>
        </w:rPr>
        <w:t xml:space="preserve"> support for patients managing chronic health conditions.</w:t>
      </w:r>
      <w:r>
        <w:rPr>
          <w:rStyle w:val="EndnoteReference"/>
          <w:rFonts w:ascii="Times New Roman" w:hAnsi="Times New Roman"/>
          <w:sz w:val="24"/>
          <w:szCs w:val="24"/>
        </w:rPr>
        <w:endnoteReference w:id="5"/>
      </w:r>
      <w:r w:rsidRPr="00040F42">
        <w:rPr>
          <w:rFonts w:ascii="Times New Roman" w:hAnsi="Times New Roman"/>
          <w:sz w:val="24"/>
          <w:szCs w:val="24"/>
        </w:rPr>
        <w:t xml:space="preserve"> </w:t>
      </w:r>
      <w:r>
        <w:rPr>
          <w:rFonts w:ascii="Times New Roman" w:hAnsi="Times New Roman"/>
          <w:sz w:val="24"/>
          <w:szCs w:val="24"/>
        </w:rPr>
        <w:t xml:space="preserve">However, </w:t>
      </w:r>
      <w:r w:rsidRPr="00BC4A10" w:rsidR="009E0CC0">
        <w:rPr>
          <w:rFonts w:ascii="Times New Roman" w:hAnsi="Times New Roman"/>
          <w:sz w:val="24"/>
          <w:szCs w:val="24"/>
        </w:rPr>
        <w:t xml:space="preserve">transferring clinical practices from an in-person to a virtual environment poses </w:t>
      </w:r>
      <w:r w:rsidR="00006F95">
        <w:rPr>
          <w:rFonts w:ascii="Times New Roman" w:hAnsi="Times New Roman"/>
          <w:sz w:val="24"/>
          <w:szCs w:val="24"/>
        </w:rPr>
        <w:t xml:space="preserve">potential </w:t>
      </w:r>
      <w:r w:rsidRPr="00BC4A10" w:rsidR="009E0CC0">
        <w:rPr>
          <w:rFonts w:ascii="Times New Roman" w:hAnsi="Times New Roman"/>
          <w:sz w:val="24"/>
          <w:szCs w:val="24"/>
        </w:rPr>
        <w:t xml:space="preserve">risks. </w:t>
      </w:r>
      <w:r>
        <w:rPr>
          <w:rFonts w:ascii="Times New Roman" w:hAnsi="Times New Roman"/>
          <w:sz w:val="24"/>
          <w:szCs w:val="24"/>
        </w:rPr>
        <w:t>M</w:t>
      </w:r>
      <w:r w:rsidRPr="00040F42">
        <w:rPr>
          <w:rFonts w:ascii="Times New Roman" w:hAnsi="Times New Roman"/>
          <w:sz w:val="24"/>
          <w:szCs w:val="24"/>
        </w:rPr>
        <w:t xml:space="preserve">any HCPs have never received formal training in using telemedicine effectively to </w:t>
      </w:r>
      <w:r w:rsidRPr="00040F42">
        <w:rPr>
          <w:rFonts w:ascii="Times New Roman" w:hAnsi="Times New Roman"/>
          <w:sz w:val="24"/>
          <w:szCs w:val="24"/>
        </w:rPr>
        <w:t xml:space="preserve">diagnose and treat patients virtually. </w:t>
      </w:r>
      <w:r>
        <w:rPr>
          <w:rFonts w:ascii="Times New Roman" w:hAnsi="Times New Roman"/>
          <w:sz w:val="24"/>
          <w:szCs w:val="24"/>
        </w:rPr>
        <w:t>Additionally, i</w:t>
      </w:r>
      <w:r w:rsidRPr="00040F42">
        <w:rPr>
          <w:rFonts w:ascii="Times New Roman" w:hAnsi="Times New Roman"/>
          <w:sz w:val="24"/>
          <w:szCs w:val="24"/>
        </w:rPr>
        <w:t>nadequate internet access, which disproportionately impacts rural and minority populations, and struggles accessing telemedicine platforms may force video-based telemedicine visits to transition to audi</w:t>
      </w:r>
      <w:r w:rsidRPr="00040F42">
        <w:rPr>
          <w:rFonts w:ascii="Times New Roman" w:hAnsi="Times New Roman"/>
          <w:sz w:val="24"/>
          <w:szCs w:val="24"/>
        </w:rPr>
        <w:t xml:space="preserve">o-only or </w:t>
      </w:r>
      <w:r w:rsidR="00EA271D">
        <w:rPr>
          <w:rFonts w:ascii="Times New Roman" w:hAnsi="Times New Roman"/>
          <w:sz w:val="24"/>
          <w:szCs w:val="24"/>
        </w:rPr>
        <w:t xml:space="preserve">to </w:t>
      </w:r>
      <w:r w:rsidRPr="00040F42">
        <w:rPr>
          <w:rFonts w:ascii="Times New Roman" w:hAnsi="Times New Roman"/>
          <w:sz w:val="24"/>
          <w:szCs w:val="24"/>
        </w:rPr>
        <w:t>be skipped.</w:t>
      </w:r>
      <w:r>
        <w:rPr>
          <w:rStyle w:val="EndnoteReference"/>
          <w:rFonts w:ascii="Times New Roman" w:hAnsi="Times New Roman"/>
          <w:sz w:val="24"/>
          <w:szCs w:val="24"/>
        </w:rPr>
        <w:endnoteReference w:id="6"/>
      </w:r>
      <w:r w:rsidRPr="00B51734">
        <w:rPr>
          <w:rFonts w:ascii="Times New Roman" w:hAnsi="Times New Roman"/>
          <w:sz w:val="24"/>
          <w:szCs w:val="24"/>
        </w:rPr>
        <w:t xml:space="preserve"> </w:t>
      </w:r>
    </w:p>
    <w:p w:rsidR="00B51734" w:rsidP="00D650F5" w14:paraId="1B73F5FE" w14:textId="77777777">
      <w:pPr>
        <w:pStyle w:val="Normal15Spaced"/>
        <w:spacing w:line="240" w:lineRule="auto"/>
        <w:ind w:firstLine="0"/>
        <w:rPr>
          <w:rFonts w:ascii="Times New Roman" w:hAnsi="Times New Roman"/>
          <w:sz w:val="24"/>
          <w:szCs w:val="24"/>
        </w:rPr>
      </w:pPr>
    </w:p>
    <w:p w:rsidR="00B51734" w:rsidP="00D650F5" w14:paraId="4AB0C1E7" w14:textId="5A522CEB">
      <w:pPr>
        <w:pStyle w:val="Normal15Spaced"/>
        <w:spacing w:line="240" w:lineRule="auto"/>
        <w:ind w:firstLine="0"/>
        <w:rPr>
          <w:rFonts w:ascii="Times New Roman" w:hAnsi="Times New Roman"/>
          <w:sz w:val="24"/>
          <w:szCs w:val="24"/>
        </w:rPr>
      </w:pPr>
      <w:r w:rsidRPr="00024101">
        <w:rPr>
          <w:rFonts w:ascii="Times New Roman" w:hAnsi="Times New Roman"/>
          <w:sz w:val="24"/>
          <w:szCs w:val="24"/>
        </w:rPr>
        <w:t xml:space="preserve">This </w:t>
      </w:r>
      <w:r w:rsidRPr="00024101" w:rsidR="00DD03B5">
        <w:rPr>
          <w:rFonts w:ascii="Times New Roman" w:hAnsi="Times New Roman"/>
          <w:sz w:val="24"/>
          <w:szCs w:val="24"/>
        </w:rPr>
        <w:t xml:space="preserve">program </w:t>
      </w:r>
      <w:r w:rsidRPr="00024101">
        <w:rPr>
          <w:rFonts w:ascii="Times New Roman" w:hAnsi="Times New Roman"/>
          <w:sz w:val="24"/>
          <w:szCs w:val="24"/>
        </w:rPr>
        <w:t xml:space="preserve">aims to </w:t>
      </w:r>
      <w:r w:rsidRPr="00024101" w:rsidR="009E0CC0">
        <w:rPr>
          <w:rFonts w:ascii="Times New Roman" w:hAnsi="Times New Roman"/>
          <w:sz w:val="24"/>
          <w:szCs w:val="24"/>
        </w:rPr>
        <w:t xml:space="preserve">improve </w:t>
      </w:r>
      <w:r w:rsidRPr="00024101" w:rsidR="001345DD">
        <w:rPr>
          <w:rFonts w:ascii="Times New Roman" w:hAnsi="Times New Roman"/>
          <w:sz w:val="24"/>
          <w:szCs w:val="24"/>
        </w:rPr>
        <w:t xml:space="preserve">antibiotic </w:t>
      </w:r>
      <w:r w:rsidRPr="00024101" w:rsidR="0044284D">
        <w:rPr>
          <w:rFonts w:ascii="Times New Roman" w:hAnsi="Times New Roman"/>
          <w:sz w:val="24"/>
          <w:szCs w:val="24"/>
        </w:rPr>
        <w:t>use</w:t>
      </w:r>
      <w:r w:rsidRPr="00024101" w:rsidR="001345DD">
        <w:rPr>
          <w:rFonts w:ascii="Times New Roman" w:hAnsi="Times New Roman"/>
          <w:sz w:val="24"/>
          <w:szCs w:val="24"/>
        </w:rPr>
        <w:t xml:space="preserve"> </w:t>
      </w:r>
      <w:r w:rsidRPr="00024101" w:rsidR="009E0CC0">
        <w:rPr>
          <w:rFonts w:ascii="Times New Roman" w:hAnsi="Times New Roman"/>
          <w:sz w:val="24"/>
          <w:szCs w:val="24"/>
        </w:rPr>
        <w:t>among telemedicine practices</w:t>
      </w:r>
      <w:r w:rsidRPr="00024101">
        <w:rPr>
          <w:rFonts w:ascii="Times New Roman" w:hAnsi="Times New Roman"/>
          <w:sz w:val="24"/>
          <w:szCs w:val="24"/>
        </w:rPr>
        <w:t xml:space="preserve"> by implementing the AHRQ- and Johns Hopkins Armstrong Institute for Patient Safety and Quality (JHAI)-developed Comprehensive Unit-based Safety Program (CUSP) approach.</w:t>
      </w:r>
      <w:r w:rsidRPr="00024101" w:rsidR="009E0CC0">
        <w:rPr>
          <w:rFonts w:ascii="Times New Roman" w:hAnsi="Times New Roman"/>
          <w:sz w:val="24"/>
          <w:szCs w:val="24"/>
        </w:rPr>
        <w:t xml:space="preserve"> Th</w:t>
      </w:r>
      <w:r w:rsidRPr="00024101">
        <w:rPr>
          <w:rFonts w:ascii="Times New Roman" w:hAnsi="Times New Roman"/>
          <w:sz w:val="24"/>
          <w:szCs w:val="24"/>
        </w:rPr>
        <w:t>e CUSP</w:t>
      </w:r>
      <w:r w:rsidRPr="00024101" w:rsidR="009E0CC0">
        <w:rPr>
          <w:rFonts w:ascii="Times New Roman" w:hAnsi="Times New Roman"/>
          <w:sz w:val="24"/>
          <w:szCs w:val="24"/>
        </w:rPr>
        <w:t xml:space="preserve"> approach improves </w:t>
      </w:r>
      <w:r w:rsidRPr="00024101" w:rsidR="009E0CC0">
        <w:rPr>
          <w:rFonts w:ascii="Times New Roman" w:hAnsi="Times New Roman"/>
          <w:sz w:val="24"/>
          <w:szCs w:val="24"/>
        </w:rPr>
        <w:t xml:space="preserve">safety culture at the practice level, enables harm prevention, and engages </w:t>
      </w:r>
      <w:r w:rsidRPr="00024101" w:rsidR="00A2679D">
        <w:rPr>
          <w:rFonts w:ascii="Times New Roman" w:hAnsi="Times New Roman"/>
          <w:sz w:val="24"/>
          <w:szCs w:val="24"/>
        </w:rPr>
        <w:t>providers who are on the</w:t>
      </w:r>
      <w:r w:rsidRPr="00024101" w:rsidR="009E0CC0">
        <w:rPr>
          <w:rFonts w:ascii="Times New Roman" w:hAnsi="Times New Roman"/>
          <w:sz w:val="24"/>
          <w:szCs w:val="24"/>
        </w:rPr>
        <w:t xml:space="preserve"> front lines</w:t>
      </w:r>
      <w:r>
        <w:rPr>
          <w:rStyle w:val="EndnoteReference"/>
          <w:rFonts w:ascii="Times New Roman" w:hAnsi="Times New Roman"/>
          <w:sz w:val="24"/>
          <w:szCs w:val="24"/>
        </w:rPr>
        <w:endnoteReference w:id="7"/>
      </w:r>
      <w:r w:rsidRPr="00024101" w:rsidR="009E0CC0">
        <w:rPr>
          <w:rFonts w:ascii="Times New Roman" w:hAnsi="Times New Roman"/>
          <w:sz w:val="24"/>
          <w:szCs w:val="24"/>
        </w:rPr>
        <w:t xml:space="preserve"> while integrating technical and adaptive/cultural approaches to making</w:t>
      </w:r>
      <w:r w:rsidRPr="00024101" w:rsidR="00A2679D">
        <w:rPr>
          <w:rFonts w:ascii="Times New Roman" w:hAnsi="Times New Roman"/>
          <w:sz w:val="24"/>
          <w:szCs w:val="24"/>
        </w:rPr>
        <w:t xml:space="preserve"> sustainable</w:t>
      </w:r>
      <w:r w:rsidRPr="00024101" w:rsidR="009E0CC0">
        <w:rPr>
          <w:rFonts w:ascii="Times New Roman" w:hAnsi="Times New Roman"/>
          <w:sz w:val="24"/>
          <w:szCs w:val="24"/>
        </w:rPr>
        <w:t xml:space="preserve"> change.</w:t>
      </w:r>
      <w:r>
        <w:rPr>
          <w:rStyle w:val="EndnoteReference"/>
          <w:rFonts w:ascii="Times New Roman" w:hAnsi="Times New Roman"/>
          <w:sz w:val="24"/>
          <w:szCs w:val="24"/>
        </w:rPr>
        <w:endnoteReference w:id="8"/>
      </w:r>
      <w:r>
        <w:rPr>
          <w:rFonts w:ascii="Times New Roman" w:hAnsi="Times New Roman"/>
          <w:sz w:val="24"/>
          <w:szCs w:val="24"/>
        </w:rPr>
        <w:t xml:space="preserve"> </w:t>
      </w:r>
    </w:p>
    <w:p w:rsidR="00B51734" w:rsidP="00D650F5" w14:paraId="7A0B9055" w14:textId="77777777">
      <w:pPr>
        <w:pStyle w:val="Normal15Spaced"/>
        <w:spacing w:line="240" w:lineRule="auto"/>
        <w:ind w:firstLine="0"/>
        <w:rPr>
          <w:rFonts w:ascii="Times New Roman" w:hAnsi="Times New Roman"/>
          <w:sz w:val="24"/>
          <w:szCs w:val="24"/>
        </w:rPr>
      </w:pPr>
    </w:p>
    <w:p w:rsidR="009E0CC0" w:rsidRPr="00024101" w:rsidP="008C03F4" w14:paraId="28AD0FC8" w14:textId="2DBF7ABA">
      <w:pPr>
        <w:pStyle w:val="Normal15Spaced"/>
        <w:spacing w:line="240" w:lineRule="auto"/>
        <w:ind w:firstLine="0"/>
      </w:pPr>
      <w:r w:rsidRPr="00024101">
        <w:rPr>
          <w:rFonts w:ascii="Times New Roman" w:hAnsi="Times New Roman"/>
          <w:sz w:val="24"/>
          <w:szCs w:val="24"/>
        </w:rPr>
        <w:t xml:space="preserve">This </w:t>
      </w:r>
      <w:r w:rsidRPr="00024101" w:rsidR="00DD03B5">
        <w:rPr>
          <w:rFonts w:ascii="Times New Roman" w:hAnsi="Times New Roman"/>
          <w:sz w:val="24"/>
          <w:szCs w:val="24"/>
        </w:rPr>
        <w:t xml:space="preserve">program </w:t>
      </w:r>
      <w:r w:rsidRPr="00024101">
        <w:rPr>
          <w:rFonts w:ascii="Times New Roman" w:hAnsi="Times New Roman"/>
          <w:sz w:val="24"/>
          <w:szCs w:val="24"/>
        </w:rPr>
        <w:t>constitutes the first large-scale implementation of a quality improvement effort for</w:t>
      </w:r>
      <w:r w:rsidRPr="00024101" w:rsidR="0099643A">
        <w:rPr>
          <w:rFonts w:ascii="Times New Roman" w:hAnsi="Times New Roman"/>
          <w:sz w:val="24"/>
          <w:szCs w:val="24"/>
        </w:rPr>
        <w:t xml:space="preserve"> improving antibiotic use</w:t>
      </w:r>
      <w:r w:rsidRPr="00024101">
        <w:rPr>
          <w:rFonts w:ascii="Times New Roman" w:hAnsi="Times New Roman"/>
          <w:sz w:val="24"/>
          <w:szCs w:val="24"/>
        </w:rPr>
        <w:t xml:space="preserve"> in telemedicine. </w:t>
      </w:r>
      <w:r w:rsidRPr="00024101" w:rsidR="00EA271D">
        <w:rPr>
          <w:rFonts w:ascii="Times New Roman" w:hAnsi="Times New Roman"/>
          <w:sz w:val="24"/>
          <w:szCs w:val="24"/>
        </w:rPr>
        <w:t>G</w:t>
      </w:r>
      <w:r w:rsidRPr="00024101">
        <w:rPr>
          <w:rFonts w:ascii="Times New Roman" w:hAnsi="Times New Roman"/>
          <w:sz w:val="24"/>
          <w:szCs w:val="24"/>
        </w:rPr>
        <w:t>iven the need for clearer guidance and evidence-based telemedicine practices for clin</w:t>
      </w:r>
      <w:r w:rsidRPr="00024101" w:rsidR="003F4930">
        <w:rPr>
          <w:rFonts w:ascii="Times New Roman" w:hAnsi="Times New Roman"/>
          <w:sz w:val="24"/>
          <w:szCs w:val="24"/>
        </w:rPr>
        <w:t>i</w:t>
      </w:r>
      <w:r w:rsidRPr="00024101">
        <w:rPr>
          <w:rFonts w:ascii="Times New Roman" w:hAnsi="Times New Roman"/>
          <w:sz w:val="24"/>
          <w:szCs w:val="24"/>
        </w:rPr>
        <w:t>cians and potential for positive impact on outcomes, as described below</w:t>
      </w:r>
      <w:r w:rsidRPr="00024101" w:rsidR="00EA271D">
        <w:rPr>
          <w:rFonts w:ascii="Times New Roman" w:hAnsi="Times New Roman"/>
          <w:sz w:val="24"/>
          <w:szCs w:val="24"/>
        </w:rPr>
        <w:t>,</w:t>
      </w:r>
      <w:r w:rsidRPr="00024101" w:rsidR="00EA271D">
        <w:t xml:space="preserve"> </w:t>
      </w:r>
      <w:r w:rsidRPr="00024101" w:rsidR="001345DD">
        <w:rPr>
          <w:rFonts w:ascii="Times New Roman" w:hAnsi="Times New Roman"/>
          <w:sz w:val="24"/>
          <w:szCs w:val="24"/>
        </w:rPr>
        <w:t>this</w:t>
      </w:r>
      <w:r w:rsidRPr="00024101" w:rsidR="00EA271D">
        <w:rPr>
          <w:rFonts w:ascii="Times New Roman" w:hAnsi="Times New Roman"/>
          <w:sz w:val="24"/>
          <w:szCs w:val="24"/>
        </w:rPr>
        <w:t xml:space="preserve"> area w</w:t>
      </w:r>
      <w:r w:rsidRPr="00024101" w:rsidR="001345DD">
        <w:rPr>
          <w:rFonts w:ascii="Times New Roman" w:hAnsi="Times New Roman"/>
          <w:sz w:val="24"/>
          <w:szCs w:val="24"/>
        </w:rPr>
        <w:t>as</w:t>
      </w:r>
      <w:r w:rsidRPr="00024101" w:rsidR="00EA271D">
        <w:rPr>
          <w:rFonts w:ascii="Times New Roman" w:hAnsi="Times New Roman"/>
          <w:sz w:val="24"/>
          <w:szCs w:val="24"/>
        </w:rPr>
        <w:t xml:space="preserve"> chosen</w:t>
      </w:r>
      <w:r w:rsidRPr="00024101">
        <w:rPr>
          <w:rFonts w:ascii="Times New Roman" w:hAnsi="Times New Roman"/>
          <w:sz w:val="24"/>
          <w:szCs w:val="24"/>
        </w:rPr>
        <w:t xml:space="preserve">. </w:t>
      </w:r>
    </w:p>
    <w:p w:rsidR="009E0CC0" w:rsidRPr="00040F42" w:rsidP="00010908" w14:paraId="7D179632" w14:textId="77777777"/>
    <w:p w:rsidR="002241F4" w:rsidRPr="00BC4A10" w:rsidP="00BC4A10" w14:paraId="0CEA0955" w14:textId="0CE1C99A">
      <w:pPr>
        <w:pStyle w:val="Normal15Spaced"/>
        <w:spacing w:line="240" w:lineRule="auto"/>
        <w:ind w:firstLine="0"/>
        <w:rPr>
          <w:rFonts w:ascii="Times New Roman" w:hAnsi="Times New Roman"/>
          <w:sz w:val="24"/>
          <w:szCs w:val="24"/>
        </w:rPr>
      </w:pPr>
      <w:r w:rsidRPr="00040F42">
        <w:rPr>
          <w:rFonts w:ascii="Times New Roman" w:hAnsi="Times New Roman"/>
          <w:sz w:val="24"/>
          <w:szCs w:val="24"/>
        </w:rPr>
        <w:t xml:space="preserve">Antibiotic resistance causes two </w:t>
      </w:r>
      <w:r w:rsidRPr="00040F42">
        <w:rPr>
          <w:rFonts w:ascii="Times New Roman" w:hAnsi="Times New Roman"/>
          <w:sz w:val="24"/>
          <w:szCs w:val="24"/>
        </w:rPr>
        <w:t>million infections per year with antibiotic-resistant organisms and 35,000 deaths per year in the U</w:t>
      </w:r>
      <w:r w:rsidR="00B51734">
        <w:rPr>
          <w:rFonts w:ascii="Times New Roman" w:hAnsi="Times New Roman"/>
          <w:sz w:val="24"/>
          <w:szCs w:val="24"/>
        </w:rPr>
        <w:t>.</w:t>
      </w:r>
      <w:r w:rsidRPr="00040F42">
        <w:rPr>
          <w:rFonts w:ascii="Times New Roman" w:hAnsi="Times New Roman"/>
          <w:sz w:val="24"/>
          <w:szCs w:val="24"/>
        </w:rPr>
        <w:t>S.</w:t>
      </w:r>
      <w:r>
        <w:rPr>
          <w:rStyle w:val="EndnoteReference"/>
          <w:rFonts w:ascii="Times New Roman" w:hAnsi="Times New Roman"/>
          <w:sz w:val="24"/>
          <w:szCs w:val="24"/>
        </w:rPr>
        <w:endnoteReference w:id="9"/>
      </w:r>
      <w:r w:rsidRPr="00040F42">
        <w:rPr>
          <w:rFonts w:ascii="Times New Roman" w:hAnsi="Times New Roman"/>
          <w:sz w:val="24"/>
          <w:szCs w:val="24"/>
        </w:rPr>
        <w:t xml:space="preserve"> </w:t>
      </w:r>
      <w:r w:rsidR="00B51734">
        <w:rPr>
          <w:rFonts w:ascii="Times New Roman" w:hAnsi="Times New Roman"/>
          <w:sz w:val="24"/>
          <w:szCs w:val="24"/>
        </w:rPr>
        <w:t>Meanwhile, i</w:t>
      </w:r>
      <w:r w:rsidRPr="00040F42">
        <w:rPr>
          <w:rFonts w:ascii="Times New Roman" w:hAnsi="Times New Roman"/>
          <w:sz w:val="24"/>
          <w:szCs w:val="24"/>
        </w:rPr>
        <w:t xml:space="preserve">nfection-related complaints account for a large proportion of telemedicine visits. Among the most common diagnoses treated in </w:t>
      </w:r>
      <w:r w:rsidRPr="00040F42" w:rsidR="00644DCC">
        <w:rPr>
          <w:rFonts w:ascii="Times New Roman" w:hAnsi="Times New Roman"/>
          <w:sz w:val="24"/>
          <w:szCs w:val="24"/>
        </w:rPr>
        <w:t>direct-to-consumer (</w:t>
      </w:r>
      <w:r w:rsidRPr="00040F42">
        <w:rPr>
          <w:rFonts w:ascii="Times New Roman" w:hAnsi="Times New Roman"/>
          <w:sz w:val="24"/>
          <w:szCs w:val="24"/>
        </w:rPr>
        <w:t>DTC</w:t>
      </w:r>
      <w:r w:rsidRPr="00040F42" w:rsidR="00644DCC">
        <w:rPr>
          <w:rFonts w:ascii="Times New Roman" w:hAnsi="Times New Roman"/>
          <w:sz w:val="24"/>
          <w:szCs w:val="24"/>
        </w:rPr>
        <w:t>)</w:t>
      </w:r>
      <w:r w:rsidRPr="00040F42">
        <w:rPr>
          <w:rFonts w:ascii="Times New Roman" w:hAnsi="Times New Roman"/>
          <w:sz w:val="24"/>
          <w:szCs w:val="24"/>
        </w:rPr>
        <w:t xml:space="preserve"> telemedicine are upper respiratory infections (URIs) and sinusitis (35</w:t>
      </w:r>
      <w:r w:rsidR="00B51734">
        <w:rPr>
          <w:rFonts w:ascii="Times New Roman" w:hAnsi="Times New Roman"/>
          <w:sz w:val="24"/>
          <w:szCs w:val="24"/>
        </w:rPr>
        <w:t>-</w:t>
      </w:r>
      <w:r w:rsidRPr="00040F42">
        <w:rPr>
          <w:rFonts w:ascii="Times New Roman" w:hAnsi="Times New Roman"/>
          <w:sz w:val="24"/>
          <w:szCs w:val="24"/>
        </w:rPr>
        <w:t>85</w:t>
      </w:r>
      <w:r w:rsidR="00790A0F">
        <w:rPr>
          <w:rFonts w:ascii="Times New Roman" w:hAnsi="Times New Roman"/>
          <w:sz w:val="24"/>
          <w:szCs w:val="24"/>
        </w:rPr>
        <w:t xml:space="preserve"> percent</w:t>
      </w:r>
      <w:r w:rsidRPr="00040F42">
        <w:rPr>
          <w:rFonts w:ascii="Times New Roman" w:hAnsi="Times New Roman"/>
          <w:sz w:val="24"/>
          <w:szCs w:val="24"/>
        </w:rPr>
        <w:t xml:space="preserve"> of visits) and urinary tract infections (UTIs, 9</w:t>
      </w:r>
      <w:r w:rsidR="00B51734">
        <w:rPr>
          <w:rFonts w:ascii="Times New Roman" w:hAnsi="Times New Roman"/>
          <w:sz w:val="24"/>
          <w:szCs w:val="24"/>
        </w:rPr>
        <w:t>-</w:t>
      </w:r>
      <w:r w:rsidRPr="00040F42">
        <w:rPr>
          <w:rFonts w:ascii="Times New Roman" w:hAnsi="Times New Roman"/>
          <w:sz w:val="24"/>
          <w:szCs w:val="24"/>
        </w:rPr>
        <w:t>12</w:t>
      </w:r>
      <w:r w:rsidR="00790A0F">
        <w:rPr>
          <w:rFonts w:ascii="Times New Roman" w:hAnsi="Times New Roman"/>
          <w:sz w:val="24"/>
          <w:szCs w:val="24"/>
        </w:rPr>
        <w:t xml:space="preserve"> percent</w:t>
      </w:r>
      <w:r w:rsidRPr="00040F42">
        <w:rPr>
          <w:rFonts w:ascii="Times New Roman" w:hAnsi="Times New Roman"/>
          <w:sz w:val="24"/>
          <w:szCs w:val="24"/>
        </w:rPr>
        <w:t xml:space="preserve"> of visits). Two-thirds of telemedicine visits for URIs inappropriately result in antibiotic prescripti</w:t>
      </w:r>
      <w:r w:rsidRPr="00040F42">
        <w:rPr>
          <w:rFonts w:ascii="Times New Roman" w:hAnsi="Times New Roman"/>
          <w:sz w:val="24"/>
          <w:szCs w:val="24"/>
        </w:rPr>
        <w:t>ons.</w:t>
      </w:r>
      <w:r>
        <w:rPr>
          <w:rStyle w:val="EndnoteReference"/>
          <w:rFonts w:ascii="Times New Roman" w:hAnsi="Times New Roman"/>
          <w:sz w:val="24"/>
          <w:szCs w:val="24"/>
        </w:rPr>
        <w:endnoteReference w:id="10"/>
      </w:r>
      <w:r w:rsidRPr="00040F42">
        <w:rPr>
          <w:rFonts w:ascii="Times New Roman" w:hAnsi="Times New Roman"/>
          <w:sz w:val="24"/>
          <w:szCs w:val="24"/>
        </w:rPr>
        <w:t xml:space="preserve"> </w:t>
      </w:r>
      <w:r>
        <w:rPr>
          <w:rStyle w:val="EndnoteReference"/>
          <w:rFonts w:ascii="Times New Roman" w:hAnsi="Times New Roman"/>
          <w:sz w:val="24"/>
          <w:szCs w:val="24"/>
        </w:rPr>
        <w:endnoteReference w:id="11"/>
      </w:r>
      <w:r w:rsidRPr="00040F42">
        <w:rPr>
          <w:rFonts w:ascii="Times New Roman" w:hAnsi="Times New Roman"/>
          <w:sz w:val="24"/>
          <w:szCs w:val="24"/>
        </w:rPr>
        <w:t xml:space="preserve"> </w:t>
      </w:r>
      <w:r>
        <w:rPr>
          <w:rStyle w:val="EndnoteReference"/>
          <w:rFonts w:ascii="Times New Roman" w:hAnsi="Times New Roman"/>
          <w:sz w:val="24"/>
          <w:szCs w:val="24"/>
        </w:rPr>
        <w:endnoteReference w:id="12"/>
      </w:r>
      <w:r w:rsidRPr="00040F42">
        <w:rPr>
          <w:rFonts w:ascii="Times New Roman" w:hAnsi="Times New Roman"/>
          <w:sz w:val="24"/>
          <w:szCs w:val="24"/>
        </w:rPr>
        <w:t xml:space="preserve"> </w:t>
      </w:r>
      <w:r>
        <w:rPr>
          <w:rStyle w:val="EndnoteReference"/>
          <w:rFonts w:ascii="Times New Roman" w:hAnsi="Times New Roman"/>
          <w:sz w:val="24"/>
          <w:szCs w:val="24"/>
        </w:rPr>
        <w:endnoteReference w:id="13"/>
      </w:r>
      <w:r w:rsidRPr="00040F42">
        <w:rPr>
          <w:rFonts w:ascii="Times New Roman" w:hAnsi="Times New Roman"/>
          <w:sz w:val="24"/>
          <w:szCs w:val="24"/>
        </w:rPr>
        <w:t xml:space="preserve"> These statistics underscore th</w:t>
      </w:r>
      <w:r w:rsidR="00B51734">
        <w:rPr>
          <w:rFonts w:ascii="Times New Roman" w:hAnsi="Times New Roman"/>
          <w:sz w:val="24"/>
          <w:szCs w:val="24"/>
        </w:rPr>
        <w:t>e need for</w:t>
      </w:r>
      <w:r w:rsidRPr="00040F42">
        <w:rPr>
          <w:rFonts w:ascii="Times New Roman" w:hAnsi="Times New Roman"/>
          <w:sz w:val="24"/>
          <w:szCs w:val="24"/>
        </w:rPr>
        <w:t xml:space="preserve"> </w:t>
      </w:r>
      <w:r w:rsidR="0099643A">
        <w:rPr>
          <w:rFonts w:ascii="Times New Roman" w:hAnsi="Times New Roman"/>
          <w:sz w:val="24"/>
          <w:szCs w:val="24"/>
        </w:rPr>
        <w:t>improving antibiotic use</w:t>
      </w:r>
      <w:r w:rsidRPr="00040F42">
        <w:rPr>
          <w:rFonts w:ascii="Times New Roman" w:hAnsi="Times New Roman"/>
          <w:sz w:val="24"/>
          <w:szCs w:val="24"/>
        </w:rPr>
        <w:t xml:space="preserve"> in telemedicine, but </w:t>
      </w:r>
      <w:r w:rsidR="00B51734">
        <w:rPr>
          <w:rFonts w:ascii="Times New Roman" w:hAnsi="Times New Roman"/>
          <w:sz w:val="24"/>
          <w:szCs w:val="24"/>
        </w:rPr>
        <w:t>implementation</w:t>
      </w:r>
      <w:r w:rsidRPr="00040F42">
        <w:rPr>
          <w:rFonts w:ascii="Times New Roman" w:hAnsi="Times New Roman"/>
          <w:sz w:val="24"/>
          <w:szCs w:val="24"/>
        </w:rPr>
        <w:t xml:space="preserve"> requires addressing multiple barriers</w:t>
      </w:r>
      <w:r w:rsidR="00B51734">
        <w:rPr>
          <w:rFonts w:ascii="Times New Roman" w:hAnsi="Times New Roman"/>
          <w:sz w:val="24"/>
          <w:szCs w:val="24"/>
        </w:rPr>
        <w:t>,</w:t>
      </w:r>
      <w:r>
        <w:rPr>
          <w:rStyle w:val="EndnoteReference"/>
          <w:rFonts w:ascii="Times New Roman" w:hAnsi="Times New Roman"/>
          <w:sz w:val="24"/>
          <w:szCs w:val="24"/>
        </w:rPr>
        <w:endnoteReference w:id="14"/>
      </w:r>
      <w:r w:rsidR="00B51734">
        <w:rPr>
          <w:rFonts w:ascii="Times New Roman" w:hAnsi="Times New Roman"/>
          <w:sz w:val="24"/>
          <w:szCs w:val="24"/>
        </w:rPr>
        <w:t xml:space="preserve"> including:</w:t>
      </w:r>
      <w:r w:rsidRPr="00040F42">
        <w:rPr>
          <w:rFonts w:ascii="Times New Roman" w:hAnsi="Times New Roman"/>
          <w:sz w:val="24"/>
          <w:szCs w:val="24"/>
        </w:rPr>
        <w:t xml:space="preserve"> </w:t>
      </w:r>
      <w:r w:rsidR="00B51734">
        <w:rPr>
          <w:rFonts w:ascii="Times New Roman" w:hAnsi="Times New Roman"/>
          <w:sz w:val="24"/>
          <w:szCs w:val="24"/>
        </w:rPr>
        <w:t>c</w:t>
      </w:r>
      <w:r w:rsidRPr="00040F42">
        <w:rPr>
          <w:rFonts w:ascii="Times New Roman" w:hAnsi="Times New Roman"/>
          <w:sz w:val="24"/>
          <w:szCs w:val="24"/>
        </w:rPr>
        <w:t xml:space="preserve">onsumer desire for antibiotics </w:t>
      </w:r>
      <w:r w:rsidR="00B51734">
        <w:rPr>
          <w:rFonts w:ascii="Times New Roman" w:hAnsi="Times New Roman"/>
          <w:sz w:val="24"/>
          <w:szCs w:val="24"/>
        </w:rPr>
        <w:t xml:space="preserve">that may </w:t>
      </w:r>
      <w:r w:rsidRPr="00040F42">
        <w:rPr>
          <w:rFonts w:ascii="Times New Roman" w:hAnsi="Times New Roman"/>
          <w:sz w:val="24"/>
          <w:szCs w:val="24"/>
        </w:rPr>
        <w:t xml:space="preserve">influence </w:t>
      </w:r>
      <w:r w:rsidR="00B51734">
        <w:rPr>
          <w:rFonts w:ascii="Times New Roman" w:hAnsi="Times New Roman"/>
          <w:sz w:val="24"/>
          <w:szCs w:val="24"/>
        </w:rPr>
        <w:t xml:space="preserve">HCPs’ </w:t>
      </w:r>
      <w:r w:rsidRPr="00040F42">
        <w:rPr>
          <w:rFonts w:ascii="Times New Roman" w:hAnsi="Times New Roman"/>
          <w:sz w:val="24"/>
          <w:szCs w:val="24"/>
        </w:rPr>
        <w:t>prescribing</w:t>
      </w:r>
      <w:r w:rsidR="00B51734">
        <w:rPr>
          <w:rFonts w:ascii="Times New Roman" w:hAnsi="Times New Roman"/>
          <w:sz w:val="24"/>
          <w:szCs w:val="24"/>
        </w:rPr>
        <w:t xml:space="preserve"> behaviors</w:t>
      </w:r>
      <w:r w:rsidR="00D42A71">
        <w:rPr>
          <w:rFonts w:ascii="Times New Roman" w:hAnsi="Times New Roman"/>
          <w:sz w:val="24"/>
          <w:szCs w:val="24"/>
        </w:rPr>
        <w:t>;</w:t>
      </w:r>
      <w:r>
        <w:rPr>
          <w:rStyle w:val="EndnoteReference"/>
          <w:rFonts w:ascii="Times New Roman" w:hAnsi="Times New Roman"/>
          <w:sz w:val="24"/>
          <w:szCs w:val="24"/>
        </w:rPr>
        <w:endnoteReference w:id="15"/>
      </w:r>
      <w:r w:rsidRPr="00040F42">
        <w:rPr>
          <w:rFonts w:ascii="Times New Roman" w:hAnsi="Times New Roman"/>
          <w:sz w:val="24"/>
          <w:szCs w:val="24"/>
        </w:rPr>
        <w:t xml:space="preserve"> </w:t>
      </w:r>
      <w:r>
        <w:rPr>
          <w:rStyle w:val="EndnoteReference"/>
          <w:rFonts w:ascii="Times New Roman" w:hAnsi="Times New Roman"/>
          <w:sz w:val="24"/>
          <w:szCs w:val="24"/>
        </w:rPr>
        <w:endnoteReference w:id="16"/>
      </w:r>
      <w:r w:rsidR="00D42A71">
        <w:rPr>
          <w:rFonts w:ascii="Times New Roman" w:hAnsi="Times New Roman"/>
          <w:sz w:val="24"/>
          <w:szCs w:val="24"/>
        </w:rPr>
        <w:t xml:space="preserve"> </w:t>
      </w:r>
      <w:r w:rsidRPr="00040F42">
        <w:rPr>
          <w:rFonts w:ascii="Times New Roman" w:hAnsi="Times New Roman"/>
          <w:sz w:val="24"/>
          <w:szCs w:val="24"/>
        </w:rPr>
        <w:t>HCPs’ unawareness of their own prescribing practices</w:t>
      </w:r>
      <w:r w:rsidR="00B51734">
        <w:rPr>
          <w:rFonts w:ascii="Times New Roman" w:hAnsi="Times New Roman"/>
          <w:sz w:val="24"/>
          <w:szCs w:val="24"/>
        </w:rPr>
        <w:t>;</w:t>
      </w:r>
      <w:r w:rsidRPr="00040F42">
        <w:rPr>
          <w:rFonts w:ascii="Times New Roman" w:hAnsi="Times New Roman"/>
          <w:sz w:val="24"/>
          <w:szCs w:val="24"/>
        </w:rPr>
        <w:t xml:space="preserve"> time pressures</w:t>
      </w:r>
      <w:r w:rsidR="00B51734">
        <w:rPr>
          <w:rFonts w:ascii="Times New Roman" w:hAnsi="Times New Roman"/>
          <w:sz w:val="24"/>
          <w:szCs w:val="24"/>
        </w:rPr>
        <w:t>;</w:t>
      </w:r>
      <w:r w:rsidRPr="00040F42">
        <w:rPr>
          <w:rFonts w:ascii="Times New Roman" w:hAnsi="Times New Roman"/>
          <w:sz w:val="24"/>
          <w:szCs w:val="24"/>
        </w:rPr>
        <w:t xml:space="preserve"> absence of established therapeutic relationships (in DTC telemedicine)</w:t>
      </w:r>
      <w:r w:rsidR="00B51734">
        <w:rPr>
          <w:rFonts w:ascii="Times New Roman" w:hAnsi="Times New Roman"/>
          <w:sz w:val="24"/>
          <w:szCs w:val="24"/>
        </w:rPr>
        <w:t>;</w:t>
      </w:r>
      <w:r w:rsidRPr="00040F42">
        <w:rPr>
          <w:rFonts w:ascii="Times New Roman" w:hAnsi="Times New Roman"/>
          <w:sz w:val="24"/>
          <w:szCs w:val="24"/>
        </w:rPr>
        <w:t xml:space="preserve"> limited infrastructure for implementing </w:t>
      </w:r>
      <w:r w:rsidR="0099643A">
        <w:rPr>
          <w:rFonts w:ascii="Times New Roman" w:hAnsi="Times New Roman"/>
          <w:sz w:val="24"/>
          <w:szCs w:val="24"/>
        </w:rPr>
        <w:t>antibiotic stewardship</w:t>
      </w:r>
      <w:r w:rsidRPr="00040F42">
        <w:rPr>
          <w:rFonts w:ascii="Times New Roman" w:hAnsi="Times New Roman"/>
          <w:sz w:val="24"/>
          <w:szCs w:val="24"/>
        </w:rPr>
        <w:t xml:space="preserve"> interventions</w:t>
      </w:r>
      <w:r w:rsidR="00B51734">
        <w:rPr>
          <w:rFonts w:ascii="Times New Roman" w:hAnsi="Times New Roman"/>
          <w:sz w:val="24"/>
          <w:szCs w:val="24"/>
        </w:rPr>
        <w:t>;</w:t>
      </w:r>
      <w:r w:rsidRPr="00040F42">
        <w:rPr>
          <w:rFonts w:ascii="Times New Roman" w:hAnsi="Times New Roman"/>
          <w:sz w:val="24"/>
          <w:szCs w:val="24"/>
        </w:rPr>
        <w:t xml:space="preserve"> unfamiliarity with </w:t>
      </w:r>
      <w:r w:rsidRPr="00040F42">
        <w:rPr>
          <w:rFonts w:ascii="Times New Roman" w:hAnsi="Times New Roman"/>
          <w:sz w:val="24"/>
          <w:szCs w:val="24"/>
        </w:rPr>
        <w:t>local antibiograms</w:t>
      </w:r>
      <w:r w:rsidR="00B51734">
        <w:rPr>
          <w:rFonts w:ascii="Times New Roman" w:hAnsi="Times New Roman"/>
          <w:sz w:val="24"/>
          <w:szCs w:val="24"/>
        </w:rPr>
        <w:t>;</w:t>
      </w:r>
      <w:r w:rsidRPr="00040F42">
        <w:rPr>
          <w:rFonts w:ascii="Times New Roman" w:hAnsi="Times New Roman"/>
          <w:sz w:val="24"/>
          <w:szCs w:val="24"/>
        </w:rPr>
        <w:t xml:space="preserve"> inability to perform a PE</w:t>
      </w:r>
      <w:r w:rsidR="00B51734">
        <w:rPr>
          <w:rFonts w:ascii="Times New Roman" w:hAnsi="Times New Roman"/>
          <w:sz w:val="24"/>
          <w:szCs w:val="24"/>
        </w:rPr>
        <w:t>;</w:t>
      </w:r>
      <w:r w:rsidRPr="00040F42">
        <w:rPr>
          <w:rFonts w:ascii="Times New Roman" w:hAnsi="Times New Roman"/>
          <w:sz w:val="24"/>
          <w:szCs w:val="24"/>
        </w:rPr>
        <w:t xml:space="preserve"> and lack of access to diagnostic testing.</w:t>
      </w:r>
      <w:r w:rsidRPr="009729B4" w:rsidR="009729B4">
        <w:rPr>
          <w:rFonts w:ascii="Times New Roman" w:hAnsi="Times New Roman"/>
          <w:sz w:val="24"/>
          <w:szCs w:val="24"/>
          <w:vertAlign w:val="superscript"/>
        </w:rPr>
        <w:t>12</w:t>
      </w:r>
      <w:r w:rsidRPr="00040F42">
        <w:rPr>
          <w:rFonts w:ascii="Times New Roman" w:hAnsi="Times New Roman"/>
          <w:sz w:val="24"/>
          <w:szCs w:val="24"/>
        </w:rPr>
        <w:t xml:space="preserve"> </w:t>
      </w:r>
      <w:r w:rsidR="00B51734">
        <w:rPr>
          <w:rFonts w:ascii="Times New Roman" w:hAnsi="Times New Roman"/>
          <w:sz w:val="24"/>
          <w:szCs w:val="24"/>
        </w:rPr>
        <w:t>Moreover,</w:t>
      </w:r>
      <w:r w:rsidRPr="00040F42" w:rsidR="006D3D02">
        <w:rPr>
          <w:rFonts w:ascii="Times New Roman" w:hAnsi="Times New Roman"/>
          <w:sz w:val="24"/>
          <w:szCs w:val="24"/>
        </w:rPr>
        <w:t xml:space="preserve"> r</w:t>
      </w:r>
      <w:r w:rsidRPr="00040F42">
        <w:rPr>
          <w:rFonts w:ascii="Times New Roman" w:hAnsi="Times New Roman"/>
          <w:sz w:val="24"/>
          <w:szCs w:val="24"/>
        </w:rPr>
        <w:t xml:space="preserve">egulations encouraging </w:t>
      </w:r>
      <w:r w:rsidR="0099643A">
        <w:rPr>
          <w:rFonts w:ascii="Times New Roman" w:hAnsi="Times New Roman"/>
          <w:sz w:val="24"/>
          <w:szCs w:val="24"/>
        </w:rPr>
        <w:t>antibiotic stewardship</w:t>
      </w:r>
      <w:r w:rsidRPr="00040F42">
        <w:rPr>
          <w:rFonts w:ascii="Times New Roman" w:hAnsi="Times New Roman"/>
          <w:sz w:val="24"/>
          <w:szCs w:val="24"/>
        </w:rPr>
        <w:t xml:space="preserve"> in ambulatory care and</w:t>
      </w:r>
      <w:r w:rsidR="00B51734">
        <w:rPr>
          <w:rFonts w:ascii="Times New Roman" w:hAnsi="Times New Roman"/>
          <w:sz w:val="24"/>
          <w:szCs w:val="24"/>
        </w:rPr>
        <w:t xml:space="preserve"> relevant</w:t>
      </w:r>
      <w:r w:rsidRPr="00040F42">
        <w:rPr>
          <w:rFonts w:ascii="Times New Roman" w:hAnsi="Times New Roman"/>
          <w:sz w:val="24"/>
          <w:szCs w:val="24"/>
        </w:rPr>
        <w:t xml:space="preserve"> tools are not specific to telemedicine practices.</w:t>
      </w:r>
      <w:r w:rsidRPr="009729B4" w:rsidR="009729B4">
        <w:rPr>
          <w:rFonts w:ascii="Times New Roman" w:hAnsi="Times New Roman"/>
          <w:sz w:val="24"/>
          <w:szCs w:val="24"/>
          <w:vertAlign w:val="superscript"/>
        </w:rPr>
        <w:t>9</w:t>
      </w:r>
      <w:r w:rsidR="009729B4">
        <w:rPr>
          <w:rFonts w:ascii="Times New Roman" w:hAnsi="Times New Roman"/>
          <w:sz w:val="24"/>
          <w:szCs w:val="24"/>
          <w:vertAlign w:val="superscript"/>
        </w:rPr>
        <w:t>,</w:t>
      </w:r>
      <w:r>
        <w:rPr>
          <w:rStyle w:val="EndnoteReference"/>
          <w:rFonts w:ascii="Times New Roman" w:hAnsi="Times New Roman"/>
          <w:sz w:val="24"/>
          <w:szCs w:val="24"/>
        </w:rPr>
        <w:endnoteReference w:id="17"/>
      </w:r>
      <w:r w:rsidR="009729B4">
        <w:rPr>
          <w:rFonts w:ascii="Times New Roman" w:hAnsi="Times New Roman"/>
          <w:sz w:val="24"/>
          <w:szCs w:val="24"/>
          <w:vertAlign w:val="superscript"/>
        </w:rPr>
        <w:t>,</w:t>
      </w:r>
      <w:r>
        <w:rPr>
          <w:rStyle w:val="EndnoteReference"/>
          <w:rFonts w:ascii="Times New Roman" w:hAnsi="Times New Roman"/>
          <w:sz w:val="24"/>
          <w:szCs w:val="24"/>
        </w:rPr>
        <w:endnoteReference w:id="18"/>
      </w:r>
      <w:r w:rsidRPr="009729B4" w:rsidR="009729B4">
        <w:rPr>
          <w:rFonts w:ascii="Times New Roman" w:hAnsi="Times New Roman"/>
          <w:sz w:val="24"/>
          <w:szCs w:val="24"/>
          <w:vertAlign w:val="superscript"/>
        </w:rPr>
        <w:t>,</w:t>
      </w:r>
      <w:r>
        <w:rPr>
          <w:rStyle w:val="EndnoteReference"/>
          <w:rFonts w:ascii="Times New Roman" w:hAnsi="Times New Roman"/>
          <w:sz w:val="24"/>
          <w:szCs w:val="24"/>
        </w:rPr>
        <w:endnoteReference w:id="19"/>
      </w:r>
      <w:r w:rsidR="009729B4">
        <w:rPr>
          <w:rFonts w:ascii="Times New Roman" w:hAnsi="Times New Roman"/>
          <w:sz w:val="24"/>
          <w:szCs w:val="24"/>
          <w:vertAlign w:val="superscript"/>
        </w:rPr>
        <w:t>,</w:t>
      </w:r>
      <w:r>
        <w:rPr>
          <w:rStyle w:val="EndnoteReference"/>
          <w:rFonts w:ascii="Times New Roman" w:hAnsi="Times New Roman"/>
          <w:sz w:val="24"/>
          <w:szCs w:val="24"/>
        </w:rPr>
        <w:endnoteReference w:id="20"/>
      </w:r>
      <w:r w:rsidR="009729B4">
        <w:rPr>
          <w:rFonts w:ascii="Times New Roman" w:hAnsi="Times New Roman"/>
          <w:sz w:val="24"/>
          <w:szCs w:val="24"/>
          <w:vertAlign w:val="superscript"/>
        </w:rPr>
        <w:t>,</w:t>
      </w:r>
      <w:r>
        <w:rPr>
          <w:rStyle w:val="EndnoteReference"/>
          <w:rFonts w:ascii="Times New Roman" w:hAnsi="Times New Roman"/>
          <w:sz w:val="24"/>
          <w:szCs w:val="24"/>
        </w:rPr>
        <w:endnoteReference w:id="21"/>
      </w:r>
      <w:r w:rsidRPr="00040F42">
        <w:rPr>
          <w:rFonts w:ascii="Times New Roman" w:hAnsi="Times New Roman"/>
          <w:sz w:val="24"/>
          <w:szCs w:val="24"/>
        </w:rPr>
        <w:t xml:space="preserve"> </w:t>
      </w:r>
    </w:p>
    <w:p w:rsidR="002241F4" w:rsidRPr="00010908" w:rsidP="00CE54F9" w14:paraId="0974BD73" w14:textId="77777777"/>
    <w:p w:rsidR="00420AEC" w:rsidRPr="00024101" w:rsidP="00B51734" w14:paraId="5E94A7C3" w14:textId="41133C9F">
      <w:r w:rsidRPr="00024101">
        <w:t xml:space="preserve">This </w:t>
      </w:r>
      <w:r w:rsidRPr="00024101" w:rsidR="00DD03B5">
        <w:t xml:space="preserve">program </w:t>
      </w:r>
      <w:r w:rsidRPr="00024101">
        <w:t>will incorporate CUSP strategies to improve</w:t>
      </w:r>
      <w:r w:rsidRPr="00024101" w:rsidR="00B51734">
        <w:t xml:space="preserve"> antibiotic prescribing</w:t>
      </w:r>
      <w:r w:rsidRPr="00024101">
        <w:t xml:space="preserve"> </w:t>
      </w:r>
      <w:r w:rsidRPr="00024101" w:rsidR="00577AAF">
        <w:t>in telemedicine</w:t>
      </w:r>
      <w:r w:rsidRPr="00024101" w:rsidR="00B51734">
        <w:t xml:space="preserve">. The </w:t>
      </w:r>
      <w:r w:rsidRPr="00024101" w:rsidR="00DD03B5">
        <w:t xml:space="preserve">program </w:t>
      </w:r>
      <w:r w:rsidRPr="00024101" w:rsidR="00B51734">
        <w:t>goals are to</w:t>
      </w:r>
      <w:r w:rsidRPr="00024101">
        <w:t>:</w:t>
      </w:r>
    </w:p>
    <w:p w:rsidR="00603E37" w:rsidRPr="00024101" w:rsidP="00D01CF2" w14:paraId="07F4CC85" w14:textId="490B53CE">
      <w:pPr>
        <w:pStyle w:val="ColorfulList-Accent11"/>
        <w:numPr>
          <w:ilvl w:val="0"/>
          <w:numId w:val="10"/>
        </w:numPr>
      </w:pPr>
      <w:r w:rsidRPr="00024101">
        <w:t xml:space="preserve">Identify best practices in implementing interventions to improve </w:t>
      </w:r>
      <w:r w:rsidRPr="00024101" w:rsidR="0099643A">
        <w:t>antibiotic use</w:t>
      </w:r>
      <w:r w:rsidRPr="00024101">
        <w:t xml:space="preserve"> in telemedi</w:t>
      </w:r>
      <w:r w:rsidRPr="00024101" w:rsidR="00091234">
        <w:t>ci</w:t>
      </w:r>
      <w:r w:rsidRPr="00024101">
        <w:t>ne</w:t>
      </w:r>
      <w:r w:rsidRPr="00024101" w:rsidR="00631162">
        <w:t>.</w:t>
      </w:r>
    </w:p>
    <w:p w:rsidR="00603E37" w:rsidRPr="00024101" w:rsidP="00D01CF2" w14:paraId="5556B446" w14:textId="44CB5E9C">
      <w:pPr>
        <w:pStyle w:val="ColorfulList-Accent11"/>
        <w:numPr>
          <w:ilvl w:val="0"/>
          <w:numId w:val="10"/>
        </w:numPr>
      </w:pPr>
      <w:r w:rsidRPr="00024101">
        <w:t xml:space="preserve">Determine how best to adapt CUSP to </w:t>
      </w:r>
      <w:r w:rsidRPr="00024101">
        <w:t xml:space="preserve">enhance </w:t>
      </w:r>
      <w:r w:rsidRPr="00024101" w:rsidR="0099643A">
        <w:t>antibiotic use</w:t>
      </w:r>
      <w:r w:rsidRPr="00024101">
        <w:t xml:space="preserve"> in telemedicine</w:t>
      </w:r>
      <w:r w:rsidRPr="00024101" w:rsidR="00631162">
        <w:t>.</w:t>
      </w:r>
    </w:p>
    <w:p w:rsidR="00603E37" w:rsidRPr="00024101" w:rsidP="00D01CF2" w14:paraId="7A4ED6D7" w14:textId="200647A8">
      <w:pPr>
        <w:pStyle w:val="ColorfulList-Accent11"/>
        <w:numPr>
          <w:ilvl w:val="0"/>
          <w:numId w:val="10"/>
        </w:numPr>
      </w:pPr>
      <w:r w:rsidRPr="00024101">
        <w:t xml:space="preserve">Use a CUSP approach to </w:t>
      </w:r>
      <w:r w:rsidRPr="00024101" w:rsidR="00631162">
        <w:t xml:space="preserve">design and </w:t>
      </w:r>
      <w:r w:rsidRPr="00024101">
        <w:t xml:space="preserve">implement </w:t>
      </w:r>
      <w:r w:rsidRPr="00024101" w:rsidR="00631162">
        <w:t xml:space="preserve">the interventions for improving </w:t>
      </w:r>
      <w:r w:rsidRPr="00024101" w:rsidR="0099643A">
        <w:t>antibiotic use</w:t>
      </w:r>
      <w:r w:rsidRPr="00024101">
        <w:t xml:space="preserve"> across telemedicine practices</w:t>
      </w:r>
      <w:r w:rsidRPr="00024101" w:rsidR="00CB23F3">
        <w:t>.</w:t>
      </w:r>
    </w:p>
    <w:p w:rsidR="00603E37" w:rsidRPr="00024101" w:rsidP="00D01CF2" w14:paraId="3D94E826" w14:textId="1E1BD549">
      <w:pPr>
        <w:pStyle w:val="ColorfulList-Accent11"/>
        <w:numPr>
          <w:ilvl w:val="0"/>
          <w:numId w:val="10"/>
        </w:numPr>
      </w:pPr>
      <w:r w:rsidRPr="00024101">
        <w:t>Reduce inappropriate antibiotic prescribing among telemedicine practices</w:t>
      </w:r>
      <w:r w:rsidRPr="00024101" w:rsidR="00CB23F3">
        <w:t>.</w:t>
      </w:r>
      <w:r w:rsidRPr="00024101">
        <w:t xml:space="preserve"> </w:t>
      </w:r>
    </w:p>
    <w:p w:rsidR="00420AEC" w:rsidRPr="00EB0876" w:rsidP="00D01CF2" w14:paraId="149ABEF7" w14:textId="77777777">
      <w:pPr>
        <w:pStyle w:val="ColorfulList-Accent11"/>
      </w:pPr>
    </w:p>
    <w:p w:rsidR="00753E41" w:rsidRPr="00EB0876" w:rsidP="00564421" w14:paraId="0F9CD64F" w14:textId="080484C4">
      <w:r w:rsidRPr="00024101">
        <w:t xml:space="preserve">AHRQ is requesting a </w:t>
      </w:r>
      <w:r w:rsidRPr="00024101" w:rsidR="0072692A">
        <w:t>3</w:t>
      </w:r>
      <w:r w:rsidRPr="00024101">
        <w:t xml:space="preserve">-year clearance to perform the data collection activities needed to assess the adoption of the program and evaluate its effectiveness in the participating practices. The </w:t>
      </w:r>
      <w:r w:rsidRPr="00024101" w:rsidR="00DD03B5">
        <w:t xml:space="preserve">program </w:t>
      </w:r>
      <w:r w:rsidRPr="00024101">
        <w:t xml:space="preserve">will be </w:t>
      </w:r>
      <w:r w:rsidRPr="00024101" w:rsidR="00285C8A">
        <w:t xml:space="preserve">comprised of </w:t>
      </w:r>
      <w:r w:rsidRPr="00024101" w:rsidR="009D62A9">
        <w:t>300</w:t>
      </w:r>
      <w:r w:rsidRPr="00024101" w:rsidR="00285C8A">
        <w:t xml:space="preserve"> to </w:t>
      </w:r>
      <w:r w:rsidRPr="00024101" w:rsidR="009D62A9">
        <w:t xml:space="preserve">500 </w:t>
      </w:r>
      <w:r w:rsidRPr="00024101" w:rsidR="00285C8A">
        <w:t>clinic-based and telemedicine</w:t>
      </w:r>
      <w:r w:rsidRPr="00024101" w:rsidR="00A516B7">
        <w:t>-only</w:t>
      </w:r>
      <w:r w:rsidRPr="00024101" w:rsidR="00285C8A">
        <w:t xml:space="preserve"> practices</w:t>
      </w:r>
      <w:r w:rsidRPr="00024101" w:rsidR="0081775A">
        <w:t xml:space="preserve"> </w:t>
      </w:r>
      <w:r w:rsidRPr="00024101" w:rsidR="00285C8A">
        <w:t xml:space="preserve">from </w:t>
      </w:r>
      <w:r w:rsidRPr="00024101" w:rsidR="004256A9">
        <w:t>all 10 H</w:t>
      </w:r>
      <w:r w:rsidRPr="00024101" w:rsidR="00285C8A">
        <w:t xml:space="preserve">ealth and </w:t>
      </w:r>
      <w:r w:rsidRPr="00024101" w:rsidR="004256A9">
        <w:t>H</w:t>
      </w:r>
      <w:r w:rsidRPr="00024101" w:rsidR="00285C8A">
        <w:t xml:space="preserve">uman </w:t>
      </w:r>
      <w:r w:rsidRPr="00024101" w:rsidR="004256A9">
        <w:t>S</w:t>
      </w:r>
      <w:r w:rsidRPr="00024101" w:rsidR="00285C8A">
        <w:t>ervices</w:t>
      </w:r>
      <w:r w:rsidRPr="00024101" w:rsidR="004256A9">
        <w:t xml:space="preserve"> regions.</w:t>
      </w:r>
      <w:r w:rsidRPr="00EB0876" w:rsidR="004256A9">
        <w:br/>
      </w:r>
      <w:r w:rsidRPr="00EB0876">
        <w:t xml:space="preserve"> </w:t>
      </w:r>
    </w:p>
    <w:p w:rsidR="00EA0B42" w:rsidRPr="00EB0876" w:rsidP="00EA0B42" w14:paraId="220F149D" w14:textId="4E3BFC97">
      <w:r w:rsidRPr="00024101">
        <w:t xml:space="preserve">To achieve the goals of </w:t>
      </w:r>
      <w:r w:rsidRPr="00024101" w:rsidR="00CC793F">
        <w:t xml:space="preserve">the </w:t>
      </w:r>
      <w:bookmarkStart w:id="12" w:name="OLE_LINK34"/>
      <w:r w:rsidRPr="00024101" w:rsidR="00C91A57">
        <w:t>AHRQ Safety Program for Telemedicine</w:t>
      </w:r>
      <w:r w:rsidRPr="00024101" w:rsidR="00AD56D5">
        <w:t xml:space="preserve"> (“Safety Program”)</w:t>
      </w:r>
      <w:bookmarkEnd w:id="12"/>
      <w:r w:rsidRPr="00024101" w:rsidR="00DC1D2C">
        <w:rPr>
          <w:bCs/>
          <w:color w:val="000000"/>
        </w:rPr>
        <w:t xml:space="preserve">, </w:t>
      </w:r>
      <w:r w:rsidRPr="00024101" w:rsidR="00E418E5">
        <w:rPr>
          <w:bCs/>
          <w:color w:val="000000"/>
        </w:rPr>
        <w:t xml:space="preserve">the following </w:t>
      </w:r>
      <w:r w:rsidRPr="00024101" w:rsidR="004175DA">
        <w:rPr>
          <w:bCs/>
          <w:color w:val="000000"/>
        </w:rPr>
        <w:t xml:space="preserve">data collection activities will </w:t>
      </w:r>
      <w:r w:rsidRPr="00024101">
        <w:t xml:space="preserve">be implemented for the </w:t>
      </w:r>
      <w:r w:rsidRPr="00024101" w:rsidR="0099643A">
        <w:t xml:space="preserve">Improving </w:t>
      </w:r>
      <w:r w:rsidRPr="00024101">
        <w:t xml:space="preserve">Antibiotic </w:t>
      </w:r>
      <w:r w:rsidRPr="00024101" w:rsidR="0099643A">
        <w:t>Use</w:t>
      </w:r>
      <w:r w:rsidRPr="00024101">
        <w:t xml:space="preserve"> cohort, which will take place </w:t>
      </w:r>
      <w:r w:rsidR="004E35E2">
        <w:t>August</w:t>
      </w:r>
      <w:r w:rsidRPr="00024101" w:rsidR="004E35E2">
        <w:t xml:space="preserve"> </w:t>
      </w:r>
      <w:r w:rsidRPr="00024101">
        <w:t>2024 – December 2025</w:t>
      </w:r>
      <w:r w:rsidR="004E35E2">
        <w:t>. This is contingent upon receiving OMB approval.</w:t>
      </w:r>
    </w:p>
    <w:p w:rsidR="00EA0B42" w:rsidRPr="00024101" w:rsidP="00EA0B42" w14:paraId="37968EB2" w14:textId="77777777"/>
    <w:p w:rsidR="00413ECF" w:rsidRPr="00024101" w:rsidP="00413ECF" w14:paraId="43C0BF82" w14:textId="57C8F512">
      <w:pPr>
        <w:pStyle w:val="ColorfulList-Accent11"/>
        <w:numPr>
          <w:ilvl w:val="0"/>
          <w:numId w:val="40"/>
        </w:numPr>
        <w:rPr>
          <w:bCs/>
        </w:rPr>
      </w:pPr>
      <w:r w:rsidRPr="00024101">
        <w:rPr>
          <w:bCs/>
          <w:u w:val="single"/>
        </w:rPr>
        <w:t>Structural Assessment</w:t>
      </w:r>
      <w:r w:rsidR="00C322C7">
        <w:rPr>
          <w:bCs/>
          <w:u w:val="single"/>
        </w:rPr>
        <w:t>s</w:t>
      </w:r>
      <w:r w:rsidRPr="00024101">
        <w:rPr>
          <w:bCs/>
        </w:rPr>
        <w:t xml:space="preserve">: A brief online assessment will be completed by a leader/champion from each </w:t>
      </w:r>
      <w:bookmarkStart w:id="13" w:name="OLE_LINK20"/>
      <w:r w:rsidRPr="00024101">
        <w:rPr>
          <w:bCs/>
        </w:rPr>
        <w:t xml:space="preserve">brick-and-mortar practice </w:t>
      </w:r>
      <w:r w:rsidRPr="00024101" w:rsidR="00FD4537">
        <w:rPr>
          <w:bCs/>
        </w:rPr>
        <w:t>or</w:t>
      </w:r>
      <w:r w:rsidRPr="00024101">
        <w:rPr>
          <w:bCs/>
        </w:rPr>
        <w:t xml:space="preserve"> telemedicine-only o</w:t>
      </w:r>
      <w:r w:rsidRPr="00024101">
        <w:rPr>
          <w:bCs/>
        </w:rPr>
        <w:t>rganization</w:t>
      </w:r>
      <w:bookmarkEnd w:id="13"/>
      <w:r w:rsidRPr="00024101">
        <w:rPr>
          <w:bCs/>
        </w:rPr>
        <w:t xml:space="preserve"> to understand </w:t>
      </w:r>
      <w:r w:rsidRPr="00024101" w:rsidR="00747E5F">
        <w:rPr>
          <w:bCs/>
        </w:rPr>
        <w:t>their</w:t>
      </w:r>
      <w:r w:rsidRPr="00024101">
        <w:rPr>
          <w:bCs/>
        </w:rPr>
        <w:t xml:space="preserve"> infrastructure and capacity to implement the Safety Program</w:t>
      </w:r>
      <w:r w:rsidRPr="00024101" w:rsidR="00A71471">
        <w:rPr>
          <w:bCs/>
          <w:i/>
        </w:rPr>
        <w:t xml:space="preserve">. </w:t>
      </w:r>
      <w:bookmarkStart w:id="14" w:name="OLE_LINK49"/>
      <w:r w:rsidRPr="00024101" w:rsidR="00A71471">
        <w:rPr>
          <w:bCs/>
          <w:i/>
        </w:rPr>
        <w:t>O</w:t>
      </w:r>
      <w:r w:rsidRPr="00024101">
        <w:rPr>
          <w:bCs/>
          <w:i/>
        </w:rPr>
        <w:t xml:space="preserve">ne </w:t>
      </w:r>
      <w:r w:rsidRPr="00024101">
        <w:rPr>
          <w:bCs/>
          <w:i/>
        </w:rPr>
        <w:t xml:space="preserve">version of the Structural Assessment was included in the original OMB </w:t>
      </w:r>
      <w:r w:rsidRPr="00024101" w:rsidR="00EA3FDA">
        <w:rPr>
          <w:bCs/>
          <w:i/>
        </w:rPr>
        <w:t>submission</w:t>
      </w:r>
      <w:r w:rsidRPr="00024101" w:rsidR="001F6D6F">
        <w:rPr>
          <w:bCs/>
          <w:i/>
        </w:rPr>
        <w:t>. T</w:t>
      </w:r>
      <w:r w:rsidRPr="00024101">
        <w:rPr>
          <w:bCs/>
          <w:i/>
        </w:rPr>
        <w:t xml:space="preserve">his revision </w:t>
      </w:r>
      <w:r w:rsidRPr="00024101" w:rsidR="00FD4537">
        <w:rPr>
          <w:bCs/>
          <w:i/>
        </w:rPr>
        <w:t>includes</w:t>
      </w:r>
      <w:r w:rsidRPr="00024101">
        <w:rPr>
          <w:bCs/>
          <w:i/>
        </w:rPr>
        <w:t xml:space="preserve"> separate versions for brick-and-mortar and telemedicin</w:t>
      </w:r>
      <w:r w:rsidRPr="00024101">
        <w:rPr>
          <w:bCs/>
          <w:i/>
        </w:rPr>
        <w:t xml:space="preserve">e-only settings. </w:t>
      </w:r>
      <w:bookmarkEnd w:id="14"/>
    </w:p>
    <w:p w:rsidR="00413ECF" w:rsidRPr="00024101" w:rsidP="00413ECF" w14:paraId="1C320C2A" w14:textId="16FEBA69">
      <w:pPr>
        <w:pStyle w:val="ColorfulList-Accent11"/>
        <w:numPr>
          <w:ilvl w:val="0"/>
          <w:numId w:val="40"/>
        </w:numPr>
        <w:spacing w:before="240"/>
        <w:rPr>
          <w:bCs/>
        </w:rPr>
      </w:pPr>
      <w:r w:rsidRPr="003B50D7">
        <w:rPr>
          <w:bCs/>
          <w:u w:val="single"/>
        </w:rPr>
        <w:t>The Medical Office Survey on Patient Safety Culture (MOSOPS)</w:t>
      </w:r>
      <w:r w:rsidR="003B50D7">
        <w:rPr>
          <w:bCs/>
        </w:rPr>
        <w:t>: This survey</w:t>
      </w:r>
      <w:r w:rsidRPr="00024101">
        <w:rPr>
          <w:bCs/>
        </w:rPr>
        <w:t xml:space="preserve"> will be completed by all participating staff at brick-and mortar practices to assess patient safety issues, medical errors, and event reporting practices</w:t>
      </w:r>
      <w:r w:rsidRPr="00024101" w:rsidR="00A71471">
        <w:rPr>
          <w:bCs/>
          <w:i/>
          <w:iCs/>
        </w:rPr>
        <w:t>. T</w:t>
      </w:r>
      <w:r w:rsidRPr="00024101">
        <w:rPr>
          <w:bCs/>
          <w:i/>
          <w:iCs/>
        </w:rPr>
        <w:t xml:space="preserve">his survey was to be completed by all participants in the original OMB </w:t>
      </w:r>
      <w:r w:rsidRPr="00024101" w:rsidR="00FD4537">
        <w:rPr>
          <w:bCs/>
          <w:i/>
          <w:iCs/>
        </w:rPr>
        <w:t>submission</w:t>
      </w:r>
      <w:r w:rsidRPr="00024101" w:rsidR="00A71471">
        <w:rPr>
          <w:bCs/>
          <w:i/>
          <w:iCs/>
        </w:rPr>
        <w:t>. T</w:t>
      </w:r>
      <w:r w:rsidRPr="00024101">
        <w:rPr>
          <w:bCs/>
          <w:i/>
          <w:iCs/>
        </w:rPr>
        <w:t xml:space="preserve">his revision </w:t>
      </w:r>
      <w:r w:rsidRPr="00024101" w:rsidR="00FD4537">
        <w:rPr>
          <w:bCs/>
          <w:i/>
          <w:iCs/>
        </w:rPr>
        <w:t xml:space="preserve">excludes </w:t>
      </w:r>
      <w:r w:rsidRPr="00024101">
        <w:rPr>
          <w:bCs/>
          <w:i/>
          <w:iCs/>
        </w:rPr>
        <w:t>participants</w:t>
      </w:r>
      <w:r w:rsidRPr="00024101" w:rsidR="00FD4537">
        <w:rPr>
          <w:bCs/>
          <w:i/>
          <w:iCs/>
        </w:rPr>
        <w:t xml:space="preserve"> in telemedicine-only </w:t>
      </w:r>
      <w:r w:rsidRPr="00024101" w:rsidR="00EA3FDA">
        <w:rPr>
          <w:bCs/>
          <w:i/>
          <w:iCs/>
        </w:rPr>
        <w:t>settings</w:t>
      </w:r>
      <w:r w:rsidRPr="00024101" w:rsidR="00FD4537">
        <w:rPr>
          <w:bCs/>
          <w:i/>
          <w:iCs/>
        </w:rPr>
        <w:t xml:space="preserve"> from completing the</w:t>
      </w:r>
      <w:r w:rsidRPr="00024101">
        <w:rPr>
          <w:bCs/>
          <w:i/>
          <w:iCs/>
        </w:rPr>
        <w:t xml:space="preserve"> MOSOPS</w:t>
      </w:r>
      <w:r w:rsidRPr="00024101">
        <w:rPr>
          <w:bCs/>
        </w:rPr>
        <w:t xml:space="preserve">. </w:t>
      </w:r>
    </w:p>
    <w:p w:rsidR="00413ECF" w:rsidRPr="00024101" w:rsidP="00413ECF" w14:paraId="625BBD30" w14:textId="5969CCCD">
      <w:pPr>
        <w:pStyle w:val="ColorfulList-Accent11"/>
        <w:numPr>
          <w:ilvl w:val="0"/>
          <w:numId w:val="40"/>
        </w:numPr>
        <w:spacing w:before="240"/>
        <w:rPr>
          <w:bCs/>
        </w:rPr>
      </w:pPr>
      <w:r w:rsidRPr="00024101">
        <w:rPr>
          <w:bCs/>
          <w:u w:val="single"/>
        </w:rPr>
        <w:t>Participant Experience Survey</w:t>
      </w:r>
      <w:r w:rsidR="00C322C7">
        <w:rPr>
          <w:bCs/>
          <w:u w:val="single"/>
        </w:rPr>
        <w:t xml:space="preserve"> Antibiotic Use Cohort</w:t>
      </w:r>
      <w:r w:rsidRPr="00024101">
        <w:rPr>
          <w:bCs/>
        </w:rPr>
        <w:t xml:space="preserve">: A brief online assessment will be completed by a leader/champion from each practice to assess how participants </w:t>
      </w:r>
      <w:r w:rsidRPr="00024101">
        <w:rPr>
          <w:bCs/>
        </w:rPr>
        <w:t>approached implementation of the Safety Program</w:t>
      </w:r>
      <w:bookmarkStart w:id="15" w:name="OLE_LINK51"/>
      <w:r w:rsidRPr="00024101" w:rsidR="001F6D6F">
        <w:rPr>
          <w:bCs/>
          <w:i/>
        </w:rPr>
        <w:t>. O</w:t>
      </w:r>
      <w:r w:rsidRPr="00024101">
        <w:rPr>
          <w:bCs/>
          <w:i/>
        </w:rPr>
        <w:t xml:space="preserve">ne version of the Participant Experience Survey was included in the original OMB </w:t>
      </w:r>
      <w:r w:rsidRPr="00024101" w:rsidR="00EA3FDA">
        <w:rPr>
          <w:bCs/>
          <w:i/>
        </w:rPr>
        <w:t>submission</w:t>
      </w:r>
      <w:r w:rsidRPr="00024101" w:rsidR="001F6D6F">
        <w:rPr>
          <w:bCs/>
          <w:i/>
        </w:rPr>
        <w:t>.</w:t>
      </w:r>
      <w:r w:rsidRPr="00024101">
        <w:rPr>
          <w:bCs/>
          <w:i/>
        </w:rPr>
        <w:t xml:space="preserve"> </w:t>
      </w:r>
      <w:r w:rsidRPr="00024101" w:rsidR="001F6D6F">
        <w:rPr>
          <w:bCs/>
          <w:i/>
        </w:rPr>
        <w:t>T</w:t>
      </w:r>
      <w:r w:rsidRPr="00024101">
        <w:rPr>
          <w:bCs/>
          <w:i/>
        </w:rPr>
        <w:t xml:space="preserve">his revision </w:t>
      </w:r>
      <w:r w:rsidRPr="00024101" w:rsidR="00EA3FDA">
        <w:rPr>
          <w:bCs/>
          <w:i/>
        </w:rPr>
        <w:t>includes</w:t>
      </w:r>
      <w:r w:rsidRPr="00024101">
        <w:rPr>
          <w:bCs/>
          <w:i/>
        </w:rPr>
        <w:t xml:space="preserve"> separate versions for brick-and-mortar and telemedicine-only settings</w:t>
      </w:r>
      <w:bookmarkEnd w:id="15"/>
      <w:r w:rsidRPr="00024101">
        <w:rPr>
          <w:bCs/>
          <w:i/>
        </w:rPr>
        <w:t>.</w:t>
      </w:r>
    </w:p>
    <w:p w:rsidR="00413ECF" w:rsidRPr="00024101" w:rsidP="00413ECF" w14:paraId="0D8889FD" w14:textId="14B43E2A">
      <w:pPr>
        <w:pStyle w:val="ColorfulList-Accent11"/>
        <w:numPr>
          <w:ilvl w:val="0"/>
          <w:numId w:val="40"/>
        </w:numPr>
        <w:spacing w:before="240"/>
        <w:rPr>
          <w:bCs/>
        </w:rPr>
      </w:pPr>
      <w:r w:rsidRPr="00024101">
        <w:rPr>
          <w:bCs/>
          <w:u w:val="single"/>
        </w:rPr>
        <w:t>Semi-</w:t>
      </w:r>
      <w:r w:rsidR="00C322C7">
        <w:rPr>
          <w:bCs/>
          <w:u w:val="single"/>
        </w:rPr>
        <w:t>S</w:t>
      </w:r>
      <w:r w:rsidRPr="00024101">
        <w:rPr>
          <w:bCs/>
          <w:u w:val="single"/>
        </w:rPr>
        <w:t>tructured Qua</w:t>
      </w:r>
      <w:r w:rsidRPr="00024101">
        <w:rPr>
          <w:bCs/>
          <w:u w:val="single"/>
        </w:rPr>
        <w:t>litative Interviews</w:t>
      </w:r>
      <w:r w:rsidRPr="00024101">
        <w:rPr>
          <w:bCs/>
        </w:rPr>
        <w:t>: A proportion of practices will be selected to participate in telephone/virtual discussions to understand the facilitators and barriers to implementing the Safety Program</w:t>
      </w:r>
      <w:r w:rsidRPr="00024101" w:rsidR="001F6D6F">
        <w:rPr>
          <w:bCs/>
          <w:i/>
        </w:rPr>
        <w:t xml:space="preserve">. </w:t>
      </w:r>
      <w:bookmarkStart w:id="16" w:name="OLE_LINK53"/>
      <w:r w:rsidRPr="00024101" w:rsidR="001F6D6F">
        <w:rPr>
          <w:bCs/>
          <w:i/>
        </w:rPr>
        <w:t>A</w:t>
      </w:r>
      <w:r w:rsidRPr="00024101">
        <w:rPr>
          <w:bCs/>
          <w:i/>
        </w:rPr>
        <w:t xml:space="preserve"> </w:t>
      </w:r>
      <w:r w:rsidRPr="00024101" w:rsidR="00EA3FDA">
        <w:rPr>
          <w:bCs/>
          <w:i/>
        </w:rPr>
        <w:t>draft Interview Guide for Semi-Structured</w:t>
      </w:r>
      <w:r w:rsidRPr="00024101">
        <w:rPr>
          <w:bCs/>
          <w:i/>
        </w:rPr>
        <w:t xml:space="preserve"> Interview</w:t>
      </w:r>
      <w:r w:rsidRPr="00024101" w:rsidR="00EA3FDA">
        <w:rPr>
          <w:bCs/>
          <w:i/>
        </w:rPr>
        <w:t>s</w:t>
      </w:r>
      <w:r w:rsidRPr="00024101">
        <w:rPr>
          <w:bCs/>
          <w:i/>
        </w:rPr>
        <w:t xml:space="preserve"> was inclu</w:t>
      </w:r>
      <w:r w:rsidRPr="00024101">
        <w:rPr>
          <w:bCs/>
          <w:i/>
        </w:rPr>
        <w:t xml:space="preserve">ded in the original OMB </w:t>
      </w:r>
      <w:r w:rsidRPr="00024101" w:rsidR="001F6D6F">
        <w:rPr>
          <w:bCs/>
          <w:i/>
        </w:rPr>
        <w:t>submission. T</w:t>
      </w:r>
      <w:r w:rsidRPr="00024101">
        <w:rPr>
          <w:bCs/>
          <w:i/>
        </w:rPr>
        <w:t xml:space="preserve">his </w:t>
      </w:r>
      <w:r w:rsidRPr="00024101" w:rsidR="00EA3FDA">
        <w:rPr>
          <w:bCs/>
          <w:i/>
        </w:rPr>
        <w:t>revision</w:t>
      </w:r>
      <w:r w:rsidRPr="00024101">
        <w:rPr>
          <w:bCs/>
          <w:i/>
        </w:rPr>
        <w:t xml:space="preserve"> includes </w:t>
      </w:r>
      <w:r w:rsidRPr="00024101" w:rsidR="00A516B7">
        <w:rPr>
          <w:bCs/>
          <w:i/>
        </w:rPr>
        <w:t xml:space="preserve">a prompt to potentially skip a section on the role of nursing in stewardship if not applicable to the practice. </w:t>
      </w:r>
      <w:bookmarkEnd w:id="16"/>
    </w:p>
    <w:p w:rsidR="00413ECF" w:rsidRPr="00024101" w:rsidP="00EA3FDA" w14:paraId="4325721B" w14:textId="4BC8498D">
      <w:pPr>
        <w:pStyle w:val="ColorfulList-Accent11"/>
        <w:numPr>
          <w:ilvl w:val="0"/>
          <w:numId w:val="40"/>
        </w:numPr>
        <w:spacing w:before="240"/>
        <w:rPr>
          <w:bCs/>
        </w:rPr>
      </w:pPr>
      <w:r w:rsidRPr="00024101">
        <w:rPr>
          <w:bCs/>
          <w:u w:val="single"/>
        </w:rPr>
        <w:t>Electronic Health Record (EHR) data</w:t>
      </w:r>
      <w:r w:rsidRPr="00024101">
        <w:rPr>
          <w:bCs/>
        </w:rPr>
        <w:t xml:space="preserve">: </w:t>
      </w:r>
      <w:r w:rsidRPr="00024101" w:rsidR="00D94C20">
        <w:rPr>
          <w:bCs/>
        </w:rPr>
        <w:t>Diagnostic codes and any associated antibiotics prescribed</w:t>
      </w:r>
      <w:r w:rsidRPr="00024101">
        <w:rPr>
          <w:bCs/>
        </w:rPr>
        <w:t xml:space="preserve"> will be extracted from the EHRs of </w:t>
      </w:r>
      <w:r w:rsidRPr="00024101" w:rsidR="00A516B7">
        <w:rPr>
          <w:bCs/>
        </w:rPr>
        <w:t xml:space="preserve">participating </w:t>
      </w:r>
      <w:r w:rsidRPr="00024101">
        <w:rPr>
          <w:bCs/>
        </w:rPr>
        <w:t>practices</w:t>
      </w:r>
      <w:r w:rsidRPr="00024101" w:rsidR="001F6D6F">
        <w:rPr>
          <w:bCs/>
          <w:i/>
        </w:rPr>
        <w:t>. A</w:t>
      </w:r>
      <w:r w:rsidRPr="00024101">
        <w:rPr>
          <w:bCs/>
          <w:i/>
        </w:rPr>
        <w:t xml:space="preserve">n Antibiotic Prescription Data Template was included in the original OMB </w:t>
      </w:r>
      <w:r w:rsidRPr="00024101" w:rsidR="00EA3FDA">
        <w:rPr>
          <w:bCs/>
          <w:i/>
        </w:rPr>
        <w:t>submission</w:t>
      </w:r>
      <w:r w:rsidRPr="00024101" w:rsidR="001F6D6F">
        <w:rPr>
          <w:bCs/>
          <w:i/>
        </w:rPr>
        <w:t>.</w:t>
      </w:r>
      <w:r w:rsidRPr="00024101" w:rsidR="00EA3FDA">
        <w:rPr>
          <w:bCs/>
          <w:i/>
        </w:rPr>
        <w:t xml:space="preserve"> </w:t>
      </w:r>
      <w:r w:rsidRPr="00024101" w:rsidR="001F6D6F">
        <w:rPr>
          <w:bCs/>
          <w:i/>
        </w:rPr>
        <w:t>T</w:t>
      </w:r>
      <w:r w:rsidRPr="00024101">
        <w:rPr>
          <w:bCs/>
          <w:i/>
        </w:rPr>
        <w:t xml:space="preserve">his revision includes modifications to the template to simplify the </w:t>
      </w:r>
      <w:r w:rsidRPr="00024101" w:rsidR="00EA3FDA">
        <w:rPr>
          <w:bCs/>
          <w:i/>
        </w:rPr>
        <w:t xml:space="preserve">data collection </w:t>
      </w:r>
      <w:r w:rsidRPr="00024101">
        <w:rPr>
          <w:bCs/>
          <w:i/>
        </w:rPr>
        <w:t xml:space="preserve">process for </w:t>
      </w:r>
      <w:r w:rsidRPr="00024101" w:rsidR="00EA3FDA">
        <w:rPr>
          <w:bCs/>
          <w:i/>
        </w:rPr>
        <w:t>participants</w:t>
      </w:r>
      <w:r w:rsidRPr="00024101">
        <w:rPr>
          <w:bCs/>
        </w:rPr>
        <w:t xml:space="preserve">. </w:t>
      </w:r>
    </w:p>
    <w:p w:rsidR="00EA0B42" w:rsidRPr="00010908" w:rsidP="00EA0B42" w14:paraId="104B4C8A" w14:textId="77777777"/>
    <w:p w:rsidR="00527BBD" w:rsidRPr="00010908" w:rsidP="00C8638B" w14:paraId="1B6E2F6A" w14:textId="4EAD41CE">
      <w:r w:rsidRPr="00024101">
        <w:t xml:space="preserve">The </w:t>
      </w:r>
      <w:r w:rsidRPr="00024101" w:rsidR="00683AD9">
        <w:t>Safety Program</w:t>
      </w:r>
      <w:r w:rsidRPr="00024101">
        <w:t xml:space="preserve"> is being conducted by AHRQ through its contractor,</w:t>
      </w:r>
      <w:r w:rsidRPr="00024101" w:rsidR="00574CA8">
        <w:t xml:space="preserve"> NORC at the University of Chicago</w:t>
      </w:r>
      <w:r w:rsidRPr="00024101" w:rsidR="002C4EFF">
        <w:t xml:space="preserve"> (NORC) and NORC’s subcontractor, the </w:t>
      </w:r>
      <w:r w:rsidRPr="00024101" w:rsidR="00104F3E">
        <w:t xml:space="preserve">Johns Hopkins </w:t>
      </w:r>
      <w:r w:rsidRPr="00024101" w:rsidR="001F1D37">
        <w:t>University</w:t>
      </w:r>
      <w:r w:rsidRPr="00024101" w:rsidR="00FB0051">
        <w:t xml:space="preserve"> </w:t>
      </w:r>
      <w:r w:rsidRPr="00024101" w:rsidR="001F1D37">
        <w:t>(JHU</w:t>
      </w:r>
      <w:r w:rsidRPr="00024101" w:rsidR="00574CA8">
        <w:t>)</w:t>
      </w:r>
      <w:r w:rsidRPr="00024101" w:rsidR="002C4EFF">
        <w:t>.</w:t>
      </w:r>
      <w:r w:rsidRPr="00024101" w:rsidR="00574CA8">
        <w:t xml:space="preserve"> </w:t>
      </w:r>
      <w:r w:rsidRPr="00024101" w:rsidR="00264B80">
        <w:rPr>
          <w:bCs/>
          <w:color w:val="000000"/>
        </w:rPr>
        <w:t xml:space="preserve">The </w:t>
      </w:r>
      <w:bookmarkStart w:id="17" w:name="OLE_LINK5"/>
      <w:r w:rsidRPr="00024101" w:rsidR="00C568C5">
        <w:t>AHRQ Safety Program for Telemedicine</w:t>
      </w:r>
      <w:bookmarkEnd w:id="17"/>
      <w:r w:rsidRPr="00024101" w:rsidR="00C568C5">
        <w:rPr>
          <w:bCs/>
          <w:color w:val="000000"/>
        </w:rPr>
        <w:t xml:space="preserve"> </w:t>
      </w:r>
      <w:r w:rsidRPr="00024101" w:rsidR="00264B80">
        <w:rPr>
          <w:bCs/>
          <w:color w:val="000000"/>
        </w:rPr>
        <w:t>is being undertaken</w:t>
      </w:r>
      <w:r w:rsidRPr="00024101">
        <w:t xml:space="preserve"> pursuant to </w:t>
      </w:r>
      <w:r w:rsidRPr="00024101" w:rsidR="006E0A89">
        <w:rPr>
          <w:bCs/>
          <w:color w:val="000000"/>
        </w:rPr>
        <w:t xml:space="preserve">AHRQ’s mission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w:t>
      </w:r>
      <w:bookmarkStart w:id="18" w:name="OLE_LINK2"/>
      <w:r w:rsidRPr="00024101" w:rsidR="006E0A89">
        <w:rPr>
          <w:bCs/>
          <w:color w:val="000000"/>
        </w:rPr>
        <w:t>42 U.S.C. 299</w:t>
      </w:r>
      <w:bookmarkEnd w:id="18"/>
      <w:r w:rsidRPr="00024101" w:rsidR="006E0A89">
        <w:rPr>
          <w:bCs/>
          <w:color w:val="000000"/>
        </w:rPr>
        <w:t>.</w:t>
      </w:r>
    </w:p>
    <w:p w:rsidR="009B633D" w:rsidRPr="00811303" w:rsidP="009B633D" w14:paraId="6D1DA589" w14:textId="77777777">
      <w:pPr>
        <w:pStyle w:val="Heading2"/>
        <w:rPr>
          <w:sz w:val="24"/>
          <w:szCs w:val="24"/>
        </w:rPr>
      </w:pPr>
      <w:bookmarkStart w:id="19" w:name="_Toc151782177"/>
      <w:bookmarkStart w:id="20" w:name="_Toc158526217"/>
      <w:bookmarkStart w:id="21" w:name="_Toc160095510"/>
      <w:r w:rsidRPr="00811303">
        <w:rPr>
          <w:sz w:val="24"/>
          <w:szCs w:val="24"/>
        </w:rPr>
        <w:t>2. Purpose and Use of Information</w:t>
      </w:r>
      <w:bookmarkEnd w:id="19"/>
      <w:bookmarkEnd w:id="20"/>
      <w:bookmarkEnd w:id="21"/>
    </w:p>
    <w:p w:rsidR="00C50753" w:rsidRPr="00BA1DD4" w:rsidP="009C155B" w14:paraId="2564632B" w14:textId="37A0A4FC">
      <w:pPr>
        <w:spacing w:before="240"/>
      </w:pPr>
      <w:r w:rsidRPr="00024101">
        <w:t>T</w:t>
      </w:r>
      <w:r w:rsidRPr="00024101" w:rsidR="00C9633D">
        <w:t xml:space="preserve">his data collection effort will be part of a comprehensive evaluation strategy to assess the adoption of </w:t>
      </w:r>
      <w:r w:rsidRPr="00024101" w:rsidR="00AD56D5">
        <w:t xml:space="preserve">the Safety Program </w:t>
      </w:r>
      <w:r w:rsidRPr="00024101" w:rsidR="008F7780">
        <w:t xml:space="preserve">among </w:t>
      </w:r>
      <w:r w:rsidRPr="00024101" w:rsidR="005522AE">
        <w:t xml:space="preserve">telemedicine </w:t>
      </w:r>
      <w:r w:rsidRPr="00024101" w:rsidR="008F7780">
        <w:t>practices</w:t>
      </w:r>
      <w:r w:rsidRPr="00024101" w:rsidR="005522AE">
        <w:t xml:space="preserve">; measure the </w:t>
      </w:r>
      <w:r w:rsidRPr="00024101">
        <w:t xml:space="preserve">effectiveness of </w:t>
      </w:r>
      <w:r w:rsidRPr="00024101" w:rsidR="005522AE">
        <w:t xml:space="preserve">the </w:t>
      </w:r>
      <w:r w:rsidRPr="00024101" w:rsidR="00A2649E">
        <w:t xml:space="preserve">Safety Program </w:t>
      </w:r>
      <w:r w:rsidRPr="00024101" w:rsidR="005522AE">
        <w:t>among the participating practices</w:t>
      </w:r>
      <w:r w:rsidRPr="00024101" w:rsidR="00DA1D95">
        <w:t xml:space="preserve"> and</w:t>
      </w:r>
      <w:r w:rsidRPr="00024101">
        <w:t xml:space="preserve"> </w:t>
      </w:r>
      <w:r w:rsidRPr="00024101" w:rsidR="00DA1D95">
        <w:t xml:space="preserve">evaluate </w:t>
      </w:r>
      <w:r w:rsidRPr="00024101">
        <w:t>how providers experienced the program</w:t>
      </w:r>
      <w:r w:rsidRPr="00024101" w:rsidR="007034F7">
        <w:t xml:space="preserve"> as well as the</w:t>
      </w:r>
      <w:r w:rsidRPr="00024101" w:rsidR="00DA1D95">
        <w:t xml:space="preserve"> </w:t>
      </w:r>
      <w:r w:rsidRPr="00024101">
        <w:t xml:space="preserve">perceived usefulness of the </w:t>
      </w:r>
      <w:r w:rsidRPr="00024101" w:rsidR="00A2649E">
        <w:t xml:space="preserve">Safety Program’s </w:t>
      </w:r>
      <w:r w:rsidRPr="00024101">
        <w:t>education materials and metrics</w:t>
      </w:r>
      <w:r w:rsidRPr="00024101" w:rsidR="00DA1D95">
        <w:t xml:space="preserve">; </w:t>
      </w:r>
      <w:r w:rsidRPr="00024101" w:rsidR="007034F7">
        <w:t xml:space="preserve">and </w:t>
      </w:r>
      <w:r w:rsidRPr="00024101" w:rsidR="00DA1D95">
        <w:t>understand drivers of antibiotic prescribing among practices.</w:t>
      </w:r>
    </w:p>
    <w:p w:rsidR="006160E9" w:rsidRPr="00010908" w:rsidP="009362B4" w14:paraId="173D3FC4" w14:textId="62F4923A">
      <w:pPr>
        <w:spacing w:before="240"/>
      </w:pPr>
      <w:r w:rsidRPr="00BA1DD4">
        <w:t xml:space="preserve">The evaluation is </w:t>
      </w:r>
      <w:r w:rsidRPr="00BA1DD4" w:rsidR="00EA271D">
        <w:t>formative</w:t>
      </w:r>
      <w:r w:rsidRPr="00BA1DD4">
        <w:t xml:space="preserve"> in nature</w:t>
      </w:r>
      <w:r>
        <w:t xml:space="preserve"> as AHRQ seeks information on the implementation and effectiveness of </w:t>
      </w:r>
      <w:r w:rsidR="009362B4">
        <w:t xml:space="preserve">CUSP in a novel setting—telemedicine. </w:t>
      </w:r>
      <w:r w:rsidRPr="00010908">
        <w:t xml:space="preserve">The evaluation will utilize a pre-post </w:t>
      </w:r>
      <w:r w:rsidRPr="00010908">
        <w:t>design</w:t>
      </w:r>
      <w:r w:rsidR="009362B4">
        <w:t xml:space="preserve">, comparing data collected at baseline and at the end of the </w:t>
      </w:r>
      <w:bookmarkStart w:id="22" w:name="OLE_LINK48"/>
      <w:r w:rsidR="00A2649E">
        <w:t>Safety Program</w:t>
      </w:r>
      <w:bookmarkEnd w:id="22"/>
      <w:r w:rsidR="00A2649E">
        <w:t xml:space="preserve"> </w:t>
      </w:r>
      <w:r w:rsidR="009362B4">
        <w:t>within each cohort.</w:t>
      </w:r>
    </w:p>
    <w:p w:rsidR="001C6800" w:rsidRPr="00010908" w:rsidP="004A253F" w14:paraId="23C3FF32" w14:textId="77777777"/>
    <w:p w:rsidR="00DA1D95" w:rsidRPr="00BA1DD4" w:rsidP="007324B3" w14:paraId="3121F576" w14:textId="48828ACC">
      <w:pPr>
        <w:numPr>
          <w:ilvl w:val="0"/>
          <w:numId w:val="29"/>
        </w:numPr>
      </w:pPr>
      <w:r w:rsidRPr="007324B3">
        <w:rPr>
          <w:bCs/>
          <w:u w:val="single"/>
        </w:rPr>
        <w:t>Structural Assessments</w:t>
      </w:r>
      <w:r w:rsidRPr="007324B3">
        <w:rPr>
          <w:bCs/>
        </w:rPr>
        <w:t xml:space="preserve">: </w:t>
      </w:r>
      <w:r w:rsidRPr="00024101" w:rsidR="00FF6A0C">
        <w:rPr>
          <w:bCs/>
        </w:rPr>
        <w:t xml:space="preserve">The structural assessment </w:t>
      </w:r>
      <w:r w:rsidRPr="00024101" w:rsidR="00483828">
        <w:rPr>
          <w:bCs/>
        </w:rPr>
        <w:t xml:space="preserve">will be administered </w:t>
      </w:r>
      <w:r w:rsidRPr="00024101">
        <w:rPr>
          <w:bCs/>
        </w:rPr>
        <w:t xml:space="preserve">to the </w:t>
      </w:r>
      <w:bookmarkStart w:id="23" w:name="OLE_LINK9"/>
      <w:r w:rsidRPr="00024101" w:rsidR="00C568C5">
        <w:t xml:space="preserve">Safety Program </w:t>
      </w:r>
      <w:r w:rsidRPr="00024101">
        <w:rPr>
          <w:bCs/>
        </w:rPr>
        <w:t xml:space="preserve">leader/champion at each participating </w:t>
      </w:r>
      <w:r w:rsidRPr="00024101" w:rsidR="002343B5">
        <w:rPr>
          <w:bCs/>
        </w:rPr>
        <w:t xml:space="preserve">brick-and-mortar practice or telemedicine-only organization </w:t>
      </w:r>
      <w:r w:rsidRPr="00024101">
        <w:rPr>
          <w:bCs/>
        </w:rPr>
        <w:t>at baseline (pre-intervention) and at the end of the intervention. The data will provide information about the practices</w:t>
      </w:r>
      <w:r w:rsidRPr="00024101" w:rsidR="002343B5">
        <w:rPr>
          <w:bCs/>
        </w:rPr>
        <w:t xml:space="preserve"> or organizations</w:t>
      </w:r>
      <w:r w:rsidRPr="00024101">
        <w:rPr>
          <w:bCs/>
        </w:rPr>
        <w:t xml:space="preserve">, </w:t>
      </w:r>
      <w:r w:rsidRPr="00024101" w:rsidR="00A2649E">
        <w:rPr>
          <w:bCs/>
        </w:rPr>
        <w:t xml:space="preserve">any existing quality improvement initiatives </w:t>
      </w:r>
      <w:r w:rsidRPr="00024101" w:rsidR="002343B5">
        <w:rPr>
          <w:bCs/>
        </w:rPr>
        <w:t xml:space="preserve">currently </w:t>
      </w:r>
      <w:r w:rsidRPr="00024101" w:rsidR="00A2649E">
        <w:rPr>
          <w:bCs/>
        </w:rPr>
        <w:t xml:space="preserve">in place, </w:t>
      </w:r>
      <w:r w:rsidRPr="00024101">
        <w:rPr>
          <w:bCs/>
        </w:rPr>
        <w:t xml:space="preserve">their existing infrastructure and capacity to carry out the program, as well as changes in the infrastructure </w:t>
      </w:r>
      <w:r w:rsidRPr="00024101" w:rsidR="00A2649E">
        <w:rPr>
          <w:bCs/>
        </w:rPr>
        <w:t xml:space="preserve">and quality improvement activities </w:t>
      </w:r>
      <w:r w:rsidRPr="00024101">
        <w:rPr>
          <w:bCs/>
        </w:rPr>
        <w:t xml:space="preserve">as a result of </w:t>
      </w:r>
      <w:r w:rsidRPr="00024101" w:rsidR="00A2649E">
        <w:rPr>
          <w:bCs/>
        </w:rPr>
        <w:t>participation in the Safety Program</w:t>
      </w:r>
      <w:r w:rsidRPr="00024101">
        <w:rPr>
          <w:bCs/>
        </w:rPr>
        <w:t>. D</w:t>
      </w:r>
      <w:r w:rsidRPr="00024101">
        <w:rPr>
          <w:bCs/>
        </w:rPr>
        <w:t xml:space="preserve">ata from the pre- and post-intervention time points will be analyzed to assess the extent to which the </w:t>
      </w:r>
      <w:r w:rsidRPr="00024101" w:rsidR="00A2649E">
        <w:rPr>
          <w:bCs/>
        </w:rPr>
        <w:t xml:space="preserve">Safety Program </w:t>
      </w:r>
      <w:r w:rsidRPr="00024101">
        <w:rPr>
          <w:bCs/>
        </w:rPr>
        <w:t xml:space="preserve">had an impact on </w:t>
      </w:r>
      <w:r w:rsidRPr="00024101" w:rsidR="00612B04">
        <w:rPr>
          <w:bCs/>
        </w:rPr>
        <w:t xml:space="preserve">practices’ </w:t>
      </w:r>
      <w:r w:rsidRPr="00024101">
        <w:rPr>
          <w:bCs/>
        </w:rPr>
        <w:t>infrastructure.</w:t>
      </w:r>
      <w:r w:rsidRPr="00024101" w:rsidR="00161286">
        <w:rPr>
          <w:bCs/>
        </w:rPr>
        <w:t xml:space="preserve"> </w:t>
      </w:r>
      <w:bookmarkStart w:id="24" w:name="OLE_LINK56"/>
      <w:r w:rsidRPr="00024101" w:rsidR="00161286">
        <w:rPr>
          <w:bCs/>
          <w:i/>
          <w:iCs/>
        </w:rPr>
        <w:t xml:space="preserve">Based on feedback from the </w:t>
      </w:r>
      <w:r w:rsidRPr="00024101" w:rsidR="002343B5">
        <w:rPr>
          <w:bCs/>
          <w:i/>
          <w:iCs/>
        </w:rPr>
        <w:t>TEP</w:t>
      </w:r>
      <w:r w:rsidRPr="00024101" w:rsidR="00161286">
        <w:rPr>
          <w:bCs/>
          <w:i/>
          <w:iCs/>
        </w:rPr>
        <w:t xml:space="preserve"> and conversations with telemedicine-only organizations,</w:t>
      </w:r>
      <w:r w:rsidRPr="00024101" w:rsidR="00EA3FDA">
        <w:rPr>
          <w:bCs/>
          <w:i/>
          <w:iCs/>
        </w:rPr>
        <w:t xml:space="preserve"> </w:t>
      </w:r>
      <w:r w:rsidRPr="00024101" w:rsidR="00E418E5">
        <w:rPr>
          <w:bCs/>
          <w:i/>
          <w:iCs/>
        </w:rPr>
        <w:t xml:space="preserve">this revision includes </w:t>
      </w:r>
      <w:r w:rsidRPr="00024101" w:rsidR="00EA3FDA">
        <w:rPr>
          <w:bCs/>
          <w:i/>
          <w:iCs/>
        </w:rPr>
        <w:t>distinct versions of</w:t>
      </w:r>
      <w:r w:rsidRPr="00024101" w:rsidR="00161286">
        <w:rPr>
          <w:bCs/>
          <w:i/>
          <w:iCs/>
        </w:rPr>
        <w:t xml:space="preserve"> the Structural Assessment for brick-and-mortar </w:t>
      </w:r>
      <w:r w:rsidRPr="00024101" w:rsidR="007324B3">
        <w:rPr>
          <w:bCs/>
          <w:i/>
          <w:iCs/>
        </w:rPr>
        <w:t xml:space="preserve">practices </w:t>
      </w:r>
      <w:r w:rsidRPr="00024101" w:rsidR="00161286">
        <w:rPr>
          <w:bCs/>
          <w:i/>
          <w:iCs/>
        </w:rPr>
        <w:t xml:space="preserve">and </w:t>
      </w:r>
      <w:r w:rsidRPr="00024101" w:rsidR="00922454">
        <w:rPr>
          <w:bCs/>
          <w:i/>
          <w:iCs/>
        </w:rPr>
        <w:t xml:space="preserve">telemedicine-only </w:t>
      </w:r>
      <w:r w:rsidRPr="00024101" w:rsidR="007324B3">
        <w:rPr>
          <w:bCs/>
          <w:i/>
          <w:iCs/>
        </w:rPr>
        <w:t>organizations</w:t>
      </w:r>
      <w:r w:rsidRPr="00024101" w:rsidR="00922454">
        <w:rPr>
          <w:bCs/>
          <w:i/>
          <w:iCs/>
        </w:rPr>
        <w:t>.</w:t>
      </w:r>
      <w:r w:rsidRPr="00024101">
        <w:rPr>
          <w:bCs/>
        </w:rPr>
        <w:t xml:space="preserve"> </w:t>
      </w:r>
      <w:bookmarkStart w:id="25" w:name="OLE_LINK55"/>
      <w:bookmarkStart w:id="26" w:name="OLE_LINK16"/>
      <w:bookmarkEnd w:id="24"/>
      <w:r w:rsidRPr="00024101" w:rsidR="007324B3">
        <w:rPr>
          <w:b/>
          <w:bCs/>
        </w:rPr>
        <w:t>Attachments</w:t>
      </w:r>
      <w:r w:rsidRPr="00024101" w:rsidR="00612B04">
        <w:rPr>
          <w:b/>
          <w:bCs/>
        </w:rPr>
        <w:t xml:space="preserve"> </w:t>
      </w:r>
      <w:r w:rsidRPr="00024101" w:rsidR="00C46D12">
        <w:rPr>
          <w:b/>
          <w:bCs/>
        </w:rPr>
        <w:t>A</w:t>
      </w:r>
      <w:r w:rsidRPr="00024101" w:rsidR="00B13204">
        <w:rPr>
          <w:b/>
          <w:bCs/>
        </w:rPr>
        <w:t xml:space="preserve"> and </w:t>
      </w:r>
      <w:r w:rsidRPr="00024101" w:rsidR="00C46D12">
        <w:rPr>
          <w:b/>
          <w:bCs/>
        </w:rPr>
        <w:t>B</w:t>
      </w:r>
      <w:r w:rsidRPr="00024101" w:rsidR="00C46D12">
        <w:rPr>
          <w:bCs/>
        </w:rPr>
        <w:t xml:space="preserve"> </w:t>
      </w:r>
      <w:r w:rsidRPr="00024101" w:rsidR="007324B3">
        <w:rPr>
          <w:bCs/>
        </w:rPr>
        <w:t>contain the Structural Assessment</w:t>
      </w:r>
      <w:r w:rsidRPr="00024101" w:rsidR="002343B5">
        <w:rPr>
          <w:bCs/>
        </w:rPr>
        <w:t>s</w:t>
      </w:r>
      <w:r w:rsidRPr="00024101" w:rsidR="007324B3">
        <w:rPr>
          <w:bCs/>
        </w:rPr>
        <w:t xml:space="preserve"> for</w:t>
      </w:r>
      <w:r w:rsidRPr="00024101" w:rsidR="00B13204">
        <w:rPr>
          <w:bCs/>
        </w:rPr>
        <w:t xml:space="preserve"> </w:t>
      </w:r>
      <w:r w:rsidRPr="00024101" w:rsidR="007324B3">
        <w:rPr>
          <w:bCs/>
        </w:rPr>
        <w:t xml:space="preserve">participants in </w:t>
      </w:r>
      <w:r w:rsidRPr="00024101" w:rsidR="00B13204">
        <w:rPr>
          <w:bCs/>
        </w:rPr>
        <w:t xml:space="preserve">brick-and-mortar </w:t>
      </w:r>
      <w:r w:rsidRPr="00024101" w:rsidR="00EA3FDA">
        <w:rPr>
          <w:bCs/>
        </w:rPr>
        <w:t xml:space="preserve">settings </w:t>
      </w:r>
      <w:r w:rsidRPr="00024101" w:rsidR="00B13204">
        <w:rPr>
          <w:bCs/>
        </w:rPr>
        <w:t>and telemedicine-only settings</w:t>
      </w:r>
      <w:r w:rsidRPr="00024101" w:rsidR="00782EE2">
        <w:rPr>
          <w:bCs/>
        </w:rPr>
        <w:t>, respectively</w:t>
      </w:r>
      <w:bookmarkEnd w:id="25"/>
      <w:r w:rsidRPr="00024101">
        <w:rPr>
          <w:bCs/>
        </w:rPr>
        <w:t>.</w:t>
      </w:r>
      <w:r w:rsidRPr="00BA1DD4">
        <w:rPr>
          <w:bCs/>
        </w:rPr>
        <w:t xml:space="preserve">   </w:t>
      </w:r>
      <w:bookmarkEnd w:id="26"/>
    </w:p>
    <w:bookmarkEnd w:id="23"/>
    <w:p w:rsidR="00E91D15" w:rsidP="00595EE5" w14:paraId="51B3BBB0" w14:textId="77777777"/>
    <w:p w:rsidR="004D4CB7" w:rsidRPr="00BA1DD4" w:rsidP="00711A94" w14:paraId="77344014" w14:textId="67C25D51">
      <w:pPr>
        <w:pStyle w:val="ColorfulList-Accent11"/>
        <w:numPr>
          <w:ilvl w:val="0"/>
          <w:numId w:val="18"/>
        </w:numPr>
        <w:tabs>
          <w:tab w:val="left" w:pos="360"/>
        </w:tabs>
        <w:rPr>
          <w:bCs/>
        </w:rPr>
      </w:pPr>
      <w:r w:rsidRPr="00D83E78">
        <w:rPr>
          <w:bCs/>
          <w:u w:val="single"/>
        </w:rPr>
        <w:t xml:space="preserve">The </w:t>
      </w:r>
      <w:r w:rsidRPr="00740D96">
        <w:rPr>
          <w:bCs/>
          <w:u w:val="single"/>
        </w:rPr>
        <w:t xml:space="preserve">AHRQ </w:t>
      </w:r>
      <w:r w:rsidRPr="00740D96" w:rsidR="00595EE5">
        <w:rPr>
          <w:bCs/>
          <w:u w:val="single"/>
        </w:rPr>
        <w:t xml:space="preserve">Medical Office </w:t>
      </w:r>
      <w:r w:rsidRPr="00740D96">
        <w:rPr>
          <w:bCs/>
          <w:u w:val="single"/>
        </w:rPr>
        <w:t>Survey on Patient</w:t>
      </w:r>
      <w:r w:rsidRPr="00D83E78">
        <w:rPr>
          <w:bCs/>
          <w:u w:val="single"/>
        </w:rPr>
        <w:t xml:space="preserve"> Safety Culture</w:t>
      </w:r>
      <w:r w:rsidRPr="00D83E78" w:rsidR="00595EE5">
        <w:rPr>
          <w:bCs/>
          <w:u w:val="single"/>
        </w:rPr>
        <w:t xml:space="preserve"> (MOSOPS</w:t>
      </w:r>
      <w:r w:rsidRPr="00BA1DD4" w:rsidR="00595EE5">
        <w:rPr>
          <w:bCs/>
          <w:u w:val="single"/>
        </w:rPr>
        <w:t>)</w:t>
      </w:r>
      <w:r w:rsidRPr="00BA1DD4" w:rsidR="00BC4A10">
        <w:rPr>
          <w:bCs/>
        </w:rPr>
        <w:t>:</w:t>
      </w:r>
      <w:r w:rsidRPr="00BA1DD4" w:rsidR="00101BDB">
        <w:rPr>
          <w:bCs/>
        </w:rPr>
        <w:t xml:space="preserve"> </w:t>
      </w:r>
      <w:r w:rsidRPr="00024101" w:rsidR="00595EE5">
        <w:rPr>
          <w:bCs/>
        </w:rPr>
        <w:t>The MOSOPS will be administered to all participating staff at brick-and-mortar practices</w:t>
      </w:r>
      <w:r w:rsidRPr="00024101" w:rsidR="00D83E78">
        <w:rPr>
          <w:bCs/>
        </w:rPr>
        <w:t xml:space="preserve"> at baseline (pre-intervention) and at the end of the intervention</w:t>
      </w:r>
      <w:r w:rsidRPr="00024101" w:rsidR="00595EE5">
        <w:rPr>
          <w:bCs/>
        </w:rPr>
        <w:t xml:space="preserve">. </w:t>
      </w:r>
      <w:r w:rsidRPr="00024101">
        <w:rPr>
          <w:bCs/>
        </w:rPr>
        <w:t>The survey collect</w:t>
      </w:r>
      <w:r w:rsidRPr="00024101" w:rsidR="00C46D12">
        <w:rPr>
          <w:bCs/>
        </w:rPr>
        <w:t>s</w:t>
      </w:r>
      <w:r w:rsidRPr="00024101">
        <w:rPr>
          <w:bCs/>
        </w:rPr>
        <w:t xml:space="preserve"> information on patient safety issues, </w:t>
      </w:r>
      <w:r w:rsidRPr="00024101" w:rsidR="00101BDB">
        <w:rPr>
          <w:bCs/>
        </w:rPr>
        <w:t>patient safety</w:t>
      </w:r>
      <w:r w:rsidRPr="00024101">
        <w:rPr>
          <w:bCs/>
        </w:rPr>
        <w:t xml:space="preserve"> culture, medical errors, and event reporting. The data will </w:t>
      </w:r>
      <w:r w:rsidRPr="00024101" w:rsidR="002F6297">
        <w:rPr>
          <w:bCs/>
        </w:rPr>
        <w:t xml:space="preserve">be used to </w:t>
      </w:r>
      <w:r w:rsidRPr="00024101">
        <w:rPr>
          <w:bCs/>
        </w:rPr>
        <w:t xml:space="preserve">assess changes in safety culture </w:t>
      </w:r>
      <w:r w:rsidRPr="00024101" w:rsidR="002F6297">
        <w:rPr>
          <w:bCs/>
        </w:rPr>
        <w:t>following implementation of the Safety Program</w:t>
      </w:r>
      <w:r w:rsidRPr="00024101">
        <w:rPr>
          <w:bCs/>
        </w:rPr>
        <w:t>.</w:t>
      </w:r>
      <w:r w:rsidRPr="00024101" w:rsidR="00101BDB">
        <w:rPr>
          <w:bCs/>
        </w:rPr>
        <w:t xml:space="preserve"> </w:t>
      </w:r>
      <w:r w:rsidRPr="00024101" w:rsidR="00740D96">
        <w:rPr>
          <w:bCs/>
          <w:i/>
          <w:iCs/>
        </w:rPr>
        <w:t xml:space="preserve">Based on feedback from the TEP and conversations with telemedicine-only organizations, this revision excludes telemedicine-only organizations from completing the MOSOPS. </w:t>
      </w:r>
      <w:r w:rsidRPr="00024101">
        <w:rPr>
          <w:bCs/>
        </w:rPr>
        <w:t xml:space="preserve">The </w:t>
      </w:r>
      <w:r w:rsidRPr="00024101" w:rsidR="002F6297">
        <w:rPr>
          <w:bCs/>
        </w:rPr>
        <w:t xml:space="preserve">survey </w:t>
      </w:r>
      <w:r w:rsidRPr="00024101" w:rsidR="00C46D12">
        <w:rPr>
          <w:bCs/>
        </w:rPr>
        <w:t xml:space="preserve">is </w:t>
      </w:r>
      <w:r w:rsidRPr="00024101">
        <w:rPr>
          <w:bCs/>
        </w:rPr>
        <w:t xml:space="preserve">contained in </w:t>
      </w:r>
      <w:r w:rsidRPr="00024101">
        <w:rPr>
          <w:b/>
          <w:bCs/>
        </w:rPr>
        <w:t xml:space="preserve">Attachment </w:t>
      </w:r>
      <w:r w:rsidRPr="00024101" w:rsidR="00C46D12">
        <w:rPr>
          <w:b/>
          <w:bCs/>
        </w:rPr>
        <w:t>C</w:t>
      </w:r>
      <w:r w:rsidRPr="00024101" w:rsidR="00101BDB">
        <w:rPr>
          <w:b/>
          <w:bCs/>
        </w:rPr>
        <w:t>.</w:t>
      </w:r>
    </w:p>
    <w:p w:rsidR="004459FD" w:rsidRPr="00010908" w:rsidP="00D01CF2" w14:paraId="5BCACE6B" w14:textId="77777777">
      <w:pPr>
        <w:pStyle w:val="ColorfulList-Accent11"/>
        <w:tabs>
          <w:tab w:val="left" w:pos="360"/>
        </w:tabs>
        <w:ind w:left="0"/>
      </w:pPr>
    </w:p>
    <w:p w:rsidR="0047714B" w:rsidRPr="00BA1DD4" w:rsidP="00A10E89" w14:paraId="0E5DB7D0" w14:textId="544956D4">
      <w:pPr>
        <w:numPr>
          <w:ilvl w:val="0"/>
          <w:numId w:val="18"/>
        </w:numPr>
        <w:tabs>
          <w:tab w:val="left" w:pos="360"/>
        </w:tabs>
        <w:rPr>
          <w:bCs/>
          <w:sz w:val="22"/>
          <w:szCs w:val="22"/>
        </w:rPr>
      </w:pPr>
      <w:r>
        <w:rPr>
          <w:bCs/>
          <w:u w:val="single"/>
        </w:rPr>
        <w:t>Pa</w:t>
      </w:r>
      <w:r w:rsidR="00A42E68">
        <w:rPr>
          <w:bCs/>
          <w:u w:val="single"/>
        </w:rPr>
        <w:t>rticipant</w:t>
      </w:r>
      <w:r>
        <w:rPr>
          <w:bCs/>
          <w:u w:val="single"/>
        </w:rPr>
        <w:t xml:space="preserve"> Experience Survey</w:t>
      </w:r>
      <w:r w:rsidRPr="00F03CDD">
        <w:rPr>
          <w:bCs/>
        </w:rPr>
        <w:t>:</w:t>
      </w:r>
      <w:r w:rsidRPr="006C5A70">
        <w:rPr>
          <w:bCs/>
        </w:rPr>
        <w:t xml:space="preserve"> </w:t>
      </w:r>
      <w:r w:rsidRPr="00024101" w:rsidR="00B84B2A">
        <w:rPr>
          <w:bCs/>
        </w:rPr>
        <w:t>The participant experience survey</w:t>
      </w:r>
      <w:r w:rsidRPr="00024101" w:rsidR="00A42E68">
        <w:rPr>
          <w:bCs/>
        </w:rPr>
        <w:t xml:space="preserve"> will be administered to the clinical leader/champion at each practice at endline (post-intervention)</w:t>
      </w:r>
      <w:r w:rsidRPr="00024101" w:rsidR="00CE7ABD">
        <w:rPr>
          <w:bCs/>
        </w:rPr>
        <w:t xml:space="preserve">. The survey </w:t>
      </w:r>
      <w:r w:rsidRPr="00024101" w:rsidR="00A42E68">
        <w:rPr>
          <w:bCs/>
        </w:rPr>
        <w:t xml:space="preserve">will </w:t>
      </w:r>
      <w:r w:rsidRPr="00024101">
        <w:rPr>
          <w:bCs/>
        </w:rPr>
        <w:t xml:space="preserve">assess </w:t>
      </w:r>
      <w:r w:rsidRPr="00024101" w:rsidR="00A42E68">
        <w:rPr>
          <w:bCs/>
        </w:rPr>
        <w:t xml:space="preserve">how </w:t>
      </w:r>
      <w:r w:rsidRPr="00024101" w:rsidR="00B84B2A">
        <w:rPr>
          <w:bCs/>
        </w:rPr>
        <w:t xml:space="preserve">participants </w:t>
      </w:r>
      <w:r w:rsidRPr="00024101" w:rsidR="00A42E68">
        <w:rPr>
          <w:bCs/>
        </w:rPr>
        <w:t xml:space="preserve">approached implementation of </w:t>
      </w:r>
      <w:r w:rsidRPr="00024101">
        <w:rPr>
          <w:bCs/>
        </w:rPr>
        <w:t xml:space="preserve">the </w:t>
      </w:r>
      <w:r w:rsidRPr="00024101" w:rsidR="00CE7ABD">
        <w:rPr>
          <w:bCs/>
        </w:rPr>
        <w:t>Safety Program</w:t>
      </w:r>
      <w:r w:rsidRPr="00024101">
        <w:rPr>
          <w:bCs/>
        </w:rPr>
        <w:t>.</w:t>
      </w:r>
      <w:bookmarkStart w:id="27" w:name="OLE_LINK29"/>
      <w:r w:rsidRPr="00024101" w:rsidR="00922454">
        <w:rPr>
          <w:bCs/>
        </w:rPr>
        <w:t xml:space="preserve"> </w:t>
      </w:r>
      <w:r w:rsidRPr="00024101" w:rsidR="00922454">
        <w:rPr>
          <w:bCs/>
          <w:i/>
          <w:iCs/>
        </w:rPr>
        <w:t xml:space="preserve">Based on feedback from the </w:t>
      </w:r>
      <w:r w:rsidRPr="00024101" w:rsidR="002343B5">
        <w:rPr>
          <w:bCs/>
          <w:i/>
          <w:iCs/>
        </w:rPr>
        <w:t>TEP</w:t>
      </w:r>
      <w:r w:rsidRPr="00024101" w:rsidR="00922454">
        <w:rPr>
          <w:bCs/>
          <w:i/>
          <w:iCs/>
        </w:rPr>
        <w:t xml:space="preserve"> and conversations with telemedicine-only organizations, </w:t>
      </w:r>
      <w:r w:rsidRPr="00024101" w:rsidR="00740D96">
        <w:rPr>
          <w:bCs/>
          <w:i/>
          <w:iCs/>
        </w:rPr>
        <w:t xml:space="preserve">this revision includes changes to </w:t>
      </w:r>
      <w:r w:rsidRPr="00024101" w:rsidR="00922454">
        <w:rPr>
          <w:bCs/>
          <w:i/>
          <w:iCs/>
        </w:rPr>
        <w:t xml:space="preserve">the Participant Experience Survey </w:t>
      </w:r>
      <w:r w:rsidRPr="00024101" w:rsidR="00740D96">
        <w:rPr>
          <w:bCs/>
          <w:i/>
          <w:iCs/>
        </w:rPr>
        <w:t>as well as</w:t>
      </w:r>
      <w:r w:rsidRPr="00024101" w:rsidR="002343B5">
        <w:rPr>
          <w:bCs/>
          <w:i/>
          <w:iCs/>
        </w:rPr>
        <w:t xml:space="preserve"> unique versions </w:t>
      </w:r>
      <w:r w:rsidRPr="00024101" w:rsidR="00922454">
        <w:rPr>
          <w:bCs/>
          <w:i/>
          <w:iCs/>
        </w:rPr>
        <w:t>for brick-and-mortar and telemedicine-only participants.</w:t>
      </w:r>
      <w:r w:rsidRPr="00024101" w:rsidR="00922454">
        <w:rPr>
          <w:bCs/>
        </w:rPr>
        <w:t xml:space="preserve"> </w:t>
      </w:r>
      <w:bookmarkStart w:id="28" w:name="OLE_LINK22"/>
      <w:r w:rsidRPr="00024101" w:rsidR="00B84B2A">
        <w:rPr>
          <w:b/>
          <w:bCs/>
        </w:rPr>
        <w:t xml:space="preserve">Attachments </w:t>
      </w:r>
      <w:r w:rsidRPr="00024101" w:rsidR="00C46D12">
        <w:rPr>
          <w:b/>
          <w:bCs/>
        </w:rPr>
        <w:t>D and E</w:t>
      </w:r>
      <w:r w:rsidRPr="00024101" w:rsidR="00B84B2A">
        <w:rPr>
          <w:bCs/>
        </w:rPr>
        <w:t xml:space="preserve"> contain the Participant Experience Surveys for </w:t>
      </w:r>
      <w:r w:rsidRPr="00024101" w:rsidR="002343B5">
        <w:rPr>
          <w:bCs/>
        </w:rPr>
        <w:t xml:space="preserve">participants in </w:t>
      </w:r>
      <w:r w:rsidRPr="00024101" w:rsidR="00B84B2A">
        <w:rPr>
          <w:bCs/>
        </w:rPr>
        <w:t>brick-and-mortar and telemedicine-only settings, respectively</w:t>
      </w:r>
      <w:bookmarkEnd w:id="27"/>
      <w:r w:rsidRPr="00BA1DD4" w:rsidR="001D7215">
        <w:rPr>
          <w:b/>
        </w:rPr>
        <w:t>.</w:t>
      </w:r>
    </w:p>
    <w:bookmarkEnd w:id="28"/>
    <w:p w:rsidR="0047714B" w:rsidP="00BC4A10" w14:paraId="3C617157" w14:textId="77777777">
      <w:pPr>
        <w:tabs>
          <w:tab w:val="left" w:pos="360"/>
        </w:tabs>
        <w:ind w:left="1080"/>
        <w:rPr>
          <w:bCs/>
        </w:rPr>
      </w:pPr>
    </w:p>
    <w:p w:rsidR="00A571F9" w:rsidRPr="00BA1DD4" w:rsidP="00740D96" w14:paraId="5AAE863B" w14:textId="49ABAFC6">
      <w:pPr>
        <w:pStyle w:val="ColorfulList-Accent11"/>
        <w:numPr>
          <w:ilvl w:val="0"/>
          <w:numId w:val="18"/>
        </w:numPr>
        <w:tabs>
          <w:tab w:val="left" w:pos="360"/>
        </w:tabs>
        <w:rPr>
          <w:bCs/>
        </w:rPr>
      </w:pPr>
      <w:r w:rsidRPr="00740D96">
        <w:rPr>
          <w:bCs/>
          <w:u w:val="single"/>
        </w:rPr>
        <w:t>Semi-structured qualitative interviews</w:t>
      </w:r>
      <w:r w:rsidRPr="00740D96">
        <w:rPr>
          <w:bCs/>
        </w:rPr>
        <w:t>:</w:t>
      </w:r>
      <w:r w:rsidRPr="00740D96" w:rsidR="001D7215">
        <w:rPr>
          <w:bCs/>
        </w:rPr>
        <w:t xml:space="preserve"> </w:t>
      </w:r>
      <w:r w:rsidRPr="00024101" w:rsidR="001D7215">
        <w:rPr>
          <w:bCs/>
        </w:rPr>
        <w:t>At the end of the intervention,</w:t>
      </w:r>
      <w:r w:rsidRPr="00024101" w:rsidR="00C5317D">
        <w:rPr>
          <w:bCs/>
        </w:rPr>
        <w:t xml:space="preserve"> </w:t>
      </w:r>
      <w:r w:rsidRPr="00024101" w:rsidR="001D7215">
        <w:rPr>
          <w:bCs/>
        </w:rPr>
        <w:t xml:space="preserve">telephone/virtual discussions will be scheduled with </w:t>
      </w:r>
      <w:r w:rsidRPr="00024101" w:rsidR="009D2010">
        <w:rPr>
          <w:bCs/>
        </w:rPr>
        <w:t>one to two</w:t>
      </w:r>
      <w:r w:rsidRPr="00024101" w:rsidR="004D4CB7">
        <w:rPr>
          <w:bCs/>
        </w:rPr>
        <w:t xml:space="preserve"> </w:t>
      </w:r>
      <w:r w:rsidRPr="00024101" w:rsidR="009D2010">
        <w:rPr>
          <w:bCs/>
        </w:rPr>
        <w:t>HCP</w:t>
      </w:r>
      <w:r w:rsidRPr="00024101" w:rsidR="001D7AB7">
        <w:rPr>
          <w:bCs/>
        </w:rPr>
        <w:t>s</w:t>
      </w:r>
      <w:r w:rsidRPr="00024101" w:rsidR="004D4CB7">
        <w:rPr>
          <w:bCs/>
        </w:rPr>
        <w:t xml:space="preserve"> from </w:t>
      </w:r>
      <w:r w:rsidRPr="00024101" w:rsidR="003840D1">
        <w:rPr>
          <w:bCs/>
        </w:rPr>
        <w:t xml:space="preserve">approximately </w:t>
      </w:r>
      <w:r w:rsidRPr="00024101" w:rsidR="00B265AE">
        <w:rPr>
          <w:bCs/>
        </w:rPr>
        <w:t xml:space="preserve">20 </w:t>
      </w:r>
      <w:r w:rsidRPr="00024101" w:rsidR="004D4CB7">
        <w:rPr>
          <w:bCs/>
        </w:rPr>
        <w:t>practice</w:t>
      </w:r>
      <w:r w:rsidRPr="00024101" w:rsidR="003840D1">
        <w:rPr>
          <w:bCs/>
        </w:rPr>
        <w:t>s</w:t>
      </w:r>
      <w:r w:rsidRPr="00024101" w:rsidR="004D4CB7">
        <w:rPr>
          <w:bCs/>
        </w:rPr>
        <w:t xml:space="preserve">. The qualitative data collected will help AHRQ understand the characteristics of teams associated with successful implementation and improvements in outcomes, barriers to a successful implementation of </w:t>
      </w:r>
      <w:r w:rsidRPr="00024101" w:rsidR="002F6297">
        <w:rPr>
          <w:bCs/>
        </w:rPr>
        <w:t>the Safety Program</w:t>
      </w:r>
      <w:r w:rsidRPr="00024101" w:rsidR="00C5317D">
        <w:rPr>
          <w:bCs/>
        </w:rPr>
        <w:t>, and drivers of outcomes (i.e., antibiotic prescribing)</w:t>
      </w:r>
      <w:r w:rsidRPr="00024101" w:rsidR="004D4CB7">
        <w:rPr>
          <w:bCs/>
        </w:rPr>
        <w:t>.</w:t>
      </w:r>
      <w:r w:rsidRPr="00024101" w:rsidR="00740D96">
        <w:rPr>
          <w:bCs/>
          <w:i/>
          <w:iCs/>
        </w:rPr>
        <w:t xml:space="preserve"> This revision includes changes to the semi-structured interview guide.</w:t>
      </w:r>
      <w:r w:rsidRPr="00024101" w:rsidR="003840D1">
        <w:rPr>
          <w:bCs/>
        </w:rPr>
        <w:t xml:space="preserve"> </w:t>
      </w:r>
      <w:r w:rsidRPr="00024101" w:rsidR="00740D96">
        <w:rPr>
          <w:bCs/>
        </w:rPr>
        <w:t xml:space="preserve">The guide is contained in </w:t>
      </w:r>
      <w:r w:rsidRPr="00024101" w:rsidR="004D4CB7">
        <w:rPr>
          <w:b/>
          <w:bCs/>
        </w:rPr>
        <w:t xml:space="preserve">Attachment </w:t>
      </w:r>
      <w:r w:rsidRPr="00024101" w:rsidR="00B265AE">
        <w:rPr>
          <w:b/>
          <w:bCs/>
        </w:rPr>
        <w:t>F</w:t>
      </w:r>
      <w:r w:rsidRPr="00024101" w:rsidR="0047714B">
        <w:rPr>
          <w:bCs/>
        </w:rPr>
        <w:t>.</w:t>
      </w:r>
      <w:r w:rsidRPr="00024101" w:rsidR="004D4CB7">
        <w:rPr>
          <w:bCs/>
        </w:rPr>
        <w:t xml:space="preserve"> </w:t>
      </w:r>
    </w:p>
    <w:p w:rsidR="00740D96" w:rsidRPr="00740D96" w:rsidP="00740D96" w14:paraId="6349CB96" w14:textId="77777777">
      <w:pPr>
        <w:pStyle w:val="ColorfulList-Accent11"/>
        <w:tabs>
          <w:tab w:val="left" w:pos="360"/>
        </w:tabs>
        <w:ind w:left="0"/>
        <w:rPr>
          <w:bCs/>
        </w:rPr>
      </w:pPr>
    </w:p>
    <w:p w:rsidR="001C6800" w:rsidRPr="00BA1DD4" w:rsidP="00740D96" w14:paraId="74607C1E" w14:textId="1C106F17">
      <w:pPr>
        <w:pStyle w:val="ColorfulList-Accent11"/>
        <w:numPr>
          <w:ilvl w:val="0"/>
          <w:numId w:val="18"/>
        </w:numPr>
        <w:tabs>
          <w:tab w:val="left" w:pos="360"/>
        </w:tabs>
        <w:rPr>
          <w:bCs/>
        </w:rPr>
      </w:pPr>
      <w:r w:rsidRPr="00010908">
        <w:rPr>
          <w:bCs/>
          <w:u w:val="single"/>
        </w:rPr>
        <w:t>Electronic Health Re</w:t>
      </w:r>
      <w:r w:rsidRPr="00010908">
        <w:rPr>
          <w:bCs/>
          <w:u w:val="single"/>
        </w:rPr>
        <w:t>cord (EHR) data</w:t>
      </w:r>
      <w:r w:rsidRPr="00010908">
        <w:rPr>
          <w:bCs/>
        </w:rPr>
        <w:t xml:space="preserve">: </w:t>
      </w:r>
      <w:bookmarkStart w:id="29" w:name="OLE_LINK62"/>
      <w:r w:rsidR="005435E1">
        <w:rPr>
          <w:bCs/>
        </w:rPr>
        <w:t>Every month starting at baseline (pre-intervention) until the end of the intervention</w:t>
      </w:r>
      <w:bookmarkEnd w:id="29"/>
      <w:r w:rsidR="005435E1">
        <w:rPr>
          <w:bCs/>
        </w:rPr>
        <w:t xml:space="preserve">, each participating practice will extract </w:t>
      </w:r>
      <w:r w:rsidR="00D344EA">
        <w:rPr>
          <w:bCs/>
        </w:rPr>
        <w:t>antibiotic prescribing</w:t>
      </w:r>
      <w:r w:rsidR="005435E1">
        <w:rPr>
          <w:bCs/>
        </w:rPr>
        <w:t xml:space="preserve"> data from their EHR system. </w:t>
      </w:r>
      <w:r w:rsidR="008029B9">
        <w:rPr>
          <w:bCs/>
        </w:rPr>
        <w:t xml:space="preserve">The data will be submitted quarterly using a secure online data </w:t>
      </w:r>
      <w:r w:rsidR="008029B9">
        <w:rPr>
          <w:bCs/>
        </w:rPr>
        <w:t xml:space="preserve">submission portal. </w:t>
      </w:r>
      <w:r w:rsidR="005435E1">
        <w:rPr>
          <w:bCs/>
        </w:rPr>
        <w:t xml:space="preserve">The </w:t>
      </w:r>
      <w:r w:rsidR="00D344EA">
        <w:rPr>
          <w:bCs/>
        </w:rPr>
        <w:t>prescribing data</w:t>
      </w:r>
      <w:r w:rsidR="005435E1">
        <w:rPr>
          <w:bCs/>
        </w:rPr>
        <w:t xml:space="preserve"> will evaluate changes in antibiotic usage, clinical outcomes, and other effectiveness measures resulting from </w:t>
      </w:r>
      <w:r w:rsidR="00F33D11">
        <w:rPr>
          <w:bCs/>
        </w:rPr>
        <w:t>participation in the Safety Program</w:t>
      </w:r>
      <w:r w:rsidR="005435E1">
        <w:rPr>
          <w:bCs/>
        </w:rPr>
        <w:t xml:space="preserve">. </w:t>
      </w:r>
      <w:r w:rsidRPr="00024101" w:rsidR="00922454">
        <w:rPr>
          <w:bCs/>
          <w:i/>
          <w:iCs/>
        </w:rPr>
        <w:t>Based on feedback from participants in the prior AHRQ Safety Program,</w:t>
      </w:r>
      <w:r w:rsidRPr="00024101" w:rsidR="00740D96">
        <w:rPr>
          <w:bCs/>
          <w:i/>
          <w:iCs/>
        </w:rPr>
        <w:t xml:space="preserve"> this </w:t>
      </w:r>
      <w:r w:rsidRPr="00024101" w:rsidR="00C435E2">
        <w:rPr>
          <w:bCs/>
          <w:i/>
          <w:iCs/>
        </w:rPr>
        <w:t xml:space="preserve">updated version </w:t>
      </w:r>
      <w:r w:rsidRPr="00024101" w:rsidR="00740D96">
        <w:rPr>
          <w:bCs/>
          <w:i/>
          <w:iCs/>
        </w:rPr>
        <w:t>includes revisions to</w:t>
      </w:r>
      <w:r w:rsidRPr="00024101" w:rsidR="00922454">
        <w:rPr>
          <w:bCs/>
          <w:i/>
          <w:iCs/>
        </w:rPr>
        <w:t xml:space="preserve"> the</w:t>
      </w:r>
      <w:r w:rsidRPr="00024101" w:rsidR="00143769">
        <w:rPr>
          <w:bCs/>
          <w:i/>
          <w:iCs/>
        </w:rPr>
        <w:t xml:space="preserve"> EHR template</w:t>
      </w:r>
      <w:r w:rsidRPr="00024101" w:rsidR="00C435E2">
        <w:rPr>
          <w:bCs/>
          <w:i/>
          <w:iCs/>
        </w:rPr>
        <w:t xml:space="preserve"> to</w:t>
      </w:r>
      <w:r w:rsidRPr="00024101" w:rsidR="00143769">
        <w:rPr>
          <w:bCs/>
          <w:i/>
          <w:iCs/>
        </w:rPr>
        <w:t xml:space="preserve"> simplify the data requested in the template from aggregate to visit-level</w:t>
      </w:r>
      <w:r w:rsidRPr="00024101" w:rsidR="00922454">
        <w:rPr>
          <w:bCs/>
          <w:i/>
          <w:iCs/>
        </w:rPr>
        <w:t>.</w:t>
      </w:r>
      <w:r w:rsidRPr="00024101" w:rsidR="00922454">
        <w:rPr>
          <w:bCs/>
        </w:rPr>
        <w:t xml:space="preserve"> </w:t>
      </w:r>
      <w:r w:rsidRPr="00024101" w:rsidR="005435E1">
        <w:rPr>
          <w:bCs/>
        </w:rPr>
        <w:t xml:space="preserve">The </w:t>
      </w:r>
      <w:r w:rsidRPr="00024101" w:rsidR="00D344EA">
        <w:rPr>
          <w:bCs/>
        </w:rPr>
        <w:t>antibiotic prescription data</w:t>
      </w:r>
      <w:r w:rsidRPr="00024101" w:rsidR="005435E1">
        <w:rPr>
          <w:bCs/>
        </w:rPr>
        <w:t xml:space="preserve"> template is contained in </w:t>
      </w:r>
      <w:r w:rsidRPr="00024101" w:rsidR="005435E1">
        <w:rPr>
          <w:b/>
          <w:bCs/>
        </w:rPr>
        <w:t xml:space="preserve">Attachment </w:t>
      </w:r>
      <w:r w:rsidRPr="00024101" w:rsidR="00B265AE">
        <w:rPr>
          <w:b/>
          <w:bCs/>
        </w:rPr>
        <w:t xml:space="preserve">G </w:t>
      </w:r>
      <w:r w:rsidRPr="00024101" w:rsidR="005435E1">
        <w:rPr>
          <w:bCs/>
        </w:rPr>
        <w:t xml:space="preserve">and the instructions for the </w:t>
      </w:r>
      <w:r w:rsidRPr="00024101" w:rsidR="00D344EA">
        <w:rPr>
          <w:bCs/>
        </w:rPr>
        <w:t>antibiotic prescription data</w:t>
      </w:r>
      <w:r w:rsidRPr="00024101" w:rsidR="005435E1">
        <w:rPr>
          <w:bCs/>
        </w:rPr>
        <w:t xml:space="preserve"> extraction </w:t>
      </w:r>
      <w:r w:rsidRPr="00024101" w:rsidR="00BB5B2F">
        <w:rPr>
          <w:bCs/>
        </w:rPr>
        <w:t>are</w:t>
      </w:r>
      <w:r w:rsidRPr="00024101" w:rsidR="005435E1">
        <w:rPr>
          <w:bCs/>
        </w:rPr>
        <w:t xml:space="preserve"> contained in </w:t>
      </w:r>
      <w:r w:rsidRPr="00024101" w:rsidR="005435E1">
        <w:rPr>
          <w:b/>
          <w:bCs/>
        </w:rPr>
        <w:t xml:space="preserve">Attachment </w:t>
      </w:r>
      <w:r w:rsidRPr="00024101" w:rsidR="00B265AE">
        <w:rPr>
          <w:b/>
          <w:bCs/>
        </w:rPr>
        <w:t>H</w:t>
      </w:r>
      <w:r w:rsidRPr="00024101" w:rsidR="005435E1">
        <w:rPr>
          <w:b/>
          <w:bCs/>
        </w:rPr>
        <w:t>.</w:t>
      </w:r>
    </w:p>
    <w:p w:rsidR="005435E1" w:rsidRPr="005435E1" w:rsidP="00D01CF2" w14:paraId="34868050" w14:textId="77777777">
      <w:pPr>
        <w:pStyle w:val="ColorfulList-Accent11"/>
        <w:tabs>
          <w:tab w:val="left" w:pos="360"/>
        </w:tabs>
        <w:ind w:left="0"/>
        <w:rPr>
          <w:bCs/>
        </w:rPr>
      </w:pPr>
    </w:p>
    <w:p w:rsidR="009B633D" w:rsidRPr="00A24E79" w:rsidP="009B633D" w14:paraId="26F548D1" w14:textId="77777777">
      <w:pPr>
        <w:pStyle w:val="Heading2"/>
        <w:rPr>
          <w:sz w:val="24"/>
          <w:szCs w:val="24"/>
        </w:rPr>
      </w:pPr>
      <w:bookmarkStart w:id="30" w:name="_Toc151782178"/>
      <w:bookmarkStart w:id="31" w:name="_Toc158526218"/>
      <w:bookmarkStart w:id="32" w:name="_Toc160095511"/>
      <w:r w:rsidRPr="00A24E79">
        <w:rPr>
          <w:sz w:val="24"/>
          <w:szCs w:val="24"/>
        </w:rPr>
        <w:t>3. Use of Improved Information Technology</w:t>
      </w:r>
      <w:bookmarkEnd w:id="30"/>
      <w:bookmarkEnd w:id="31"/>
      <w:bookmarkEnd w:id="32"/>
    </w:p>
    <w:p w:rsidR="00432FD4" w:rsidRPr="00024101" w:rsidP="009C155B" w14:paraId="2AF745E8" w14:textId="18B52D9B">
      <w:pPr>
        <w:pStyle w:val="BodyText"/>
        <w:spacing w:before="240"/>
      </w:pPr>
      <w:r w:rsidRPr="00024101">
        <w:t xml:space="preserve">To </w:t>
      </w:r>
      <w:r w:rsidRPr="00024101" w:rsidR="005D6D09">
        <w:t xml:space="preserve">minimize </w:t>
      </w:r>
      <w:r w:rsidRPr="00024101">
        <w:t xml:space="preserve">respondent burden and to permit the electronic submission of </w:t>
      </w:r>
      <w:r w:rsidRPr="00024101" w:rsidR="00F30508">
        <w:t>survey responses and data collection forms</w:t>
      </w:r>
      <w:r w:rsidRPr="00024101">
        <w:t xml:space="preserve">, </w:t>
      </w:r>
      <w:r w:rsidRPr="00024101" w:rsidR="005D6D09">
        <w:t xml:space="preserve">the </w:t>
      </w:r>
      <w:r w:rsidRPr="00024101" w:rsidR="00F33D11">
        <w:t>structural assessment</w:t>
      </w:r>
      <w:r w:rsidRPr="00024101" w:rsidR="005D6D09">
        <w:t xml:space="preserve">, AHRQ </w:t>
      </w:r>
      <w:r w:rsidRPr="00024101" w:rsidR="0098408B">
        <w:t>MOSOPS</w:t>
      </w:r>
      <w:r w:rsidRPr="00024101" w:rsidR="00A24E79">
        <w:t xml:space="preserve">, </w:t>
      </w:r>
      <w:r w:rsidRPr="00024101" w:rsidR="00F33D11">
        <w:t>participant experience survey</w:t>
      </w:r>
      <w:r w:rsidRPr="00024101" w:rsidR="00387021">
        <w:t>, and antibiotic prescription data template</w:t>
      </w:r>
      <w:r w:rsidRPr="00024101" w:rsidR="005D6D09">
        <w:t xml:space="preserve"> will be web-based and deployed using a well-designed, low burden, and respondent-friendly survey administration process. </w:t>
      </w:r>
      <w:r w:rsidRPr="00024101">
        <w:t>In addition, the EHR data extracted b</w:t>
      </w:r>
      <w:r w:rsidRPr="00024101">
        <w:t xml:space="preserve">y </w:t>
      </w:r>
      <w:r w:rsidRPr="00024101" w:rsidR="00A24E79">
        <w:t>practice</w:t>
      </w:r>
      <w:r w:rsidRPr="00024101">
        <w:t xml:space="preserve"> staff </w:t>
      </w:r>
      <w:r w:rsidRPr="00024101" w:rsidR="00A24E79">
        <w:t xml:space="preserve">that are </w:t>
      </w:r>
      <w:r w:rsidRPr="00024101" w:rsidR="008B7CC6">
        <w:t xml:space="preserve">requested for this </w:t>
      </w:r>
      <w:r w:rsidRPr="00024101" w:rsidR="00DD03B5">
        <w:t xml:space="preserve">program </w:t>
      </w:r>
      <w:r w:rsidRPr="00024101" w:rsidR="008B7CC6">
        <w:t xml:space="preserve">may already be collected by </w:t>
      </w:r>
      <w:r w:rsidRPr="00024101" w:rsidR="00A24E79">
        <w:t>practices</w:t>
      </w:r>
      <w:r w:rsidRPr="00024101" w:rsidR="008B7CC6">
        <w:t xml:space="preserve"> as part of their ongoing quality improvement initiatives. </w:t>
      </w:r>
    </w:p>
    <w:p w:rsidR="005D6D09" w:rsidRPr="00010908" w:rsidP="009C155B" w14:paraId="6B418FCC" w14:textId="0DFF1D59">
      <w:pPr>
        <w:pStyle w:val="BodyText"/>
        <w:spacing w:before="240"/>
      </w:pPr>
      <w:r w:rsidRPr="00024101">
        <w:t>Practices will receive access to the online data collection platform and detailed instructions on completi</w:t>
      </w:r>
      <w:r w:rsidRPr="00024101">
        <w:t>ng the online forms</w:t>
      </w:r>
      <w:r w:rsidRPr="00024101" w:rsidR="00F11EA1">
        <w:t xml:space="preserve"> </w:t>
      </w:r>
      <w:r w:rsidRPr="00024101">
        <w:t>and EHR data submissions.</w:t>
      </w:r>
      <w:r w:rsidRPr="00010908">
        <w:t xml:space="preserve"> </w:t>
      </w:r>
    </w:p>
    <w:p w:rsidR="009B633D" w:rsidRPr="007D4BA4" w:rsidP="009B633D" w14:paraId="4D367FFE" w14:textId="77777777">
      <w:pPr>
        <w:pStyle w:val="Heading2"/>
        <w:rPr>
          <w:sz w:val="24"/>
          <w:szCs w:val="24"/>
        </w:rPr>
      </w:pPr>
      <w:bookmarkStart w:id="33" w:name="_Toc151782179"/>
      <w:bookmarkStart w:id="34" w:name="_Toc158526219"/>
      <w:bookmarkStart w:id="35" w:name="_Toc160095512"/>
      <w:bookmarkStart w:id="36" w:name="OLE_LINK15"/>
      <w:r w:rsidRPr="007D4BA4">
        <w:rPr>
          <w:sz w:val="24"/>
          <w:szCs w:val="24"/>
        </w:rPr>
        <w:t>4. Efforts to Identify Duplication</w:t>
      </w:r>
      <w:bookmarkEnd w:id="33"/>
      <w:bookmarkEnd w:id="34"/>
      <w:bookmarkEnd w:id="35"/>
    </w:p>
    <w:bookmarkEnd w:id="36"/>
    <w:p w:rsidR="00835AD6" w:rsidP="0098408B" w14:paraId="2737EA73" w14:textId="3D82497F">
      <w:pPr>
        <w:spacing w:before="240" w:after="160"/>
        <w:rPr>
          <w:rFonts w:eastAsia="Calibri"/>
        </w:rPr>
      </w:pPr>
      <w:r w:rsidRPr="00835AD6">
        <w:rPr>
          <w:rFonts w:eastAsia="Calibri"/>
          <w:iCs/>
        </w:rPr>
        <w:t>AHRQ</w:t>
      </w:r>
      <w:r w:rsidRPr="00835AD6" w:rsidR="008D25EB">
        <w:rPr>
          <w:rFonts w:eastAsia="Calibri"/>
          <w:iCs/>
        </w:rPr>
        <w:t xml:space="preserve">’s </w:t>
      </w:r>
      <w:bookmarkStart w:id="37" w:name="OLE_LINK47"/>
      <w:r w:rsidRPr="000F0AF8" w:rsidR="004633F7">
        <w:rPr>
          <w:rFonts w:eastAsia="Calibri"/>
          <w:iCs/>
        </w:rPr>
        <w:t>Safety Program for Telemedicine</w:t>
      </w:r>
      <w:r w:rsidRPr="00F86551">
        <w:rPr>
          <w:rFonts w:eastAsia="Calibri"/>
          <w:i/>
        </w:rPr>
        <w:t xml:space="preserve"> </w:t>
      </w:r>
      <w:bookmarkEnd w:id="37"/>
      <w:r w:rsidRPr="00F86551">
        <w:rPr>
          <w:rFonts w:eastAsia="Calibri"/>
        </w:rPr>
        <w:t xml:space="preserve">can synergize with and </w:t>
      </w:r>
      <w:r w:rsidRPr="00F86551" w:rsidR="00C030E6">
        <w:rPr>
          <w:rFonts w:eastAsia="Calibri"/>
        </w:rPr>
        <w:t>complement</w:t>
      </w:r>
      <w:r w:rsidRPr="00F86551">
        <w:rPr>
          <w:rFonts w:eastAsia="Calibri"/>
        </w:rPr>
        <w:t xml:space="preserve"> existing national </w:t>
      </w:r>
      <w:r w:rsidR="00387021">
        <w:rPr>
          <w:rFonts w:eastAsia="Calibri"/>
        </w:rPr>
        <w:t xml:space="preserve">initiatives </w:t>
      </w:r>
      <w:r w:rsidR="00C030E6">
        <w:rPr>
          <w:rFonts w:eastAsia="Calibri"/>
        </w:rPr>
        <w:t>aimed at improving antibiotic prescribing across health</w:t>
      </w:r>
      <w:r w:rsidR="00F322DC">
        <w:rPr>
          <w:rFonts w:eastAsia="Calibri"/>
        </w:rPr>
        <w:t xml:space="preserve"> </w:t>
      </w:r>
      <w:r w:rsidR="00C030E6">
        <w:rPr>
          <w:rFonts w:eastAsia="Calibri"/>
        </w:rPr>
        <w:t>care settings in the U.S</w:t>
      </w:r>
      <w:r w:rsidRPr="00F86551">
        <w:rPr>
          <w:rFonts w:eastAsia="Calibri"/>
        </w:rPr>
        <w:t xml:space="preserve">. </w:t>
      </w:r>
      <w:r w:rsidR="00C030E6">
        <w:rPr>
          <w:rFonts w:eastAsia="Calibri"/>
        </w:rPr>
        <w:t xml:space="preserve">Regulations encouraging </w:t>
      </w:r>
      <w:r w:rsidR="00866AC0">
        <w:rPr>
          <w:rFonts w:eastAsia="Calibri"/>
        </w:rPr>
        <w:t>antibiotic stewardship</w:t>
      </w:r>
      <w:r w:rsidR="00C030E6">
        <w:rPr>
          <w:rFonts w:eastAsia="Calibri"/>
        </w:rPr>
        <w:t xml:space="preserve"> in ambulatory care and tools for </w:t>
      </w:r>
      <w:r w:rsidR="00866AC0">
        <w:rPr>
          <w:rFonts w:eastAsia="Calibri"/>
        </w:rPr>
        <w:t>antibiotic stewardship</w:t>
      </w:r>
      <w:r w:rsidR="00C030E6">
        <w:rPr>
          <w:rFonts w:eastAsia="Calibri"/>
        </w:rPr>
        <w:t xml:space="preserve"> in ambulatory care are not specific to telemedicine practices. To our knowledge, there are currently no </w:t>
      </w:r>
      <w:r w:rsidR="003D4B00">
        <w:rPr>
          <w:rFonts w:eastAsia="Calibri"/>
        </w:rPr>
        <w:t xml:space="preserve">other Federal </w:t>
      </w:r>
      <w:r w:rsidR="00C030E6">
        <w:rPr>
          <w:rFonts w:eastAsia="Calibri"/>
        </w:rPr>
        <w:t xml:space="preserve">initiatives which aim to improve </w:t>
      </w:r>
      <w:r w:rsidR="00866AC0">
        <w:rPr>
          <w:rFonts w:eastAsia="Calibri"/>
        </w:rPr>
        <w:t>antibiotic use</w:t>
      </w:r>
      <w:r w:rsidR="00C030E6">
        <w:rPr>
          <w:rFonts w:eastAsia="Calibri"/>
        </w:rPr>
        <w:t xml:space="preserve"> specifically within telemedicine</w:t>
      </w:r>
      <w:r w:rsidR="00D25C2A">
        <w:rPr>
          <w:rFonts w:eastAsia="Calibri"/>
        </w:rPr>
        <w:t>.</w:t>
      </w:r>
      <w:r w:rsidR="00C030E6">
        <w:rPr>
          <w:rFonts w:eastAsia="Calibri"/>
        </w:rPr>
        <w:t xml:space="preserve"> </w:t>
      </w:r>
      <w:r w:rsidRPr="00835AD6">
        <w:rPr>
          <w:rFonts w:eastAsia="Calibri"/>
          <w:iCs/>
        </w:rPr>
        <w:t>AHRQ’s</w:t>
      </w:r>
      <w:r w:rsidRPr="00F86551">
        <w:rPr>
          <w:rFonts w:eastAsia="Calibri"/>
          <w:i/>
        </w:rPr>
        <w:t xml:space="preserve"> </w:t>
      </w:r>
      <w:r w:rsidR="004633F7">
        <w:rPr>
          <w:rFonts w:eastAsia="Calibri"/>
          <w:iCs/>
        </w:rPr>
        <w:t>Safety Program for Telemedicine</w:t>
      </w:r>
      <w:r w:rsidR="004633F7">
        <w:rPr>
          <w:rFonts w:eastAsia="Calibri"/>
          <w:i/>
        </w:rPr>
        <w:t xml:space="preserve"> </w:t>
      </w:r>
      <w:r>
        <w:rPr>
          <w:rFonts w:eastAsia="Calibri"/>
        </w:rPr>
        <w:t>will incorporate</w:t>
      </w:r>
      <w:r>
        <w:rPr>
          <w:rFonts w:eastAsia="Calibri"/>
        </w:rPr>
        <w:t xml:space="preserve"> CUSP strategies to improve</w:t>
      </w:r>
      <w:r w:rsidR="00866AC0">
        <w:rPr>
          <w:rFonts w:eastAsia="Calibri"/>
        </w:rPr>
        <w:t xml:space="preserve"> antibiotic use</w:t>
      </w:r>
      <w:r>
        <w:rPr>
          <w:rFonts w:eastAsia="Calibri"/>
        </w:rPr>
        <w:t xml:space="preserve"> by developing a culture of patient safety while considering and catering to the unique structure and culture of different telemedicine environments. </w:t>
      </w:r>
    </w:p>
    <w:p w:rsidR="00442E73" w:rsidP="00971A60" w14:paraId="14DE99D1" w14:textId="549D1CD3">
      <w:pPr>
        <w:spacing w:after="160"/>
        <w:contextualSpacing/>
        <w:rPr>
          <w:rFonts w:eastAsia="Calibri"/>
        </w:rPr>
      </w:pPr>
      <w:r>
        <w:rPr>
          <w:rFonts w:eastAsia="Calibri"/>
        </w:rPr>
        <w:t xml:space="preserve">AHRQ is an active participant on </w:t>
      </w:r>
      <w:r w:rsidR="00F70479">
        <w:rPr>
          <w:rFonts w:eastAsia="Calibri"/>
        </w:rPr>
        <w:t xml:space="preserve">FedTel, a </w:t>
      </w:r>
      <w:r>
        <w:rPr>
          <w:rFonts w:eastAsia="Calibri"/>
        </w:rPr>
        <w:t xml:space="preserve">Federal Advisory </w:t>
      </w:r>
      <w:r w:rsidR="00F70479">
        <w:rPr>
          <w:rFonts w:eastAsia="Calibri"/>
        </w:rPr>
        <w:t xml:space="preserve">Telemedicine </w:t>
      </w:r>
      <w:r>
        <w:rPr>
          <w:rFonts w:eastAsia="Calibri"/>
        </w:rPr>
        <w:t>working group.</w:t>
      </w:r>
      <w:r w:rsidR="00F70479">
        <w:rPr>
          <w:rFonts w:eastAsia="Calibri"/>
        </w:rPr>
        <w:t xml:space="preserve"> There is a monthly teleconference led by the </w:t>
      </w:r>
      <w:r w:rsidR="008702A9">
        <w:rPr>
          <w:rFonts w:eastAsia="Calibri"/>
        </w:rPr>
        <w:t xml:space="preserve">Health Resources &amp; Services Administration, </w:t>
      </w:r>
      <w:r w:rsidR="00F70479">
        <w:rPr>
          <w:rFonts w:eastAsia="Calibri"/>
        </w:rPr>
        <w:t xml:space="preserve">in which various Federal agencies (Centers for Medicare </w:t>
      </w:r>
      <w:r w:rsidR="008702A9">
        <w:rPr>
          <w:rFonts w:eastAsia="Calibri"/>
        </w:rPr>
        <w:t xml:space="preserve">&amp; </w:t>
      </w:r>
      <w:r w:rsidR="00F70479">
        <w:rPr>
          <w:rFonts w:eastAsia="Calibri"/>
        </w:rPr>
        <w:t>Medicaid</w:t>
      </w:r>
      <w:r w:rsidR="008702A9">
        <w:rPr>
          <w:rFonts w:eastAsia="Calibri"/>
        </w:rPr>
        <w:t xml:space="preserve"> Services</w:t>
      </w:r>
      <w:r w:rsidR="00F70479">
        <w:rPr>
          <w:rFonts w:eastAsia="Calibri"/>
        </w:rPr>
        <w:t xml:space="preserve">, Indian Health Service, </w:t>
      </w:r>
      <w:r w:rsidR="008702A9">
        <w:rPr>
          <w:rFonts w:eastAsia="Calibri"/>
        </w:rPr>
        <w:t xml:space="preserve">National Institutes of Health) </w:t>
      </w:r>
      <w:r w:rsidR="00F70479">
        <w:rPr>
          <w:rFonts w:eastAsia="Calibri"/>
        </w:rPr>
        <w:t xml:space="preserve">present projects they are working on in the </w:t>
      </w:r>
      <w:r w:rsidR="008702A9">
        <w:rPr>
          <w:rFonts w:eastAsia="Calibri"/>
        </w:rPr>
        <w:t>telemedicine</w:t>
      </w:r>
      <w:r w:rsidR="00F70479">
        <w:rPr>
          <w:rFonts w:eastAsia="Calibri"/>
        </w:rPr>
        <w:t xml:space="preserve"> arena.</w:t>
      </w:r>
      <w:r w:rsidR="00C02325">
        <w:rPr>
          <w:rFonts w:eastAsia="Calibri"/>
        </w:rPr>
        <w:t xml:space="preserve"> The participation ensures no duplication of efforts on a </w:t>
      </w:r>
      <w:r w:rsidR="00EA271D">
        <w:rPr>
          <w:rFonts w:eastAsia="Calibri"/>
        </w:rPr>
        <w:t>federal</w:t>
      </w:r>
      <w:r w:rsidR="00C02325">
        <w:rPr>
          <w:rFonts w:eastAsia="Calibri"/>
        </w:rPr>
        <w:t xml:space="preserve"> level will ensue.</w:t>
      </w:r>
    </w:p>
    <w:p w:rsidR="009B633D" w:rsidRPr="003964BB" w:rsidP="009B633D" w14:paraId="3ABF91B6" w14:textId="77777777">
      <w:pPr>
        <w:pStyle w:val="Heading2"/>
        <w:rPr>
          <w:sz w:val="24"/>
          <w:szCs w:val="24"/>
        </w:rPr>
      </w:pPr>
      <w:bookmarkStart w:id="38" w:name="_Toc151782180"/>
      <w:bookmarkStart w:id="39" w:name="_Toc158526220"/>
      <w:bookmarkStart w:id="40" w:name="_Toc160095513"/>
      <w:r w:rsidRPr="003964BB">
        <w:rPr>
          <w:sz w:val="24"/>
          <w:szCs w:val="24"/>
        </w:rPr>
        <w:t>5. Involvement of Small Entities</w:t>
      </w:r>
      <w:bookmarkEnd w:id="38"/>
      <w:bookmarkEnd w:id="39"/>
      <w:bookmarkEnd w:id="40"/>
    </w:p>
    <w:p w:rsidR="006D5791" w:rsidRPr="00010908" w:rsidP="00EA3BED" w14:paraId="6245C217" w14:textId="77777777">
      <w:pPr>
        <w:spacing w:before="100" w:beforeAutospacing="1" w:after="100" w:afterAutospacing="1"/>
        <w:rPr>
          <w:i/>
        </w:rPr>
      </w:pPr>
      <w:r w:rsidRPr="00010908">
        <w:t xml:space="preserve">The information collected may involve small entities, as </w:t>
      </w:r>
      <w:r w:rsidRPr="00010908" w:rsidR="00DA3BCC">
        <w:t xml:space="preserve">some of the participating </w:t>
      </w:r>
      <w:r w:rsidR="003964BB">
        <w:t xml:space="preserve">practices may only employ a handful of HCPs. </w:t>
      </w:r>
      <w:r w:rsidRPr="00010908">
        <w:t xml:space="preserve">For this </w:t>
      </w:r>
      <w:r w:rsidR="00D54F66">
        <w:t>program</w:t>
      </w:r>
      <w:r w:rsidRPr="00010908">
        <w:t xml:space="preserve">, only items that provide critical information for </w:t>
      </w:r>
      <w:r w:rsidRPr="00010908" w:rsidR="00EA3BED">
        <w:t>conducting the evaluation</w:t>
      </w:r>
      <w:r w:rsidRPr="00010908">
        <w:t xml:space="preserve"> will be included</w:t>
      </w:r>
      <w:r w:rsidRPr="00010908" w:rsidR="009B62E3">
        <w:t>, and the information being requested has been held to the absolute minimum required for the intended use.</w:t>
      </w:r>
    </w:p>
    <w:p w:rsidR="009B633D" w:rsidRPr="003964BB" w:rsidP="009B633D" w14:paraId="2933D76E" w14:textId="77777777">
      <w:pPr>
        <w:pStyle w:val="Heading2"/>
        <w:rPr>
          <w:sz w:val="24"/>
          <w:szCs w:val="24"/>
        </w:rPr>
      </w:pPr>
      <w:bookmarkStart w:id="41" w:name="_Toc151782181"/>
      <w:bookmarkStart w:id="42" w:name="_Toc158526221"/>
      <w:bookmarkStart w:id="43" w:name="_Toc160095514"/>
      <w:r w:rsidRPr="003964BB">
        <w:rPr>
          <w:sz w:val="24"/>
          <w:szCs w:val="24"/>
        </w:rPr>
        <w:t xml:space="preserve">6. Consequences if Information </w:t>
      </w:r>
      <w:r w:rsidR="00D25C2A">
        <w:rPr>
          <w:sz w:val="24"/>
          <w:szCs w:val="24"/>
        </w:rPr>
        <w:t xml:space="preserve">is </w:t>
      </w:r>
      <w:r w:rsidRPr="003964BB">
        <w:rPr>
          <w:sz w:val="24"/>
          <w:szCs w:val="24"/>
        </w:rPr>
        <w:t>Collected Less Frequently</w:t>
      </w:r>
      <w:bookmarkEnd w:id="41"/>
      <w:bookmarkEnd w:id="42"/>
      <w:bookmarkEnd w:id="43"/>
    </w:p>
    <w:p w:rsidR="002665A1" w:rsidRPr="00010908" w:rsidP="009C155B" w14:paraId="44DC6017" w14:textId="0D1CBFE5">
      <w:pPr>
        <w:spacing w:before="240"/>
      </w:pPr>
      <w:bookmarkStart w:id="44" w:name="_Toc151782182"/>
      <w:bookmarkStart w:id="45" w:name="_Toc158526222"/>
      <w:r w:rsidRPr="00010908">
        <w:t xml:space="preserve">This data collection effort will be part of a comprehensive evaluation strategy </w:t>
      </w:r>
      <w:r w:rsidRPr="00010908" w:rsidR="001A23F4">
        <w:t>to</w:t>
      </w:r>
      <w:r w:rsidRPr="00010908">
        <w:t xml:space="preserve"> assess</w:t>
      </w:r>
      <w:r w:rsidR="00B966F1">
        <w:t xml:space="preserve"> </w:t>
      </w:r>
      <w:r w:rsidRPr="00010908">
        <w:t xml:space="preserve">the adoption of </w:t>
      </w:r>
      <w:r w:rsidR="003964BB">
        <w:t xml:space="preserve">the </w:t>
      </w:r>
      <w:r w:rsidR="004633F7">
        <w:rPr>
          <w:rFonts w:eastAsia="Calibri"/>
          <w:iCs/>
        </w:rPr>
        <w:t xml:space="preserve">Safety Program </w:t>
      </w:r>
      <w:r w:rsidR="003964BB">
        <w:t>among participating practices</w:t>
      </w:r>
      <w:r w:rsidRPr="00010908">
        <w:t xml:space="preserve">; measure the effectiveness </w:t>
      </w:r>
      <w:r w:rsidRPr="00010908">
        <w:t xml:space="preserve">of the </w:t>
      </w:r>
      <w:r w:rsidR="00A2649E">
        <w:t>Safety Program</w:t>
      </w:r>
      <w:r w:rsidR="003964BB">
        <w:t xml:space="preserve"> among</w:t>
      </w:r>
      <w:r w:rsidRPr="00010908">
        <w:t xml:space="preserve"> participating </w:t>
      </w:r>
      <w:r w:rsidR="003964BB">
        <w:t>practices</w:t>
      </w:r>
      <w:r w:rsidRPr="00010908">
        <w:t xml:space="preserve">; evaluate </w:t>
      </w:r>
      <w:r w:rsidR="00B966F1">
        <w:t xml:space="preserve">participants’ experience </w:t>
      </w:r>
      <w:r w:rsidR="00762675">
        <w:t>and approaches implementing the Safety Program</w:t>
      </w:r>
      <w:r w:rsidR="00B966F1">
        <w:t xml:space="preserve">; </w:t>
      </w:r>
      <w:r w:rsidR="00FF3C9F">
        <w:t xml:space="preserve">and </w:t>
      </w:r>
      <w:r w:rsidR="00B966F1">
        <w:t xml:space="preserve">understand </w:t>
      </w:r>
      <w:r w:rsidRPr="00010908">
        <w:t>the characteristics of teams and senior leaders that are associated with successful implementation and imp</w:t>
      </w:r>
      <w:r w:rsidRPr="00010908">
        <w:t xml:space="preserve">rovements in outcomes. </w:t>
      </w:r>
      <w:r w:rsidRPr="00010908" w:rsidR="009537FA">
        <w:t xml:space="preserve">The planned frequency of </w:t>
      </w:r>
      <w:r w:rsidR="00B966F1">
        <w:t xml:space="preserve">the </w:t>
      </w:r>
      <w:r w:rsidRPr="00010908" w:rsidR="009537FA">
        <w:t xml:space="preserve">data </w:t>
      </w:r>
      <w:r w:rsidRPr="00010908">
        <w:t>collection</w:t>
      </w:r>
      <w:r w:rsidR="00B966F1">
        <w:t xml:space="preserve"> activities </w:t>
      </w:r>
      <w:r w:rsidR="00C718AC">
        <w:t>is</w:t>
      </w:r>
      <w:r w:rsidRPr="00010908">
        <w:t xml:space="preserve"> necessary to </w:t>
      </w:r>
      <w:r w:rsidRPr="00010908" w:rsidR="009537FA">
        <w:t>accurately assess the adoption and effectiveness of the program</w:t>
      </w:r>
      <w:r w:rsidRPr="00010908">
        <w:t xml:space="preserve">. </w:t>
      </w:r>
    </w:p>
    <w:p w:rsidR="002665A1" w:rsidRPr="00010908" w:rsidP="002665A1" w14:paraId="555F36FC" w14:textId="77777777"/>
    <w:p w:rsidR="006133E5" w:rsidP="008B072E" w14:paraId="40CD3937" w14:textId="3D335218">
      <w:pPr>
        <w:rPr>
          <w:bCs/>
        </w:rPr>
      </w:pPr>
      <w:r w:rsidRPr="00010908">
        <w:t>The Structural Assessment</w:t>
      </w:r>
      <w:r w:rsidR="00F875C5">
        <w:t xml:space="preserve"> </w:t>
      </w:r>
      <w:r w:rsidR="00B966F1">
        <w:t>w</w:t>
      </w:r>
      <w:r w:rsidR="00F875C5">
        <w:t xml:space="preserve">ill be administered at baseline </w:t>
      </w:r>
      <w:r w:rsidRPr="00010908">
        <w:rPr>
          <w:bCs/>
        </w:rPr>
        <w:t>(pre-intervention)</w:t>
      </w:r>
      <w:r w:rsidRPr="00010908" w:rsidR="00B92B52">
        <w:rPr>
          <w:bCs/>
        </w:rPr>
        <w:t xml:space="preserve"> and</w:t>
      </w:r>
      <w:r w:rsidRPr="00010908">
        <w:rPr>
          <w:bCs/>
        </w:rPr>
        <w:t xml:space="preserve"> at the end o</w:t>
      </w:r>
      <w:r w:rsidRPr="00010908">
        <w:rPr>
          <w:bCs/>
        </w:rPr>
        <w:t xml:space="preserve">f the intervention to measure the extent to which the program was adopted by the participating </w:t>
      </w:r>
      <w:r w:rsidR="00B966F1">
        <w:rPr>
          <w:bCs/>
        </w:rPr>
        <w:t>practices</w:t>
      </w:r>
      <w:r w:rsidRPr="00010908">
        <w:rPr>
          <w:bCs/>
        </w:rPr>
        <w:t xml:space="preserve">. </w:t>
      </w:r>
    </w:p>
    <w:p w:rsidR="003F39D3" w:rsidP="00D01CF2" w14:paraId="2788A6A8" w14:textId="77777777">
      <w:pPr>
        <w:pStyle w:val="ColorfulList-Accent11"/>
        <w:tabs>
          <w:tab w:val="left" w:pos="360"/>
        </w:tabs>
        <w:ind w:left="0"/>
        <w:rPr>
          <w:bCs/>
        </w:rPr>
      </w:pPr>
    </w:p>
    <w:p w:rsidR="002665A1" w:rsidRPr="00010908" w:rsidP="00D01CF2" w14:paraId="406E39E5" w14:textId="667B4B62">
      <w:pPr>
        <w:pStyle w:val="ColorfulList-Accent11"/>
        <w:tabs>
          <w:tab w:val="left" w:pos="360"/>
        </w:tabs>
        <w:ind w:left="0"/>
        <w:rPr>
          <w:bCs/>
        </w:rPr>
      </w:pPr>
      <w:r w:rsidRPr="00960A3F">
        <w:rPr>
          <w:bCs/>
        </w:rPr>
        <w:t xml:space="preserve">The AHRQ </w:t>
      </w:r>
      <w:r w:rsidRPr="00B966F1">
        <w:rPr>
          <w:bCs/>
          <w:iCs/>
        </w:rPr>
        <w:t>MOSOPS</w:t>
      </w:r>
      <w:r w:rsidRPr="00010908">
        <w:rPr>
          <w:bCs/>
        </w:rPr>
        <w:t xml:space="preserve"> will be collected at baseline (pre-intervention) and </w:t>
      </w:r>
      <w:r w:rsidR="00343CED">
        <w:rPr>
          <w:bCs/>
        </w:rPr>
        <w:t xml:space="preserve">at the </w:t>
      </w:r>
      <w:r w:rsidRPr="00010908">
        <w:rPr>
          <w:bCs/>
        </w:rPr>
        <w:t xml:space="preserve">end of the intervention to measure the changes in </w:t>
      </w:r>
      <w:r w:rsidR="003F39D3">
        <w:rPr>
          <w:bCs/>
        </w:rPr>
        <w:t xml:space="preserve">patient </w:t>
      </w:r>
      <w:r w:rsidRPr="00010908">
        <w:rPr>
          <w:bCs/>
        </w:rPr>
        <w:t xml:space="preserve">safety culture resulting from </w:t>
      </w:r>
      <w:r w:rsidR="003F39D3">
        <w:rPr>
          <w:bCs/>
        </w:rPr>
        <w:t>participation in the Safety Program.</w:t>
      </w:r>
      <w:r w:rsidRPr="00010908">
        <w:rPr>
          <w:bCs/>
        </w:rPr>
        <w:t xml:space="preserve"> </w:t>
      </w:r>
    </w:p>
    <w:p w:rsidR="00136447" w:rsidRPr="00010908" w:rsidP="00D01CF2" w14:paraId="5FAFEF3D" w14:textId="77777777">
      <w:pPr>
        <w:pStyle w:val="ColorfulList-Accent11"/>
        <w:tabs>
          <w:tab w:val="left" w:pos="360"/>
        </w:tabs>
        <w:ind w:left="0"/>
        <w:rPr>
          <w:bCs/>
        </w:rPr>
      </w:pPr>
    </w:p>
    <w:p w:rsidR="006133E5" w:rsidP="00D01CF2" w14:paraId="7B79EA52" w14:textId="3D82D444">
      <w:pPr>
        <w:pStyle w:val="ColorfulList-Accent11"/>
        <w:tabs>
          <w:tab w:val="left" w:pos="360"/>
        </w:tabs>
        <w:ind w:left="0"/>
        <w:rPr>
          <w:bCs/>
        </w:rPr>
      </w:pPr>
      <w:r w:rsidRPr="00010908">
        <w:rPr>
          <w:bCs/>
        </w:rPr>
        <w:t xml:space="preserve">The </w:t>
      </w:r>
      <w:r w:rsidR="008F47BC">
        <w:rPr>
          <w:bCs/>
        </w:rPr>
        <w:t>Participant</w:t>
      </w:r>
      <w:r w:rsidRPr="00010908">
        <w:rPr>
          <w:bCs/>
        </w:rPr>
        <w:t xml:space="preserve"> Experience Survey will be collected </w:t>
      </w:r>
      <w:r w:rsidR="00762675">
        <w:rPr>
          <w:bCs/>
        </w:rPr>
        <w:t xml:space="preserve">at the end of the </w:t>
      </w:r>
      <w:r w:rsidRPr="00010908">
        <w:rPr>
          <w:bCs/>
        </w:rPr>
        <w:t xml:space="preserve">intervention </w:t>
      </w:r>
      <w:r w:rsidR="00F63331">
        <w:rPr>
          <w:bCs/>
        </w:rPr>
        <w:t xml:space="preserve">to assess </w:t>
      </w:r>
      <w:r w:rsidR="00003F42">
        <w:rPr>
          <w:bCs/>
        </w:rPr>
        <w:t>participant engagement</w:t>
      </w:r>
      <w:r w:rsidR="00F63331">
        <w:rPr>
          <w:bCs/>
        </w:rPr>
        <w:t xml:space="preserve"> and progress</w:t>
      </w:r>
      <w:r w:rsidR="002772C3">
        <w:rPr>
          <w:bCs/>
        </w:rPr>
        <w:t>;</w:t>
      </w:r>
      <w:r w:rsidR="00F63331">
        <w:rPr>
          <w:bCs/>
        </w:rPr>
        <w:t xml:space="preserve"> understand provider</w:t>
      </w:r>
      <w:r w:rsidR="003F39D3">
        <w:rPr>
          <w:bCs/>
        </w:rPr>
        <w:t>s’</w:t>
      </w:r>
      <w:r w:rsidR="00F63331">
        <w:rPr>
          <w:bCs/>
        </w:rPr>
        <w:t xml:space="preserve"> experience using materials and </w:t>
      </w:r>
      <w:r w:rsidR="003F39D3">
        <w:rPr>
          <w:bCs/>
        </w:rPr>
        <w:t>participating in the Safety Program</w:t>
      </w:r>
      <w:r w:rsidR="002772C3">
        <w:rPr>
          <w:bCs/>
        </w:rPr>
        <w:t>;</w:t>
      </w:r>
      <w:r w:rsidR="00F63331">
        <w:rPr>
          <w:bCs/>
        </w:rPr>
        <w:t xml:space="preserve"> and identify </w:t>
      </w:r>
      <w:r w:rsidR="00762675">
        <w:rPr>
          <w:bCs/>
        </w:rPr>
        <w:t>processes used and changes made to implement and sustain the Safety Program</w:t>
      </w:r>
      <w:r w:rsidR="00F63331">
        <w:rPr>
          <w:bCs/>
        </w:rPr>
        <w:t xml:space="preserve">. </w:t>
      </w:r>
    </w:p>
    <w:p w:rsidR="006133E5" w:rsidP="00D01CF2" w14:paraId="0F1F52F7" w14:textId="77777777">
      <w:pPr>
        <w:pStyle w:val="ColorfulList-Accent11"/>
        <w:tabs>
          <w:tab w:val="left" w:pos="360"/>
        </w:tabs>
        <w:ind w:left="0"/>
        <w:rPr>
          <w:bCs/>
        </w:rPr>
      </w:pPr>
    </w:p>
    <w:p w:rsidR="002665A1" w:rsidRPr="00010908" w:rsidP="00D01CF2" w14:paraId="3FBE74EB" w14:textId="3DC30E08">
      <w:pPr>
        <w:pStyle w:val="ColorfulList-Accent11"/>
        <w:tabs>
          <w:tab w:val="left" w:pos="360"/>
        </w:tabs>
        <w:ind w:left="0"/>
        <w:rPr>
          <w:bCs/>
        </w:rPr>
      </w:pPr>
      <w:r w:rsidRPr="00010908">
        <w:rPr>
          <w:bCs/>
        </w:rPr>
        <w:t xml:space="preserve">The semi-structured interviews will be conducted </w:t>
      </w:r>
      <w:r w:rsidRPr="00010908" w:rsidR="002A0C0C">
        <w:rPr>
          <w:bCs/>
        </w:rPr>
        <w:t>at the end</w:t>
      </w:r>
      <w:r w:rsidR="006133E5">
        <w:rPr>
          <w:bCs/>
        </w:rPr>
        <w:t xml:space="preserve"> of the intervention among a sample of practices (</w:t>
      </w:r>
      <w:r w:rsidR="006864D0">
        <w:rPr>
          <w:bCs/>
        </w:rPr>
        <w:t xml:space="preserve">approximately </w:t>
      </w:r>
      <w:r w:rsidR="007E4C22">
        <w:rPr>
          <w:bCs/>
        </w:rPr>
        <w:t>20</w:t>
      </w:r>
      <w:r w:rsidR="00E12DC2">
        <w:rPr>
          <w:bCs/>
        </w:rPr>
        <w:t xml:space="preserve">) </w:t>
      </w:r>
      <w:r w:rsidRPr="00010908">
        <w:rPr>
          <w:bCs/>
        </w:rPr>
        <w:t xml:space="preserve">to collect qualitative information on the implementation of the program.   </w:t>
      </w:r>
    </w:p>
    <w:p w:rsidR="00D25C2A" w:rsidP="00D42A25" w14:paraId="47A2C862" w14:textId="77777777">
      <w:pPr>
        <w:tabs>
          <w:tab w:val="left" w:pos="360"/>
        </w:tabs>
        <w:rPr>
          <w:bCs/>
        </w:rPr>
      </w:pPr>
      <w:bookmarkStart w:id="46" w:name="OLE_LINK40"/>
    </w:p>
    <w:p w:rsidR="00D25C2A" w:rsidP="00D25C2A" w14:paraId="4AEE2574" w14:textId="1E77204E">
      <w:pPr>
        <w:tabs>
          <w:tab w:val="left" w:pos="360"/>
        </w:tabs>
        <w:rPr>
          <w:bCs/>
        </w:rPr>
      </w:pPr>
      <w:r>
        <w:rPr>
          <w:bCs/>
        </w:rPr>
        <w:t>The Electronic Health Record (EHR) data will be collected each month and submitted quarterly starting in the ba</w:t>
      </w:r>
      <w:r>
        <w:rPr>
          <w:bCs/>
        </w:rPr>
        <w:t>seline (pre-intervention) period until the end of the intervention to measure changes in antibiotic usage resulting from the intervention.</w:t>
      </w:r>
    </w:p>
    <w:p w:rsidR="00D25C2A" w:rsidP="00D42A25" w14:paraId="2D1FA26B" w14:textId="77777777">
      <w:pPr>
        <w:tabs>
          <w:tab w:val="left" w:pos="360"/>
        </w:tabs>
        <w:rPr>
          <w:bCs/>
        </w:rPr>
      </w:pPr>
    </w:p>
    <w:p w:rsidR="009B633D" w:rsidRPr="00E12DC2" w:rsidP="009B633D" w14:paraId="31A69D17" w14:textId="77777777">
      <w:pPr>
        <w:pStyle w:val="Heading2"/>
        <w:rPr>
          <w:sz w:val="24"/>
          <w:szCs w:val="24"/>
        </w:rPr>
      </w:pPr>
      <w:bookmarkStart w:id="47" w:name="_Toc160095515"/>
      <w:bookmarkEnd w:id="46"/>
      <w:r w:rsidRPr="00E12DC2">
        <w:rPr>
          <w:sz w:val="24"/>
          <w:szCs w:val="24"/>
        </w:rPr>
        <w:t>7. Special Circumstances</w:t>
      </w:r>
      <w:bookmarkEnd w:id="44"/>
      <w:bookmarkEnd w:id="45"/>
      <w:bookmarkEnd w:id="47"/>
    </w:p>
    <w:p w:rsidR="009B633D" w:rsidRPr="00010908" w:rsidP="009B633D" w14:paraId="5FE55A5D" w14:textId="77777777">
      <w:pPr>
        <w:spacing w:before="120"/>
      </w:pPr>
      <w:r w:rsidRPr="00010908">
        <w:t>This request is consistent with the general information collection guidelines of 5 CFR 1320</w:t>
      </w:r>
      <w:r w:rsidRPr="00010908">
        <w:t>.5(d)(2). No special circumstances apply.</w:t>
      </w:r>
    </w:p>
    <w:p w:rsidR="004E3A1B" w:rsidRPr="00E12DC2" w:rsidP="004E3A1B" w14:paraId="7CC887E9" w14:textId="77777777">
      <w:pPr>
        <w:pStyle w:val="Heading2"/>
        <w:rPr>
          <w:sz w:val="24"/>
          <w:szCs w:val="24"/>
        </w:rPr>
      </w:pPr>
      <w:bookmarkStart w:id="48" w:name="_Toc151782183"/>
      <w:bookmarkStart w:id="49" w:name="_Toc158526223"/>
      <w:bookmarkStart w:id="50" w:name="_Toc160095516"/>
      <w:r w:rsidRPr="00E12DC2">
        <w:rPr>
          <w:sz w:val="24"/>
          <w:szCs w:val="24"/>
        </w:rPr>
        <w:t xml:space="preserve">8. </w:t>
      </w:r>
      <w:bookmarkEnd w:id="48"/>
      <w:bookmarkEnd w:id="49"/>
      <w:r w:rsidRPr="00E12DC2">
        <w:rPr>
          <w:sz w:val="24"/>
          <w:szCs w:val="24"/>
        </w:rPr>
        <w:t>Federal Register Notice and Outside Consultations</w:t>
      </w:r>
      <w:bookmarkEnd w:id="50"/>
    </w:p>
    <w:p w:rsidR="00131443" w:rsidRPr="00E12DC2" w:rsidP="00896D9C" w14:paraId="3412E597" w14:textId="77777777">
      <w:pPr>
        <w:pStyle w:val="Heading2"/>
        <w:spacing w:after="0"/>
        <w:rPr>
          <w:sz w:val="24"/>
          <w:szCs w:val="24"/>
        </w:rPr>
      </w:pPr>
      <w:bookmarkStart w:id="51" w:name="_Toc160095517"/>
      <w:r w:rsidRPr="00E12DC2">
        <w:rPr>
          <w:sz w:val="24"/>
          <w:szCs w:val="24"/>
        </w:rPr>
        <w:t>8.a. Federal Register Notice</w:t>
      </w:r>
      <w:bookmarkEnd w:id="51"/>
    </w:p>
    <w:p w:rsidR="007C1ECB" w:rsidRPr="00010908" w:rsidP="004E3A1B" w14:paraId="53FE93B7" w14:textId="77777777"/>
    <w:p w:rsidR="004E3A1B" w:rsidRPr="00010908" w:rsidP="004E3A1B" w14:paraId="6875C6B8" w14:textId="0A02BE26">
      <w:bookmarkStart w:id="52" w:name="OLE_LINK3"/>
      <w:bookmarkStart w:id="53" w:name="OLE_LINK4"/>
      <w:r w:rsidRPr="00010908">
        <w:t xml:space="preserve">As required by </w:t>
      </w:r>
      <w:r w:rsidRPr="00010908" w:rsidR="0037771B">
        <w:t>5 CFR 1320.8(d), n</w:t>
      </w:r>
      <w:r w:rsidRPr="00010908" w:rsidR="009374DF">
        <w:t>otice was published in the Federal Register on</w:t>
      </w:r>
      <w:r w:rsidRPr="00010908" w:rsidR="00AD7052">
        <w:t xml:space="preserve"> </w:t>
      </w:r>
      <w:r w:rsidR="009E47CB">
        <w:t>April 29, 2024</w:t>
      </w:r>
      <w:r w:rsidRPr="00010908" w:rsidR="00AD7052">
        <w:t xml:space="preserve"> </w:t>
      </w:r>
      <w:r w:rsidRPr="00F11BD6" w:rsidR="00AD7052">
        <w:t xml:space="preserve">on page </w:t>
      </w:r>
      <w:r w:rsidR="00F11BD6">
        <w:t xml:space="preserve">33349 </w:t>
      </w:r>
      <w:r w:rsidRPr="00010908" w:rsidR="009374DF">
        <w:t>for 60 days</w:t>
      </w:r>
      <w:r w:rsidRPr="00010908" w:rsidR="00016560">
        <w:t xml:space="preserve"> </w:t>
      </w:r>
      <w:r w:rsidRPr="00010908" w:rsidR="00620B93">
        <w:t xml:space="preserve">(see </w:t>
      </w:r>
      <w:r w:rsidRPr="00010908" w:rsidR="00620B93">
        <w:rPr>
          <w:b/>
        </w:rPr>
        <w:t>A</w:t>
      </w:r>
      <w:r w:rsidRPr="00010908" w:rsidR="00EE4455">
        <w:rPr>
          <w:b/>
        </w:rPr>
        <w:t>ttachment</w:t>
      </w:r>
      <w:r w:rsidR="00E12DC2">
        <w:rPr>
          <w:b/>
        </w:rPr>
        <w:t xml:space="preserve"> </w:t>
      </w:r>
      <w:r w:rsidR="00261D9E">
        <w:rPr>
          <w:b/>
        </w:rPr>
        <w:t>I</w:t>
      </w:r>
      <w:r w:rsidRPr="00010908" w:rsidR="00016560">
        <w:t>)</w:t>
      </w:r>
      <w:r w:rsidRPr="00010908" w:rsidR="009374DF">
        <w:t xml:space="preserve">.  </w:t>
      </w:r>
      <w:bookmarkEnd w:id="52"/>
      <w:bookmarkEnd w:id="53"/>
    </w:p>
    <w:p w:rsidR="009B633D" w:rsidP="009B633D" w14:paraId="095568A0" w14:textId="77777777">
      <w:pPr>
        <w:pStyle w:val="Heading2"/>
        <w:rPr>
          <w:sz w:val="24"/>
          <w:szCs w:val="24"/>
        </w:rPr>
      </w:pPr>
      <w:bookmarkStart w:id="54" w:name="_Toc160095518"/>
      <w:r w:rsidRPr="00860348">
        <w:rPr>
          <w:sz w:val="24"/>
          <w:szCs w:val="24"/>
        </w:rPr>
        <w:t xml:space="preserve">8.b. </w:t>
      </w:r>
      <w:r w:rsidRPr="00860348" w:rsidR="004E3A1B">
        <w:rPr>
          <w:sz w:val="24"/>
          <w:szCs w:val="24"/>
        </w:rPr>
        <w:t>Outside Consultations</w:t>
      </w:r>
      <w:bookmarkEnd w:id="54"/>
    </w:p>
    <w:p w:rsidR="00A07874" w:rsidRPr="00A07874" w:rsidP="00A07874" w14:paraId="2C9B6531" w14:textId="77777777"/>
    <w:p w:rsidR="00E30599" w:rsidP="00E30599" w14:paraId="6085E2F0" w14:textId="5408ABD7">
      <w:pPr>
        <w:pStyle w:val="Default"/>
      </w:pPr>
      <w:bookmarkStart w:id="55" w:name="_Toc457285506"/>
      <w:bookmarkStart w:id="56" w:name="_Toc58725294"/>
      <w:bookmarkStart w:id="57" w:name="_Toc151782184"/>
      <w:bookmarkStart w:id="58" w:name="_Toc158526224"/>
      <w:r w:rsidRPr="00010908">
        <w:t>NORC</w:t>
      </w:r>
      <w:r w:rsidR="00261D9E">
        <w:t xml:space="preserve"> and</w:t>
      </w:r>
      <w:r w:rsidR="00860348">
        <w:t xml:space="preserve"> JH</w:t>
      </w:r>
      <w:r w:rsidR="001F1D37">
        <w:t>U</w:t>
      </w:r>
      <w:r w:rsidR="00860348">
        <w:t xml:space="preserve"> </w:t>
      </w:r>
      <w:r w:rsidR="00EA271D">
        <w:t>are</w:t>
      </w:r>
      <w:r w:rsidRPr="00010908" w:rsidR="00EA271D">
        <w:t xml:space="preserve"> </w:t>
      </w:r>
      <w:r w:rsidRPr="00010908" w:rsidR="000840CC">
        <w:t>consult</w:t>
      </w:r>
      <w:r w:rsidR="00A64D47">
        <w:t>ing</w:t>
      </w:r>
      <w:r w:rsidRPr="00010908" w:rsidR="000840CC">
        <w:t xml:space="preserve"> with</w:t>
      </w:r>
      <w:r w:rsidRPr="00010908">
        <w:t xml:space="preserve"> a technical expert panel</w:t>
      </w:r>
      <w:r w:rsidRPr="00010908" w:rsidR="001916C6">
        <w:t xml:space="preserve"> </w:t>
      </w:r>
      <w:r w:rsidRPr="00010908">
        <w:t>(TEP)</w:t>
      </w:r>
      <w:r w:rsidRPr="00010908" w:rsidR="000840CC">
        <w:t xml:space="preserve"> to provide expertise and guidance to develop the plan and design for this </w:t>
      </w:r>
      <w:r w:rsidR="006E11BE">
        <w:t>program</w:t>
      </w:r>
      <w:r w:rsidRPr="00010908" w:rsidR="000840CC">
        <w:t xml:space="preserve">, and each phase, including the development of the </w:t>
      </w:r>
      <w:r w:rsidR="00860348">
        <w:t>CUSP</w:t>
      </w:r>
      <w:r w:rsidRPr="00010908" w:rsidR="00720A56">
        <w:t xml:space="preserve"> for telemedicine</w:t>
      </w:r>
      <w:r w:rsidRPr="00010908" w:rsidR="000840CC">
        <w:t xml:space="preserve"> toolkit and evaluation for which this data collection is designed. </w:t>
      </w:r>
      <w:r w:rsidRPr="00010908" w:rsidR="0006612E">
        <w:t xml:space="preserve">The TEP consists of individuals with knowledge and experience in </w:t>
      </w:r>
      <w:r w:rsidR="00860348">
        <w:t>telemedicine</w:t>
      </w:r>
      <w:r w:rsidR="00261D9E">
        <w:t xml:space="preserve"> and</w:t>
      </w:r>
      <w:r w:rsidR="00860348">
        <w:t xml:space="preserve"> </w:t>
      </w:r>
      <w:r w:rsidR="00866AC0">
        <w:t>antibiotic stewardship</w:t>
      </w:r>
      <w:r w:rsidR="00860348">
        <w:t xml:space="preserve"> </w:t>
      </w:r>
      <w:r w:rsidRPr="00010908" w:rsidR="0006612E">
        <w:t xml:space="preserve">including knowledge of application of </w:t>
      </w:r>
      <w:r w:rsidR="00866AC0">
        <w:t>antibiotic stewardship</w:t>
      </w:r>
      <w:r w:rsidRPr="00010908" w:rsidR="0006612E">
        <w:t xml:space="preserve"> </w:t>
      </w:r>
      <w:r w:rsidRPr="00010908" w:rsidR="00720A56">
        <w:t xml:space="preserve">in </w:t>
      </w:r>
      <w:r w:rsidR="00860348">
        <w:t>telemedicine</w:t>
      </w:r>
      <w:r w:rsidR="00BC4A10">
        <w:t xml:space="preserve"> </w:t>
      </w:r>
      <w:r w:rsidRPr="00010908" w:rsidR="0006612E">
        <w:t>settings</w:t>
      </w:r>
      <w:r w:rsidR="00860348">
        <w:t xml:space="preserve">. </w:t>
      </w:r>
      <w:r w:rsidRPr="00D05663" w:rsidR="00261D9E">
        <w:t xml:space="preserve">One </w:t>
      </w:r>
      <w:r w:rsidRPr="00D05663" w:rsidR="00343CED">
        <w:t xml:space="preserve">in-person </w:t>
      </w:r>
      <w:r w:rsidRPr="00D05663" w:rsidR="00143769">
        <w:t xml:space="preserve">TEP meeting </w:t>
      </w:r>
      <w:r w:rsidRPr="00D05663" w:rsidR="001F6D6F">
        <w:t>w</w:t>
      </w:r>
      <w:r w:rsidRPr="00D05663" w:rsidR="00261D9E">
        <w:t>as</w:t>
      </w:r>
      <w:r w:rsidRPr="00D05663" w:rsidR="001F6D6F">
        <w:t xml:space="preserve"> held on </w:t>
      </w:r>
      <w:r w:rsidRPr="00D05663" w:rsidR="00143769">
        <w:t>September 12, 2023</w:t>
      </w:r>
      <w:r w:rsidRPr="00D05663" w:rsidR="00F92178">
        <w:t xml:space="preserve"> and a</w:t>
      </w:r>
      <w:r w:rsidRPr="00D05663" w:rsidR="00143769">
        <w:t xml:space="preserve"> </w:t>
      </w:r>
      <w:r w:rsidRPr="00D05663" w:rsidR="00F92178">
        <w:t xml:space="preserve">second </w:t>
      </w:r>
      <w:r w:rsidRPr="00D05663" w:rsidR="00143769">
        <w:t xml:space="preserve">TEP meeting </w:t>
      </w:r>
      <w:r w:rsidRPr="00D05663" w:rsidR="00343CED">
        <w:t>w</w:t>
      </w:r>
      <w:r w:rsidRPr="00D05663" w:rsidR="00F92178">
        <w:t>as</w:t>
      </w:r>
      <w:r w:rsidRPr="00D05663" w:rsidR="00343CED">
        <w:t xml:space="preserve"> held virtually in</w:t>
      </w:r>
      <w:r w:rsidRPr="00D05663" w:rsidR="00143769">
        <w:t xml:space="preserve"> March 2024.</w:t>
      </w:r>
      <w:r w:rsidR="00143769">
        <w:t xml:space="preserve"> </w:t>
      </w:r>
    </w:p>
    <w:p w:rsidR="00E30599" w:rsidRPr="00010908" w:rsidP="00582705" w14:paraId="0B5FFEBC" w14:textId="77777777"/>
    <w:p w:rsidR="008B0A29" w:rsidP="00582705" w14:paraId="41DB8943" w14:textId="3518AF02">
      <w:r w:rsidRPr="00010908">
        <w:t>The TEP</w:t>
      </w:r>
      <w:r w:rsidRPr="00010908" w:rsidR="00971A60">
        <w:t xml:space="preserve"> </w:t>
      </w:r>
      <w:r w:rsidRPr="00010908">
        <w:t>is providing critical feedback on all aspects of this program</w:t>
      </w:r>
      <w:r w:rsidRPr="00010908" w:rsidR="0006612E">
        <w:t xml:space="preserve">, including reviewing </w:t>
      </w:r>
      <w:r w:rsidRPr="00010908" w:rsidR="000840CC">
        <w:t xml:space="preserve">the </w:t>
      </w:r>
      <w:r>
        <w:t xml:space="preserve">proposed plan for the toolkit and project approach, including the participant experience assessment plan. </w:t>
      </w:r>
    </w:p>
    <w:p w:rsidR="00EA271D" w:rsidP="00582705" w14:paraId="3937858B" w14:textId="77777777"/>
    <w:p w:rsidR="00582705" w:rsidRPr="00BC4A10" w:rsidP="00582705" w14:paraId="7CBC3B33" w14:textId="36EB0AA8">
      <w:r>
        <w:t>AHRQ has consulted with other Federal partners including the CDC and the CMS to ensure synergistic efforts are being undertaken and that there is no</w:t>
      </w:r>
      <w:r>
        <w:t xml:space="preserve"> duplication of Federal initiatives. </w:t>
      </w:r>
    </w:p>
    <w:p w:rsidR="00582705" w:rsidRPr="00010908" w:rsidP="000840CC" w14:paraId="5C38099D" w14:textId="77777777">
      <w:pPr>
        <w:pStyle w:val="Default"/>
        <w:rPr>
          <w:color w:val="auto"/>
        </w:rPr>
      </w:pPr>
    </w:p>
    <w:p w:rsidR="0038217D" w:rsidRPr="00F6309E" w:rsidP="00C218DB" w14:paraId="6CD5B010" w14:textId="77777777">
      <w:pPr>
        <w:pStyle w:val="Heading2"/>
        <w:spacing w:after="0"/>
        <w:rPr>
          <w:sz w:val="24"/>
          <w:szCs w:val="24"/>
        </w:rPr>
      </w:pPr>
      <w:bookmarkStart w:id="59" w:name="_Toc160095519"/>
      <w:r w:rsidRPr="00F6309E">
        <w:rPr>
          <w:sz w:val="24"/>
          <w:szCs w:val="24"/>
        </w:rPr>
        <w:t>9. Payments/Gifts to Respondents</w:t>
      </w:r>
      <w:bookmarkEnd w:id="55"/>
      <w:bookmarkEnd w:id="56"/>
      <w:bookmarkEnd w:id="57"/>
      <w:bookmarkEnd w:id="58"/>
      <w:bookmarkEnd w:id="59"/>
    </w:p>
    <w:p w:rsidR="009B633D" w:rsidRPr="00010908" w:rsidP="009B633D" w14:paraId="5CD04275" w14:textId="77777777">
      <w:pPr>
        <w:jc w:val="both"/>
        <w:rPr>
          <w:i/>
        </w:rPr>
      </w:pPr>
    </w:p>
    <w:p w:rsidR="00B915F1" w:rsidRPr="00010908" w:rsidP="009B633D" w14:paraId="3C926B08" w14:textId="77777777">
      <w:pPr>
        <w:jc w:val="both"/>
        <w:rPr>
          <w:i/>
        </w:rPr>
      </w:pPr>
      <w:r w:rsidRPr="00010908">
        <w:t xml:space="preserve">No remuneration of respondents </w:t>
      </w:r>
      <w:r w:rsidRPr="00010908" w:rsidR="00302210">
        <w:t xml:space="preserve">or </w:t>
      </w:r>
      <w:r w:rsidRPr="00010908" w:rsidR="009C155B">
        <w:t xml:space="preserve">participating </w:t>
      </w:r>
      <w:r w:rsidR="009C031E">
        <w:t>practices</w:t>
      </w:r>
      <w:r w:rsidRPr="00010908" w:rsidR="00302210">
        <w:t xml:space="preserve"> </w:t>
      </w:r>
      <w:r w:rsidRPr="00010908">
        <w:t>is planned.</w:t>
      </w:r>
    </w:p>
    <w:p w:rsidR="009B633D" w:rsidRPr="00F6309E" w:rsidP="009B633D" w14:paraId="5820D44B" w14:textId="77777777">
      <w:pPr>
        <w:pStyle w:val="Heading2"/>
        <w:rPr>
          <w:sz w:val="24"/>
          <w:szCs w:val="24"/>
        </w:rPr>
      </w:pPr>
      <w:bookmarkStart w:id="60" w:name="_Toc151782185"/>
      <w:bookmarkStart w:id="61" w:name="_Toc158526225"/>
      <w:bookmarkStart w:id="62" w:name="_Toc160095520"/>
      <w:r w:rsidRPr="00F6309E">
        <w:rPr>
          <w:sz w:val="24"/>
          <w:szCs w:val="24"/>
        </w:rPr>
        <w:t>10. Assurance of Confidentiality</w:t>
      </w:r>
      <w:bookmarkEnd w:id="60"/>
      <w:bookmarkEnd w:id="61"/>
      <w:bookmarkEnd w:id="62"/>
    </w:p>
    <w:p w:rsidR="009C155B" w:rsidRPr="00010908" w:rsidP="009C155B" w14:paraId="7E7D1889" w14:textId="77777777">
      <w:pPr>
        <w:autoSpaceDE w:val="0"/>
        <w:autoSpaceDN w:val="0"/>
        <w:adjustRightInd w:val="0"/>
      </w:pPr>
      <w:r w:rsidRPr="00010908">
        <w:t xml:space="preserve">Individuals will be assured of the confidentiality of their replies under </w:t>
      </w:r>
      <w:bookmarkStart w:id="63" w:name="OLE_LINK25"/>
      <w:r w:rsidRPr="00010908">
        <w:t xml:space="preserve">Section 944(c) </w:t>
      </w:r>
      <w:bookmarkEnd w:id="63"/>
      <w:r w:rsidRPr="00010908">
        <w:t>of the Public Health Service Act. 42 U.S.C. 299c-3(c). That law requires that information collected for research conducted or supported by AHRQ that identifies individ</w:t>
      </w:r>
      <w:r w:rsidRPr="00010908">
        <w:t xml:space="preserve">uals or establishments be used only for the purpose for which it was supplied. </w:t>
      </w:r>
    </w:p>
    <w:p w:rsidR="009C155B" w:rsidRPr="00010908" w:rsidP="009C155B" w14:paraId="20233110" w14:textId="77777777">
      <w:pPr>
        <w:autoSpaceDE w:val="0"/>
        <w:autoSpaceDN w:val="0"/>
        <w:adjustRightInd w:val="0"/>
      </w:pPr>
    </w:p>
    <w:p w:rsidR="009C155B" w:rsidP="009C155B" w14:paraId="011DFEDE" w14:textId="77777777">
      <w:pPr>
        <w:autoSpaceDE w:val="0"/>
        <w:autoSpaceDN w:val="0"/>
        <w:adjustRightInd w:val="0"/>
      </w:pPr>
      <w:r w:rsidRPr="00010908">
        <w:t>Information that can directly identify the respondent, such as name and/or social security number will not be collected. A statement of confidentiality will appear on the onli</w:t>
      </w:r>
      <w:r w:rsidRPr="00010908">
        <w:t>ne survey and contain the following statement:</w:t>
      </w:r>
    </w:p>
    <w:p w:rsidR="00937889" w:rsidRPr="00010908" w:rsidP="009C155B" w14:paraId="76C74C22" w14:textId="77777777">
      <w:pPr>
        <w:autoSpaceDE w:val="0"/>
        <w:autoSpaceDN w:val="0"/>
        <w:adjustRightInd w:val="0"/>
      </w:pPr>
    </w:p>
    <w:p w:rsidR="009C155B" w:rsidRPr="00010908" w:rsidP="00F6309E" w14:paraId="56C0AB1D" w14:textId="77777777">
      <w:pPr>
        <w:autoSpaceDE w:val="0"/>
        <w:autoSpaceDN w:val="0"/>
        <w:adjustRightInd w:val="0"/>
        <w:ind w:left="720"/>
      </w:pPr>
      <w:r w:rsidRPr="00010908">
        <w:t xml:space="preserve">The confidentiality of your responses </w:t>
      </w:r>
      <w:r w:rsidRPr="00010908" w:rsidR="00A07874">
        <w:t>is</w:t>
      </w:r>
      <w:r w:rsidRPr="00010908">
        <w:t xml:space="preserve"> protected by Sections 944(c) and 308(d) of the Public Health Service Act [42 U.S.C. 299c-3(c) and 42 U.S.C. 242m(d)]. Information that could identify you will not be d</w:t>
      </w:r>
      <w:r w:rsidRPr="00010908">
        <w:t>isclosed unless you have consented to that disclosure.</w:t>
      </w:r>
    </w:p>
    <w:p w:rsidR="007208E0" w:rsidRPr="00010908" w:rsidP="002403AE" w14:paraId="3871592B" w14:textId="77777777">
      <w:pPr>
        <w:spacing w:before="100" w:beforeAutospacing="1" w:after="100" w:afterAutospacing="1"/>
      </w:pPr>
      <w:r w:rsidRPr="00010908">
        <w:t xml:space="preserve">The </w:t>
      </w:r>
      <w:r w:rsidRPr="00010908" w:rsidR="009C155B">
        <w:t xml:space="preserve">data will be collected by AHRQ’s contractor, NORC. All </w:t>
      </w:r>
      <w:r w:rsidR="00F6309E">
        <w:t>practice</w:t>
      </w:r>
      <w:r w:rsidRPr="00010908" w:rsidR="009C155B">
        <w:t xml:space="preserve"> and respondent-level data, as well as survey response data, </w:t>
      </w:r>
      <w:r w:rsidRPr="00010908">
        <w:t xml:space="preserve">will be stored on </w:t>
      </w:r>
      <w:r w:rsidRPr="00010908" w:rsidR="00F30508">
        <w:t xml:space="preserve">NORC’s </w:t>
      </w:r>
      <w:r w:rsidRPr="00010908">
        <w:t>secure serve</w:t>
      </w:r>
      <w:r w:rsidRPr="00010908" w:rsidR="00F30508">
        <w:t>r</w:t>
      </w:r>
      <w:r w:rsidRPr="00010908">
        <w:t xml:space="preserve">s. </w:t>
      </w:r>
    </w:p>
    <w:p w:rsidR="009B633D" w:rsidRPr="00F6309E" w:rsidP="009B633D" w14:paraId="6F769418" w14:textId="77777777">
      <w:pPr>
        <w:pStyle w:val="Heading2"/>
        <w:rPr>
          <w:sz w:val="24"/>
          <w:szCs w:val="24"/>
        </w:rPr>
      </w:pPr>
      <w:bookmarkStart w:id="64" w:name="_Toc151782186"/>
      <w:bookmarkStart w:id="65" w:name="_Toc158526226"/>
      <w:bookmarkStart w:id="66" w:name="_Toc160095521"/>
      <w:r w:rsidRPr="00F6309E">
        <w:rPr>
          <w:sz w:val="24"/>
          <w:szCs w:val="24"/>
        </w:rPr>
        <w:t>11. Questions of a Sensitive Na</w:t>
      </w:r>
      <w:r w:rsidRPr="00F6309E">
        <w:rPr>
          <w:sz w:val="24"/>
          <w:szCs w:val="24"/>
        </w:rPr>
        <w:t>ture</w:t>
      </w:r>
      <w:bookmarkEnd w:id="64"/>
      <w:bookmarkEnd w:id="65"/>
      <w:bookmarkEnd w:id="66"/>
    </w:p>
    <w:p w:rsidR="00E24EA6" w:rsidRPr="00010908" w:rsidP="00E47851" w14:paraId="331C55E1" w14:textId="77777777">
      <w:pPr>
        <w:spacing w:after="240"/>
        <w:rPr>
          <w:i/>
        </w:rPr>
      </w:pPr>
      <w:r w:rsidRPr="00010908">
        <w:t xml:space="preserve">There are no questions of a sensitive nature. </w:t>
      </w:r>
      <w:r w:rsidRPr="00010908">
        <w:rPr>
          <w:i/>
        </w:rPr>
        <w:t xml:space="preserve"> </w:t>
      </w:r>
    </w:p>
    <w:p w:rsidR="009B633D" w:rsidRPr="00F6309E" w:rsidP="009B633D" w14:paraId="611767A3" w14:textId="77777777">
      <w:pPr>
        <w:pStyle w:val="Heading2"/>
        <w:rPr>
          <w:sz w:val="24"/>
          <w:szCs w:val="24"/>
        </w:rPr>
      </w:pPr>
      <w:bookmarkStart w:id="67" w:name="_Toc151782187"/>
      <w:bookmarkStart w:id="68" w:name="_Toc158526227"/>
      <w:bookmarkStart w:id="69" w:name="_Toc160095522"/>
      <w:r w:rsidRPr="00251783">
        <w:rPr>
          <w:sz w:val="24"/>
          <w:szCs w:val="24"/>
        </w:rPr>
        <w:t>12. Estimates of Annualized Burden Hours and Costs</w:t>
      </w:r>
      <w:bookmarkEnd w:id="67"/>
      <w:bookmarkEnd w:id="68"/>
      <w:bookmarkEnd w:id="69"/>
    </w:p>
    <w:p w:rsidR="00654F33" w:rsidRPr="00010908" w:rsidP="00E24EA6" w14:paraId="59EFBC51" w14:textId="3BB15E72">
      <w:pPr>
        <w:rPr>
          <w:rStyle w:val="Strong"/>
          <w:b w:val="0"/>
        </w:rPr>
      </w:pPr>
      <w:bookmarkStart w:id="70" w:name="_Hlk162348551"/>
      <w:r>
        <w:rPr>
          <w:rStyle w:val="Strong"/>
          <w:b w:val="0"/>
        </w:rPr>
        <w:t>Exhibit</w:t>
      </w:r>
      <w:r w:rsidRPr="00024101">
        <w:rPr>
          <w:rStyle w:val="Strong"/>
          <w:b w:val="0"/>
        </w:rPr>
        <w:t xml:space="preserve"> 1 shows the estimated annualized burden hours for the respondents’ time to </w:t>
      </w:r>
      <w:r w:rsidRPr="00024101" w:rsidR="0082220D">
        <w:rPr>
          <w:rStyle w:val="Strong"/>
          <w:b w:val="0"/>
        </w:rPr>
        <w:t xml:space="preserve">complete the </w:t>
      </w:r>
      <w:r w:rsidRPr="00024101" w:rsidR="000F0AF8">
        <w:rPr>
          <w:rStyle w:val="Strong"/>
          <w:b w:val="0"/>
        </w:rPr>
        <w:t>s</w:t>
      </w:r>
      <w:r w:rsidRPr="00024101" w:rsidR="0082220D">
        <w:rPr>
          <w:rStyle w:val="Strong"/>
          <w:b w:val="0"/>
        </w:rPr>
        <w:t xml:space="preserve">tructural </w:t>
      </w:r>
      <w:r w:rsidRPr="00024101" w:rsidR="00BF239E">
        <w:rPr>
          <w:rStyle w:val="Strong"/>
          <w:b w:val="0"/>
        </w:rPr>
        <w:t>a</w:t>
      </w:r>
      <w:r w:rsidRPr="00024101" w:rsidR="0082220D">
        <w:rPr>
          <w:rStyle w:val="Strong"/>
          <w:b w:val="0"/>
        </w:rPr>
        <w:t>ssessment,</w:t>
      </w:r>
      <w:r w:rsidRPr="00024101" w:rsidR="00FD7419">
        <w:rPr>
          <w:rStyle w:val="Strong"/>
          <w:b w:val="0"/>
        </w:rPr>
        <w:t xml:space="preserve"> </w:t>
      </w:r>
      <w:r w:rsidRPr="00024101" w:rsidR="0082220D">
        <w:rPr>
          <w:rStyle w:val="Strong"/>
          <w:b w:val="0"/>
        </w:rPr>
        <w:t xml:space="preserve">AHRQ </w:t>
      </w:r>
      <w:r w:rsidRPr="00024101" w:rsidR="000F0AF8">
        <w:rPr>
          <w:rStyle w:val="Strong"/>
          <w:b w:val="0"/>
        </w:rPr>
        <w:t>p</w:t>
      </w:r>
      <w:r w:rsidRPr="00024101" w:rsidR="0082220D">
        <w:rPr>
          <w:rStyle w:val="Strong"/>
          <w:b w:val="0"/>
        </w:rPr>
        <w:t xml:space="preserve">atient </w:t>
      </w:r>
      <w:r w:rsidRPr="00024101" w:rsidR="000F0AF8">
        <w:rPr>
          <w:rStyle w:val="Strong"/>
          <w:b w:val="0"/>
        </w:rPr>
        <w:t>s</w:t>
      </w:r>
      <w:r w:rsidRPr="00024101" w:rsidR="0082220D">
        <w:rPr>
          <w:rStyle w:val="Strong"/>
          <w:b w:val="0"/>
        </w:rPr>
        <w:t xml:space="preserve">afety </w:t>
      </w:r>
      <w:r w:rsidRPr="00024101" w:rsidR="000F0AF8">
        <w:rPr>
          <w:rStyle w:val="Strong"/>
          <w:b w:val="0"/>
        </w:rPr>
        <w:t>c</w:t>
      </w:r>
      <w:r w:rsidRPr="00024101" w:rsidR="0082220D">
        <w:rPr>
          <w:rStyle w:val="Strong"/>
          <w:b w:val="0"/>
        </w:rPr>
        <w:t xml:space="preserve">ulture </w:t>
      </w:r>
      <w:r w:rsidRPr="00024101" w:rsidR="000F0AF8">
        <w:rPr>
          <w:rStyle w:val="Strong"/>
          <w:b w:val="0"/>
        </w:rPr>
        <w:t>s</w:t>
      </w:r>
      <w:r w:rsidRPr="00024101" w:rsidR="0082220D">
        <w:rPr>
          <w:rStyle w:val="Strong"/>
          <w:b w:val="0"/>
        </w:rPr>
        <w:t xml:space="preserve">urvey, </w:t>
      </w:r>
      <w:r w:rsidRPr="00024101" w:rsidR="000F0AF8">
        <w:rPr>
          <w:rStyle w:val="Strong"/>
          <w:b w:val="0"/>
        </w:rPr>
        <w:t>participant</w:t>
      </w:r>
      <w:r w:rsidRPr="00024101" w:rsidR="00FD7419">
        <w:rPr>
          <w:rStyle w:val="Strong"/>
          <w:b w:val="0"/>
        </w:rPr>
        <w:t xml:space="preserve"> </w:t>
      </w:r>
      <w:r w:rsidRPr="00024101" w:rsidR="000F0AF8">
        <w:rPr>
          <w:rStyle w:val="Strong"/>
          <w:b w:val="0"/>
        </w:rPr>
        <w:t>e</w:t>
      </w:r>
      <w:r w:rsidRPr="00024101" w:rsidR="00FD7419">
        <w:rPr>
          <w:rStyle w:val="Strong"/>
          <w:b w:val="0"/>
        </w:rPr>
        <w:t xml:space="preserve">xperience </w:t>
      </w:r>
      <w:r w:rsidRPr="00024101" w:rsidR="000F0AF8">
        <w:rPr>
          <w:rStyle w:val="Strong"/>
          <w:b w:val="0"/>
        </w:rPr>
        <w:t>s</w:t>
      </w:r>
      <w:r w:rsidRPr="00024101" w:rsidR="00FD7419">
        <w:rPr>
          <w:rStyle w:val="Strong"/>
          <w:b w:val="0"/>
        </w:rPr>
        <w:t xml:space="preserve">urvey, </w:t>
      </w:r>
      <w:r w:rsidRPr="00024101" w:rsidR="007D52B2">
        <w:rPr>
          <w:rStyle w:val="Strong"/>
          <w:b w:val="0"/>
        </w:rPr>
        <w:t>s</w:t>
      </w:r>
      <w:r w:rsidRPr="00024101" w:rsidR="0082220D">
        <w:rPr>
          <w:rStyle w:val="Strong"/>
          <w:b w:val="0"/>
        </w:rPr>
        <w:t>emi-structured qualitative interviews,</w:t>
      </w:r>
      <w:r w:rsidRPr="00024101" w:rsidR="009D4E2F">
        <w:rPr>
          <w:rStyle w:val="Strong"/>
          <w:b w:val="0"/>
        </w:rPr>
        <w:t xml:space="preserve"> </w:t>
      </w:r>
      <w:r w:rsidRPr="00024101" w:rsidR="0082220D">
        <w:rPr>
          <w:rStyle w:val="Strong"/>
          <w:b w:val="0"/>
        </w:rPr>
        <w:t xml:space="preserve">and </w:t>
      </w:r>
      <w:r w:rsidRPr="00024101" w:rsidR="009D4E2F">
        <w:rPr>
          <w:rStyle w:val="Strong"/>
          <w:b w:val="0"/>
        </w:rPr>
        <w:t>EHR</w:t>
      </w:r>
      <w:r w:rsidRPr="00024101" w:rsidR="0082220D">
        <w:rPr>
          <w:rStyle w:val="Strong"/>
          <w:b w:val="0"/>
        </w:rPr>
        <w:t xml:space="preserve"> data extractions</w:t>
      </w:r>
      <w:r w:rsidRPr="00024101" w:rsidR="00A219D8">
        <w:rPr>
          <w:rStyle w:val="Strong"/>
          <w:b w:val="0"/>
        </w:rPr>
        <w:t xml:space="preserve"> (collected monthly</w:t>
      </w:r>
      <w:r w:rsidRPr="00024101" w:rsidR="00B25DE6">
        <w:rPr>
          <w:rStyle w:val="Strong"/>
          <w:b w:val="0"/>
        </w:rPr>
        <w:t xml:space="preserve"> and submitted quarterly</w:t>
      </w:r>
      <w:r w:rsidRPr="00024101" w:rsidR="00A219D8">
        <w:rPr>
          <w:rStyle w:val="Strong"/>
          <w:b w:val="0"/>
        </w:rPr>
        <w:t>)</w:t>
      </w:r>
      <w:r w:rsidRPr="00024101" w:rsidR="0082220D">
        <w:rPr>
          <w:rStyle w:val="Strong"/>
          <w:b w:val="0"/>
        </w:rPr>
        <w:t>.</w:t>
      </w:r>
      <w:r w:rsidRPr="00024101" w:rsidR="007E4DF4">
        <w:rPr>
          <w:rStyle w:val="Strong"/>
          <w:b w:val="0"/>
        </w:rPr>
        <w:t xml:space="preserve"> Data will be collected from</w:t>
      </w:r>
      <w:r w:rsidRPr="00024101" w:rsidR="00FD7419">
        <w:rPr>
          <w:rStyle w:val="Strong"/>
          <w:b w:val="0"/>
        </w:rPr>
        <w:t xml:space="preserve"> </w:t>
      </w:r>
      <w:r w:rsidRPr="00024101" w:rsidR="00B5189D">
        <w:rPr>
          <w:rStyle w:val="Strong"/>
          <w:b w:val="0"/>
        </w:rPr>
        <w:t>up t</w:t>
      </w:r>
      <w:r w:rsidRPr="00024101" w:rsidR="00725D5A">
        <w:rPr>
          <w:rStyle w:val="Strong"/>
          <w:b w:val="0"/>
        </w:rPr>
        <w:t>o 500 practices</w:t>
      </w:r>
      <w:r w:rsidRPr="00024101" w:rsidR="00FD7419">
        <w:rPr>
          <w:rStyle w:val="Strong"/>
          <w:b w:val="0"/>
        </w:rPr>
        <w:t>.</w:t>
      </w:r>
      <w:r w:rsidRPr="00024101" w:rsidR="00B5189D">
        <w:rPr>
          <w:rStyle w:val="Strong"/>
          <w:b w:val="0"/>
        </w:rPr>
        <w:t xml:space="preserve"> </w:t>
      </w:r>
      <w:r w:rsidRPr="00024101" w:rsidR="007D52B2">
        <w:rPr>
          <w:rStyle w:val="Strong"/>
          <w:b w:val="0"/>
        </w:rPr>
        <w:t xml:space="preserve">For the </w:t>
      </w:r>
      <w:r w:rsidRPr="00024101" w:rsidR="00196AEA">
        <w:rPr>
          <w:rStyle w:val="Strong"/>
          <w:b w:val="0"/>
        </w:rPr>
        <w:t>two</w:t>
      </w:r>
      <w:r w:rsidRPr="00024101" w:rsidR="00984CD1">
        <w:rPr>
          <w:rStyle w:val="Strong"/>
          <w:b w:val="0"/>
        </w:rPr>
        <w:t>-year clearance</w:t>
      </w:r>
      <w:r w:rsidRPr="00024101" w:rsidR="007D52B2">
        <w:rPr>
          <w:rStyle w:val="Strong"/>
          <w:b w:val="0"/>
        </w:rPr>
        <w:t xml:space="preserve"> period, the estimated annualized burden hours for the data collection activities are </w:t>
      </w:r>
      <w:r w:rsidRPr="00024101" w:rsidR="00A12839">
        <w:rPr>
          <w:rStyle w:val="Strong"/>
          <w:b w:val="0"/>
        </w:rPr>
        <w:t>4</w:t>
      </w:r>
      <w:r w:rsidRPr="00024101" w:rsidR="00DC387F">
        <w:rPr>
          <w:rStyle w:val="Strong"/>
          <w:b w:val="0"/>
        </w:rPr>
        <w:t>,</w:t>
      </w:r>
      <w:r w:rsidRPr="00024101" w:rsidR="00A12839">
        <w:rPr>
          <w:rStyle w:val="Strong"/>
          <w:b w:val="0"/>
        </w:rPr>
        <w:t>643</w:t>
      </w:r>
      <w:r w:rsidRPr="00024101" w:rsidR="0021671A">
        <w:rPr>
          <w:rStyle w:val="Strong"/>
          <w:b w:val="0"/>
        </w:rPr>
        <w:t>.</w:t>
      </w:r>
      <w:r w:rsidRPr="00010908" w:rsidR="0021671A">
        <w:rPr>
          <w:rStyle w:val="Strong"/>
          <w:b w:val="0"/>
        </w:rPr>
        <w:t xml:space="preserve"> </w:t>
      </w: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1692"/>
        <w:gridCol w:w="1440"/>
        <w:gridCol w:w="1080"/>
        <w:gridCol w:w="1080"/>
      </w:tblGrid>
      <w:tr w14:paraId="010C1C6F" w14:textId="77777777" w:rsidTr="00253FC7">
        <w:tblPrEx>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blHeader/>
        </w:trPr>
        <w:tc>
          <w:tcPr>
            <w:tcW w:w="9252" w:type="dxa"/>
            <w:gridSpan w:val="5"/>
            <w:tcBorders>
              <w:top w:val="nil"/>
              <w:left w:val="nil"/>
              <w:right w:val="nil"/>
            </w:tcBorders>
            <w:shd w:val="clear" w:color="auto" w:fill="auto"/>
            <w:tcMar>
              <w:top w:w="0" w:type="dxa"/>
              <w:left w:w="108" w:type="dxa"/>
              <w:bottom w:w="0" w:type="dxa"/>
              <w:right w:w="108" w:type="dxa"/>
            </w:tcMar>
          </w:tcPr>
          <w:p w:rsidR="00253FC7" w:rsidRPr="00253FC7" w:rsidP="00253FC7" w14:paraId="42DF0693" w14:textId="16CF0084">
            <w:pPr>
              <w:rPr>
                <w:b/>
                <w:bCs/>
                <w:color w:val="000000"/>
              </w:rPr>
            </w:pPr>
            <w:r w:rsidRPr="00253FC7">
              <w:rPr>
                <w:b/>
                <w:bCs/>
                <w:color w:val="000000"/>
              </w:rPr>
              <w:t>Exhibit 1. Estimated Annualized Burden Hours</w:t>
            </w:r>
          </w:p>
        </w:tc>
      </w:tr>
      <w:tr w14:paraId="5EA04945" w14:textId="77777777" w:rsidTr="000C350C">
        <w:tblPrEx>
          <w:tblW w:w="9252" w:type="dxa"/>
          <w:tblInd w:w="108" w:type="dxa"/>
          <w:tblLayout w:type="fixed"/>
          <w:tblCellMar>
            <w:left w:w="0" w:type="dxa"/>
            <w:right w:w="0" w:type="dxa"/>
          </w:tblCellMar>
          <w:tblLook w:val="0000"/>
        </w:tblPrEx>
        <w:trPr>
          <w:tblHeader/>
        </w:trPr>
        <w:tc>
          <w:tcPr>
            <w:tcW w:w="3960" w:type="dxa"/>
            <w:shd w:val="clear" w:color="auto" w:fill="auto"/>
            <w:tcMar>
              <w:top w:w="0" w:type="dxa"/>
              <w:left w:w="108" w:type="dxa"/>
              <w:bottom w:w="0" w:type="dxa"/>
              <w:right w:w="108" w:type="dxa"/>
            </w:tcMar>
          </w:tcPr>
          <w:p w:rsidR="00D65943" w:rsidRPr="00253FC7" w:rsidP="00F603E3" w14:paraId="085791A8" w14:textId="77777777">
            <w:pPr>
              <w:rPr>
                <w:b/>
                <w:bCs/>
              </w:rPr>
            </w:pPr>
            <w:bookmarkStart w:id="71" w:name="OLE_LINK18"/>
            <w:r w:rsidRPr="00253FC7">
              <w:rPr>
                <w:b/>
                <w:bCs/>
                <w:color w:val="000000"/>
              </w:rPr>
              <w:t>Form Name</w:t>
            </w:r>
          </w:p>
        </w:tc>
        <w:tc>
          <w:tcPr>
            <w:tcW w:w="1692" w:type="dxa"/>
            <w:shd w:val="clear" w:color="auto" w:fill="auto"/>
            <w:tcMar>
              <w:top w:w="0" w:type="dxa"/>
              <w:left w:w="108" w:type="dxa"/>
              <w:bottom w:w="0" w:type="dxa"/>
              <w:right w:w="108" w:type="dxa"/>
            </w:tcMar>
          </w:tcPr>
          <w:p w:rsidR="00D65943" w:rsidRPr="00253FC7" w:rsidP="00B27F17" w14:paraId="227B8FAF" w14:textId="77777777">
            <w:pPr>
              <w:jc w:val="center"/>
              <w:rPr>
                <w:b/>
                <w:bCs/>
              </w:rPr>
            </w:pPr>
            <w:r w:rsidRPr="00253FC7">
              <w:rPr>
                <w:b/>
                <w:bCs/>
                <w:color w:val="000000"/>
              </w:rPr>
              <w:t xml:space="preserve">Number of </w:t>
            </w:r>
            <w:r w:rsidRPr="00253FC7" w:rsidR="00DD03B5">
              <w:rPr>
                <w:b/>
                <w:bCs/>
                <w:color w:val="000000"/>
              </w:rPr>
              <w:t>R</w:t>
            </w:r>
            <w:r w:rsidRPr="00253FC7">
              <w:rPr>
                <w:b/>
                <w:bCs/>
                <w:color w:val="000000"/>
              </w:rPr>
              <w:t>espondents</w:t>
            </w:r>
            <w:r w:rsidRPr="00253FC7" w:rsidR="006923E7">
              <w:rPr>
                <w:b/>
                <w:bCs/>
                <w:color w:val="000000"/>
              </w:rPr>
              <w:t>*</w:t>
            </w:r>
          </w:p>
        </w:tc>
        <w:tc>
          <w:tcPr>
            <w:tcW w:w="1440" w:type="dxa"/>
            <w:shd w:val="clear" w:color="auto" w:fill="auto"/>
            <w:tcMar>
              <w:top w:w="0" w:type="dxa"/>
              <w:left w:w="108" w:type="dxa"/>
              <w:bottom w:w="0" w:type="dxa"/>
              <w:right w:w="108" w:type="dxa"/>
            </w:tcMar>
          </w:tcPr>
          <w:p w:rsidR="00D65943" w:rsidRPr="00253FC7" w:rsidP="00B27F17" w14:paraId="7943E225" w14:textId="77777777">
            <w:pPr>
              <w:jc w:val="center"/>
              <w:rPr>
                <w:b/>
                <w:bCs/>
              </w:rPr>
            </w:pPr>
            <w:r w:rsidRPr="00253FC7">
              <w:rPr>
                <w:b/>
                <w:bCs/>
              </w:rPr>
              <w:t xml:space="preserve">Number of </w:t>
            </w:r>
            <w:r w:rsidRPr="00253FC7" w:rsidR="00DD03B5">
              <w:rPr>
                <w:b/>
                <w:bCs/>
              </w:rPr>
              <w:t>R</w:t>
            </w:r>
            <w:r w:rsidRPr="00253FC7">
              <w:rPr>
                <w:b/>
                <w:bCs/>
              </w:rPr>
              <w:t xml:space="preserve">esponses per </w:t>
            </w:r>
            <w:r w:rsidRPr="00253FC7" w:rsidR="00DD03B5">
              <w:rPr>
                <w:b/>
                <w:bCs/>
              </w:rPr>
              <w:t>R</w:t>
            </w:r>
            <w:r w:rsidRPr="00253FC7">
              <w:rPr>
                <w:b/>
                <w:bCs/>
              </w:rPr>
              <w:t>espondent</w:t>
            </w:r>
          </w:p>
        </w:tc>
        <w:tc>
          <w:tcPr>
            <w:tcW w:w="1080" w:type="dxa"/>
          </w:tcPr>
          <w:p w:rsidR="00D65943" w:rsidRPr="00253FC7" w:rsidP="00B27F17" w14:paraId="3C47A0C6" w14:textId="77777777">
            <w:pPr>
              <w:jc w:val="center"/>
              <w:rPr>
                <w:b/>
                <w:bCs/>
              </w:rPr>
            </w:pPr>
            <w:r w:rsidRPr="00253FC7">
              <w:rPr>
                <w:b/>
                <w:bCs/>
                <w:color w:val="000000"/>
              </w:rPr>
              <w:t xml:space="preserve">Hours per </w:t>
            </w:r>
            <w:r w:rsidRPr="00253FC7" w:rsidR="00DD03B5">
              <w:rPr>
                <w:b/>
                <w:bCs/>
                <w:color w:val="000000"/>
              </w:rPr>
              <w:t>R</w:t>
            </w:r>
            <w:r w:rsidRPr="00253FC7">
              <w:rPr>
                <w:b/>
                <w:bCs/>
                <w:color w:val="000000"/>
              </w:rPr>
              <w:t>esponse</w:t>
            </w:r>
          </w:p>
        </w:tc>
        <w:tc>
          <w:tcPr>
            <w:tcW w:w="1080" w:type="dxa"/>
            <w:shd w:val="clear" w:color="auto" w:fill="auto"/>
            <w:tcMar>
              <w:top w:w="0" w:type="dxa"/>
              <w:left w:w="108" w:type="dxa"/>
              <w:bottom w:w="0" w:type="dxa"/>
              <w:right w:w="108" w:type="dxa"/>
            </w:tcMar>
          </w:tcPr>
          <w:p w:rsidR="00D65943" w:rsidRPr="00253FC7" w:rsidP="00B27F17" w14:paraId="22EFA52C" w14:textId="77777777">
            <w:pPr>
              <w:jc w:val="center"/>
              <w:rPr>
                <w:b/>
                <w:bCs/>
              </w:rPr>
            </w:pPr>
            <w:r w:rsidRPr="00253FC7">
              <w:rPr>
                <w:b/>
                <w:bCs/>
                <w:color w:val="000000"/>
              </w:rPr>
              <w:t xml:space="preserve">Total </w:t>
            </w:r>
            <w:r w:rsidRPr="00253FC7" w:rsidR="00DD03B5">
              <w:rPr>
                <w:b/>
                <w:bCs/>
                <w:color w:val="000000"/>
              </w:rPr>
              <w:t>B</w:t>
            </w:r>
            <w:r w:rsidRPr="00253FC7">
              <w:rPr>
                <w:b/>
                <w:bCs/>
                <w:color w:val="000000"/>
              </w:rPr>
              <w:t xml:space="preserve">urden </w:t>
            </w:r>
            <w:r w:rsidRPr="00253FC7" w:rsidR="00DD03B5">
              <w:rPr>
                <w:b/>
                <w:bCs/>
                <w:color w:val="000000"/>
              </w:rPr>
              <w:t>H</w:t>
            </w:r>
            <w:r w:rsidRPr="00253FC7">
              <w:rPr>
                <w:b/>
                <w:bCs/>
                <w:color w:val="000000"/>
              </w:rPr>
              <w:t>ours</w:t>
            </w:r>
          </w:p>
        </w:tc>
      </w:tr>
      <w:tr w14:paraId="447DD644" w14:textId="77777777" w:rsidTr="0078459D">
        <w:tblPrEx>
          <w:tblW w:w="9252" w:type="dxa"/>
          <w:tblInd w:w="108" w:type="dxa"/>
          <w:tblLayout w:type="fixed"/>
          <w:tblCellMar>
            <w:left w:w="0" w:type="dxa"/>
            <w:right w:w="0" w:type="dxa"/>
          </w:tblCellMar>
          <w:tblLook w:val="0000"/>
        </w:tblPrEx>
        <w:trPr>
          <w:trHeight w:val="944"/>
          <w:tblHeader/>
        </w:trPr>
        <w:tc>
          <w:tcPr>
            <w:tcW w:w="3960" w:type="dxa"/>
            <w:shd w:val="clear" w:color="auto" w:fill="auto"/>
            <w:tcMar>
              <w:top w:w="0" w:type="dxa"/>
              <w:left w:w="108" w:type="dxa"/>
              <w:bottom w:w="0" w:type="dxa"/>
              <w:right w:w="108" w:type="dxa"/>
            </w:tcMar>
          </w:tcPr>
          <w:p w:rsidR="00E175C4" w:rsidRPr="00253FC7" w:rsidP="00BE7C2B" w14:paraId="4627D66D" w14:textId="322A8358">
            <w:pPr>
              <w:pStyle w:val="ColorfulList-Accent11"/>
              <w:numPr>
                <w:ilvl w:val="0"/>
                <w:numId w:val="45"/>
              </w:numPr>
            </w:pPr>
            <w:bookmarkStart w:id="72" w:name="_Hlk158197686"/>
            <w:bookmarkStart w:id="73" w:name="_Hlk109817377"/>
            <w:r w:rsidRPr="00253FC7">
              <w:t>Structural Assessment</w:t>
            </w:r>
            <w:r w:rsidRPr="00253FC7" w:rsidR="00DC387F">
              <w:t xml:space="preserve"> (telemedicine-only and brick-and-mortar)</w:t>
            </w:r>
          </w:p>
        </w:tc>
        <w:tc>
          <w:tcPr>
            <w:tcW w:w="1692" w:type="dxa"/>
            <w:shd w:val="clear" w:color="auto" w:fill="auto"/>
            <w:tcMar>
              <w:top w:w="0" w:type="dxa"/>
              <w:left w:w="108" w:type="dxa"/>
              <w:bottom w:w="0" w:type="dxa"/>
              <w:right w:w="108" w:type="dxa"/>
            </w:tcMar>
          </w:tcPr>
          <w:p w:rsidR="00E175C4" w:rsidRPr="00253FC7" w:rsidP="00DA4AE8" w14:paraId="0159DED4" w14:textId="062BBFA0">
            <w:pPr>
              <w:jc w:val="center"/>
            </w:pPr>
            <w:r w:rsidRPr="00253FC7">
              <w:t>18</w:t>
            </w:r>
            <w:r w:rsidRPr="00253FC7" w:rsidR="00885F75">
              <w:t>8</w:t>
            </w:r>
          </w:p>
        </w:tc>
        <w:tc>
          <w:tcPr>
            <w:tcW w:w="1440" w:type="dxa"/>
            <w:shd w:val="clear" w:color="auto" w:fill="auto"/>
            <w:tcMar>
              <w:top w:w="0" w:type="dxa"/>
              <w:left w:w="108" w:type="dxa"/>
              <w:bottom w:w="0" w:type="dxa"/>
              <w:right w:w="108" w:type="dxa"/>
            </w:tcMar>
          </w:tcPr>
          <w:p w:rsidR="00E175C4" w:rsidRPr="00253FC7" w:rsidP="00B27F17" w14:paraId="6FC62C93" w14:textId="77777777">
            <w:pPr>
              <w:jc w:val="center"/>
            </w:pPr>
            <w:r w:rsidRPr="00253FC7">
              <w:t>2</w:t>
            </w:r>
          </w:p>
        </w:tc>
        <w:tc>
          <w:tcPr>
            <w:tcW w:w="1080" w:type="dxa"/>
          </w:tcPr>
          <w:p w:rsidR="00E175C4" w:rsidRPr="00253FC7" w:rsidP="00B27F17" w14:paraId="20A90123" w14:textId="018E7D62">
            <w:pPr>
              <w:jc w:val="center"/>
            </w:pPr>
            <w:r>
              <w:t>12/60</w:t>
            </w:r>
          </w:p>
        </w:tc>
        <w:tc>
          <w:tcPr>
            <w:tcW w:w="1080" w:type="dxa"/>
            <w:shd w:val="clear" w:color="auto" w:fill="auto"/>
            <w:tcMar>
              <w:top w:w="0" w:type="dxa"/>
              <w:left w:w="108" w:type="dxa"/>
              <w:bottom w:w="0" w:type="dxa"/>
              <w:right w:w="108" w:type="dxa"/>
            </w:tcMar>
          </w:tcPr>
          <w:p w:rsidR="00E175C4" w:rsidRPr="00253FC7" w:rsidP="00DA4AE8" w14:paraId="0E9D52CA" w14:textId="5659E4DA">
            <w:pPr>
              <w:jc w:val="center"/>
            </w:pPr>
            <w:r w:rsidRPr="00253FC7">
              <w:t>7</w:t>
            </w:r>
            <w:r w:rsidRPr="00253FC7" w:rsidR="00885F75">
              <w:t>5</w:t>
            </w:r>
          </w:p>
        </w:tc>
      </w:tr>
      <w:tr w14:paraId="7C1D9F3A" w14:textId="77777777" w:rsidTr="000C350C">
        <w:tblPrEx>
          <w:tblW w:w="9252" w:type="dxa"/>
          <w:tblInd w:w="108" w:type="dxa"/>
          <w:tblLayout w:type="fixed"/>
          <w:tblCellMar>
            <w:left w:w="0" w:type="dxa"/>
            <w:right w:w="0" w:type="dxa"/>
          </w:tblCellMar>
          <w:tblLook w:val="0000"/>
        </w:tblPrEx>
        <w:trPr>
          <w:tblHeader/>
        </w:trPr>
        <w:tc>
          <w:tcPr>
            <w:tcW w:w="3960" w:type="dxa"/>
            <w:shd w:val="clear" w:color="auto" w:fill="auto"/>
            <w:tcMar>
              <w:top w:w="0" w:type="dxa"/>
              <w:left w:w="108" w:type="dxa"/>
              <w:bottom w:w="0" w:type="dxa"/>
              <w:right w:w="108" w:type="dxa"/>
            </w:tcMar>
          </w:tcPr>
          <w:p w:rsidR="00DC387F" w:rsidRPr="00253FC7" w:rsidP="00BE7C2B" w14:paraId="623F0089" w14:textId="0DA28EA5">
            <w:pPr>
              <w:pStyle w:val="ColorfulList-Accent11"/>
              <w:numPr>
                <w:ilvl w:val="0"/>
                <w:numId w:val="45"/>
              </w:numPr>
              <w:rPr>
                <w:bCs/>
                <w:color w:val="000000"/>
              </w:rPr>
            </w:pPr>
            <w:r w:rsidRPr="00253FC7">
              <w:rPr>
                <w:bCs/>
                <w:color w:val="000000"/>
              </w:rPr>
              <w:t>AHRQ Medical Office Survey on Patient Safety Culture (MOSOPS) (brick-and-mortar only)</w:t>
            </w:r>
          </w:p>
        </w:tc>
        <w:tc>
          <w:tcPr>
            <w:tcW w:w="1692" w:type="dxa"/>
            <w:shd w:val="clear" w:color="auto" w:fill="auto"/>
            <w:tcMar>
              <w:top w:w="0" w:type="dxa"/>
              <w:left w:w="108" w:type="dxa"/>
              <w:bottom w:w="0" w:type="dxa"/>
              <w:right w:w="108" w:type="dxa"/>
            </w:tcMar>
          </w:tcPr>
          <w:p w:rsidR="00DC387F" w:rsidRPr="00253FC7" w:rsidP="00DC387F" w14:paraId="26046E6C" w14:textId="077F434F">
            <w:pPr>
              <w:jc w:val="center"/>
            </w:pPr>
            <w:r w:rsidRPr="00253FC7">
              <w:t>438</w:t>
            </w:r>
          </w:p>
        </w:tc>
        <w:tc>
          <w:tcPr>
            <w:tcW w:w="1440" w:type="dxa"/>
            <w:shd w:val="clear" w:color="auto" w:fill="auto"/>
            <w:tcMar>
              <w:top w:w="0" w:type="dxa"/>
              <w:left w:w="108" w:type="dxa"/>
              <w:bottom w:w="0" w:type="dxa"/>
              <w:right w:w="108" w:type="dxa"/>
            </w:tcMar>
          </w:tcPr>
          <w:p w:rsidR="00DC387F" w:rsidRPr="00253FC7" w:rsidP="00DC387F" w14:paraId="130CF93B" w14:textId="25E00167">
            <w:pPr>
              <w:jc w:val="center"/>
            </w:pPr>
            <w:r w:rsidRPr="00253FC7">
              <w:t>2</w:t>
            </w:r>
          </w:p>
        </w:tc>
        <w:tc>
          <w:tcPr>
            <w:tcW w:w="1080" w:type="dxa"/>
          </w:tcPr>
          <w:p w:rsidR="00DC387F" w:rsidRPr="00253FC7" w:rsidP="00DC387F" w14:paraId="73C217A9" w14:textId="5BDC6059">
            <w:pPr>
              <w:jc w:val="center"/>
            </w:pPr>
            <w:r>
              <w:t>30/60</w:t>
            </w:r>
          </w:p>
        </w:tc>
        <w:tc>
          <w:tcPr>
            <w:tcW w:w="1080" w:type="dxa"/>
            <w:shd w:val="clear" w:color="auto" w:fill="auto"/>
            <w:tcMar>
              <w:top w:w="0" w:type="dxa"/>
              <w:left w:w="108" w:type="dxa"/>
              <w:bottom w:w="0" w:type="dxa"/>
              <w:right w:w="108" w:type="dxa"/>
            </w:tcMar>
          </w:tcPr>
          <w:p w:rsidR="00DC387F" w:rsidRPr="00253FC7" w:rsidP="00DC387F" w14:paraId="78129651" w14:textId="14C585BA">
            <w:pPr>
              <w:jc w:val="center"/>
            </w:pPr>
            <w:r w:rsidRPr="00253FC7">
              <w:t>438</w:t>
            </w:r>
          </w:p>
        </w:tc>
      </w:tr>
      <w:tr w14:paraId="48C1E228" w14:textId="77777777" w:rsidTr="000C350C">
        <w:tblPrEx>
          <w:tblW w:w="9252" w:type="dxa"/>
          <w:tblInd w:w="108" w:type="dxa"/>
          <w:tblLayout w:type="fixed"/>
          <w:tblCellMar>
            <w:left w:w="0" w:type="dxa"/>
            <w:right w:w="0" w:type="dxa"/>
          </w:tblCellMar>
          <w:tblLook w:val="0000"/>
        </w:tblPrEx>
        <w:trPr>
          <w:trHeight w:val="503"/>
          <w:tblHeader/>
        </w:trPr>
        <w:tc>
          <w:tcPr>
            <w:tcW w:w="3960" w:type="dxa"/>
            <w:shd w:val="clear" w:color="auto" w:fill="auto"/>
            <w:tcMar>
              <w:top w:w="0" w:type="dxa"/>
              <w:left w:w="108" w:type="dxa"/>
              <w:bottom w:w="0" w:type="dxa"/>
              <w:right w:w="108" w:type="dxa"/>
            </w:tcMar>
          </w:tcPr>
          <w:p w:rsidR="00DC387F" w:rsidRPr="00253FC7" w:rsidP="00BE7C2B" w14:paraId="5C8FFA6B" w14:textId="318D28AE">
            <w:pPr>
              <w:pStyle w:val="ColorfulList-Accent11"/>
              <w:numPr>
                <w:ilvl w:val="0"/>
                <w:numId w:val="45"/>
              </w:numPr>
              <w:rPr>
                <w:bCs/>
                <w:color w:val="000000"/>
              </w:rPr>
            </w:pPr>
            <w:r w:rsidRPr="00253FC7">
              <w:rPr>
                <w:bCs/>
                <w:color w:val="000000"/>
              </w:rPr>
              <w:t xml:space="preserve">Participant Experience Survey (telemedicine-only and </w:t>
            </w:r>
            <w:r w:rsidRPr="00253FC7">
              <w:rPr>
                <w:bCs/>
                <w:color w:val="000000"/>
              </w:rPr>
              <w:t>brick-and-mortar)</w:t>
            </w:r>
          </w:p>
        </w:tc>
        <w:tc>
          <w:tcPr>
            <w:tcW w:w="1692" w:type="dxa"/>
            <w:shd w:val="clear" w:color="auto" w:fill="auto"/>
            <w:tcMar>
              <w:top w:w="0" w:type="dxa"/>
              <w:left w:w="108" w:type="dxa"/>
              <w:bottom w:w="0" w:type="dxa"/>
              <w:right w:w="108" w:type="dxa"/>
            </w:tcMar>
          </w:tcPr>
          <w:p w:rsidR="00DC387F" w:rsidRPr="0078459D" w:rsidP="00DC387F" w14:paraId="1A86D3F5" w14:textId="2E9B5A42">
            <w:pPr>
              <w:jc w:val="center"/>
            </w:pPr>
            <w:r w:rsidRPr="0078459D">
              <w:t>188</w:t>
            </w:r>
          </w:p>
        </w:tc>
        <w:tc>
          <w:tcPr>
            <w:tcW w:w="1440" w:type="dxa"/>
            <w:shd w:val="clear" w:color="auto" w:fill="auto"/>
            <w:tcMar>
              <w:top w:w="0" w:type="dxa"/>
              <w:left w:w="108" w:type="dxa"/>
              <w:bottom w:w="0" w:type="dxa"/>
              <w:right w:w="108" w:type="dxa"/>
            </w:tcMar>
          </w:tcPr>
          <w:p w:rsidR="00DC387F" w:rsidRPr="00253FC7" w:rsidP="00DC387F" w14:paraId="417E25DC" w14:textId="41DA173F">
            <w:pPr>
              <w:jc w:val="center"/>
            </w:pPr>
            <w:r w:rsidRPr="00253FC7">
              <w:t>1</w:t>
            </w:r>
          </w:p>
        </w:tc>
        <w:tc>
          <w:tcPr>
            <w:tcW w:w="1080" w:type="dxa"/>
          </w:tcPr>
          <w:p w:rsidR="00DC387F" w:rsidRPr="00253FC7" w:rsidP="00DC387F" w14:paraId="1F7F4A2E" w14:textId="61A35812">
            <w:pPr>
              <w:jc w:val="center"/>
            </w:pPr>
            <w:r>
              <w:t>20/60</w:t>
            </w:r>
          </w:p>
        </w:tc>
        <w:tc>
          <w:tcPr>
            <w:tcW w:w="1080" w:type="dxa"/>
            <w:shd w:val="clear" w:color="auto" w:fill="auto"/>
            <w:tcMar>
              <w:top w:w="0" w:type="dxa"/>
              <w:left w:w="108" w:type="dxa"/>
              <w:bottom w:w="0" w:type="dxa"/>
              <w:right w:w="108" w:type="dxa"/>
            </w:tcMar>
          </w:tcPr>
          <w:p w:rsidR="00DC387F" w:rsidRPr="00253FC7" w:rsidP="00DC387F" w14:paraId="714D97B5" w14:textId="1EBA21AC">
            <w:pPr>
              <w:jc w:val="center"/>
            </w:pPr>
            <w:r w:rsidRPr="00253FC7">
              <w:t>62</w:t>
            </w:r>
          </w:p>
        </w:tc>
      </w:tr>
      <w:tr w14:paraId="5C20270B" w14:textId="77777777" w:rsidTr="000C350C">
        <w:tblPrEx>
          <w:tblW w:w="9252" w:type="dxa"/>
          <w:tblInd w:w="108" w:type="dxa"/>
          <w:tblLayout w:type="fixed"/>
          <w:tblCellMar>
            <w:left w:w="0" w:type="dxa"/>
            <w:right w:w="0" w:type="dxa"/>
          </w:tblCellMar>
          <w:tblLook w:val="0000"/>
        </w:tblPrEx>
        <w:trPr>
          <w:trHeight w:val="422"/>
          <w:tblHeader/>
        </w:trPr>
        <w:tc>
          <w:tcPr>
            <w:tcW w:w="3960" w:type="dxa"/>
            <w:shd w:val="clear" w:color="auto" w:fill="auto"/>
            <w:tcMar>
              <w:top w:w="0" w:type="dxa"/>
              <w:left w:w="108" w:type="dxa"/>
              <w:bottom w:w="0" w:type="dxa"/>
              <w:right w:w="108" w:type="dxa"/>
            </w:tcMar>
          </w:tcPr>
          <w:p w:rsidR="00D65943" w:rsidRPr="00253FC7" w:rsidP="00BE7C2B" w14:paraId="510DE57B" w14:textId="17C6A2B8">
            <w:pPr>
              <w:pStyle w:val="ColorfulList-Accent11"/>
              <w:numPr>
                <w:ilvl w:val="0"/>
                <w:numId w:val="45"/>
              </w:numPr>
              <w:rPr>
                <w:bCs/>
                <w:color w:val="000000"/>
              </w:rPr>
            </w:pPr>
            <w:bookmarkStart w:id="74" w:name="_Hlk158197770"/>
            <w:bookmarkStart w:id="75" w:name="_Hlk158197765"/>
            <w:bookmarkEnd w:id="72"/>
            <w:r w:rsidRPr="00253FC7">
              <w:rPr>
                <w:bCs/>
                <w:color w:val="000000"/>
              </w:rPr>
              <w:t>Semi-structured qualitative interview</w:t>
            </w:r>
            <w:r w:rsidRPr="00253FC7" w:rsidR="00DC387F">
              <w:rPr>
                <w:bCs/>
                <w:color w:val="000000"/>
              </w:rPr>
              <w:t>s (telemedicine-only and brick-and-mortar)</w:t>
            </w:r>
          </w:p>
        </w:tc>
        <w:tc>
          <w:tcPr>
            <w:tcW w:w="1692" w:type="dxa"/>
            <w:shd w:val="clear" w:color="auto" w:fill="auto"/>
            <w:tcMar>
              <w:top w:w="0" w:type="dxa"/>
              <w:left w:w="108" w:type="dxa"/>
              <w:bottom w:w="0" w:type="dxa"/>
              <w:right w:w="108" w:type="dxa"/>
            </w:tcMar>
          </w:tcPr>
          <w:p w:rsidR="00D65943" w:rsidRPr="0078459D" w:rsidP="00B27F17" w14:paraId="1D298E6E" w14:textId="7B2E222D">
            <w:pPr>
              <w:jc w:val="center"/>
            </w:pPr>
            <w:r w:rsidRPr="0078459D">
              <w:t>18</w:t>
            </w:r>
          </w:p>
        </w:tc>
        <w:tc>
          <w:tcPr>
            <w:tcW w:w="1440" w:type="dxa"/>
            <w:shd w:val="clear" w:color="auto" w:fill="auto"/>
            <w:tcMar>
              <w:top w:w="0" w:type="dxa"/>
              <w:left w:w="108" w:type="dxa"/>
              <w:bottom w:w="0" w:type="dxa"/>
              <w:right w:w="108" w:type="dxa"/>
            </w:tcMar>
          </w:tcPr>
          <w:p w:rsidR="00D65943" w:rsidRPr="00253FC7" w:rsidP="00B27F17" w14:paraId="5E49D745" w14:textId="77777777">
            <w:pPr>
              <w:jc w:val="center"/>
            </w:pPr>
            <w:r w:rsidRPr="00253FC7">
              <w:t>1</w:t>
            </w:r>
          </w:p>
        </w:tc>
        <w:tc>
          <w:tcPr>
            <w:tcW w:w="1080" w:type="dxa"/>
            <w:shd w:val="clear" w:color="auto" w:fill="auto"/>
          </w:tcPr>
          <w:p w:rsidR="00D65943" w:rsidRPr="00253FC7" w:rsidP="00B27F17" w14:paraId="51D44C94" w14:textId="77777777">
            <w:pPr>
              <w:jc w:val="center"/>
            </w:pPr>
            <w:r w:rsidRPr="00253FC7">
              <w:t>1</w:t>
            </w:r>
          </w:p>
        </w:tc>
        <w:tc>
          <w:tcPr>
            <w:tcW w:w="1080" w:type="dxa"/>
            <w:shd w:val="clear" w:color="auto" w:fill="auto"/>
            <w:tcMar>
              <w:top w:w="0" w:type="dxa"/>
              <w:left w:w="108" w:type="dxa"/>
              <w:bottom w:w="0" w:type="dxa"/>
              <w:right w:w="108" w:type="dxa"/>
            </w:tcMar>
          </w:tcPr>
          <w:p w:rsidR="00D65943" w:rsidRPr="00253FC7" w:rsidP="00E738AF" w14:paraId="588AB3CA" w14:textId="297977A0">
            <w:pPr>
              <w:jc w:val="center"/>
            </w:pPr>
            <w:r w:rsidRPr="00253FC7">
              <w:t>18</w:t>
            </w:r>
          </w:p>
        </w:tc>
      </w:tr>
      <w:tr w14:paraId="3FAC37D3" w14:textId="77777777" w:rsidTr="000C350C">
        <w:tblPrEx>
          <w:tblW w:w="9252" w:type="dxa"/>
          <w:tblInd w:w="108" w:type="dxa"/>
          <w:tblLayout w:type="fixed"/>
          <w:tblCellMar>
            <w:left w:w="0" w:type="dxa"/>
            <w:right w:w="0" w:type="dxa"/>
          </w:tblCellMar>
          <w:tblLook w:val="0000"/>
        </w:tblPrEx>
        <w:trPr>
          <w:tblHeader/>
        </w:trPr>
        <w:tc>
          <w:tcPr>
            <w:tcW w:w="3960" w:type="dxa"/>
            <w:shd w:val="clear" w:color="auto" w:fill="auto"/>
            <w:tcMar>
              <w:top w:w="0" w:type="dxa"/>
              <w:left w:w="108" w:type="dxa"/>
              <w:bottom w:w="0" w:type="dxa"/>
              <w:right w:w="108" w:type="dxa"/>
            </w:tcMar>
          </w:tcPr>
          <w:p w:rsidR="00D778CE" w:rsidRPr="00253FC7" w:rsidP="00BE7C2B" w14:paraId="4B8B553C" w14:textId="4C0769D4">
            <w:pPr>
              <w:pStyle w:val="ColorfulList-Accent11"/>
              <w:numPr>
                <w:ilvl w:val="0"/>
                <w:numId w:val="45"/>
              </w:numPr>
            </w:pPr>
            <w:bookmarkStart w:id="76" w:name="_Hlk158197778"/>
            <w:bookmarkEnd w:id="74"/>
            <w:r w:rsidRPr="00253FC7">
              <w:t>EHR data</w:t>
            </w:r>
            <w:r w:rsidRPr="00253FC7" w:rsidR="007A0DE3">
              <w:t xml:space="preserve"> (</w:t>
            </w:r>
            <w:r w:rsidRPr="00253FC7" w:rsidR="00DC387F">
              <w:t>telemedicine-only and brick-and-mortar</w:t>
            </w:r>
            <w:r w:rsidRPr="00253FC7" w:rsidR="007A0DE3">
              <w:t>)</w:t>
            </w:r>
          </w:p>
        </w:tc>
        <w:tc>
          <w:tcPr>
            <w:tcW w:w="1692" w:type="dxa"/>
            <w:shd w:val="clear" w:color="auto" w:fill="auto"/>
            <w:tcMar>
              <w:top w:w="0" w:type="dxa"/>
              <w:left w:w="108" w:type="dxa"/>
              <w:bottom w:w="0" w:type="dxa"/>
              <w:right w:w="108" w:type="dxa"/>
            </w:tcMar>
          </w:tcPr>
          <w:p w:rsidR="00D65943" w:rsidRPr="0078459D" w:rsidP="00B27F17" w14:paraId="3B51C60C" w14:textId="018BA164">
            <w:pPr>
              <w:jc w:val="center"/>
            </w:pPr>
            <w:r w:rsidRPr="0078459D">
              <w:t>225</w:t>
            </w:r>
          </w:p>
        </w:tc>
        <w:tc>
          <w:tcPr>
            <w:tcW w:w="1440" w:type="dxa"/>
            <w:shd w:val="clear" w:color="auto" w:fill="auto"/>
            <w:tcMar>
              <w:top w:w="0" w:type="dxa"/>
              <w:left w:w="108" w:type="dxa"/>
              <w:bottom w:w="0" w:type="dxa"/>
              <w:right w:w="108" w:type="dxa"/>
            </w:tcMar>
          </w:tcPr>
          <w:p w:rsidR="00D65943" w:rsidRPr="00253FC7" w:rsidP="00B27F17" w14:paraId="4B279FBD" w14:textId="77777777">
            <w:pPr>
              <w:jc w:val="center"/>
            </w:pPr>
            <w:r w:rsidRPr="00253FC7">
              <w:t>18</w:t>
            </w:r>
          </w:p>
        </w:tc>
        <w:tc>
          <w:tcPr>
            <w:tcW w:w="1080" w:type="dxa"/>
            <w:shd w:val="clear" w:color="auto" w:fill="auto"/>
          </w:tcPr>
          <w:p w:rsidR="00D65943" w:rsidRPr="00253FC7" w:rsidP="007D3665" w14:paraId="4A27E648" w14:textId="77777777">
            <w:pPr>
              <w:jc w:val="center"/>
              <w:rPr>
                <w:bCs/>
                <w:color w:val="000000"/>
              </w:rPr>
            </w:pPr>
            <w:r w:rsidRPr="00253FC7">
              <w:rPr>
                <w:bCs/>
                <w:color w:val="000000"/>
              </w:rPr>
              <w:t>1</w:t>
            </w:r>
          </w:p>
        </w:tc>
        <w:tc>
          <w:tcPr>
            <w:tcW w:w="1080" w:type="dxa"/>
            <w:shd w:val="clear" w:color="auto" w:fill="auto"/>
            <w:tcMar>
              <w:top w:w="0" w:type="dxa"/>
              <w:left w:w="108" w:type="dxa"/>
              <w:bottom w:w="0" w:type="dxa"/>
              <w:right w:w="108" w:type="dxa"/>
            </w:tcMar>
          </w:tcPr>
          <w:p w:rsidR="00D65943" w:rsidRPr="00253FC7" w:rsidP="002D364E" w14:paraId="77BA4313" w14:textId="2D8E61E1">
            <w:pPr>
              <w:jc w:val="center"/>
            </w:pPr>
            <w:r w:rsidRPr="00253FC7">
              <w:t>4,050</w:t>
            </w:r>
          </w:p>
        </w:tc>
      </w:tr>
      <w:bookmarkEnd w:id="73"/>
      <w:bookmarkEnd w:id="75"/>
      <w:bookmarkEnd w:id="76"/>
      <w:tr w14:paraId="62E6809A" w14:textId="77777777" w:rsidTr="000C350C">
        <w:tblPrEx>
          <w:tblW w:w="9252" w:type="dxa"/>
          <w:tblInd w:w="108" w:type="dxa"/>
          <w:tblLayout w:type="fixed"/>
          <w:tblCellMar>
            <w:left w:w="0" w:type="dxa"/>
            <w:right w:w="0" w:type="dxa"/>
          </w:tblCellMar>
          <w:tblLook w:val="0000"/>
        </w:tblPrEx>
        <w:trPr>
          <w:tblHeader/>
        </w:trPr>
        <w:tc>
          <w:tcPr>
            <w:tcW w:w="3960" w:type="dxa"/>
            <w:shd w:val="clear" w:color="auto" w:fill="auto"/>
            <w:tcMar>
              <w:top w:w="0" w:type="dxa"/>
              <w:left w:w="108" w:type="dxa"/>
              <w:bottom w:w="0" w:type="dxa"/>
              <w:right w:w="108" w:type="dxa"/>
            </w:tcMar>
          </w:tcPr>
          <w:p w:rsidR="00D65943" w:rsidRPr="00253FC7" w:rsidP="00B27F17" w14:paraId="4CE6604F" w14:textId="77777777">
            <w:pPr>
              <w:rPr>
                <w:b/>
              </w:rPr>
            </w:pPr>
            <w:r w:rsidRPr="00253FC7">
              <w:rPr>
                <w:b/>
              </w:rPr>
              <w:t>Total</w:t>
            </w:r>
          </w:p>
        </w:tc>
        <w:tc>
          <w:tcPr>
            <w:tcW w:w="1692" w:type="dxa"/>
            <w:shd w:val="clear" w:color="auto" w:fill="auto"/>
            <w:tcMar>
              <w:top w:w="0" w:type="dxa"/>
              <w:left w:w="108" w:type="dxa"/>
              <w:bottom w:w="0" w:type="dxa"/>
              <w:right w:w="108" w:type="dxa"/>
            </w:tcMar>
          </w:tcPr>
          <w:p w:rsidR="00D65943" w:rsidRPr="00253FC7" w:rsidP="00BD7FA4" w14:paraId="3D099B8E" w14:textId="77777777">
            <w:pPr>
              <w:jc w:val="center"/>
              <w:rPr>
                <w:b/>
              </w:rPr>
            </w:pPr>
          </w:p>
        </w:tc>
        <w:tc>
          <w:tcPr>
            <w:tcW w:w="1440" w:type="dxa"/>
            <w:shd w:val="clear" w:color="auto" w:fill="auto"/>
            <w:tcMar>
              <w:top w:w="0" w:type="dxa"/>
              <w:left w:w="108" w:type="dxa"/>
              <w:bottom w:w="0" w:type="dxa"/>
              <w:right w:w="108" w:type="dxa"/>
            </w:tcMar>
          </w:tcPr>
          <w:p w:rsidR="00D65943" w:rsidRPr="00253FC7" w:rsidP="00B27F17" w14:paraId="34A15CCB" w14:textId="77777777">
            <w:pPr>
              <w:jc w:val="center"/>
              <w:rPr>
                <w:b/>
              </w:rPr>
            </w:pPr>
          </w:p>
        </w:tc>
        <w:tc>
          <w:tcPr>
            <w:tcW w:w="1080" w:type="dxa"/>
            <w:shd w:val="clear" w:color="auto" w:fill="auto"/>
          </w:tcPr>
          <w:p w:rsidR="00D65943" w:rsidRPr="00253FC7" w:rsidP="00B27F17" w14:paraId="2D71B928" w14:textId="77777777">
            <w:pPr>
              <w:jc w:val="center"/>
              <w:rPr>
                <w:b/>
                <w:bCs/>
                <w:color w:val="000000"/>
              </w:rPr>
            </w:pPr>
          </w:p>
        </w:tc>
        <w:tc>
          <w:tcPr>
            <w:tcW w:w="1080" w:type="dxa"/>
            <w:shd w:val="clear" w:color="auto" w:fill="auto"/>
            <w:tcMar>
              <w:top w:w="0" w:type="dxa"/>
              <w:left w:w="108" w:type="dxa"/>
              <w:bottom w:w="0" w:type="dxa"/>
              <w:right w:w="108" w:type="dxa"/>
            </w:tcMar>
          </w:tcPr>
          <w:p w:rsidR="00D65943" w:rsidRPr="00253FC7" w:rsidP="00CB1050" w14:paraId="7ED8EC19" w14:textId="59A731F9">
            <w:pPr>
              <w:jc w:val="center"/>
              <w:rPr>
                <w:b/>
              </w:rPr>
            </w:pPr>
            <w:r w:rsidRPr="00253FC7">
              <w:rPr>
                <w:b/>
              </w:rPr>
              <w:t>4,643</w:t>
            </w:r>
          </w:p>
        </w:tc>
      </w:tr>
    </w:tbl>
    <w:p w:rsidR="00654F33" w:rsidP="00654F33" w14:paraId="3FE08829" w14:textId="008783CF">
      <w:pPr>
        <w:rPr>
          <w:sz w:val="20"/>
          <w:szCs w:val="20"/>
        </w:rPr>
      </w:pPr>
      <w:bookmarkStart w:id="77" w:name="OLE_LINK45"/>
      <w:bookmarkEnd w:id="71"/>
      <w:r w:rsidRPr="00024101">
        <w:rPr>
          <w:sz w:val="20"/>
          <w:szCs w:val="20"/>
        </w:rPr>
        <w:t>*</w:t>
      </w:r>
      <w:bookmarkStart w:id="78" w:name="OLE_LINK66"/>
      <w:r w:rsidRPr="00024101" w:rsidR="008E063B">
        <w:rPr>
          <w:sz w:val="20"/>
          <w:szCs w:val="20"/>
        </w:rPr>
        <w:t>Annualized number of respondents is b</w:t>
      </w:r>
      <w:r w:rsidRPr="00024101">
        <w:rPr>
          <w:sz w:val="20"/>
          <w:szCs w:val="20"/>
        </w:rPr>
        <w:t xml:space="preserve">ased on </w:t>
      </w:r>
      <w:r w:rsidRPr="00024101">
        <w:rPr>
          <w:sz w:val="20"/>
          <w:szCs w:val="20"/>
        </w:rPr>
        <w:t>maximum practices recruited</w:t>
      </w:r>
      <w:r w:rsidRPr="00024101" w:rsidR="00DC387F">
        <w:rPr>
          <w:sz w:val="20"/>
          <w:szCs w:val="20"/>
        </w:rPr>
        <w:t>, assuming 50% of the practices are telemedicine-only and 50% are brick-and-mortar,</w:t>
      </w:r>
      <w:r w:rsidRPr="00024101">
        <w:rPr>
          <w:sz w:val="20"/>
          <w:szCs w:val="20"/>
        </w:rPr>
        <w:t xml:space="preserve"> and 75% response rate for forms 1</w:t>
      </w:r>
      <w:r w:rsidRPr="00024101" w:rsidR="00A331A3">
        <w:rPr>
          <w:sz w:val="20"/>
          <w:szCs w:val="20"/>
        </w:rPr>
        <w:t xml:space="preserve"> and </w:t>
      </w:r>
      <w:r w:rsidRPr="00024101" w:rsidR="00885F75">
        <w:rPr>
          <w:sz w:val="20"/>
          <w:szCs w:val="20"/>
        </w:rPr>
        <w:t>3</w:t>
      </w:r>
      <w:r w:rsidRPr="00024101" w:rsidR="00A331A3">
        <w:rPr>
          <w:sz w:val="20"/>
          <w:szCs w:val="20"/>
        </w:rPr>
        <w:t xml:space="preserve">, 50% response rate for form </w:t>
      </w:r>
      <w:r w:rsidRPr="00024101" w:rsidR="00C06210">
        <w:rPr>
          <w:sz w:val="20"/>
          <w:szCs w:val="20"/>
        </w:rPr>
        <w:t>2</w:t>
      </w:r>
      <w:r w:rsidRPr="00024101" w:rsidR="00A64AE0">
        <w:rPr>
          <w:sz w:val="20"/>
          <w:szCs w:val="20"/>
        </w:rPr>
        <w:t>,</w:t>
      </w:r>
      <w:r w:rsidRPr="00024101">
        <w:rPr>
          <w:sz w:val="20"/>
          <w:szCs w:val="20"/>
        </w:rPr>
        <w:t xml:space="preserve"> and 90% response rate for forms </w:t>
      </w:r>
      <w:r w:rsidRPr="00024101" w:rsidR="0085141D">
        <w:rPr>
          <w:sz w:val="20"/>
          <w:szCs w:val="20"/>
        </w:rPr>
        <w:t>4</w:t>
      </w:r>
      <w:r w:rsidRPr="00024101" w:rsidR="00885F75">
        <w:rPr>
          <w:sz w:val="20"/>
          <w:szCs w:val="20"/>
        </w:rPr>
        <w:t xml:space="preserve"> and </w:t>
      </w:r>
      <w:bookmarkEnd w:id="78"/>
      <w:r w:rsidRPr="00024101" w:rsidR="0085141D">
        <w:rPr>
          <w:sz w:val="20"/>
          <w:szCs w:val="20"/>
        </w:rPr>
        <w:t>5</w:t>
      </w:r>
      <w:r w:rsidRPr="00024101">
        <w:rPr>
          <w:sz w:val="20"/>
          <w:szCs w:val="20"/>
        </w:rPr>
        <w:t>.</w:t>
      </w:r>
      <w:r w:rsidR="00DC387F">
        <w:rPr>
          <w:sz w:val="20"/>
          <w:szCs w:val="20"/>
        </w:rPr>
        <w:t xml:space="preserve"> </w:t>
      </w:r>
    </w:p>
    <w:bookmarkEnd w:id="77"/>
    <w:p w:rsidR="006923E7" w:rsidRPr="006923E7" w:rsidP="00654F33" w14:paraId="23D45C2C" w14:textId="77777777">
      <w:pPr>
        <w:rPr>
          <w:sz w:val="20"/>
          <w:szCs w:val="20"/>
        </w:rPr>
      </w:pPr>
    </w:p>
    <w:p w:rsidR="00654F33" w:rsidRPr="005E06DD" w:rsidP="00C83978" w14:paraId="24E0BE35" w14:textId="57C7EF6D">
      <w:bookmarkStart w:id="79" w:name="OLE_LINK23"/>
      <w:r>
        <w:t xml:space="preserve">Exhibit </w:t>
      </w:r>
      <w:r w:rsidRPr="00024101">
        <w:t xml:space="preserve">2 shows the estimated annualized cost burden based on the respondents’ time to </w:t>
      </w:r>
      <w:r w:rsidRPr="00024101" w:rsidR="0082220D">
        <w:t>complete the data collection forms</w:t>
      </w:r>
      <w:r w:rsidRPr="00024101">
        <w:t>. The total cost burden is estimated to be $</w:t>
      </w:r>
      <w:r w:rsidR="00022576">
        <w:t>366,163</w:t>
      </w:r>
      <w:r w:rsidRPr="004B0F3C">
        <w:t>.</w:t>
      </w:r>
    </w:p>
    <w:p w:rsidR="00EC3197" w:rsidRPr="005E06DD" w:rsidP="00654F33" w14:paraId="5CEDAFE6" w14:textId="77777777"/>
    <w:p w:rsidR="00B51378" w:rsidP="00B51378" w14:paraId="2581F0AF" w14:textId="6FFBEACA">
      <w:pPr>
        <w:rPr>
          <w:b/>
        </w:rPr>
      </w:pPr>
      <w:r>
        <w:rPr>
          <w:b/>
          <w:bCs/>
          <w:color w:val="000000"/>
        </w:rPr>
        <w:t xml:space="preserve">Exhibit </w:t>
      </w:r>
      <w:r w:rsidR="005D3315">
        <w:rPr>
          <w:b/>
          <w:bCs/>
          <w:color w:val="000000"/>
        </w:rPr>
        <w:t>2</w:t>
      </w:r>
      <w:r w:rsidR="008872BA">
        <w:rPr>
          <w:b/>
          <w:bCs/>
          <w:color w:val="000000"/>
        </w:rPr>
        <w:t>.</w:t>
      </w:r>
      <w:r w:rsidRPr="005E06DD">
        <w:rPr>
          <w:b/>
          <w:bCs/>
          <w:color w:val="000000"/>
        </w:rPr>
        <w:t xml:space="preserve"> </w:t>
      </w:r>
      <w:r w:rsidRPr="005E06DD">
        <w:rPr>
          <w:b/>
        </w:rPr>
        <w:t>Estimated</w:t>
      </w:r>
      <w:r w:rsidRPr="00010908">
        <w:rPr>
          <w:b/>
        </w:rPr>
        <w:t xml:space="preserve"> </w:t>
      </w:r>
      <w:r w:rsidR="00881CC7">
        <w:rPr>
          <w:b/>
        </w:rPr>
        <w:t>A</w:t>
      </w:r>
      <w:r w:rsidRPr="00010908">
        <w:rPr>
          <w:b/>
        </w:rPr>
        <w:t xml:space="preserve">nnualized </w:t>
      </w:r>
      <w:r w:rsidR="00881CC7">
        <w:rPr>
          <w:b/>
        </w:rPr>
        <w:t>C</w:t>
      </w:r>
      <w:r w:rsidRPr="00010908">
        <w:rPr>
          <w:b/>
        </w:rPr>
        <w:t xml:space="preserve">ost </w:t>
      </w:r>
      <w:r w:rsidR="00881CC7">
        <w:rPr>
          <w:b/>
        </w:rPr>
        <w:t>B</w:t>
      </w:r>
      <w:r w:rsidRPr="00010908">
        <w:rPr>
          <w:b/>
        </w:rPr>
        <w:t>urden</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140"/>
        <w:gridCol w:w="1440"/>
        <w:gridCol w:w="1120"/>
        <w:gridCol w:w="950"/>
        <w:gridCol w:w="1597"/>
      </w:tblGrid>
      <w:tr w14:paraId="5CD87F97" w14:textId="77777777" w:rsidTr="0003090B">
        <w:tblPrEx>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AA3" w:rsidRPr="00DD03B5" w14:paraId="04FB3328" w14:textId="77777777">
            <w:pPr>
              <w:rPr>
                <w:b/>
                <w:bCs/>
                <w:sz w:val="20"/>
                <w:szCs w:val="20"/>
              </w:rPr>
            </w:pPr>
            <w:bookmarkStart w:id="80" w:name="OLE_LINK68"/>
            <w:r w:rsidRPr="00DD03B5">
              <w:rPr>
                <w:b/>
                <w:bCs/>
                <w:color w:val="000000"/>
                <w:sz w:val="20"/>
                <w:szCs w:val="20"/>
              </w:rPr>
              <w:t>Form Name</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AA3" w:rsidRPr="00DD03B5" w14:paraId="33E6473F" w14:textId="77777777">
            <w:pPr>
              <w:jc w:val="center"/>
              <w:rPr>
                <w:b/>
                <w:bCs/>
                <w:sz w:val="20"/>
                <w:szCs w:val="20"/>
              </w:rPr>
            </w:pPr>
            <w:r w:rsidRPr="00DD03B5">
              <w:rPr>
                <w:b/>
                <w:bCs/>
                <w:color w:val="000000"/>
                <w:sz w:val="20"/>
                <w:szCs w:val="20"/>
              </w:rPr>
              <w:t xml:space="preserve">Number of </w:t>
            </w:r>
            <w:r w:rsidRPr="00DD03B5" w:rsidR="00DD03B5">
              <w:rPr>
                <w:b/>
                <w:bCs/>
                <w:color w:val="000000"/>
                <w:sz w:val="20"/>
                <w:szCs w:val="20"/>
              </w:rPr>
              <w:t>R</w:t>
            </w:r>
            <w:r w:rsidRPr="00DD03B5">
              <w:rPr>
                <w:b/>
                <w:bCs/>
                <w:color w:val="000000"/>
                <w:sz w:val="20"/>
                <w:szCs w:val="20"/>
              </w:rPr>
              <w:t>espondents</w:t>
            </w:r>
            <w:r w:rsidRPr="00DD03B5" w:rsidR="00A64AE0">
              <w:rPr>
                <w:b/>
                <w:bCs/>
                <w:color w:val="000000"/>
                <w:sz w:val="20"/>
                <w:szCs w:val="20"/>
              </w:rPr>
              <w:t>*</w:t>
            </w:r>
          </w:p>
        </w:tc>
        <w:tc>
          <w:tcPr>
            <w:tcW w:w="1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5AA3" w:rsidRPr="00DD03B5" w14:paraId="2447FAD4" w14:textId="77777777">
            <w:pPr>
              <w:jc w:val="center"/>
              <w:rPr>
                <w:b/>
                <w:bCs/>
                <w:sz w:val="20"/>
                <w:szCs w:val="20"/>
              </w:rPr>
            </w:pPr>
            <w:r w:rsidRPr="00DD03B5">
              <w:rPr>
                <w:b/>
                <w:bCs/>
                <w:color w:val="000000"/>
                <w:sz w:val="20"/>
                <w:szCs w:val="20"/>
              </w:rPr>
              <w:t xml:space="preserve">Total </w:t>
            </w:r>
            <w:r w:rsidRPr="00DD03B5" w:rsidR="00DD03B5">
              <w:rPr>
                <w:b/>
                <w:bCs/>
                <w:color w:val="000000"/>
                <w:sz w:val="20"/>
                <w:szCs w:val="20"/>
              </w:rPr>
              <w:t>B</w:t>
            </w:r>
            <w:r w:rsidRPr="00DD03B5">
              <w:rPr>
                <w:b/>
                <w:bCs/>
                <w:color w:val="000000"/>
                <w:sz w:val="20"/>
                <w:szCs w:val="20"/>
              </w:rPr>
              <w:t xml:space="preserve">urden </w:t>
            </w:r>
            <w:r w:rsidRPr="00DD03B5" w:rsidR="00DD03B5">
              <w:rPr>
                <w:b/>
                <w:bCs/>
                <w:color w:val="000000"/>
                <w:sz w:val="20"/>
                <w:szCs w:val="20"/>
              </w:rPr>
              <w:t>H</w:t>
            </w:r>
            <w:r w:rsidRPr="00DD03B5">
              <w:rPr>
                <w:b/>
                <w:bCs/>
                <w:color w:val="000000"/>
                <w:sz w:val="20"/>
                <w:szCs w:val="20"/>
              </w:rPr>
              <w:t>ours</w:t>
            </w:r>
          </w:p>
        </w:tc>
        <w:tc>
          <w:tcPr>
            <w:tcW w:w="950" w:type="dxa"/>
            <w:tcBorders>
              <w:top w:val="single" w:sz="4" w:space="0" w:color="auto"/>
              <w:left w:val="single" w:sz="4" w:space="0" w:color="auto"/>
              <w:bottom w:val="single" w:sz="4" w:space="0" w:color="auto"/>
              <w:right w:val="single" w:sz="4" w:space="0" w:color="auto"/>
            </w:tcBorders>
          </w:tcPr>
          <w:p w:rsidR="004D5AA3" w:rsidRPr="00DD03B5" w14:paraId="786E60AB" w14:textId="77777777">
            <w:pPr>
              <w:jc w:val="center"/>
              <w:rPr>
                <w:b/>
                <w:bCs/>
                <w:sz w:val="20"/>
                <w:szCs w:val="20"/>
              </w:rPr>
            </w:pPr>
            <w:r w:rsidRPr="00DD03B5">
              <w:rPr>
                <w:b/>
                <w:bCs/>
                <w:sz w:val="20"/>
                <w:szCs w:val="20"/>
              </w:rPr>
              <w:t xml:space="preserve">Average </w:t>
            </w:r>
            <w:r w:rsidRPr="00DD03B5" w:rsidR="00DD03B5">
              <w:rPr>
                <w:b/>
                <w:bCs/>
                <w:sz w:val="20"/>
                <w:szCs w:val="20"/>
              </w:rPr>
              <w:t>H</w:t>
            </w:r>
            <w:r w:rsidRPr="00DD03B5">
              <w:rPr>
                <w:b/>
                <w:bCs/>
                <w:sz w:val="20"/>
                <w:szCs w:val="20"/>
              </w:rPr>
              <w:t xml:space="preserve">ourly </w:t>
            </w:r>
            <w:r w:rsidRPr="00DD03B5" w:rsidR="00DD03B5">
              <w:rPr>
                <w:b/>
                <w:bCs/>
                <w:sz w:val="20"/>
                <w:szCs w:val="20"/>
              </w:rPr>
              <w:t>W</w:t>
            </w:r>
            <w:r w:rsidRPr="00DD03B5">
              <w:rPr>
                <w:b/>
                <w:bCs/>
                <w:sz w:val="20"/>
                <w:szCs w:val="20"/>
              </w:rPr>
              <w:t xml:space="preserve">age </w:t>
            </w:r>
            <w:r w:rsidRPr="00DD03B5" w:rsidR="00DD03B5">
              <w:rPr>
                <w:b/>
                <w:bCs/>
                <w:sz w:val="20"/>
                <w:szCs w:val="20"/>
              </w:rPr>
              <w:t>R</w:t>
            </w:r>
            <w:r w:rsidRPr="00DD03B5">
              <w:rPr>
                <w:b/>
                <w:bCs/>
                <w:sz w:val="20"/>
                <w:szCs w:val="20"/>
              </w:rPr>
              <w:t>ate*</w:t>
            </w:r>
            <w:r w:rsidRPr="00DD03B5" w:rsidR="00A64AE0">
              <w:rPr>
                <w:b/>
                <w:bCs/>
                <w:sz w:val="20"/>
                <w:szCs w:val="20"/>
              </w:rPr>
              <w:t>*</w:t>
            </w: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AA3" w:rsidRPr="00DD03B5" w14:paraId="3D7F6F2A" w14:textId="77777777">
            <w:pPr>
              <w:jc w:val="center"/>
              <w:rPr>
                <w:b/>
                <w:bCs/>
                <w:sz w:val="20"/>
                <w:szCs w:val="20"/>
              </w:rPr>
            </w:pPr>
            <w:r w:rsidRPr="00DD03B5">
              <w:rPr>
                <w:b/>
                <w:bCs/>
                <w:sz w:val="20"/>
                <w:szCs w:val="20"/>
              </w:rPr>
              <w:t xml:space="preserve">Total </w:t>
            </w:r>
            <w:r w:rsidRPr="00DD03B5" w:rsidR="00DD03B5">
              <w:rPr>
                <w:b/>
                <w:bCs/>
                <w:sz w:val="20"/>
                <w:szCs w:val="20"/>
              </w:rPr>
              <w:t>B</w:t>
            </w:r>
            <w:r w:rsidRPr="00DD03B5">
              <w:rPr>
                <w:b/>
                <w:bCs/>
                <w:sz w:val="20"/>
                <w:szCs w:val="20"/>
              </w:rPr>
              <w:t xml:space="preserve">urden </w:t>
            </w:r>
            <w:r w:rsidRPr="00DD03B5" w:rsidR="00DD03B5">
              <w:rPr>
                <w:b/>
                <w:bCs/>
                <w:sz w:val="20"/>
                <w:szCs w:val="20"/>
              </w:rPr>
              <w:t>C</w:t>
            </w:r>
            <w:r w:rsidRPr="00DD03B5">
              <w:rPr>
                <w:b/>
                <w:bCs/>
                <w:sz w:val="20"/>
                <w:szCs w:val="20"/>
              </w:rPr>
              <w:t>ost</w:t>
            </w:r>
          </w:p>
        </w:tc>
      </w:tr>
      <w:tr w14:paraId="06EF7257" w14:textId="77777777" w:rsidTr="0003090B">
        <w:tblPrEx>
          <w:tblW w:w="9247" w:type="dxa"/>
          <w:tblInd w:w="108" w:type="dxa"/>
          <w:tblLayout w:type="fixed"/>
          <w:tblCellMar>
            <w:left w:w="0" w:type="dxa"/>
            <w:right w:w="0" w:type="dxa"/>
          </w:tblCellMar>
          <w:tblLook w:val="04A0"/>
        </w:tblPrEx>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AA3" w:rsidRPr="0003090B" w:rsidP="00A64AE0" w14:paraId="78A39BD1" w14:textId="248CDBF5">
            <w:pPr>
              <w:numPr>
                <w:ilvl w:val="0"/>
                <w:numId w:val="37"/>
              </w:numPr>
            </w:pPr>
            <w:bookmarkStart w:id="81" w:name="_Hlk108692314"/>
            <w:r w:rsidRPr="0003090B">
              <w:t>Structural Assessment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AA3" w:rsidRPr="0003090B" w14:paraId="379DAA92" w14:textId="2B88E942">
            <w:pPr>
              <w:jc w:val="center"/>
            </w:pPr>
            <w:r w:rsidRPr="0003090B">
              <w:t>188</w:t>
            </w:r>
          </w:p>
        </w:tc>
        <w:tc>
          <w:tcPr>
            <w:tcW w:w="1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5AA3" w:rsidRPr="0003090B" w14:paraId="36A57071" w14:textId="1FCDE1C4">
            <w:pPr>
              <w:jc w:val="center"/>
            </w:pPr>
            <w:r w:rsidRPr="0003090B">
              <w:t>75</w:t>
            </w:r>
          </w:p>
        </w:tc>
        <w:tc>
          <w:tcPr>
            <w:tcW w:w="950" w:type="dxa"/>
            <w:tcBorders>
              <w:top w:val="single" w:sz="4" w:space="0" w:color="auto"/>
              <w:left w:val="single" w:sz="4" w:space="0" w:color="auto"/>
              <w:bottom w:val="single" w:sz="4" w:space="0" w:color="auto"/>
              <w:right w:val="single" w:sz="4" w:space="0" w:color="auto"/>
            </w:tcBorders>
          </w:tcPr>
          <w:p w:rsidR="004D5AA3" w:rsidRPr="0003090B" w14:paraId="03D76AE2" w14:textId="4287720C">
            <w:pPr>
              <w:jc w:val="center"/>
            </w:pPr>
            <w:bookmarkStart w:id="82" w:name="OLE_LINK24"/>
            <w:r w:rsidRPr="004B097F">
              <w:t>$</w:t>
            </w:r>
            <w:r w:rsidRPr="004B097F" w:rsidR="00B45963">
              <w:t>11</w:t>
            </w:r>
            <w:r w:rsidRPr="004B097F" w:rsidR="00627558">
              <w:t>9</w:t>
            </w:r>
            <w:r w:rsidRPr="004B097F" w:rsidR="00B45963">
              <w:t>.</w:t>
            </w:r>
            <w:r w:rsidRPr="004B097F" w:rsidR="00627558">
              <w:t>54</w:t>
            </w:r>
            <w:r w:rsidRPr="004B097F">
              <w:rPr>
                <w:vertAlign w:val="superscript"/>
              </w:rPr>
              <w:t>a</w:t>
            </w:r>
            <w:bookmarkEnd w:id="82"/>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AA3" w:rsidRPr="0003090B" w14:paraId="7A2C0CAE" w14:textId="6E77E4FD">
            <w:pPr>
              <w:jc w:val="center"/>
            </w:pPr>
            <w:r w:rsidRPr="0003090B">
              <w:t>$</w:t>
            </w:r>
            <w:r w:rsidRPr="0003090B" w:rsidR="00B45963">
              <w:t>8</w:t>
            </w:r>
            <w:r w:rsidRPr="0003090B" w:rsidR="00627558">
              <w:t>,966</w:t>
            </w:r>
          </w:p>
        </w:tc>
      </w:tr>
      <w:tr w14:paraId="10756415" w14:textId="77777777" w:rsidTr="0003090B">
        <w:tblPrEx>
          <w:tblW w:w="9247" w:type="dxa"/>
          <w:tblInd w:w="108" w:type="dxa"/>
          <w:tblLayout w:type="fixed"/>
          <w:tblCellMar>
            <w:left w:w="0" w:type="dxa"/>
            <w:right w:w="0" w:type="dxa"/>
          </w:tblCellMar>
          <w:tblLook w:val="04A0"/>
        </w:tblPrEx>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AA3" w:rsidRPr="0003090B" w:rsidP="00A64AE0" w14:paraId="6382DF69" w14:textId="008EF72F">
            <w:pPr>
              <w:numPr>
                <w:ilvl w:val="0"/>
                <w:numId w:val="37"/>
              </w:numPr>
              <w:rPr>
                <w:bCs/>
                <w:color w:val="000000"/>
              </w:rPr>
            </w:pPr>
            <w:r w:rsidRPr="0003090B">
              <w:rPr>
                <w:bCs/>
                <w:color w:val="000000"/>
              </w:rPr>
              <w:t xml:space="preserve">AHRQ </w:t>
            </w:r>
            <w:r w:rsidRPr="0003090B" w:rsidR="00DC387F">
              <w:rPr>
                <w:bCs/>
                <w:color w:val="000000"/>
              </w:rPr>
              <w:t xml:space="preserve">Medical Office Survey on </w:t>
            </w:r>
            <w:r w:rsidRPr="0003090B">
              <w:rPr>
                <w:bCs/>
                <w:color w:val="000000"/>
              </w:rPr>
              <w:t>Patient Safety Culture</w:t>
            </w:r>
            <w:r w:rsidRPr="0003090B" w:rsidR="00DC387F">
              <w:rPr>
                <w:bCs/>
                <w:color w:val="000000"/>
              </w:rPr>
              <w:t xml:space="preserve"> (MOSOPS)</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5AA3" w:rsidRPr="0003090B" w14:paraId="2EC1A20D" w14:textId="77777777">
            <w:pPr>
              <w:jc w:val="center"/>
            </w:pPr>
          </w:p>
        </w:tc>
        <w:tc>
          <w:tcPr>
            <w:tcW w:w="1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5AA3" w:rsidRPr="0003090B" w14:paraId="55729D92" w14:textId="77777777">
            <w:pPr>
              <w:jc w:val="center"/>
            </w:pPr>
          </w:p>
        </w:tc>
        <w:tc>
          <w:tcPr>
            <w:tcW w:w="950" w:type="dxa"/>
            <w:tcBorders>
              <w:top w:val="single" w:sz="4" w:space="0" w:color="auto"/>
              <w:left w:val="single" w:sz="4" w:space="0" w:color="auto"/>
              <w:bottom w:val="single" w:sz="4" w:space="0" w:color="auto"/>
              <w:right w:val="single" w:sz="4" w:space="0" w:color="auto"/>
            </w:tcBorders>
          </w:tcPr>
          <w:p w:rsidR="004D5AA3" w:rsidRPr="0003090B" w14:paraId="2913C381" w14:textId="77777777">
            <w:pPr>
              <w:jc w:val="center"/>
            </w:pP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5AA3" w:rsidRPr="0003090B" w14:paraId="7640010E" w14:textId="77777777">
            <w:pPr>
              <w:jc w:val="center"/>
            </w:pPr>
          </w:p>
        </w:tc>
      </w:tr>
      <w:tr w14:paraId="04FB8F92" w14:textId="77777777" w:rsidTr="0003090B">
        <w:tblPrEx>
          <w:tblW w:w="9247" w:type="dxa"/>
          <w:tblInd w:w="108" w:type="dxa"/>
          <w:tblLayout w:type="fixed"/>
          <w:tblCellMar>
            <w:left w:w="0" w:type="dxa"/>
            <w:right w:w="0" w:type="dxa"/>
          </w:tblCellMar>
          <w:tblLook w:val="04A0"/>
        </w:tblPrEx>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C387F" w:rsidRPr="0003090B" w:rsidP="00DC387F" w14:paraId="028D45FC" w14:textId="2E0B58E1">
            <w:pPr>
              <w:numPr>
                <w:ilvl w:val="1"/>
                <w:numId w:val="37"/>
              </w:numPr>
              <w:ind w:hanging="648"/>
              <w:rPr>
                <w:bCs/>
                <w:color w:val="000000"/>
              </w:rPr>
            </w:pPr>
            <w:r w:rsidRPr="0003090B">
              <w:rPr>
                <w:bCs/>
                <w:color w:val="000000"/>
              </w:rPr>
              <w:t>Physicians</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C387F" w:rsidRPr="0003090B" w:rsidP="00DC387F" w14:paraId="00C28B8C" w14:textId="0F5805FB">
            <w:pPr>
              <w:jc w:val="center"/>
            </w:pPr>
            <w:r w:rsidRPr="0003090B">
              <w:t>219</w:t>
            </w:r>
          </w:p>
        </w:tc>
        <w:tc>
          <w:tcPr>
            <w:tcW w:w="1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387F" w:rsidRPr="0003090B" w:rsidP="00DC387F" w14:paraId="427039C7" w14:textId="283509FB">
            <w:pPr>
              <w:jc w:val="center"/>
            </w:pPr>
            <w:r w:rsidRPr="0003090B">
              <w:t>219</w:t>
            </w:r>
          </w:p>
        </w:tc>
        <w:tc>
          <w:tcPr>
            <w:tcW w:w="950" w:type="dxa"/>
            <w:tcBorders>
              <w:top w:val="single" w:sz="4" w:space="0" w:color="auto"/>
              <w:left w:val="single" w:sz="4" w:space="0" w:color="auto"/>
              <w:bottom w:val="single" w:sz="4" w:space="0" w:color="auto"/>
              <w:right w:val="single" w:sz="4" w:space="0" w:color="auto"/>
            </w:tcBorders>
          </w:tcPr>
          <w:p w:rsidR="00DC387F" w:rsidRPr="0003090B" w:rsidP="00DC387F" w14:paraId="66654F71" w14:textId="167C9388">
            <w:pPr>
              <w:jc w:val="center"/>
            </w:pPr>
            <w:r w:rsidRPr="004B097F">
              <w:t>$</w:t>
            </w:r>
            <w:r w:rsidRPr="004B097F" w:rsidR="00B45963">
              <w:t>11</w:t>
            </w:r>
            <w:r w:rsidRPr="004B097F" w:rsidR="00627558">
              <w:t>9</w:t>
            </w:r>
            <w:r w:rsidRPr="004B097F" w:rsidR="00B45963">
              <w:t>.</w:t>
            </w:r>
            <w:r w:rsidRPr="004B097F" w:rsidR="00627558">
              <w:t>54</w:t>
            </w:r>
            <w:r w:rsidRPr="004B097F">
              <w:rPr>
                <w:vertAlign w:val="superscript"/>
              </w:rPr>
              <w:t>a</w:t>
            </w: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C387F" w:rsidRPr="0003090B" w:rsidP="00DC387F" w14:paraId="57A58C13" w14:textId="73AE7001">
            <w:pPr>
              <w:jc w:val="center"/>
            </w:pPr>
            <w:r w:rsidRPr="0003090B">
              <w:t>$</w:t>
            </w:r>
            <w:r w:rsidRPr="0003090B" w:rsidR="00627558">
              <w:t>26,179</w:t>
            </w:r>
          </w:p>
        </w:tc>
      </w:tr>
      <w:tr w14:paraId="55209DD6" w14:textId="77777777" w:rsidTr="0003090B">
        <w:tblPrEx>
          <w:tblW w:w="9247" w:type="dxa"/>
          <w:tblInd w:w="108" w:type="dxa"/>
          <w:tblLayout w:type="fixed"/>
          <w:tblCellMar>
            <w:left w:w="0" w:type="dxa"/>
            <w:right w:w="0" w:type="dxa"/>
          </w:tblCellMar>
          <w:tblLook w:val="04A0"/>
        </w:tblPrEx>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C387F" w:rsidRPr="0003090B" w:rsidP="00DC387F" w14:paraId="0AD1C44A" w14:textId="1A871D12">
            <w:pPr>
              <w:numPr>
                <w:ilvl w:val="1"/>
                <w:numId w:val="37"/>
              </w:numPr>
              <w:ind w:hanging="648"/>
              <w:rPr>
                <w:bCs/>
                <w:color w:val="000000"/>
              </w:rPr>
            </w:pPr>
            <w:r w:rsidRPr="0003090B">
              <w:rPr>
                <w:bCs/>
                <w:color w:val="000000"/>
              </w:rPr>
              <w:t xml:space="preserve">Other Health Practitioners </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C387F" w:rsidRPr="0003090B" w:rsidP="00DC387F" w14:paraId="2C63F49F" w14:textId="38DBC96A">
            <w:pPr>
              <w:jc w:val="center"/>
            </w:pPr>
            <w:r w:rsidRPr="0003090B">
              <w:t>219</w:t>
            </w:r>
          </w:p>
        </w:tc>
        <w:tc>
          <w:tcPr>
            <w:tcW w:w="1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387F" w:rsidRPr="0003090B" w:rsidP="00DC387F" w14:paraId="11AC31E9" w14:textId="11E89770">
            <w:pPr>
              <w:jc w:val="center"/>
            </w:pPr>
            <w:r w:rsidRPr="0003090B">
              <w:t>219</w:t>
            </w:r>
          </w:p>
        </w:tc>
        <w:tc>
          <w:tcPr>
            <w:tcW w:w="950" w:type="dxa"/>
            <w:tcBorders>
              <w:top w:val="single" w:sz="4" w:space="0" w:color="auto"/>
              <w:left w:val="single" w:sz="4" w:space="0" w:color="auto"/>
              <w:bottom w:val="single" w:sz="4" w:space="0" w:color="auto"/>
              <w:right w:val="single" w:sz="4" w:space="0" w:color="auto"/>
            </w:tcBorders>
          </w:tcPr>
          <w:p w:rsidR="00DC387F" w:rsidRPr="0003090B" w:rsidP="00DC387F" w14:paraId="16036953" w14:textId="451F839F">
            <w:pPr>
              <w:jc w:val="center"/>
            </w:pPr>
            <w:r w:rsidRPr="0003090B">
              <w:t>$</w:t>
            </w:r>
            <w:r w:rsidRPr="0003090B" w:rsidR="00B45963">
              <w:t>3</w:t>
            </w:r>
            <w:r w:rsidRPr="0003090B" w:rsidR="00627558">
              <w:t>4</w:t>
            </w:r>
            <w:r w:rsidRPr="0003090B" w:rsidR="00B45963">
              <w:t>.</w:t>
            </w:r>
            <w:r w:rsidRPr="0003090B" w:rsidR="00627558">
              <w:t>04</w:t>
            </w:r>
            <w:r w:rsidRPr="0003090B">
              <w:rPr>
                <w:vertAlign w:val="superscript"/>
              </w:rPr>
              <w:t>b</w:t>
            </w: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C387F" w:rsidRPr="0003090B" w:rsidP="00DC387F" w14:paraId="1BEC590A" w14:textId="39EA0A67">
            <w:pPr>
              <w:jc w:val="center"/>
            </w:pPr>
            <w:r w:rsidRPr="0003090B">
              <w:t>$</w:t>
            </w:r>
            <w:r w:rsidRPr="0003090B" w:rsidR="00627558">
              <w:t>7,455</w:t>
            </w:r>
          </w:p>
        </w:tc>
      </w:tr>
      <w:tr w14:paraId="1E6D9EA5" w14:textId="77777777" w:rsidTr="0003090B">
        <w:tblPrEx>
          <w:tblW w:w="9247" w:type="dxa"/>
          <w:tblInd w:w="108" w:type="dxa"/>
          <w:tblLayout w:type="fixed"/>
          <w:tblCellMar>
            <w:left w:w="0" w:type="dxa"/>
            <w:right w:w="0" w:type="dxa"/>
          </w:tblCellMar>
          <w:tblLook w:val="04A0"/>
        </w:tblPrEx>
        <w:trPr>
          <w:trHeight w:val="503"/>
        </w:trPr>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AA3" w:rsidRPr="0003090B" w:rsidP="00A64AE0" w14:paraId="62F6D78B" w14:textId="40A2EE6F">
            <w:pPr>
              <w:numPr>
                <w:ilvl w:val="0"/>
                <w:numId w:val="37"/>
              </w:numPr>
              <w:rPr>
                <w:bCs/>
                <w:color w:val="000000"/>
              </w:rPr>
            </w:pPr>
            <w:r w:rsidRPr="0003090B">
              <w:rPr>
                <w:bCs/>
                <w:color w:val="000000"/>
              </w:rPr>
              <w:t>Pa</w:t>
            </w:r>
            <w:r w:rsidRPr="0003090B" w:rsidR="00B54400">
              <w:rPr>
                <w:bCs/>
                <w:color w:val="000000"/>
              </w:rPr>
              <w:t>rticipant</w:t>
            </w:r>
            <w:r w:rsidRPr="0003090B">
              <w:rPr>
                <w:bCs/>
                <w:color w:val="000000"/>
              </w:rPr>
              <w:t xml:space="preserve"> Experience Survey</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AA3" w:rsidRPr="0003090B" w14:paraId="32B7E416" w14:textId="231529C7">
            <w:pPr>
              <w:jc w:val="center"/>
            </w:pPr>
            <w:r w:rsidRPr="0003090B">
              <w:t>188</w:t>
            </w:r>
          </w:p>
        </w:tc>
        <w:tc>
          <w:tcPr>
            <w:tcW w:w="1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5AA3" w:rsidRPr="0003090B" w14:paraId="53B5EBBE" w14:textId="67A45E54">
            <w:pPr>
              <w:jc w:val="center"/>
            </w:pPr>
            <w:r w:rsidRPr="0003090B">
              <w:t>62</w:t>
            </w:r>
          </w:p>
        </w:tc>
        <w:tc>
          <w:tcPr>
            <w:tcW w:w="950" w:type="dxa"/>
            <w:tcBorders>
              <w:top w:val="single" w:sz="4" w:space="0" w:color="auto"/>
              <w:left w:val="single" w:sz="4" w:space="0" w:color="auto"/>
              <w:bottom w:val="single" w:sz="4" w:space="0" w:color="auto"/>
              <w:right w:val="single" w:sz="4" w:space="0" w:color="auto"/>
            </w:tcBorders>
          </w:tcPr>
          <w:p w:rsidR="004D5AA3" w:rsidRPr="0003090B" w14:paraId="0521CA5E" w14:textId="1454DF25">
            <w:pPr>
              <w:jc w:val="center"/>
            </w:pPr>
            <w:r w:rsidRPr="004B097F">
              <w:t>$</w:t>
            </w:r>
            <w:r w:rsidRPr="004B097F" w:rsidR="00B45963">
              <w:t>11</w:t>
            </w:r>
            <w:r w:rsidRPr="004B097F" w:rsidR="00627558">
              <w:t>9</w:t>
            </w:r>
            <w:r w:rsidRPr="004B097F" w:rsidR="00B45963">
              <w:t>.</w:t>
            </w:r>
            <w:r w:rsidRPr="004B097F" w:rsidR="00627558">
              <w:t>54</w:t>
            </w:r>
            <w:r w:rsidRPr="004B097F">
              <w:rPr>
                <w:vertAlign w:val="superscript"/>
              </w:rPr>
              <w:t>a</w:t>
            </w: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AA3" w:rsidRPr="0003090B" w14:paraId="7C5D32AA" w14:textId="6961379E">
            <w:pPr>
              <w:jc w:val="center"/>
            </w:pPr>
            <w:r w:rsidRPr="0003090B">
              <w:t>$</w:t>
            </w:r>
            <w:r w:rsidRPr="0003090B" w:rsidR="00627558">
              <w:t>7,411</w:t>
            </w:r>
          </w:p>
        </w:tc>
      </w:tr>
      <w:tr w14:paraId="546540B5" w14:textId="77777777" w:rsidTr="0003090B">
        <w:tblPrEx>
          <w:tblW w:w="9247" w:type="dxa"/>
          <w:tblInd w:w="108" w:type="dxa"/>
          <w:tblLayout w:type="fixed"/>
          <w:tblCellMar>
            <w:left w:w="0" w:type="dxa"/>
            <w:right w:w="0" w:type="dxa"/>
          </w:tblCellMar>
          <w:tblLook w:val="04A0"/>
        </w:tblPrEx>
        <w:trPr>
          <w:trHeight w:val="503"/>
        </w:trPr>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AA3" w:rsidRPr="0003090B" w:rsidP="00A64AE0" w14:paraId="6E6BCF38" w14:textId="5A8CB16D">
            <w:pPr>
              <w:numPr>
                <w:ilvl w:val="0"/>
                <w:numId w:val="37"/>
              </w:numPr>
              <w:rPr>
                <w:bCs/>
                <w:color w:val="000000"/>
              </w:rPr>
            </w:pPr>
            <w:r w:rsidRPr="0003090B">
              <w:rPr>
                <w:bCs/>
                <w:color w:val="000000"/>
              </w:rPr>
              <w:t>Semi-structured qualitative interviews</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AA3" w:rsidRPr="0003090B" w14:paraId="38F988C9" w14:textId="081AF701">
            <w:pPr>
              <w:jc w:val="center"/>
            </w:pPr>
            <w:r w:rsidRPr="0003090B">
              <w:t>18</w:t>
            </w:r>
          </w:p>
        </w:tc>
        <w:tc>
          <w:tcPr>
            <w:tcW w:w="1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5AA3" w:rsidRPr="0003090B" w14:paraId="58016128" w14:textId="322C3FF3">
            <w:pPr>
              <w:jc w:val="center"/>
            </w:pPr>
            <w:r w:rsidRPr="0003090B">
              <w:t>18</w:t>
            </w:r>
          </w:p>
        </w:tc>
        <w:tc>
          <w:tcPr>
            <w:tcW w:w="950" w:type="dxa"/>
            <w:tcBorders>
              <w:top w:val="single" w:sz="4" w:space="0" w:color="auto"/>
              <w:left w:val="single" w:sz="4" w:space="0" w:color="auto"/>
              <w:bottom w:val="single" w:sz="4" w:space="0" w:color="auto"/>
              <w:right w:val="single" w:sz="4" w:space="0" w:color="auto"/>
            </w:tcBorders>
          </w:tcPr>
          <w:p w:rsidR="004D5AA3" w:rsidRPr="004B097F" w14:paraId="47F92914" w14:textId="3C88F593">
            <w:pPr>
              <w:jc w:val="center"/>
            </w:pPr>
            <w:bookmarkStart w:id="83" w:name="OLE_LINK37"/>
            <w:r w:rsidRPr="004B097F">
              <w:t>$</w:t>
            </w:r>
            <w:r w:rsidRPr="004B097F" w:rsidR="00B45963">
              <w:t>11</w:t>
            </w:r>
            <w:r w:rsidRPr="004B097F" w:rsidR="00627558">
              <w:t>9</w:t>
            </w:r>
            <w:r w:rsidRPr="004B097F" w:rsidR="00B45963">
              <w:t>.</w:t>
            </w:r>
            <w:r w:rsidRPr="004B097F" w:rsidR="00627558">
              <w:t>54</w:t>
            </w:r>
            <w:r w:rsidRPr="004B097F">
              <w:rPr>
                <w:vertAlign w:val="superscript"/>
              </w:rPr>
              <w:t>a</w:t>
            </w:r>
            <w:bookmarkEnd w:id="83"/>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AA3" w:rsidRPr="004B097F" w14:paraId="3CA9AD2C" w14:textId="2F639F82">
            <w:pPr>
              <w:jc w:val="center"/>
            </w:pPr>
            <w:r w:rsidRPr="004B097F">
              <w:t>$</w:t>
            </w:r>
            <w:r w:rsidRPr="004B097F" w:rsidR="00B45963">
              <w:t>2</w:t>
            </w:r>
            <w:r w:rsidRPr="004B097F" w:rsidR="00627558">
              <w:t>,152</w:t>
            </w:r>
          </w:p>
        </w:tc>
      </w:tr>
      <w:tr w14:paraId="28CAE136" w14:textId="77777777" w:rsidTr="0003090B">
        <w:tblPrEx>
          <w:tblW w:w="9247" w:type="dxa"/>
          <w:tblInd w:w="108" w:type="dxa"/>
          <w:tblLayout w:type="fixed"/>
          <w:tblCellMar>
            <w:left w:w="0" w:type="dxa"/>
            <w:right w:w="0" w:type="dxa"/>
          </w:tblCellMar>
          <w:tblLook w:val="04A0"/>
        </w:tblPrEx>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AA3" w:rsidRPr="0003090B" w:rsidP="00A64AE0" w14:paraId="27923D19" w14:textId="16540522">
            <w:pPr>
              <w:numPr>
                <w:ilvl w:val="0"/>
                <w:numId w:val="37"/>
              </w:numPr>
            </w:pPr>
            <w:r w:rsidRPr="0003090B">
              <w:t>EHR data (</w:t>
            </w:r>
            <w:r w:rsidRPr="0003090B" w:rsidR="000479BA">
              <w:t xml:space="preserve">Improving </w:t>
            </w:r>
            <w:r w:rsidRPr="0003090B">
              <w:t>A</w:t>
            </w:r>
            <w:r w:rsidRPr="0003090B" w:rsidR="000479BA">
              <w:t xml:space="preserve">ntibiotic </w:t>
            </w:r>
            <w:r w:rsidRPr="0003090B" w:rsidR="00866AC0">
              <w:t>U</w:t>
            </w:r>
            <w:r w:rsidRPr="0003090B" w:rsidR="000479BA">
              <w:t>se</w:t>
            </w:r>
            <w:r w:rsidRPr="0003090B">
              <w:t xml:space="preserve"> </w:t>
            </w:r>
            <w:r w:rsidRPr="0003090B" w:rsidR="00732FB9">
              <w:t>c</w:t>
            </w:r>
            <w:r w:rsidRPr="0003090B">
              <w:t>ohort</w:t>
            </w:r>
            <w:r w:rsidRPr="0003090B" w:rsidR="00A3675B">
              <w:t xml:space="preserve"> only</w:t>
            </w:r>
            <w:r w:rsidRPr="0003090B">
              <w: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AA3" w:rsidRPr="0003090B" w14:paraId="303EAC6B" w14:textId="137D6B34">
            <w:pPr>
              <w:jc w:val="center"/>
            </w:pPr>
            <w:r w:rsidRPr="0003090B">
              <w:t>225</w:t>
            </w:r>
          </w:p>
        </w:tc>
        <w:tc>
          <w:tcPr>
            <w:tcW w:w="1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5AA3" w:rsidRPr="0003090B" w14:paraId="6F695185" w14:textId="6B60E56F">
            <w:pPr>
              <w:jc w:val="center"/>
            </w:pPr>
            <w:r w:rsidRPr="0003090B">
              <w:t>4,050</w:t>
            </w:r>
          </w:p>
        </w:tc>
        <w:tc>
          <w:tcPr>
            <w:tcW w:w="950" w:type="dxa"/>
            <w:tcBorders>
              <w:top w:val="single" w:sz="4" w:space="0" w:color="auto"/>
              <w:left w:val="single" w:sz="4" w:space="0" w:color="auto"/>
              <w:bottom w:val="single" w:sz="4" w:space="0" w:color="auto"/>
              <w:right w:val="single" w:sz="4" w:space="0" w:color="auto"/>
            </w:tcBorders>
          </w:tcPr>
          <w:p w:rsidR="004D5AA3" w:rsidRPr="0003090B" w14:paraId="3669548D" w14:textId="59A7C3F5">
            <w:pPr>
              <w:jc w:val="center"/>
              <w:rPr>
                <w:bCs/>
                <w:color w:val="000000"/>
              </w:rPr>
            </w:pPr>
            <w:bookmarkStart w:id="84" w:name="OLE_LINK52"/>
            <w:r w:rsidRPr="0003090B">
              <w:t>$</w:t>
            </w:r>
            <w:r w:rsidRPr="0003090B" w:rsidR="00022576">
              <w:t>76.79</w:t>
            </w:r>
            <w:bookmarkEnd w:id="84"/>
            <w:r w:rsidRPr="0003090B" w:rsidR="00022576">
              <w:rPr>
                <w:vertAlign w:val="superscript"/>
              </w:rPr>
              <w:t>c</w:t>
            </w: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AA3" w:rsidRPr="0003090B" w14:paraId="01DD7B2B" w14:textId="61235629">
            <w:pPr>
              <w:jc w:val="center"/>
            </w:pPr>
            <w:r w:rsidRPr="0003090B">
              <w:t>$</w:t>
            </w:r>
            <w:r w:rsidRPr="0003090B" w:rsidR="00022576">
              <w:t>311,000</w:t>
            </w:r>
          </w:p>
        </w:tc>
      </w:tr>
      <w:bookmarkEnd w:id="81"/>
      <w:tr w14:paraId="2704B000" w14:textId="77777777" w:rsidTr="0003090B">
        <w:tblPrEx>
          <w:tblW w:w="9247" w:type="dxa"/>
          <w:tblInd w:w="108" w:type="dxa"/>
          <w:tblLayout w:type="fixed"/>
          <w:tblCellMar>
            <w:left w:w="0" w:type="dxa"/>
            <w:right w:w="0" w:type="dxa"/>
          </w:tblCellMar>
          <w:tblLook w:val="04A0"/>
        </w:tblPrEx>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AA3" w:rsidRPr="0003090B" w14:paraId="0A2E9E21" w14:textId="77777777">
            <w:pPr>
              <w:rPr>
                <w:b/>
              </w:rPr>
            </w:pPr>
            <w:r w:rsidRPr="0003090B">
              <w:rPr>
                <w:b/>
              </w:rPr>
              <w:t>Total</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5AA3" w:rsidRPr="0003090B" w14:paraId="3975035F" w14:textId="3AAF8540">
            <w:pPr>
              <w:jc w:val="center"/>
              <w:rPr>
                <w:b/>
              </w:rPr>
            </w:pPr>
            <w:r w:rsidRPr="0003090B">
              <w:rPr>
                <w:b/>
              </w:rPr>
              <w:t>1</w:t>
            </w:r>
            <w:r w:rsidRPr="0003090B" w:rsidR="00AB298E">
              <w:rPr>
                <w:b/>
              </w:rPr>
              <w:t>,</w:t>
            </w:r>
            <w:r w:rsidRPr="0003090B">
              <w:rPr>
                <w:b/>
              </w:rPr>
              <w:t>056</w:t>
            </w:r>
          </w:p>
        </w:tc>
        <w:tc>
          <w:tcPr>
            <w:tcW w:w="1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5AA3" w:rsidRPr="0003090B" w14:paraId="590F33DE" w14:textId="1BCA8DE7">
            <w:pPr>
              <w:jc w:val="center"/>
              <w:rPr>
                <w:b/>
              </w:rPr>
            </w:pPr>
            <w:r w:rsidRPr="0003090B">
              <w:rPr>
                <w:b/>
              </w:rPr>
              <w:t>4,643</w:t>
            </w:r>
          </w:p>
        </w:tc>
        <w:tc>
          <w:tcPr>
            <w:tcW w:w="950" w:type="dxa"/>
            <w:tcBorders>
              <w:top w:val="single" w:sz="4" w:space="0" w:color="auto"/>
              <w:left w:val="single" w:sz="4" w:space="0" w:color="auto"/>
              <w:bottom w:val="single" w:sz="4" w:space="0" w:color="auto"/>
              <w:right w:val="single" w:sz="4" w:space="0" w:color="auto"/>
            </w:tcBorders>
          </w:tcPr>
          <w:p w:rsidR="004D5AA3" w:rsidRPr="0003090B" w14:paraId="3745BC1E" w14:textId="77777777">
            <w:pPr>
              <w:jc w:val="center"/>
              <w:rPr>
                <w:b/>
                <w:bCs/>
                <w:color w:val="000000"/>
              </w:rPr>
            </w:pP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AA3" w:rsidRPr="0003090B" w14:paraId="094E9707" w14:textId="2B90F77C">
            <w:pPr>
              <w:jc w:val="center"/>
              <w:rPr>
                <w:b/>
              </w:rPr>
            </w:pPr>
            <w:r w:rsidRPr="0003090B">
              <w:rPr>
                <w:b/>
              </w:rPr>
              <w:t>$</w:t>
            </w:r>
            <w:r w:rsidRPr="0003090B" w:rsidR="00022576">
              <w:rPr>
                <w:b/>
              </w:rPr>
              <w:t>366,163</w:t>
            </w:r>
          </w:p>
        </w:tc>
      </w:tr>
    </w:tbl>
    <w:bookmarkEnd w:id="80"/>
    <w:p w:rsidR="00A64AE0" w:rsidP="00A64AE0" w14:paraId="79E0BC46" w14:textId="60D1BE11">
      <w:pPr>
        <w:rPr>
          <w:sz w:val="20"/>
          <w:szCs w:val="20"/>
        </w:rPr>
      </w:pPr>
      <w:r w:rsidRPr="00737505">
        <w:rPr>
          <w:sz w:val="20"/>
          <w:szCs w:val="20"/>
        </w:rPr>
        <w:t>**</w:t>
      </w:r>
      <w:r w:rsidRPr="00737505" w:rsidR="00DC387F">
        <w:rPr>
          <w:sz w:val="20"/>
          <w:szCs w:val="20"/>
        </w:rPr>
        <w:t xml:space="preserve"> </w:t>
      </w:r>
      <w:bookmarkStart w:id="85" w:name="OLE_LINK26"/>
      <w:r w:rsidRPr="00737505" w:rsidR="00DC387F">
        <w:rPr>
          <w:sz w:val="20"/>
          <w:szCs w:val="20"/>
        </w:rPr>
        <w:t xml:space="preserve">Annualized number of respondents is based on maximum practices recruited, assuming 50% of the practices are telemedicine-only and 50% are brick-and-mortar, and 75% response rate for forms 1 and 3, 50% response rate for form 2, and 90% response rate for forms </w:t>
      </w:r>
      <w:r w:rsidRPr="00737505" w:rsidR="0085141D">
        <w:rPr>
          <w:sz w:val="20"/>
          <w:szCs w:val="20"/>
        </w:rPr>
        <w:t xml:space="preserve">4 and </w:t>
      </w:r>
      <w:r w:rsidRPr="00737505" w:rsidR="00DC387F">
        <w:rPr>
          <w:sz w:val="20"/>
          <w:szCs w:val="20"/>
        </w:rPr>
        <w:t>5</w:t>
      </w:r>
      <w:r w:rsidRPr="00737505">
        <w:rPr>
          <w:sz w:val="20"/>
          <w:szCs w:val="20"/>
        </w:rPr>
        <w:t>.</w:t>
      </w:r>
      <w:bookmarkEnd w:id="85"/>
    </w:p>
    <w:p w:rsidR="00B51378" w:rsidRPr="004D5AA3" w:rsidP="00B51378" w14:paraId="3DA3C630" w14:textId="2C0FE60C">
      <w:pPr>
        <w:rPr>
          <w:sz w:val="20"/>
          <w:szCs w:val="20"/>
        </w:rPr>
      </w:pPr>
      <w:r w:rsidRPr="004D5AA3">
        <w:rPr>
          <w:sz w:val="20"/>
          <w:szCs w:val="20"/>
        </w:rPr>
        <w:t>*</w:t>
      </w:r>
      <w:r w:rsidR="00A64AE0">
        <w:rPr>
          <w:sz w:val="20"/>
          <w:szCs w:val="20"/>
        </w:rPr>
        <w:t>*</w:t>
      </w:r>
      <w:r w:rsidRPr="004D5AA3">
        <w:rPr>
          <w:sz w:val="20"/>
          <w:szCs w:val="20"/>
        </w:rPr>
        <w:t xml:space="preserve">National Compensation Survey: Occupational wages in the United States </w:t>
      </w:r>
      <w:r w:rsidRPr="00737505">
        <w:rPr>
          <w:sz w:val="20"/>
          <w:szCs w:val="20"/>
        </w:rPr>
        <w:t>May 2</w:t>
      </w:r>
      <w:r w:rsidRPr="00737505" w:rsidR="00B476D5">
        <w:rPr>
          <w:sz w:val="20"/>
          <w:szCs w:val="20"/>
        </w:rPr>
        <w:t>02</w:t>
      </w:r>
      <w:r w:rsidRPr="00737505" w:rsidR="009F6BE7">
        <w:rPr>
          <w:sz w:val="20"/>
          <w:szCs w:val="20"/>
        </w:rPr>
        <w:t>3</w:t>
      </w:r>
      <w:r w:rsidR="004D5AA3">
        <w:rPr>
          <w:sz w:val="20"/>
          <w:szCs w:val="20"/>
        </w:rPr>
        <w:t xml:space="preserve"> </w:t>
      </w:r>
      <w:r w:rsidRPr="004D5AA3">
        <w:rPr>
          <w:sz w:val="20"/>
          <w:szCs w:val="20"/>
        </w:rPr>
        <w:t xml:space="preserve">“U.S. Department of Labor, Bureau of Labor Statistics:” </w:t>
      </w:r>
      <w:bookmarkStart w:id="86" w:name="OLE_LINK27"/>
      <w:bookmarkStart w:id="87" w:name="OLE_LINK6"/>
      <w:bookmarkStart w:id="88" w:name="OLE_LINK10"/>
      <w:hyperlink r:id="rId11" w:history="1">
        <w:r w:rsidRPr="00591DAB" w:rsidR="008E1225">
          <w:rPr>
            <w:rStyle w:val="Hyperlink"/>
            <w:sz w:val="20"/>
            <w:szCs w:val="20"/>
          </w:rPr>
          <w:t>https://www.bls.gov/oes/current/oes_stru.htm</w:t>
        </w:r>
      </w:hyperlink>
      <w:r w:rsidR="008E1225">
        <w:rPr>
          <w:sz w:val="20"/>
          <w:szCs w:val="20"/>
        </w:rPr>
        <w:t xml:space="preserve"> </w:t>
      </w:r>
      <w:r w:rsidRPr="00780223" w:rsidR="00780223">
        <w:rPr>
          <w:sz w:val="20"/>
          <w:szCs w:val="20"/>
        </w:rPr>
        <w:t xml:space="preserve"> </w:t>
      </w:r>
      <w:bookmarkEnd w:id="86"/>
      <w:bookmarkEnd w:id="87"/>
      <w:bookmarkEnd w:id="88"/>
    </w:p>
    <w:p w:rsidR="00B51378" w:rsidRPr="004D5AA3" w:rsidP="00B51378" w14:paraId="4EF6E38C" w14:textId="24BDA3FC">
      <w:pPr>
        <w:rPr>
          <w:i/>
          <w:sz w:val="20"/>
          <w:szCs w:val="20"/>
        </w:rPr>
      </w:pPr>
      <w:r w:rsidRPr="004B097F">
        <w:rPr>
          <w:sz w:val="20"/>
          <w:szCs w:val="20"/>
          <w:vertAlign w:val="superscript"/>
        </w:rPr>
        <w:t>a</w:t>
      </w:r>
      <w:r w:rsidRPr="004B097F">
        <w:rPr>
          <w:b/>
          <w:sz w:val="20"/>
          <w:szCs w:val="20"/>
        </w:rPr>
        <w:t xml:space="preserve"> </w:t>
      </w:r>
      <w:r w:rsidRPr="004B097F">
        <w:rPr>
          <w:sz w:val="20"/>
          <w:szCs w:val="20"/>
        </w:rPr>
        <w:t xml:space="preserve">Based on the mean wages for </w:t>
      </w:r>
      <w:r w:rsidRPr="004B097F">
        <w:rPr>
          <w:i/>
          <w:sz w:val="20"/>
          <w:szCs w:val="20"/>
        </w:rPr>
        <w:t>29-1</w:t>
      </w:r>
      <w:r w:rsidRPr="004B097F" w:rsidR="004B097F">
        <w:rPr>
          <w:i/>
          <w:sz w:val="20"/>
          <w:szCs w:val="20"/>
        </w:rPr>
        <w:t>29</w:t>
      </w:r>
      <w:r w:rsidRPr="004B097F">
        <w:rPr>
          <w:i/>
          <w:sz w:val="20"/>
          <w:szCs w:val="20"/>
        </w:rPr>
        <w:t>9 Physicians, All Other</w:t>
      </w:r>
    </w:p>
    <w:p w:rsidR="00B51378" w:rsidP="00B51378" w14:paraId="70844FF7" w14:textId="77777777">
      <w:pPr>
        <w:rPr>
          <w:i/>
          <w:sz w:val="20"/>
          <w:szCs w:val="20"/>
        </w:rPr>
      </w:pPr>
      <w:r w:rsidRPr="004D5AA3">
        <w:rPr>
          <w:sz w:val="20"/>
          <w:szCs w:val="20"/>
          <w:vertAlign w:val="superscript"/>
        </w:rPr>
        <w:t>b</w:t>
      </w:r>
      <w:r w:rsidRPr="004D5AA3">
        <w:rPr>
          <w:sz w:val="20"/>
          <w:szCs w:val="20"/>
        </w:rPr>
        <w:t xml:space="preserve"> Based on the mean wages for </w:t>
      </w:r>
      <w:r w:rsidRPr="004D5AA3">
        <w:rPr>
          <w:i/>
          <w:sz w:val="20"/>
          <w:szCs w:val="20"/>
        </w:rPr>
        <w:t>29-9099 Miscellaneous Health Practitioners and Technical Workers: Healthcare Practitioners and Technical Workers, All Other</w:t>
      </w:r>
    </w:p>
    <w:p w:rsidR="00022576" w:rsidRPr="004D5AA3" w:rsidP="00B51378" w14:paraId="07302DF6" w14:textId="503E97AD">
      <w:pPr>
        <w:rPr>
          <w:sz w:val="20"/>
          <w:szCs w:val="20"/>
        </w:rPr>
      </w:pPr>
      <w:r w:rsidRPr="00737505">
        <w:rPr>
          <w:sz w:val="20"/>
          <w:szCs w:val="20"/>
          <w:vertAlign w:val="superscript"/>
        </w:rPr>
        <w:t>c</w:t>
      </w:r>
      <w:r>
        <w:rPr>
          <w:sz w:val="20"/>
          <w:szCs w:val="20"/>
        </w:rPr>
        <w:t xml:space="preserve"> </w:t>
      </w:r>
      <w:r w:rsidRPr="00022576">
        <w:rPr>
          <w:sz w:val="20"/>
          <w:szCs w:val="20"/>
        </w:rPr>
        <w:t xml:space="preserve">Based on an average of the mean wages for </w:t>
      </w:r>
      <w:r w:rsidRPr="00737505">
        <w:rPr>
          <w:i/>
          <w:iCs/>
          <w:sz w:val="20"/>
          <w:szCs w:val="20"/>
        </w:rPr>
        <w:t>29-1</w:t>
      </w:r>
      <w:r w:rsidR="004B097F">
        <w:rPr>
          <w:i/>
          <w:iCs/>
          <w:sz w:val="20"/>
          <w:szCs w:val="20"/>
        </w:rPr>
        <w:t>29</w:t>
      </w:r>
      <w:r w:rsidRPr="00737505">
        <w:rPr>
          <w:i/>
          <w:iCs/>
          <w:sz w:val="20"/>
          <w:szCs w:val="20"/>
        </w:rPr>
        <w:t>9 Physicians, All Other</w:t>
      </w:r>
      <w:r w:rsidRPr="00022576">
        <w:rPr>
          <w:sz w:val="20"/>
          <w:szCs w:val="20"/>
        </w:rPr>
        <w:t xml:space="preserve"> and </w:t>
      </w:r>
      <w:r w:rsidRPr="00737505">
        <w:rPr>
          <w:i/>
          <w:iCs/>
          <w:sz w:val="20"/>
          <w:szCs w:val="20"/>
        </w:rPr>
        <w:t>29-9099 Miscellaneous Health Practitioners and Technical Workers: Healthcare Practitioners and Technical Workers, All Other</w:t>
      </w:r>
    </w:p>
    <w:p w:rsidR="009B633D" w:rsidRPr="004D5AA3" w:rsidP="009B633D" w14:paraId="1EFCBC54" w14:textId="77777777">
      <w:pPr>
        <w:pStyle w:val="Heading2"/>
        <w:rPr>
          <w:sz w:val="24"/>
          <w:szCs w:val="24"/>
        </w:rPr>
      </w:pPr>
      <w:bookmarkStart w:id="89" w:name="_Toc151782188"/>
      <w:bookmarkStart w:id="90" w:name="_Toc158526228"/>
      <w:bookmarkStart w:id="91" w:name="_Toc160095523"/>
      <w:bookmarkEnd w:id="70"/>
      <w:bookmarkEnd w:id="79"/>
      <w:r w:rsidRPr="004D5AA3">
        <w:rPr>
          <w:sz w:val="24"/>
          <w:szCs w:val="24"/>
        </w:rPr>
        <w:t xml:space="preserve">13. Estimates of Annualized Respondent Capital and </w:t>
      </w:r>
      <w:r w:rsidRPr="004D5AA3">
        <w:rPr>
          <w:sz w:val="24"/>
          <w:szCs w:val="24"/>
        </w:rPr>
        <w:t>Maintenance Costs</w:t>
      </w:r>
      <w:bookmarkEnd w:id="89"/>
      <w:bookmarkEnd w:id="90"/>
      <w:bookmarkEnd w:id="91"/>
    </w:p>
    <w:p w:rsidR="00E14FC3" w:rsidRPr="00010908" w:rsidP="00C205C8" w14:paraId="60D1B742" w14:textId="77777777">
      <w:pPr>
        <w:spacing w:before="120"/>
      </w:pPr>
      <w:r w:rsidRPr="00010908">
        <w:t xml:space="preserve">Capital and maintenance costs include the purchase of </w:t>
      </w:r>
      <w:r w:rsidRPr="00010908" w:rsidR="00C205C8">
        <w:t xml:space="preserve">equipment, </w:t>
      </w:r>
      <w:r w:rsidRPr="00010908">
        <w:t>computer</w:t>
      </w:r>
      <w:r w:rsidRPr="00010908" w:rsidR="00C205C8">
        <w:t>s or computer software or services, or storage facilities for records, as a result of complying with this data collection.</w:t>
      </w:r>
      <w:r w:rsidRPr="00010908" w:rsidR="00C205C8">
        <w:rPr>
          <w:i/>
        </w:rPr>
        <w:t xml:space="preserve"> </w:t>
      </w:r>
      <w:r w:rsidRPr="00010908" w:rsidR="00C205C8">
        <w:t>T</w:t>
      </w:r>
      <w:r w:rsidRPr="00010908" w:rsidR="0080612B">
        <w:t xml:space="preserve">here are no direct costs to respondents other than their time to participate in the </w:t>
      </w:r>
      <w:r w:rsidR="00D54F66">
        <w:t>program</w:t>
      </w:r>
      <w:r w:rsidRPr="00010908" w:rsidR="0080612B">
        <w:t>.</w:t>
      </w:r>
    </w:p>
    <w:p w:rsidR="009B633D" w:rsidRPr="00740FF6" w:rsidP="009B633D" w14:paraId="68704986" w14:textId="77777777">
      <w:pPr>
        <w:pStyle w:val="Heading2"/>
        <w:rPr>
          <w:sz w:val="24"/>
          <w:szCs w:val="24"/>
        </w:rPr>
      </w:pPr>
      <w:bookmarkStart w:id="92" w:name="_Toc58725299"/>
      <w:bookmarkStart w:id="93" w:name="_Toc151782189"/>
      <w:bookmarkStart w:id="94" w:name="_Toc158526229"/>
      <w:bookmarkStart w:id="95" w:name="_Toc160095524"/>
      <w:bookmarkStart w:id="96" w:name="OLE_LINK8"/>
      <w:r w:rsidRPr="0086609E">
        <w:rPr>
          <w:sz w:val="24"/>
          <w:szCs w:val="24"/>
        </w:rPr>
        <w:t xml:space="preserve">14. Estimates of </w:t>
      </w:r>
      <w:r w:rsidRPr="0086609E" w:rsidR="00DA79B5">
        <w:rPr>
          <w:sz w:val="24"/>
          <w:szCs w:val="24"/>
        </w:rPr>
        <w:t xml:space="preserve">Total and </w:t>
      </w:r>
      <w:r w:rsidRPr="0086609E">
        <w:rPr>
          <w:sz w:val="24"/>
          <w:szCs w:val="24"/>
        </w:rPr>
        <w:t>Annualized Cost to the Government</w:t>
      </w:r>
      <w:bookmarkEnd w:id="92"/>
      <w:bookmarkEnd w:id="93"/>
      <w:bookmarkEnd w:id="94"/>
      <w:bookmarkEnd w:id="95"/>
    </w:p>
    <w:p w:rsidR="00D57118" w:rsidRPr="00010908" w:rsidP="00D57118" w14:paraId="36C17EC2" w14:textId="43C14FB7">
      <w:bookmarkStart w:id="97" w:name="_Toc151782190"/>
      <w:bookmarkStart w:id="98" w:name="_Toc158526230"/>
      <w:r w:rsidRPr="00010908">
        <w:t>Exhibit</w:t>
      </w:r>
      <w:r w:rsidR="00C77CB9">
        <w:t>s</w:t>
      </w:r>
      <w:r w:rsidRPr="00010908">
        <w:t xml:space="preserve"> 3</w:t>
      </w:r>
      <w:r w:rsidR="006F462D">
        <w:t>a</w:t>
      </w:r>
      <w:r w:rsidRPr="00010908">
        <w:t xml:space="preserve"> and </w:t>
      </w:r>
      <w:r w:rsidR="006F462D">
        <w:t>3b</w:t>
      </w:r>
      <w:r w:rsidRPr="00010908">
        <w:t xml:space="preserve"> show the estimated annualized cost to the government for the contractors and government personnel. The cost is estimated to be $</w:t>
      </w:r>
      <w:r w:rsidR="00CA7D4F">
        <w:t>584,877</w:t>
      </w:r>
      <w:r w:rsidRPr="00010908">
        <w:t xml:space="preserve"> annually.</w:t>
      </w:r>
    </w:p>
    <w:p w:rsidR="00D65943" w:rsidRPr="00010908" w:rsidP="00012FB9" w14:paraId="3828B397" w14:textId="77777777">
      <w:pPr>
        <w:rPr>
          <w:b/>
          <w:bCs/>
          <w:color w:val="000000"/>
        </w:rPr>
      </w:pPr>
    </w:p>
    <w:p w:rsidR="00980528" w:rsidRPr="00010908" w:rsidP="00980528" w14:paraId="0C7E7CE7" w14:textId="77777777">
      <w:r w:rsidRPr="00010908">
        <w:t xml:space="preserve">The costs associated with the data collection activities for the </w:t>
      </w:r>
      <w:r w:rsidR="00D54F66">
        <w:t>program</w:t>
      </w:r>
      <w:r w:rsidRPr="00010908" w:rsidR="00D54F66">
        <w:t xml:space="preserve"> </w:t>
      </w:r>
      <w:r w:rsidRPr="00010908">
        <w:t xml:space="preserve">include the contractor </w:t>
      </w:r>
      <w:r w:rsidR="00D54F66">
        <w:t>program</w:t>
      </w:r>
      <w:r w:rsidRPr="00010908" w:rsidR="00D54F66">
        <w:t xml:space="preserve"> </w:t>
      </w:r>
      <w:r w:rsidRPr="00010908">
        <w:t>deve</w:t>
      </w:r>
      <w:r w:rsidRPr="00010908">
        <w:t xml:space="preserve">lopment costs and project management costs, as well as the costs to design the data collection protocols, develop and host an online data collection platform, develop and program the online instruments, </w:t>
      </w:r>
      <w:r w:rsidR="008E0BC9">
        <w:t xml:space="preserve">and </w:t>
      </w:r>
      <w:r w:rsidRPr="00010908">
        <w:t xml:space="preserve">provide technical assistance and support to </w:t>
      </w:r>
      <w:r w:rsidR="009C031E">
        <w:t>practices</w:t>
      </w:r>
      <w:r w:rsidRPr="00010908">
        <w:t xml:space="preserve"> for submission of data, data processing, and data analysis.  </w:t>
      </w:r>
    </w:p>
    <w:bookmarkEnd w:id="96"/>
    <w:p w:rsidR="00980528" w:rsidRPr="0003090B" w:rsidP="00980528" w14:paraId="6B8A639C" w14:textId="77777777">
      <w:pPr>
        <w:rPr>
          <w:color w:val="1F497D"/>
        </w:rPr>
      </w:pPr>
    </w:p>
    <w:p w:rsidR="00980528" w:rsidRPr="0003090B" w:rsidP="00980528" w14:paraId="371C52A1" w14:textId="02C242A0">
      <w:bookmarkStart w:id="99" w:name="OLE_LINK7"/>
      <w:r w:rsidRPr="0003090B">
        <w:rPr>
          <w:b/>
          <w:bCs/>
          <w:color w:val="000000"/>
        </w:rPr>
        <w:t xml:space="preserve">Exhibit </w:t>
      </w:r>
      <w:r w:rsidRPr="0003090B" w:rsidR="008E0BC9">
        <w:rPr>
          <w:b/>
          <w:bCs/>
          <w:color w:val="000000"/>
        </w:rPr>
        <w:t>3</w:t>
      </w:r>
      <w:r w:rsidRPr="0003090B" w:rsidR="006F462D">
        <w:rPr>
          <w:b/>
          <w:bCs/>
          <w:color w:val="000000"/>
        </w:rPr>
        <w:t>a</w:t>
      </w:r>
      <w:r w:rsidRPr="0003090B" w:rsidR="00740FF6">
        <w:rPr>
          <w:b/>
          <w:bCs/>
          <w:color w:val="000000"/>
        </w:rPr>
        <w:t>.</w:t>
      </w:r>
      <w:r w:rsidRPr="0003090B">
        <w:rPr>
          <w:b/>
          <w:bCs/>
          <w:color w:val="000000"/>
        </w:rPr>
        <w:t xml:space="preserve"> Estimated Total and Annualized Cost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00"/>
        <w:gridCol w:w="1440"/>
        <w:gridCol w:w="1980"/>
      </w:tblGrid>
      <w:tr w14:paraId="252498F3" w14:textId="77777777" w:rsidTr="00DD03B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3600" w:type="dxa"/>
            <w:tcMar>
              <w:top w:w="0" w:type="dxa"/>
              <w:left w:w="108" w:type="dxa"/>
              <w:bottom w:w="0" w:type="dxa"/>
              <w:right w:w="108" w:type="dxa"/>
            </w:tcMar>
            <w:vAlign w:val="bottom"/>
            <w:hideMark/>
          </w:tcPr>
          <w:p w:rsidR="00980528" w:rsidRPr="0003090B" w:rsidP="006D7C70" w14:paraId="549AC72C" w14:textId="77777777">
            <w:bookmarkStart w:id="100" w:name="_Hlk109227565"/>
            <w:r w:rsidRPr="0003090B">
              <w:rPr>
                <w:b/>
                <w:bCs/>
                <w:color w:val="000000"/>
              </w:rPr>
              <w:t xml:space="preserve">Cost Component </w:t>
            </w:r>
          </w:p>
        </w:tc>
        <w:tc>
          <w:tcPr>
            <w:tcW w:w="1440" w:type="dxa"/>
            <w:tcMar>
              <w:top w:w="0" w:type="dxa"/>
              <w:left w:w="108" w:type="dxa"/>
              <w:bottom w:w="0" w:type="dxa"/>
              <w:right w:w="108" w:type="dxa"/>
            </w:tcMar>
            <w:vAlign w:val="center"/>
            <w:hideMark/>
          </w:tcPr>
          <w:p w:rsidR="00980528" w:rsidRPr="0003090B" w:rsidP="006D7C70" w14:paraId="50D7D746" w14:textId="77777777">
            <w:pPr>
              <w:jc w:val="center"/>
            </w:pPr>
            <w:r w:rsidRPr="0003090B">
              <w:rPr>
                <w:b/>
                <w:bCs/>
              </w:rPr>
              <w:t>Total Cost</w:t>
            </w:r>
          </w:p>
        </w:tc>
        <w:tc>
          <w:tcPr>
            <w:tcW w:w="1980" w:type="dxa"/>
            <w:tcMar>
              <w:top w:w="0" w:type="dxa"/>
              <w:left w:w="108" w:type="dxa"/>
              <w:bottom w:w="0" w:type="dxa"/>
              <w:right w:w="108" w:type="dxa"/>
            </w:tcMar>
            <w:vAlign w:val="center"/>
            <w:hideMark/>
          </w:tcPr>
          <w:p w:rsidR="00980528" w:rsidRPr="0003090B" w:rsidP="006D7C70" w14:paraId="036A6EAD" w14:textId="77777777">
            <w:pPr>
              <w:jc w:val="center"/>
            </w:pPr>
            <w:r w:rsidRPr="0003090B">
              <w:rPr>
                <w:b/>
                <w:bCs/>
              </w:rPr>
              <w:t>Annualized Cost</w:t>
            </w:r>
          </w:p>
        </w:tc>
      </w:tr>
      <w:tr w14:paraId="4F8BDF60" w14:textId="77777777" w:rsidTr="00DD03B5">
        <w:tblPrEx>
          <w:tblW w:w="0" w:type="auto"/>
          <w:tblInd w:w="108" w:type="dxa"/>
          <w:tblCellMar>
            <w:left w:w="0" w:type="dxa"/>
            <w:right w:w="0" w:type="dxa"/>
          </w:tblCellMar>
          <w:tblLook w:val="04A0"/>
        </w:tblPrEx>
        <w:tc>
          <w:tcPr>
            <w:tcW w:w="3600" w:type="dxa"/>
            <w:tcMar>
              <w:top w:w="0" w:type="dxa"/>
              <w:left w:w="108" w:type="dxa"/>
              <w:bottom w:w="0" w:type="dxa"/>
              <w:right w:w="108" w:type="dxa"/>
            </w:tcMar>
            <w:vAlign w:val="center"/>
            <w:hideMark/>
          </w:tcPr>
          <w:p w:rsidR="00894D19" w:rsidRPr="0003090B" w:rsidP="00894D19" w14:paraId="080C5B4D" w14:textId="77777777">
            <w:r w:rsidRPr="0003090B">
              <w:t>Planning and Development</w:t>
            </w:r>
          </w:p>
        </w:tc>
        <w:tc>
          <w:tcPr>
            <w:tcW w:w="1440" w:type="dxa"/>
            <w:tcMar>
              <w:top w:w="0" w:type="dxa"/>
              <w:left w:w="108" w:type="dxa"/>
              <w:bottom w:w="0" w:type="dxa"/>
              <w:right w:w="108" w:type="dxa"/>
            </w:tcMar>
            <w:vAlign w:val="center"/>
          </w:tcPr>
          <w:p w:rsidR="00894D19" w:rsidRPr="0003090B" w:rsidP="00894D19" w14:paraId="5D175537" w14:textId="66429F28">
            <w:pPr>
              <w:jc w:val="center"/>
            </w:pPr>
            <w:r w:rsidRPr="0003090B">
              <w:rPr>
                <w:color w:val="000000"/>
              </w:rPr>
              <w:t>$375,980</w:t>
            </w:r>
          </w:p>
        </w:tc>
        <w:tc>
          <w:tcPr>
            <w:tcW w:w="1980" w:type="dxa"/>
            <w:tcMar>
              <w:top w:w="0" w:type="dxa"/>
              <w:left w:w="108" w:type="dxa"/>
              <w:bottom w:w="0" w:type="dxa"/>
              <w:right w:w="108" w:type="dxa"/>
            </w:tcMar>
            <w:vAlign w:val="center"/>
          </w:tcPr>
          <w:p w:rsidR="00894D19" w:rsidRPr="0003090B" w:rsidP="00894D19" w14:paraId="632CFA51" w14:textId="3D26961C">
            <w:pPr>
              <w:jc w:val="center"/>
            </w:pPr>
            <w:r w:rsidRPr="0003090B">
              <w:rPr>
                <w:color w:val="000000"/>
              </w:rPr>
              <w:t>$107,423</w:t>
            </w:r>
          </w:p>
        </w:tc>
      </w:tr>
      <w:tr w14:paraId="4D71C18C" w14:textId="77777777" w:rsidTr="00DD03B5">
        <w:tblPrEx>
          <w:tblW w:w="0" w:type="auto"/>
          <w:tblInd w:w="108" w:type="dxa"/>
          <w:tblCellMar>
            <w:left w:w="0" w:type="dxa"/>
            <w:right w:w="0" w:type="dxa"/>
          </w:tblCellMar>
          <w:tblLook w:val="04A0"/>
        </w:tblPrEx>
        <w:tc>
          <w:tcPr>
            <w:tcW w:w="3600" w:type="dxa"/>
            <w:tcMar>
              <w:top w:w="0" w:type="dxa"/>
              <w:left w:w="108" w:type="dxa"/>
              <w:bottom w:w="0" w:type="dxa"/>
              <w:right w:w="108" w:type="dxa"/>
            </w:tcMar>
            <w:vAlign w:val="center"/>
            <w:hideMark/>
          </w:tcPr>
          <w:p w:rsidR="00894D19" w:rsidRPr="0003090B" w:rsidP="00894D19" w14:paraId="44053992" w14:textId="77777777">
            <w:r w:rsidRPr="0003090B">
              <w:t>Data Collection</w:t>
            </w:r>
          </w:p>
        </w:tc>
        <w:tc>
          <w:tcPr>
            <w:tcW w:w="1440" w:type="dxa"/>
            <w:tcMar>
              <w:top w:w="0" w:type="dxa"/>
              <w:left w:w="108" w:type="dxa"/>
              <w:bottom w:w="0" w:type="dxa"/>
              <w:right w:w="108" w:type="dxa"/>
            </w:tcMar>
            <w:vAlign w:val="center"/>
          </w:tcPr>
          <w:p w:rsidR="00894D19" w:rsidRPr="0003090B" w:rsidP="00894D19" w14:paraId="177E6BC3" w14:textId="7C0D4837">
            <w:pPr>
              <w:jc w:val="center"/>
            </w:pPr>
            <w:r w:rsidRPr="0003090B">
              <w:rPr>
                <w:color w:val="000000"/>
              </w:rPr>
              <w:t>$984,670</w:t>
            </w:r>
          </w:p>
        </w:tc>
        <w:tc>
          <w:tcPr>
            <w:tcW w:w="1980" w:type="dxa"/>
            <w:tcMar>
              <w:top w:w="0" w:type="dxa"/>
              <w:left w:w="108" w:type="dxa"/>
              <w:bottom w:w="0" w:type="dxa"/>
              <w:right w:w="108" w:type="dxa"/>
            </w:tcMar>
            <w:vAlign w:val="center"/>
          </w:tcPr>
          <w:p w:rsidR="00894D19" w:rsidRPr="0003090B" w:rsidP="00894D19" w14:paraId="67F8C385" w14:textId="2146D5D4">
            <w:pPr>
              <w:jc w:val="center"/>
            </w:pPr>
            <w:r w:rsidRPr="0003090B">
              <w:rPr>
                <w:color w:val="000000"/>
              </w:rPr>
              <w:t>$281,334</w:t>
            </w:r>
          </w:p>
        </w:tc>
      </w:tr>
      <w:tr w14:paraId="2C827CB9" w14:textId="77777777" w:rsidTr="00DD03B5">
        <w:tblPrEx>
          <w:tblW w:w="0" w:type="auto"/>
          <w:tblInd w:w="108" w:type="dxa"/>
          <w:tblCellMar>
            <w:left w:w="0" w:type="dxa"/>
            <w:right w:w="0" w:type="dxa"/>
          </w:tblCellMar>
          <w:tblLook w:val="04A0"/>
        </w:tblPrEx>
        <w:tc>
          <w:tcPr>
            <w:tcW w:w="3600" w:type="dxa"/>
            <w:tcMar>
              <w:top w:w="0" w:type="dxa"/>
              <w:left w:w="108" w:type="dxa"/>
              <w:bottom w:w="0" w:type="dxa"/>
              <w:right w:w="108" w:type="dxa"/>
            </w:tcMar>
            <w:vAlign w:val="center"/>
            <w:hideMark/>
          </w:tcPr>
          <w:p w:rsidR="00894D19" w:rsidRPr="0003090B" w:rsidP="00894D19" w14:paraId="201AF7D8" w14:textId="77777777">
            <w:r w:rsidRPr="0003090B">
              <w:t>Analysis</w:t>
            </w:r>
          </w:p>
        </w:tc>
        <w:tc>
          <w:tcPr>
            <w:tcW w:w="1440" w:type="dxa"/>
            <w:tcMar>
              <w:top w:w="0" w:type="dxa"/>
              <w:left w:w="108" w:type="dxa"/>
              <w:bottom w:w="0" w:type="dxa"/>
              <w:right w:w="108" w:type="dxa"/>
            </w:tcMar>
            <w:vAlign w:val="center"/>
          </w:tcPr>
          <w:p w:rsidR="00894D19" w:rsidRPr="0003090B" w:rsidP="00894D19" w14:paraId="45A2E718" w14:textId="068542A9">
            <w:pPr>
              <w:jc w:val="center"/>
            </w:pPr>
            <w:r w:rsidRPr="0003090B">
              <w:rPr>
                <w:color w:val="000000"/>
              </w:rPr>
              <w:t>$588,834</w:t>
            </w:r>
          </w:p>
        </w:tc>
        <w:tc>
          <w:tcPr>
            <w:tcW w:w="1980" w:type="dxa"/>
            <w:tcMar>
              <w:top w:w="0" w:type="dxa"/>
              <w:left w:w="108" w:type="dxa"/>
              <w:bottom w:w="0" w:type="dxa"/>
              <w:right w:w="108" w:type="dxa"/>
            </w:tcMar>
            <w:vAlign w:val="center"/>
          </w:tcPr>
          <w:p w:rsidR="00894D19" w:rsidRPr="0003090B" w:rsidP="00894D19" w14:paraId="15886474" w14:textId="17F3BD46">
            <w:pPr>
              <w:jc w:val="center"/>
            </w:pPr>
            <w:r w:rsidRPr="0003090B">
              <w:rPr>
                <w:color w:val="000000"/>
              </w:rPr>
              <w:t>$168,238</w:t>
            </w:r>
          </w:p>
        </w:tc>
      </w:tr>
      <w:tr w14:paraId="5C41A1C8" w14:textId="77777777" w:rsidTr="00DD03B5">
        <w:tblPrEx>
          <w:tblW w:w="0" w:type="auto"/>
          <w:tblInd w:w="108" w:type="dxa"/>
          <w:tblCellMar>
            <w:left w:w="0" w:type="dxa"/>
            <w:right w:w="0" w:type="dxa"/>
          </w:tblCellMar>
          <w:tblLook w:val="04A0"/>
        </w:tblPrEx>
        <w:tc>
          <w:tcPr>
            <w:tcW w:w="3600" w:type="dxa"/>
            <w:tcMar>
              <w:top w:w="0" w:type="dxa"/>
              <w:left w:w="108" w:type="dxa"/>
              <w:bottom w:w="0" w:type="dxa"/>
              <w:right w:w="108" w:type="dxa"/>
            </w:tcMar>
            <w:vAlign w:val="center"/>
            <w:hideMark/>
          </w:tcPr>
          <w:p w:rsidR="00894D19" w:rsidRPr="0003090B" w:rsidP="00894D19" w14:paraId="24F7A318" w14:textId="77777777">
            <w:r w:rsidRPr="0003090B">
              <w:t>Project Management</w:t>
            </w:r>
          </w:p>
        </w:tc>
        <w:tc>
          <w:tcPr>
            <w:tcW w:w="1440" w:type="dxa"/>
            <w:tcMar>
              <w:top w:w="0" w:type="dxa"/>
              <w:left w:w="108" w:type="dxa"/>
              <w:bottom w:w="0" w:type="dxa"/>
              <w:right w:w="108" w:type="dxa"/>
            </w:tcMar>
            <w:vAlign w:val="center"/>
          </w:tcPr>
          <w:p w:rsidR="00894D19" w:rsidRPr="0003090B" w:rsidP="00894D19" w14:paraId="4B389A0C" w14:textId="2C9E9B53">
            <w:pPr>
              <w:jc w:val="center"/>
            </w:pPr>
            <w:r w:rsidRPr="0003090B">
              <w:rPr>
                <w:color w:val="000000"/>
              </w:rPr>
              <w:t>$97,587</w:t>
            </w:r>
          </w:p>
        </w:tc>
        <w:tc>
          <w:tcPr>
            <w:tcW w:w="1980" w:type="dxa"/>
            <w:tcMar>
              <w:top w:w="0" w:type="dxa"/>
              <w:left w:w="108" w:type="dxa"/>
              <w:bottom w:w="0" w:type="dxa"/>
              <w:right w:w="108" w:type="dxa"/>
            </w:tcMar>
            <w:vAlign w:val="center"/>
          </w:tcPr>
          <w:p w:rsidR="00894D19" w:rsidRPr="0003090B" w:rsidP="00894D19" w14:paraId="557A9F64" w14:textId="47E0F043">
            <w:pPr>
              <w:jc w:val="center"/>
            </w:pPr>
            <w:r w:rsidRPr="0003090B">
              <w:rPr>
                <w:color w:val="000000"/>
              </w:rPr>
              <w:t>$27,882</w:t>
            </w:r>
          </w:p>
        </w:tc>
      </w:tr>
      <w:tr w14:paraId="13A3673E" w14:textId="77777777" w:rsidTr="00DD03B5">
        <w:tblPrEx>
          <w:tblW w:w="0" w:type="auto"/>
          <w:tblInd w:w="108" w:type="dxa"/>
          <w:tblCellMar>
            <w:left w:w="0" w:type="dxa"/>
            <w:right w:w="0" w:type="dxa"/>
          </w:tblCellMar>
          <w:tblLook w:val="04A0"/>
        </w:tblPrEx>
        <w:tc>
          <w:tcPr>
            <w:tcW w:w="3600" w:type="dxa"/>
            <w:tcMar>
              <w:top w:w="0" w:type="dxa"/>
              <w:left w:w="108" w:type="dxa"/>
              <w:bottom w:w="0" w:type="dxa"/>
              <w:right w:w="108" w:type="dxa"/>
            </w:tcMar>
            <w:vAlign w:val="center"/>
            <w:hideMark/>
          </w:tcPr>
          <w:p w:rsidR="00894D19" w:rsidRPr="0003090B" w:rsidP="00894D19" w14:paraId="5CE8696B" w14:textId="77777777">
            <w:r w:rsidRPr="0003090B">
              <w:rPr>
                <w:b/>
                <w:bCs/>
                <w:color w:val="000000"/>
              </w:rPr>
              <w:t>Total</w:t>
            </w:r>
          </w:p>
        </w:tc>
        <w:tc>
          <w:tcPr>
            <w:tcW w:w="1440" w:type="dxa"/>
            <w:tcMar>
              <w:top w:w="0" w:type="dxa"/>
              <w:left w:w="108" w:type="dxa"/>
              <w:bottom w:w="0" w:type="dxa"/>
              <w:right w:w="108" w:type="dxa"/>
            </w:tcMar>
            <w:vAlign w:val="center"/>
          </w:tcPr>
          <w:p w:rsidR="00894D19" w:rsidRPr="0003090B" w:rsidP="00894D19" w14:paraId="5B21200F" w14:textId="156F6789">
            <w:pPr>
              <w:jc w:val="center"/>
              <w:rPr>
                <w:b/>
              </w:rPr>
            </w:pPr>
            <w:r w:rsidRPr="0003090B">
              <w:rPr>
                <w:b/>
                <w:bCs/>
                <w:color w:val="000000"/>
              </w:rPr>
              <w:t>$2,047,071</w:t>
            </w:r>
          </w:p>
        </w:tc>
        <w:tc>
          <w:tcPr>
            <w:tcW w:w="1980" w:type="dxa"/>
            <w:tcMar>
              <w:top w:w="0" w:type="dxa"/>
              <w:left w:w="108" w:type="dxa"/>
              <w:bottom w:w="0" w:type="dxa"/>
              <w:right w:w="108" w:type="dxa"/>
            </w:tcMar>
            <w:vAlign w:val="center"/>
          </w:tcPr>
          <w:p w:rsidR="00894D19" w:rsidRPr="0003090B" w:rsidP="00894D19" w14:paraId="20D7D8C3" w14:textId="59DEC0AA">
            <w:pPr>
              <w:jc w:val="center"/>
              <w:rPr>
                <w:b/>
              </w:rPr>
            </w:pPr>
            <w:r w:rsidRPr="0003090B">
              <w:rPr>
                <w:b/>
                <w:bCs/>
                <w:color w:val="000000"/>
              </w:rPr>
              <w:t>$584,877</w:t>
            </w:r>
          </w:p>
        </w:tc>
      </w:tr>
      <w:bookmarkEnd w:id="99"/>
      <w:bookmarkEnd w:id="100"/>
    </w:tbl>
    <w:p w:rsidR="00980528" w:rsidP="00D20C47" w14:paraId="7EBC640D" w14:textId="77777777">
      <w:pPr>
        <w:ind w:firstLine="90"/>
        <w:rPr>
          <w:b/>
        </w:rPr>
      </w:pPr>
    </w:p>
    <w:p w:rsidR="00D20C47" w:rsidRPr="0003090B" w:rsidP="00740FF6" w14:paraId="1C573F36" w14:textId="31D94DE8">
      <w:pPr>
        <w:rPr>
          <w:b/>
        </w:rPr>
      </w:pPr>
      <w:r w:rsidRPr="0003090B">
        <w:rPr>
          <w:b/>
        </w:rPr>
        <w:t xml:space="preserve">Exhibit </w:t>
      </w:r>
      <w:r w:rsidRPr="0003090B" w:rsidR="006F462D">
        <w:rPr>
          <w:b/>
        </w:rPr>
        <w:t>3b</w:t>
      </w:r>
      <w:r w:rsidRPr="0003090B" w:rsidR="008E0BC9">
        <w:rPr>
          <w:b/>
        </w:rPr>
        <w:t>.</w:t>
      </w:r>
      <w:r w:rsidRPr="0003090B">
        <w:rPr>
          <w:b/>
        </w:rPr>
        <w:t xml:space="preserve"> Federal Government Personnel Cost</w:t>
      </w:r>
    </w:p>
    <w:tbl>
      <w:tblPr>
        <w:tblW w:w="8871" w:type="dxa"/>
        <w:jc w:val="center"/>
        <w:tblLayout w:type="fixed"/>
        <w:tblCellMar>
          <w:left w:w="100" w:type="dxa"/>
          <w:right w:w="100" w:type="dxa"/>
        </w:tblCellMar>
        <w:tblLook w:val="04A0"/>
      </w:tblPr>
      <w:tblGrid>
        <w:gridCol w:w="3862"/>
        <w:gridCol w:w="1314"/>
        <w:gridCol w:w="1440"/>
        <w:gridCol w:w="1026"/>
        <w:gridCol w:w="1229"/>
      </w:tblGrid>
      <w:tr w14:paraId="09C1357C" w14:textId="77777777" w:rsidTr="0003090B">
        <w:tblPrEx>
          <w:tblW w:w="8871" w:type="dxa"/>
          <w:jc w:val="center"/>
          <w:tblLayout w:type="fixed"/>
          <w:tblCellMar>
            <w:left w:w="100" w:type="dxa"/>
            <w:right w:w="100" w:type="dxa"/>
          </w:tblCellMar>
          <w:tblLook w:val="04A0"/>
        </w:tblPrEx>
        <w:trPr>
          <w:cantSplit/>
          <w:trHeight w:val="403"/>
          <w:jc w:val="center"/>
        </w:trPr>
        <w:tc>
          <w:tcPr>
            <w:tcW w:w="3862" w:type="dxa"/>
            <w:tcBorders>
              <w:top w:val="single" w:sz="6" w:space="0" w:color="auto"/>
              <w:left w:val="single" w:sz="6" w:space="0" w:color="auto"/>
              <w:bottom w:val="nil"/>
              <w:right w:val="nil"/>
            </w:tcBorders>
            <w:vAlign w:val="bottom"/>
          </w:tcPr>
          <w:p w:rsidR="00D20C47" w:rsidRPr="0003090B" w:rsidP="00A74E0A" w14:paraId="5A20B117" w14:textId="77777777">
            <w:pPr>
              <w:jc w:val="center"/>
              <w:rPr>
                <w:b/>
                <w:bCs/>
              </w:rPr>
            </w:pPr>
            <w:r w:rsidRPr="0003090B">
              <w:rPr>
                <w:b/>
                <w:bCs/>
              </w:rPr>
              <w:t>Activity</w:t>
            </w:r>
          </w:p>
        </w:tc>
        <w:tc>
          <w:tcPr>
            <w:tcW w:w="1314" w:type="dxa"/>
            <w:tcBorders>
              <w:top w:val="single" w:sz="6" w:space="0" w:color="auto"/>
              <w:left w:val="single" w:sz="6" w:space="0" w:color="auto"/>
              <w:bottom w:val="single" w:sz="6" w:space="0" w:color="auto"/>
              <w:right w:val="nil"/>
            </w:tcBorders>
            <w:vAlign w:val="bottom"/>
          </w:tcPr>
          <w:p w:rsidR="00D20C47" w:rsidRPr="0003090B" w:rsidP="00A74E0A" w14:paraId="33369B38" w14:textId="77777777">
            <w:pPr>
              <w:jc w:val="center"/>
              <w:rPr>
                <w:b/>
                <w:bCs/>
              </w:rPr>
            </w:pPr>
            <w:r w:rsidRPr="0003090B">
              <w:rPr>
                <w:b/>
                <w:bCs/>
              </w:rPr>
              <w:t>Federal Personnel</w:t>
            </w:r>
          </w:p>
        </w:tc>
        <w:tc>
          <w:tcPr>
            <w:tcW w:w="1440" w:type="dxa"/>
            <w:tcBorders>
              <w:top w:val="single" w:sz="6" w:space="0" w:color="auto"/>
              <w:left w:val="single" w:sz="6" w:space="0" w:color="auto"/>
              <w:bottom w:val="single" w:sz="6" w:space="0" w:color="auto"/>
              <w:right w:val="single" w:sz="6" w:space="0" w:color="auto"/>
            </w:tcBorders>
            <w:vAlign w:val="bottom"/>
          </w:tcPr>
          <w:p w:rsidR="00D20C47" w:rsidRPr="0003090B" w:rsidP="00A74E0A" w14:paraId="50ED8158" w14:textId="77777777">
            <w:pPr>
              <w:jc w:val="center"/>
              <w:rPr>
                <w:b/>
                <w:bCs/>
              </w:rPr>
            </w:pPr>
            <w:r w:rsidRPr="0003090B">
              <w:rPr>
                <w:b/>
                <w:bCs/>
              </w:rPr>
              <w:t>Annual Salary</w:t>
            </w:r>
          </w:p>
        </w:tc>
        <w:tc>
          <w:tcPr>
            <w:tcW w:w="1026" w:type="dxa"/>
            <w:tcBorders>
              <w:top w:val="single" w:sz="6" w:space="0" w:color="auto"/>
              <w:left w:val="single" w:sz="6" w:space="0" w:color="auto"/>
              <w:bottom w:val="single" w:sz="6" w:space="0" w:color="auto"/>
              <w:right w:val="nil"/>
            </w:tcBorders>
            <w:vAlign w:val="bottom"/>
          </w:tcPr>
          <w:p w:rsidR="00D20C47" w:rsidRPr="0003090B" w:rsidP="00A74E0A" w14:paraId="4287EA2E" w14:textId="77777777">
            <w:pPr>
              <w:jc w:val="center"/>
              <w:rPr>
                <w:b/>
                <w:bCs/>
              </w:rPr>
            </w:pPr>
            <w:r w:rsidRPr="0003090B">
              <w:rPr>
                <w:b/>
                <w:bCs/>
              </w:rPr>
              <w:t xml:space="preserve">% </w:t>
            </w:r>
            <w:r w:rsidRPr="0003090B" w:rsidR="00C77CB9">
              <w:rPr>
                <w:b/>
                <w:bCs/>
              </w:rPr>
              <w:t>T</w:t>
            </w:r>
            <w:r w:rsidRPr="0003090B">
              <w:rPr>
                <w:b/>
                <w:bCs/>
              </w:rPr>
              <w:t>ime</w:t>
            </w:r>
          </w:p>
        </w:tc>
        <w:tc>
          <w:tcPr>
            <w:tcW w:w="1229" w:type="dxa"/>
            <w:tcBorders>
              <w:top w:val="single" w:sz="6" w:space="0" w:color="auto"/>
              <w:left w:val="single" w:sz="6" w:space="0" w:color="auto"/>
              <w:bottom w:val="single" w:sz="6" w:space="0" w:color="auto"/>
              <w:right w:val="single" w:sz="6" w:space="0" w:color="auto"/>
            </w:tcBorders>
            <w:vAlign w:val="bottom"/>
          </w:tcPr>
          <w:p w:rsidR="00D20C47" w:rsidRPr="0003090B" w:rsidP="00A74E0A" w14:paraId="732FBF0C" w14:textId="77777777">
            <w:pPr>
              <w:jc w:val="center"/>
              <w:rPr>
                <w:b/>
                <w:bCs/>
              </w:rPr>
            </w:pPr>
            <w:r w:rsidRPr="0003090B">
              <w:rPr>
                <w:b/>
                <w:bCs/>
              </w:rPr>
              <w:t>Cost</w:t>
            </w:r>
          </w:p>
        </w:tc>
      </w:tr>
      <w:tr w14:paraId="3FC2B1A8" w14:textId="77777777" w:rsidTr="0003090B">
        <w:tblPrEx>
          <w:tblW w:w="8871" w:type="dxa"/>
          <w:jc w:val="center"/>
          <w:tblLayout w:type="fixed"/>
          <w:tblCellMar>
            <w:left w:w="100" w:type="dxa"/>
            <w:right w:w="100" w:type="dxa"/>
          </w:tblCellMar>
          <w:tblLook w:val="04A0"/>
        </w:tblPrEx>
        <w:trPr>
          <w:cantSplit/>
          <w:trHeight w:val="403"/>
          <w:jc w:val="center"/>
        </w:trPr>
        <w:tc>
          <w:tcPr>
            <w:tcW w:w="3862" w:type="dxa"/>
            <w:tcBorders>
              <w:top w:val="single" w:sz="6" w:space="0" w:color="auto"/>
              <w:left w:val="single" w:sz="6" w:space="0" w:color="auto"/>
              <w:bottom w:val="nil"/>
              <w:right w:val="nil"/>
            </w:tcBorders>
            <w:vAlign w:val="bottom"/>
          </w:tcPr>
          <w:p w:rsidR="00D20C47" w:rsidRPr="0003090B" w:rsidP="00A74E0A" w14:paraId="542D8EEB" w14:textId="77777777">
            <w:r w:rsidRPr="0003090B">
              <w:t>Management Support: GS-15, Step 5 average</w:t>
            </w:r>
          </w:p>
        </w:tc>
        <w:tc>
          <w:tcPr>
            <w:tcW w:w="1314" w:type="dxa"/>
            <w:tcBorders>
              <w:top w:val="single" w:sz="6" w:space="0" w:color="auto"/>
              <w:left w:val="single" w:sz="6" w:space="0" w:color="auto"/>
              <w:bottom w:val="single" w:sz="6" w:space="0" w:color="auto"/>
              <w:right w:val="nil"/>
            </w:tcBorders>
          </w:tcPr>
          <w:p w:rsidR="0053463B" w:rsidRPr="0003090B" w:rsidP="00A74E0A" w14:paraId="72D0A20A" w14:textId="77777777">
            <w:pPr>
              <w:jc w:val="center"/>
            </w:pPr>
          </w:p>
          <w:p w:rsidR="00D20C47" w:rsidRPr="0003090B" w:rsidP="006F462D" w14:paraId="48E53D36" w14:textId="47FD6451">
            <w:r w:rsidRPr="0003090B">
              <w:t xml:space="preserve">        </w:t>
            </w:r>
            <w:r w:rsidRPr="0003090B" w:rsidR="00F92178">
              <w:t>3</w:t>
            </w:r>
          </w:p>
        </w:tc>
        <w:tc>
          <w:tcPr>
            <w:tcW w:w="1440" w:type="dxa"/>
            <w:tcBorders>
              <w:top w:val="single" w:sz="6" w:space="0" w:color="auto"/>
              <w:left w:val="single" w:sz="6" w:space="0" w:color="auto"/>
              <w:bottom w:val="single" w:sz="6" w:space="0" w:color="auto"/>
              <w:right w:val="single" w:sz="6" w:space="0" w:color="auto"/>
            </w:tcBorders>
            <w:vAlign w:val="bottom"/>
          </w:tcPr>
          <w:p w:rsidR="00D20C47" w:rsidRPr="0003090B" w:rsidP="00AE1382" w14:paraId="1D6A29E5" w14:textId="6AA2FD4C">
            <w:pPr>
              <w:jc w:val="center"/>
            </w:pPr>
            <w:r w:rsidRPr="0003090B">
              <w:t>176,458</w:t>
            </w:r>
          </w:p>
        </w:tc>
        <w:tc>
          <w:tcPr>
            <w:tcW w:w="1026" w:type="dxa"/>
            <w:tcBorders>
              <w:top w:val="single" w:sz="6" w:space="0" w:color="auto"/>
              <w:left w:val="single" w:sz="6" w:space="0" w:color="auto"/>
              <w:bottom w:val="single" w:sz="6" w:space="0" w:color="auto"/>
              <w:right w:val="nil"/>
            </w:tcBorders>
            <w:vAlign w:val="bottom"/>
          </w:tcPr>
          <w:p w:rsidR="00D20C47" w:rsidRPr="0003090B" w:rsidP="00A74E0A" w14:paraId="0CD5F18A" w14:textId="77777777">
            <w:pPr>
              <w:jc w:val="center"/>
            </w:pPr>
            <w:r w:rsidRPr="0003090B">
              <w:t>1</w:t>
            </w:r>
            <w:r w:rsidRPr="0003090B" w:rsidR="00A60E3B">
              <w:t>0</w:t>
            </w:r>
          </w:p>
        </w:tc>
        <w:tc>
          <w:tcPr>
            <w:tcW w:w="1229" w:type="dxa"/>
            <w:tcBorders>
              <w:top w:val="single" w:sz="6" w:space="0" w:color="auto"/>
              <w:left w:val="single" w:sz="6" w:space="0" w:color="auto"/>
              <w:bottom w:val="single" w:sz="6" w:space="0" w:color="auto"/>
              <w:right w:val="single" w:sz="6" w:space="0" w:color="auto"/>
            </w:tcBorders>
            <w:vAlign w:val="bottom"/>
          </w:tcPr>
          <w:p w:rsidR="00D20C47" w:rsidRPr="0003090B" w:rsidP="00A74E0A" w14:paraId="069FE938" w14:textId="5F3FB59D">
            <w:pPr>
              <w:jc w:val="center"/>
            </w:pPr>
            <w:r w:rsidRPr="0003090B">
              <w:t>52,937.40</w:t>
            </w:r>
          </w:p>
        </w:tc>
      </w:tr>
      <w:tr w14:paraId="5B8EABA1" w14:textId="77777777" w:rsidTr="0003090B">
        <w:tblPrEx>
          <w:tblW w:w="8871" w:type="dxa"/>
          <w:jc w:val="center"/>
          <w:tblLayout w:type="fixed"/>
          <w:tblCellMar>
            <w:left w:w="100" w:type="dxa"/>
            <w:right w:w="100" w:type="dxa"/>
          </w:tblCellMar>
          <w:tblLook w:val="04A0"/>
        </w:tblPrEx>
        <w:trPr>
          <w:cantSplit/>
          <w:trHeight w:val="403"/>
          <w:jc w:val="center"/>
        </w:trPr>
        <w:tc>
          <w:tcPr>
            <w:tcW w:w="3862" w:type="dxa"/>
            <w:tcBorders>
              <w:top w:val="single" w:sz="6" w:space="0" w:color="auto"/>
              <w:left w:val="single" w:sz="6" w:space="0" w:color="auto"/>
              <w:bottom w:val="nil"/>
              <w:right w:val="nil"/>
            </w:tcBorders>
            <w:vAlign w:val="bottom"/>
          </w:tcPr>
          <w:p w:rsidR="00A37596" w:rsidRPr="0003090B" w:rsidP="00A74E0A" w14:paraId="2B26493B" w14:textId="77777777">
            <w:r w:rsidRPr="0003090B">
              <w:t>Program Management Analysis: GS-14, Step 5</w:t>
            </w:r>
          </w:p>
        </w:tc>
        <w:tc>
          <w:tcPr>
            <w:tcW w:w="1314" w:type="dxa"/>
            <w:tcBorders>
              <w:top w:val="single" w:sz="6" w:space="0" w:color="auto"/>
              <w:left w:val="single" w:sz="6" w:space="0" w:color="auto"/>
              <w:bottom w:val="single" w:sz="6" w:space="0" w:color="auto"/>
              <w:right w:val="nil"/>
            </w:tcBorders>
          </w:tcPr>
          <w:p w:rsidR="00A37596" w:rsidRPr="0003090B" w:rsidP="00A74E0A" w14:paraId="76D4360B" w14:textId="77777777">
            <w:pPr>
              <w:jc w:val="center"/>
            </w:pPr>
            <w:r w:rsidRPr="0003090B">
              <w:t>2</w:t>
            </w:r>
          </w:p>
        </w:tc>
        <w:tc>
          <w:tcPr>
            <w:tcW w:w="1440" w:type="dxa"/>
            <w:tcBorders>
              <w:top w:val="single" w:sz="6" w:space="0" w:color="auto"/>
              <w:left w:val="single" w:sz="6" w:space="0" w:color="auto"/>
              <w:bottom w:val="single" w:sz="6" w:space="0" w:color="auto"/>
              <w:right w:val="single" w:sz="6" w:space="0" w:color="auto"/>
            </w:tcBorders>
            <w:vAlign w:val="bottom"/>
          </w:tcPr>
          <w:p w:rsidR="00A37596" w:rsidRPr="0003090B" w:rsidP="00AE1382" w14:paraId="462A4D7D" w14:textId="6FC34BE9">
            <w:pPr>
              <w:jc w:val="center"/>
            </w:pPr>
            <w:r w:rsidRPr="0003090B">
              <w:t>150,016</w:t>
            </w:r>
          </w:p>
        </w:tc>
        <w:tc>
          <w:tcPr>
            <w:tcW w:w="1026" w:type="dxa"/>
            <w:tcBorders>
              <w:top w:val="single" w:sz="6" w:space="0" w:color="auto"/>
              <w:left w:val="single" w:sz="6" w:space="0" w:color="auto"/>
              <w:bottom w:val="single" w:sz="6" w:space="0" w:color="auto"/>
              <w:right w:val="nil"/>
            </w:tcBorders>
            <w:vAlign w:val="bottom"/>
          </w:tcPr>
          <w:p w:rsidR="00A37596" w:rsidRPr="0003090B" w:rsidP="00A74E0A" w14:paraId="5FEB9A3C" w14:textId="77777777">
            <w:pPr>
              <w:jc w:val="center"/>
            </w:pPr>
            <w:r w:rsidRPr="0003090B">
              <w:t>5</w:t>
            </w:r>
          </w:p>
        </w:tc>
        <w:tc>
          <w:tcPr>
            <w:tcW w:w="1229" w:type="dxa"/>
            <w:tcBorders>
              <w:top w:val="single" w:sz="6" w:space="0" w:color="auto"/>
              <w:left w:val="single" w:sz="6" w:space="0" w:color="auto"/>
              <w:bottom w:val="single" w:sz="6" w:space="0" w:color="auto"/>
              <w:right w:val="single" w:sz="6" w:space="0" w:color="auto"/>
            </w:tcBorders>
            <w:vAlign w:val="bottom"/>
          </w:tcPr>
          <w:p w:rsidR="00A37596" w:rsidRPr="0003090B" w:rsidP="00A74E0A" w14:paraId="6C88EA3A" w14:textId="43704831">
            <w:pPr>
              <w:jc w:val="center"/>
            </w:pPr>
            <w:r w:rsidRPr="0003090B">
              <w:t>15,001.6</w:t>
            </w:r>
            <w:r w:rsidRPr="0003090B" w:rsidR="00053A92">
              <w:t>0</w:t>
            </w:r>
          </w:p>
        </w:tc>
      </w:tr>
      <w:tr w14:paraId="37EB1D3C" w14:textId="77777777" w:rsidTr="0003090B">
        <w:tblPrEx>
          <w:tblW w:w="8871" w:type="dxa"/>
          <w:jc w:val="center"/>
          <w:tblLayout w:type="fixed"/>
          <w:tblCellMar>
            <w:left w:w="100" w:type="dxa"/>
            <w:right w:w="100" w:type="dxa"/>
          </w:tblCellMar>
          <w:tblLook w:val="04A0"/>
        </w:tblPrEx>
        <w:trPr>
          <w:cantSplit/>
          <w:trHeight w:val="403"/>
          <w:jc w:val="center"/>
        </w:trPr>
        <w:tc>
          <w:tcPr>
            <w:tcW w:w="3862" w:type="dxa"/>
            <w:tcBorders>
              <w:top w:val="single" w:sz="6" w:space="0" w:color="auto"/>
              <w:left w:val="single" w:sz="6" w:space="0" w:color="auto"/>
              <w:bottom w:val="nil"/>
              <w:right w:val="nil"/>
            </w:tcBorders>
            <w:vAlign w:val="bottom"/>
          </w:tcPr>
          <w:p w:rsidR="00D20C47" w:rsidRPr="0003090B" w:rsidP="00A74E0A" w14:paraId="0B5B235F" w14:textId="77777777">
            <w:r w:rsidRPr="0003090B">
              <w:t>Program Management Analysis: GS-13, Step 5 average</w:t>
            </w:r>
          </w:p>
        </w:tc>
        <w:tc>
          <w:tcPr>
            <w:tcW w:w="1314" w:type="dxa"/>
            <w:tcBorders>
              <w:top w:val="single" w:sz="6" w:space="0" w:color="auto"/>
              <w:left w:val="single" w:sz="6" w:space="0" w:color="auto"/>
              <w:bottom w:val="single" w:sz="6" w:space="0" w:color="auto"/>
              <w:right w:val="nil"/>
            </w:tcBorders>
          </w:tcPr>
          <w:p w:rsidR="00D20C47" w:rsidRPr="0003090B" w:rsidP="00A74E0A" w14:paraId="4268ABDC" w14:textId="77777777">
            <w:pPr>
              <w:jc w:val="center"/>
            </w:pPr>
            <w:r w:rsidRPr="0003090B">
              <w:t>1</w:t>
            </w:r>
          </w:p>
        </w:tc>
        <w:tc>
          <w:tcPr>
            <w:tcW w:w="1440" w:type="dxa"/>
            <w:tcBorders>
              <w:top w:val="single" w:sz="6" w:space="0" w:color="auto"/>
              <w:left w:val="single" w:sz="6" w:space="0" w:color="auto"/>
              <w:bottom w:val="single" w:sz="6" w:space="0" w:color="auto"/>
              <w:right w:val="single" w:sz="6" w:space="0" w:color="auto"/>
            </w:tcBorders>
            <w:vAlign w:val="bottom"/>
          </w:tcPr>
          <w:p w:rsidR="00D20C47" w:rsidRPr="0003090B" w:rsidP="00A74E0A" w14:paraId="4495E12D" w14:textId="6347312B">
            <w:pPr>
              <w:jc w:val="center"/>
            </w:pPr>
            <w:r w:rsidRPr="0003090B">
              <w:t>126,949</w:t>
            </w:r>
          </w:p>
        </w:tc>
        <w:tc>
          <w:tcPr>
            <w:tcW w:w="1026" w:type="dxa"/>
            <w:tcBorders>
              <w:top w:val="single" w:sz="6" w:space="0" w:color="auto"/>
              <w:left w:val="single" w:sz="6" w:space="0" w:color="auto"/>
              <w:bottom w:val="single" w:sz="6" w:space="0" w:color="auto"/>
              <w:right w:val="nil"/>
            </w:tcBorders>
            <w:vAlign w:val="bottom"/>
          </w:tcPr>
          <w:p w:rsidR="00D20C47" w:rsidRPr="0003090B" w:rsidP="00A74E0A" w14:paraId="44EC5569" w14:textId="77777777">
            <w:pPr>
              <w:jc w:val="center"/>
            </w:pPr>
            <w:r w:rsidRPr="0003090B">
              <w:t>15</w:t>
            </w:r>
          </w:p>
        </w:tc>
        <w:tc>
          <w:tcPr>
            <w:tcW w:w="1229" w:type="dxa"/>
            <w:tcBorders>
              <w:top w:val="single" w:sz="6" w:space="0" w:color="auto"/>
              <w:left w:val="single" w:sz="6" w:space="0" w:color="auto"/>
              <w:bottom w:val="single" w:sz="6" w:space="0" w:color="auto"/>
              <w:right w:val="single" w:sz="6" w:space="0" w:color="auto"/>
            </w:tcBorders>
            <w:vAlign w:val="bottom"/>
          </w:tcPr>
          <w:p w:rsidR="00D20C47" w:rsidRPr="0003090B" w:rsidP="00980528" w14:paraId="399583B9" w14:textId="5DF91850">
            <w:r w:rsidRPr="0003090B">
              <w:t xml:space="preserve"> </w:t>
            </w:r>
            <w:r w:rsidRPr="0003090B" w:rsidR="00053A92">
              <w:t>19,042.35</w:t>
            </w:r>
          </w:p>
        </w:tc>
      </w:tr>
      <w:tr w14:paraId="2A88DB2A" w14:textId="77777777" w:rsidTr="0003090B">
        <w:tblPrEx>
          <w:tblW w:w="8871" w:type="dxa"/>
          <w:jc w:val="center"/>
          <w:tblLayout w:type="fixed"/>
          <w:tblCellMar>
            <w:left w:w="100" w:type="dxa"/>
            <w:right w:w="100" w:type="dxa"/>
          </w:tblCellMar>
          <w:tblLook w:val="04A0"/>
        </w:tblPrEx>
        <w:trPr>
          <w:cantSplit/>
          <w:trHeight w:val="403"/>
          <w:jc w:val="center"/>
        </w:trPr>
        <w:tc>
          <w:tcPr>
            <w:tcW w:w="7642" w:type="dxa"/>
            <w:gridSpan w:val="4"/>
            <w:tcBorders>
              <w:top w:val="single" w:sz="6" w:space="0" w:color="auto"/>
              <w:left w:val="single" w:sz="6" w:space="0" w:color="auto"/>
              <w:bottom w:val="single" w:sz="6" w:space="0" w:color="auto"/>
              <w:right w:val="nil"/>
            </w:tcBorders>
            <w:vAlign w:val="bottom"/>
            <w:hideMark/>
          </w:tcPr>
          <w:p w:rsidR="00D20C47" w:rsidRPr="0003090B" w:rsidP="00A74E0A" w14:paraId="51CD5625" w14:textId="77777777">
            <w:pPr>
              <w:rPr>
                <w:b/>
                <w:bCs/>
              </w:rPr>
            </w:pPr>
            <w:r w:rsidRPr="0003090B">
              <w:rPr>
                <w:b/>
                <w:bCs/>
              </w:rPr>
              <w:t>Total</w:t>
            </w:r>
          </w:p>
        </w:tc>
        <w:tc>
          <w:tcPr>
            <w:tcW w:w="1229" w:type="dxa"/>
            <w:tcBorders>
              <w:top w:val="single" w:sz="6" w:space="0" w:color="auto"/>
              <w:left w:val="single" w:sz="6" w:space="0" w:color="auto"/>
              <w:bottom w:val="single" w:sz="6" w:space="0" w:color="auto"/>
              <w:right w:val="single" w:sz="6" w:space="0" w:color="auto"/>
            </w:tcBorders>
            <w:vAlign w:val="bottom"/>
            <w:hideMark/>
          </w:tcPr>
          <w:p w:rsidR="00D20C47" w:rsidRPr="0003090B" w:rsidP="00A74E0A" w14:paraId="4D6EB0FE" w14:textId="4B3A7578">
            <w:pPr>
              <w:jc w:val="center"/>
              <w:rPr>
                <w:b/>
                <w:bCs/>
              </w:rPr>
            </w:pPr>
            <w:r w:rsidRPr="0003090B">
              <w:rPr>
                <w:b/>
                <w:bCs/>
              </w:rPr>
              <w:t>86,981.35</w:t>
            </w:r>
          </w:p>
        </w:tc>
      </w:tr>
    </w:tbl>
    <w:p w:rsidR="004131BC" w:rsidRPr="00881CC7" w:rsidP="004131BC" w14:paraId="5F4C9A65" w14:textId="4D79AA5A">
      <w:pPr>
        <w:rPr>
          <w:sz w:val="20"/>
          <w:szCs w:val="20"/>
        </w:rPr>
      </w:pPr>
      <w:r w:rsidRPr="00881CC7">
        <w:rPr>
          <w:sz w:val="20"/>
          <w:szCs w:val="20"/>
        </w:rPr>
        <w:t xml:space="preserve">Annual salaries based on </w:t>
      </w:r>
      <w:r w:rsidRPr="00D05663">
        <w:rPr>
          <w:sz w:val="20"/>
          <w:szCs w:val="20"/>
        </w:rPr>
        <w:t>20</w:t>
      </w:r>
      <w:r w:rsidRPr="00D05663" w:rsidR="0086609E">
        <w:rPr>
          <w:sz w:val="20"/>
          <w:szCs w:val="20"/>
        </w:rPr>
        <w:t>2</w:t>
      </w:r>
      <w:r w:rsidRPr="00D05663" w:rsidR="00995618">
        <w:rPr>
          <w:sz w:val="20"/>
          <w:szCs w:val="20"/>
        </w:rPr>
        <w:t>3</w:t>
      </w:r>
      <w:r w:rsidRPr="00D05663">
        <w:rPr>
          <w:sz w:val="20"/>
          <w:szCs w:val="20"/>
        </w:rPr>
        <w:t xml:space="preserve"> OPM Pay</w:t>
      </w:r>
      <w:r w:rsidRPr="00881CC7">
        <w:rPr>
          <w:sz w:val="20"/>
          <w:szCs w:val="20"/>
        </w:rPr>
        <w:t xml:space="preserve"> Schedule for Washington/DC area: </w:t>
      </w:r>
      <w:r w:rsidRPr="00881CC7" w:rsidR="00AE1382">
        <w:rPr>
          <w:sz w:val="20"/>
          <w:szCs w:val="20"/>
        </w:rPr>
        <w:t xml:space="preserve"> </w:t>
      </w:r>
    </w:p>
    <w:p w:rsidR="00AE1382" w:rsidRPr="00881CC7" w:rsidP="004131BC" w14:paraId="18CC011E" w14:textId="53AFB7BF">
      <w:pPr>
        <w:rPr>
          <w:sz w:val="20"/>
          <w:szCs w:val="20"/>
        </w:rPr>
      </w:pPr>
      <w:bookmarkStart w:id="101" w:name="OLE_LINK13"/>
      <w:r w:rsidRPr="00881CC7">
        <w:rPr>
          <w:sz w:val="20"/>
          <w:szCs w:val="20"/>
        </w:rPr>
        <w:t>https://www.opm.gov/policy-data-oversight/pay-leave/salaries-wages/salary-tables/pdf/202</w:t>
      </w:r>
      <w:r w:rsidR="00995618">
        <w:rPr>
          <w:sz w:val="20"/>
          <w:szCs w:val="20"/>
        </w:rPr>
        <w:t>3</w:t>
      </w:r>
      <w:r w:rsidRPr="00881CC7">
        <w:rPr>
          <w:sz w:val="20"/>
          <w:szCs w:val="20"/>
        </w:rPr>
        <w:t>/DCB.pdf</w:t>
      </w:r>
    </w:p>
    <w:p w:rsidR="009B633D" w:rsidRPr="009249AE" w:rsidP="009B633D" w14:paraId="65538901" w14:textId="77777777">
      <w:pPr>
        <w:pStyle w:val="Heading2"/>
        <w:rPr>
          <w:sz w:val="24"/>
          <w:szCs w:val="24"/>
        </w:rPr>
      </w:pPr>
      <w:bookmarkStart w:id="102" w:name="_Toc160095525"/>
      <w:bookmarkEnd w:id="101"/>
      <w:r w:rsidRPr="009249AE">
        <w:rPr>
          <w:sz w:val="24"/>
          <w:szCs w:val="24"/>
        </w:rPr>
        <w:t>15. Changes in Hour Burden</w:t>
      </w:r>
      <w:bookmarkEnd w:id="97"/>
      <w:bookmarkEnd w:id="98"/>
      <w:bookmarkEnd w:id="102"/>
    </w:p>
    <w:p w:rsidR="00D57118" w:rsidRPr="00010908" w:rsidP="00D57118" w14:paraId="50BBD28A" w14:textId="264048CE">
      <w:bookmarkStart w:id="103" w:name="_Toc151782191"/>
      <w:bookmarkStart w:id="104" w:name="_Toc158526231"/>
      <w:r w:rsidRPr="006F462D">
        <w:t xml:space="preserve">As noted earlier, this revision to the current clearance </w:t>
      </w:r>
      <w:r w:rsidRPr="006F462D" w:rsidR="00FF28DB">
        <w:t xml:space="preserve">materials </w:t>
      </w:r>
      <w:r w:rsidRPr="006F462D">
        <w:t>reduces the number of respon</w:t>
      </w:r>
      <w:r w:rsidRPr="006F462D">
        <w:t>ses</w:t>
      </w:r>
      <w:r w:rsidRPr="006F462D" w:rsidR="00FF28DB">
        <w:t xml:space="preserve"> requested</w:t>
      </w:r>
      <w:r w:rsidRPr="006F462D">
        <w:t xml:space="preserve"> for the MOSOPS by administering it only to brick-and-mortar practices in the </w:t>
      </w:r>
      <w:r w:rsidRPr="006F462D" w:rsidR="00F51B3B">
        <w:t xml:space="preserve">improving antibiotic use </w:t>
      </w:r>
      <w:r w:rsidRPr="006F462D">
        <w:t xml:space="preserve">cohort, which </w:t>
      </w:r>
      <w:r w:rsidR="00F92178">
        <w:t>began</w:t>
      </w:r>
      <w:r w:rsidRPr="006F462D">
        <w:t xml:space="preserve"> in June 2024 and </w:t>
      </w:r>
      <w:r w:rsidR="00F92178">
        <w:t xml:space="preserve">will </w:t>
      </w:r>
      <w:r w:rsidRPr="006F462D">
        <w:t xml:space="preserve">end in December 2025. </w:t>
      </w:r>
      <w:r w:rsidRPr="006F462D" w:rsidR="00261D9E">
        <w:t xml:space="preserve">Because the diagnostic process cohort was cancelled, this revision also reduces the number of responses </w:t>
      </w:r>
      <w:r w:rsidRPr="006F462D" w:rsidR="0085141D">
        <w:t>to</w:t>
      </w:r>
      <w:r w:rsidRPr="006F462D" w:rsidR="00261D9E">
        <w:t xml:space="preserve"> the structural assessment, participant experience survey, MOSOPS, and semi-structured qualitative interviews</w:t>
      </w:r>
      <w:r w:rsidRPr="006F462D" w:rsidR="00E24276">
        <w:t xml:space="preserve">, and removes the </w:t>
      </w:r>
      <w:r w:rsidRPr="006F462D" w:rsidR="00653451">
        <w:t xml:space="preserve">collection of </w:t>
      </w:r>
      <w:r w:rsidRPr="006F462D" w:rsidR="00E24276">
        <w:t>clinical data</w:t>
      </w:r>
      <w:r w:rsidRPr="006F462D" w:rsidR="00F51B3B">
        <w:t xml:space="preserve"> </w:t>
      </w:r>
      <w:r w:rsidRPr="006F462D" w:rsidR="00653451">
        <w:t xml:space="preserve">for </w:t>
      </w:r>
      <w:r w:rsidRPr="006F462D" w:rsidR="00F51B3B">
        <w:t>the diagnostic process</w:t>
      </w:r>
      <w:r w:rsidRPr="006F462D" w:rsidR="00653451">
        <w:t xml:space="preserve"> cohort.</w:t>
      </w:r>
      <w:r w:rsidRPr="006F462D" w:rsidR="00261D9E">
        <w:t xml:space="preserve"> </w:t>
      </w:r>
      <w:r w:rsidRPr="006F462D">
        <w:t>The estimated annual</w:t>
      </w:r>
      <w:r w:rsidRPr="006F462D" w:rsidR="00FF28DB">
        <w:t>ized</w:t>
      </w:r>
      <w:r w:rsidRPr="006F462D">
        <w:t xml:space="preserve"> burden</w:t>
      </w:r>
      <w:r w:rsidRPr="006F462D" w:rsidR="00FF28DB">
        <w:t xml:space="preserve"> tables (Exhibit A.1 and A.2</w:t>
      </w:r>
      <w:r w:rsidRPr="006F462D" w:rsidR="001F6D6F">
        <w:t>)</w:t>
      </w:r>
      <w:r w:rsidRPr="006F462D" w:rsidR="00FF28DB">
        <w:t xml:space="preserve"> have</w:t>
      </w:r>
      <w:r w:rsidRPr="006F462D">
        <w:t xml:space="preserve"> been adjusted accordingly.</w:t>
      </w:r>
      <w:r>
        <w:t xml:space="preserve"> </w:t>
      </w:r>
    </w:p>
    <w:p w:rsidR="00FA6388" w:rsidRPr="009249AE" w:rsidP="009B633D" w14:paraId="5088D68B" w14:textId="77777777">
      <w:pPr>
        <w:pStyle w:val="Heading2"/>
        <w:rPr>
          <w:sz w:val="24"/>
          <w:szCs w:val="24"/>
        </w:rPr>
      </w:pPr>
      <w:bookmarkStart w:id="105" w:name="_Toc160095526"/>
      <w:r w:rsidRPr="009249AE">
        <w:rPr>
          <w:sz w:val="24"/>
          <w:szCs w:val="24"/>
        </w:rPr>
        <w:t>16. Time Schedule, Publication and Analysis Plans</w:t>
      </w:r>
      <w:bookmarkEnd w:id="103"/>
      <w:bookmarkEnd w:id="104"/>
      <w:bookmarkEnd w:id="105"/>
    </w:p>
    <w:p w:rsidR="003B21D0" w:rsidRPr="00010908" w:rsidP="00FA6388" w14:paraId="2C9B673E" w14:textId="71AF9863">
      <w:pPr>
        <w:pStyle w:val="CommentText"/>
        <w:rPr>
          <w:sz w:val="24"/>
          <w:szCs w:val="24"/>
        </w:rPr>
      </w:pPr>
      <w:r w:rsidRPr="00010908">
        <w:rPr>
          <w:sz w:val="24"/>
          <w:szCs w:val="24"/>
        </w:rPr>
        <w:t xml:space="preserve">The draft schedule of </w:t>
      </w:r>
      <w:r w:rsidR="005516D9">
        <w:rPr>
          <w:sz w:val="24"/>
          <w:szCs w:val="24"/>
        </w:rPr>
        <w:t>assessment</w:t>
      </w:r>
      <w:r w:rsidRPr="00010908" w:rsidR="005516D9">
        <w:rPr>
          <w:sz w:val="24"/>
          <w:szCs w:val="24"/>
        </w:rPr>
        <w:t xml:space="preserve"> </w:t>
      </w:r>
      <w:r w:rsidRPr="00010908">
        <w:rPr>
          <w:sz w:val="24"/>
          <w:szCs w:val="24"/>
        </w:rPr>
        <w:t xml:space="preserve">activities </w:t>
      </w:r>
      <w:r w:rsidRPr="00010908" w:rsidR="00464B30">
        <w:rPr>
          <w:sz w:val="24"/>
          <w:szCs w:val="24"/>
        </w:rPr>
        <w:t>is</w:t>
      </w:r>
      <w:r w:rsidRPr="00010908">
        <w:rPr>
          <w:sz w:val="24"/>
          <w:szCs w:val="24"/>
        </w:rPr>
        <w:t xml:space="preserve"> contained in </w:t>
      </w:r>
      <w:r w:rsidRPr="006F462D">
        <w:rPr>
          <w:b/>
          <w:sz w:val="24"/>
          <w:szCs w:val="24"/>
        </w:rPr>
        <w:t xml:space="preserve">Attachment </w:t>
      </w:r>
      <w:r w:rsidRPr="006F462D" w:rsidR="00261D9E">
        <w:rPr>
          <w:b/>
          <w:sz w:val="24"/>
          <w:szCs w:val="24"/>
        </w:rPr>
        <w:t>J</w:t>
      </w:r>
      <w:r w:rsidRPr="006F462D" w:rsidR="00261D9E">
        <w:rPr>
          <w:bCs/>
          <w:sz w:val="24"/>
          <w:szCs w:val="24"/>
        </w:rPr>
        <w:t xml:space="preserve"> </w:t>
      </w:r>
      <w:r w:rsidRPr="006F462D" w:rsidR="00FF28DB">
        <w:rPr>
          <w:bCs/>
          <w:sz w:val="24"/>
          <w:szCs w:val="24"/>
        </w:rPr>
        <w:t xml:space="preserve">which has been updated to </w:t>
      </w:r>
      <w:r w:rsidRPr="006F462D" w:rsidR="00261D9E">
        <w:rPr>
          <w:bCs/>
          <w:sz w:val="24"/>
          <w:szCs w:val="24"/>
        </w:rPr>
        <w:t xml:space="preserve">remove the diagnostic process cohort and to </w:t>
      </w:r>
      <w:r w:rsidRPr="006F462D" w:rsidR="00FF28DB">
        <w:rPr>
          <w:bCs/>
          <w:sz w:val="24"/>
          <w:szCs w:val="24"/>
        </w:rPr>
        <w:t xml:space="preserve">include an additional three months of EHR data </w:t>
      </w:r>
      <w:r w:rsidRPr="006F462D" w:rsidR="001F6D6F">
        <w:rPr>
          <w:bCs/>
          <w:sz w:val="24"/>
          <w:szCs w:val="24"/>
        </w:rPr>
        <w:t>collected during</w:t>
      </w:r>
      <w:r w:rsidRPr="006F462D" w:rsidR="00FF28DB">
        <w:rPr>
          <w:bCs/>
          <w:sz w:val="24"/>
          <w:szCs w:val="24"/>
        </w:rPr>
        <w:t xml:space="preserve"> the baseline (pre-intervention) period</w:t>
      </w:r>
      <w:r w:rsidRPr="006F462D" w:rsidR="001F6D6F">
        <w:rPr>
          <w:bCs/>
          <w:sz w:val="24"/>
          <w:szCs w:val="24"/>
        </w:rPr>
        <w:t xml:space="preserve">. This is </w:t>
      </w:r>
      <w:r w:rsidRPr="006F462D" w:rsidR="00FF28DB">
        <w:rPr>
          <w:bCs/>
          <w:sz w:val="24"/>
          <w:szCs w:val="24"/>
        </w:rPr>
        <w:t xml:space="preserve">consistent with prior AHRQ Safety Program for Improving Antibiotic Use cohorts. Baseline data will now be requested </w:t>
      </w:r>
      <w:r w:rsidR="004E35E2">
        <w:rPr>
          <w:bCs/>
          <w:sz w:val="24"/>
          <w:szCs w:val="24"/>
        </w:rPr>
        <w:t>retro</w:t>
      </w:r>
      <w:r w:rsidR="0069247F">
        <w:rPr>
          <w:bCs/>
          <w:sz w:val="24"/>
          <w:szCs w:val="24"/>
        </w:rPr>
        <w:t xml:space="preserve">spectively </w:t>
      </w:r>
      <w:r w:rsidRPr="006F462D" w:rsidR="00FF28DB">
        <w:rPr>
          <w:bCs/>
          <w:sz w:val="24"/>
          <w:szCs w:val="24"/>
        </w:rPr>
        <w:t xml:space="preserve">for March 2024 through August 2024. </w:t>
      </w:r>
      <w:r w:rsidRPr="006F462D">
        <w:rPr>
          <w:bCs/>
          <w:sz w:val="24"/>
          <w:szCs w:val="24"/>
        </w:rPr>
        <w:t>The</w:t>
      </w:r>
      <w:r w:rsidRPr="006F462D">
        <w:rPr>
          <w:sz w:val="24"/>
          <w:szCs w:val="24"/>
        </w:rPr>
        <w:t xml:space="preserve"> exact </w:t>
      </w:r>
      <w:r w:rsidRPr="006F462D" w:rsidR="00D9045B">
        <w:rPr>
          <w:sz w:val="24"/>
          <w:szCs w:val="24"/>
        </w:rPr>
        <w:t>start date</w:t>
      </w:r>
      <w:r w:rsidRPr="006F462D">
        <w:rPr>
          <w:sz w:val="24"/>
          <w:szCs w:val="24"/>
        </w:rPr>
        <w:t xml:space="preserve"> for data collection activities </w:t>
      </w:r>
      <w:r w:rsidRPr="006F462D" w:rsidR="00D9045B">
        <w:rPr>
          <w:sz w:val="24"/>
          <w:szCs w:val="24"/>
        </w:rPr>
        <w:t>is</w:t>
      </w:r>
      <w:r w:rsidRPr="006F462D">
        <w:rPr>
          <w:sz w:val="24"/>
          <w:szCs w:val="24"/>
        </w:rPr>
        <w:t xml:space="preserve"> contingent on the OMB clearance date.</w:t>
      </w:r>
      <w:r w:rsidRPr="00010908">
        <w:rPr>
          <w:sz w:val="24"/>
          <w:szCs w:val="24"/>
        </w:rPr>
        <w:t xml:space="preserve"> </w:t>
      </w:r>
    </w:p>
    <w:p w:rsidR="003B21D0" w:rsidRPr="00010908" w:rsidP="00FA6388" w14:paraId="60D479B5" w14:textId="77777777">
      <w:pPr>
        <w:pStyle w:val="CommentText"/>
        <w:rPr>
          <w:sz w:val="24"/>
          <w:szCs w:val="24"/>
        </w:rPr>
      </w:pPr>
    </w:p>
    <w:p w:rsidR="00FA6388" w:rsidRPr="00010908" w:rsidP="00FA6388" w14:paraId="524DF9D5" w14:textId="52EC4F5B">
      <w:pPr>
        <w:pStyle w:val="CommentText"/>
        <w:rPr>
          <w:sz w:val="24"/>
          <w:szCs w:val="24"/>
        </w:rPr>
      </w:pPr>
      <w:r w:rsidRPr="00010908">
        <w:rPr>
          <w:sz w:val="24"/>
          <w:szCs w:val="24"/>
        </w:rPr>
        <w:t>AHRQ will make the final toolkit</w:t>
      </w:r>
      <w:r w:rsidR="00653451">
        <w:rPr>
          <w:sz w:val="24"/>
          <w:szCs w:val="24"/>
        </w:rPr>
        <w:t xml:space="preserve"> </w:t>
      </w:r>
      <w:r w:rsidRPr="00010908" w:rsidR="007B7D11">
        <w:rPr>
          <w:sz w:val="24"/>
          <w:szCs w:val="24"/>
        </w:rPr>
        <w:t>publicly</w:t>
      </w:r>
      <w:r w:rsidRPr="00010908">
        <w:rPr>
          <w:sz w:val="24"/>
          <w:szCs w:val="24"/>
        </w:rPr>
        <w:t xml:space="preserve"> available on its website. The findings from the </w:t>
      </w:r>
      <w:r w:rsidR="00DD03B5">
        <w:rPr>
          <w:sz w:val="24"/>
          <w:szCs w:val="24"/>
        </w:rPr>
        <w:t>program</w:t>
      </w:r>
      <w:r w:rsidRPr="00010908" w:rsidR="00DD03B5">
        <w:rPr>
          <w:sz w:val="24"/>
          <w:szCs w:val="24"/>
        </w:rPr>
        <w:t xml:space="preserve"> </w:t>
      </w:r>
      <w:r w:rsidRPr="00010908">
        <w:rPr>
          <w:sz w:val="24"/>
          <w:szCs w:val="24"/>
        </w:rPr>
        <w:t xml:space="preserve">will be submitted for publication in academic journals. </w:t>
      </w:r>
    </w:p>
    <w:p w:rsidR="009B633D" w:rsidRPr="009249AE" w:rsidP="009B633D" w14:paraId="14763B7F" w14:textId="77777777">
      <w:pPr>
        <w:pStyle w:val="Heading2"/>
        <w:rPr>
          <w:sz w:val="24"/>
          <w:szCs w:val="24"/>
        </w:rPr>
      </w:pPr>
      <w:bookmarkStart w:id="106" w:name="_Toc151782196"/>
      <w:bookmarkStart w:id="107" w:name="_Toc158526232"/>
      <w:bookmarkStart w:id="108" w:name="_Toc160095527"/>
      <w:r w:rsidRPr="009249AE">
        <w:rPr>
          <w:sz w:val="24"/>
          <w:szCs w:val="24"/>
        </w:rPr>
        <w:t>17. Exemption for Display of Expiration Date</w:t>
      </w:r>
      <w:bookmarkEnd w:id="106"/>
      <w:bookmarkEnd w:id="107"/>
      <w:bookmarkEnd w:id="108"/>
    </w:p>
    <w:p w:rsidR="009B633D" w:rsidRPr="00010908" w:rsidP="009B633D" w14:paraId="16D525D2" w14:textId="77777777">
      <w:r w:rsidRPr="00010908">
        <w:t>AHRQ does not seek this exemption.</w:t>
      </w:r>
    </w:p>
    <w:p w:rsidR="00016560" w:rsidRPr="00745FB4" w:rsidP="00F43FE9" w14:paraId="0A18A2FD" w14:textId="77777777">
      <w:pPr>
        <w:pStyle w:val="Heading2"/>
        <w:rPr>
          <w:sz w:val="24"/>
          <w:szCs w:val="24"/>
        </w:rPr>
      </w:pPr>
      <w:bookmarkStart w:id="109" w:name="_Toc160095528"/>
      <w:r>
        <w:rPr>
          <w:sz w:val="24"/>
          <w:szCs w:val="24"/>
        </w:rPr>
        <w:t xml:space="preserve">18. </w:t>
      </w:r>
      <w:r w:rsidRPr="00745FB4" w:rsidR="00904CC3">
        <w:rPr>
          <w:sz w:val="24"/>
          <w:szCs w:val="24"/>
        </w:rPr>
        <w:t xml:space="preserve">List of </w:t>
      </w:r>
      <w:r w:rsidRPr="00745FB4">
        <w:rPr>
          <w:sz w:val="24"/>
          <w:szCs w:val="24"/>
        </w:rPr>
        <w:t>Attachments</w:t>
      </w:r>
      <w:bookmarkEnd w:id="109"/>
    </w:p>
    <w:p w:rsidR="00CB531A" w:rsidRPr="009E47CB" w:rsidP="009957EF" w14:paraId="4AEE9DDD" w14:textId="1B8C6884">
      <w:bookmarkStart w:id="110" w:name="OLE_LINK61"/>
      <w:bookmarkStart w:id="111" w:name="OLE_LINK17"/>
      <w:bookmarkStart w:id="112" w:name="OLE_LINK1"/>
      <w:r w:rsidRPr="006F462D">
        <w:t xml:space="preserve">Attachment </w:t>
      </w:r>
      <w:r w:rsidRPr="006F462D" w:rsidR="00261D9E">
        <w:t>A</w:t>
      </w:r>
      <w:r w:rsidRPr="006F462D" w:rsidR="009249AE">
        <w:t xml:space="preserve">: </w:t>
      </w:r>
      <w:bookmarkStart w:id="113" w:name="_Hlk162347475"/>
      <w:r w:rsidRPr="006F462D" w:rsidR="009249AE">
        <w:t>Structural Assessment</w:t>
      </w:r>
      <w:r w:rsidRPr="006F462D" w:rsidR="00881CC7">
        <w:t>_</w:t>
      </w:r>
      <w:r w:rsidRPr="006F462D" w:rsidR="009249AE">
        <w:t xml:space="preserve">Antibiotic </w:t>
      </w:r>
      <w:r w:rsidRPr="006F462D" w:rsidR="0099643A">
        <w:t>Use</w:t>
      </w:r>
      <w:r w:rsidRPr="006F462D" w:rsidR="009249AE">
        <w:t xml:space="preserve"> Cohort</w:t>
      </w:r>
      <w:r w:rsidRPr="006F462D">
        <w:t xml:space="preserve">_Brick and Mortar </w:t>
      </w:r>
      <w:bookmarkStart w:id="114" w:name="OLE_LINK65"/>
      <w:r w:rsidRPr="006F462D">
        <w:t>(updated)</w:t>
      </w:r>
      <w:bookmarkEnd w:id="113"/>
      <w:bookmarkEnd w:id="114"/>
    </w:p>
    <w:bookmarkEnd w:id="110"/>
    <w:p w:rsidR="00CB531A" w:rsidRPr="00010908" w:rsidP="009957EF" w14:paraId="5CE7DAD4" w14:textId="4C04BEB4">
      <w:r w:rsidRPr="006F462D">
        <w:t xml:space="preserve">Attachment </w:t>
      </w:r>
      <w:r w:rsidRPr="006F462D" w:rsidR="00261D9E">
        <w:t>B</w:t>
      </w:r>
      <w:r w:rsidRPr="006F462D">
        <w:t xml:space="preserve">: </w:t>
      </w:r>
      <w:bookmarkStart w:id="115" w:name="_Hlk162347538"/>
      <w:r w:rsidRPr="006F462D">
        <w:t xml:space="preserve">Structural Assessment_Antibiotic </w:t>
      </w:r>
      <w:r w:rsidRPr="006F462D" w:rsidR="0099643A">
        <w:t>Use</w:t>
      </w:r>
      <w:r w:rsidRPr="006F462D">
        <w:t xml:space="preserve"> Cohort_Telemedicine Only (updated)</w:t>
      </w:r>
      <w:bookmarkEnd w:id="115"/>
    </w:p>
    <w:p w:rsidR="007336F6" w:rsidRPr="00010908" w:rsidP="009957EF" w14:paraId="4624FA6A" w14:textId="5298A7A0">
      <w:r>
        <w:t xml:space="preserve">Attachment </w:t>
      </w:r>
      <w:r w:rsidR="00261D9E">
        <w:t>C</w:t>
      </w:r>
      <w:r>
        <w:t xml:space="preserve">: </w:t>
      </w:r>
      <w:bookmarkStart w:id="116" w:name="_Hlk162347668"/>
      <w:r w:rsidR="0030723F">
        <w:t>The Medical Office Survey on Patient Safety Culture (MOSOPS)</w:t>
      </w:r>
      <w:bookmarkEnd w:id="116"/>
    </w:p>
    <w:p w:rsidR="009957EF" w:rsidRPr="006F462D" w:rsidP="00D01CF2" w14:paraId="65B6E64D" w14:textId="164A8216">
      <w:pPr>
        <w:pStyle w:val="ColorfulList-Accent11"/>
        <w:tabs>
          <w:tab w:val="left" w:pos="360"/>
        </w:tabs>
        <w:ind w:left="0"/>
        <w:rPr>
          <w:bCs/>
        </w:rPr>
      </w:pPr>
      <w:bookmarkStart w:id="117" w:name="OLE_LINK64"/>
      <w:r w:rsidRPr="006F462D">
        <w:t xml:space="preserve">Attachment </w:t>
      </w:r>
      <w:r w:rsidRPr="006F462D" w:rsidR="00261D9E">
        <w:t>D</w:t>
      </w:r>
      <w:r w:rsidRPr="006F462D">
        <w:t xml:space="preserve">: </w:t>
      </w:r>
      <w:bookmarkStart w:id="118" w:name="_Hlk162347721"/>
      <w:r w:rsidRPr="006F462D" w:rsidR="0030723F">
        <w:t>Participant Experience Survey</w:t>
      </w:r>
      <w:r w:rsidRPr="006F462D" w:rsidR="00881CC7">
        <w:t>_</w:t>
      </w:r>
      <w:r w:rsidRPr="006F462D" w:rsidR="0030723F">
        <w:t xml:space="preserve">Antibiotic </w:t>
      </w:r>
      <w:r w:rsidRPr="006F462D" w:rsidR="0099643A">
        <w:t>Use</w:t>
      </w:r>
      <w:r w:rsidRPr="006F462D" w:rsidR="0030723F">
        <w:t xml:space="preserve"> Cohort</w:t>
      </w:r>
      <w:r w:rsidRPr="006F462D" w:rsidR="00CB531A">
        <w:t>_Brick and Mortar (updated)</w:t>
      </w:r>
      <w:bookmarkEnd w:id="118"/>
    </w:p>
    <w:bookmarkEnd w:id="117"/>
    <w:p w:rsidR="00CB531A" w:rsidRPr="00C83978" w:rsidP="00D01CF2" w14:paraId="28B237A1" w14:textId="145463E8">
      <w:pPr>
        <w:pStyle w:val="ColorfulList-Accent11"/>
        <w:tabs>
          <w:tab w:val="left" w:pos="360"/>
        </w:tabs>
        <w:ind w:left="0"/>
        <w:rPr>
          <w:bCs/>
        </w:rPr>
      </w:pPr>
      <w:r w:rsidRPr="006F462D">
        <w:t xml:space="preserve">Attachment </w:t>
      </w:r>
      <w:r w:rsidRPr="006F462D" w:rsidR="00261D9E">
        <w:t>E</w:t>
      </w:r>
      <w:r w:rsidRPr="006F462D">
        <w:t xml:space="preserve">: </w:t>
      </w:r>
      <w:bookmarkStart w:id="119" w:name="_Hlk162348326"/>
      <w:r w:rsidRPr="006F462D">
        <w:t xml:space="preserve">Participant Experience Survey_Antibiotic </w:t>
      </w:r>
      <w:r w:rsidRPr="006F462D" w:rsidR="0099643A">
        <w:t>Use</w:t>
      </w:r>
      <w:r w:rsidRPr="006F462D">
        <w:t xml:space="preserve"> Cohort_Telemedicine Only (updated)</w:t>
      </w:r>
      <w:bookmarkEnd w:id="119"/>
    </w:p>
    <w:p w:rsidR="009957EF" w:rsidRPr="00C83978" w:rsidP="00D01CF2" w14:paraId="154CCEBF" w14:textId="3171104E">
      <w:pPr>
        <w:pStyle w:val="ColorfulList-Accent11"/>
        <w:tabs>
          <w:tab w:val="left" w:pos="360"/>
        </w:tabs>
        <w:ind w:left="0"/>
        <w:rPr>
          <w:bCs/>
        </w:rPr>
      </w:pPr>
      <w:r w:rsidRPr="006F462D">
        <w:t xml:space="preserve">Attachment </w:t>
      </w:r>
      <w:r w:rsidRPr="006F462D" w:rsidR="00261D9E">
        <w:t>F</w:t>
      </w:r>
      <w:r w:rsidRPr="006F462D">
        <w:t xml:space="preserve">: </w:t>
      </w:r>
      <w:bookmarkStart w:id="120" w:name="_Hlk162348398"/>
      <w:r w:rsidRPr="006F462D" w:rsidR="0030723F">
        <w:t>Draft Interview Guide for Semi-Structured Interviews</w:t>
      </w:r>
      <w:r w:rsidRPr="006F462D" w:rsidR="00881CC7">
        <w:t>_</w:t>
      </w:r>
      <w:r w:rsidRPr="006F462D" w:rsidR="0030723F">
        <w:t xml:space="preserve">Antibiotic </w:t>
      </w:r>
      <w:r w:rsidRPr="006F462D" w:rsidR="0099643A">
        <w:t>Use</w:t>
      </w:r>
      <w:r w:rsidRPr="006F462D" w:rsidR="0030723F">
        <w:t xml:space="preserve"> Cohort </w:t>
      </w:r>
      <w:r w:rsidRPr="006F462D" w:rsidR="00CB531A">
        <w:t>(updated)</w:t>
      </w:r>
      <w:bookmarkEnd w:id="120"/>
    </w:p>
    <w:p w:rsidR="00E870EE" w:rsidRPr="006F462D" w:rsidP="00D01CF2" w14:paraId="3E0D91F0" w14:textId="129F75E3">
      <w:pPr>
        <w:pStyle w:val="ColorfulList-Accent11"/>
        <w:tabs>
          <w:tab w:val="left" w:pos="360"/>
        </w:tabs>
        <w:ind w:left="0"/>
      </w:pPr>
      <w:r w:rsidRPr="006F462D">
        <w:t xml:space="preserve">Attachment </w:t>
      </w:r>
      <w:r w:rsidRPr="006F462D" w:rsidR="00261D9E">
        <w:t>G</w:t>
      </w:r>
      <w:r w:rsidRPr="006F462D">
        <w:t xml:space="preserve">: </w:t>
      </w:r>
      <w:bookmarkStart w:id="121" w:name="_Hlk162348466"/>
      <w:r w:rsidRPr="006F462D" w:rsidR="004D7FF7">
        <w:t xml:space="preserve">Antibiotic Prescription Data </w:t>
      </w:r>
      <w:r w:rsidRPr="006F462D" w:rsidR="0030723F">
        <w:t>Template</w:t>
      </w:r>
      <w:r w:rsidRPr="006F462D" w:rsidR="00881CC7">
        <w:t>_</w:t>
      </w:r>
      <w:r w:rsidRPr="006F462D" w:rsidR="0030723F">
        <w:t xml:space="preserve">Antibiotic </w:t>
      </w:r>
      <w:r w:rsidRPr="006F462D" w:rsidR="0099643A">
        <w:t>Use</w:t>
      </w:r>
      <w:r w:rsidRPr="006F462D" w:rsidR="0030723F">
        <w:t xml:space="preserve"> Cohort </w:t>
      </w:r>
      <w:r w:rsidRPr="006F462D" w:rsidR="00CB531A">
        <w:t>(updated)</w:t>
      </w:r>
      <w:bookmarkEnd w:id="121"/>
    </w:p>
    <w:p w:rsidR="00E870EE" w:rsidP="00E870EE" w14:paraId="29A46740" w14:textId="4258380F">
      <w:pPr>
        <w:tabs>
          <w:tab w:val="left" w:pos="360"/>
        </w:tabs>
      </w:pPr>
      <w:r w:rsidRPr="006F462D">
        <w:t xml:space="preserve">Attachment </w:t>
      </w:r>
      <w:r w:rsidRPr="006F462D" w:rsidR="00261D9E">
        <w:t>H</w:t>
      </w:r>
      <w:r w:rsidRPr="006F462D">
        <w:t xml:space="preserve">: </w:t>
      </w:r>
      <w:bookmarkStart w:id="122" w:name="_Hlk162348505"/>
      <w:r w:rsidRPr="006F462D" w:rsidR="0030723F">
        <w:t xml:space="preserve">Instructions for </w:t>
      </w:r>
      <w:r w:rsidRPr="006F462D" w:rsidR="004D7FF7">
        <w:t>Antibiotic Prescription Data Template</w:t>
      </w:r>
      <w:r w:rsidRPr="006F462D" w:rsidR="00881CC7">
        <w:t>_</w:t>
      </w:r>
      <w:r w:rsidRPr="006F462D" w:rsidR="0030723F">
        <w:t xml:space="preserve">Antibiotic </w:t>
      </w:r>
      <w:r w:rsidRPr="006F462D" w:rsidR="0099643A">
        <w:t>Use</w:t>
      </w:r>
      <w:r w:rsidRPr="006F462D" w:rsidR="0030723F">
        <w:t xml:space="preserve"> Cohort </w:t>
      </w:r>
      <w:r w:rsidRPr="006F462D" w:rsidR="00CB531A">
        <w:t>(updated)</w:t>
      </w:r>
      <w:bookmarkEnd w:id="122"/>
    </w:p>
    <w:p w:rsidR="00463611" w:rsidP="00463611" w14:paraId="2319CB88" w14:textId="5F9ADDA3">
      <w:pPr>
        <w:tabs>
          <w:tab w:val="left" w:pos="360"/>
        </w:tabs>
      </w:pPr>
      <w:r w:rsidRPr="006F462D">
        <w:t>A</w:t>
      </w:r>
      <w:r w:rsidRPr="006F462D" w:rsidR="007336F6">
        <w:t xml:space="preserve">ttachment </w:t>
      </w:r>
      <w:r w:rsidRPr="006F462D" w:rsidR="00261D9E">
        <w:t>I</w:t>
      </w:r>
      <w:r w:rsidRPr="006F462D" w:rsidR="00F43FE9">
        <w:t>:</w:t>
      </w:r>
      <w:r w:rsidRPr="006F462D">
        <w:rPr>
          <w:i/>
          <w:iCs/>
        </w:rPr>
        <w:t xml:space="preserve"> </w:t>
      </w:r>
      <w:r w:rsidRPr="006F462D" w:rsidR="004D7FF7">
        <w:t>60-Day</w:t>
      </w:r>
      <w:r w:rsidRPr="006F462D" w:rsidR="004D7FF7">
        <w:rPr>
          <w:i/>
          <w:iCs/>
        </w:rPr>
        <w:t xml:space="preserve"> </w:t>
      </w:r>
      <w:r w:rsidRPr="006F462D" w:rsidR="0030723F">
        <w:t xml:space="preserve">Federal Register Notice </w:t>
      </w:r>
    </w:p>
    <w:p w:rsidR="00582705" w:rsidRPr="00010908" w:rsidP="008A2A14" w14:paraId="71FEEC18" w14:textId="08510C09">
      <w:r w:rsidRPr="006F462D">
        <w:t xml:space="preserve">Attachment </w:t>
      </w:r>
      <w:r w:rsidRPr="006F462D" w:rsidR="00261D9E">
        <w:t>J</w:t>
      </w:r>
      <w:r w:rsidRPr="006F462D">
        <w:t>:</w:t>
      </w:r>
      <w:r w:rsidRPr="006F462D" w:rsidR="000D7CBE">
        <w:t xml:space="preserve"> </w:t>
      </w:r>
      <w:r w:rsidRPr="006F462D" w:rsidR="0030723F">
        <w:t xml:space="preserve">Schedule of </w:t>
      </w:r>
      <w:r w:rsidRPr="006F462D" w:rsidR="00881CC7">
        <w:t>Assessment</w:t>
      </w:r>
      <w:r w:rsidRPr="006F462D" w:rsidR="0030723F">
        <w:t xml:space="preserve"> Activities, 2022-202</w:t>
      </w:r>
      <w:r w:rsidRPr="006F462D" w:rsidR="003E4B74">
        <w:t>6</w:t>
      </w:r>
      <w:r w:rsidRPr="006F462D" w:rsidR="00FF28DB">
        <w:t xml:space="preserve"> (updated)</w:t>
      </w:r>
    </w:p>
    <w:bookmarkEnd w:id="111"/>
    <w:bookmarkEnd w:id="112"/>
    <w:p w:rsidR="00DA79B5" w:rsidP="00CE6B10" w14:paraId="5BB4433D" w14:textId="77777777">
      <w:pPr>
        <w:pStyle w:val="NormalWeb"/>
        <w:tabs>
          <w:tab w:val="left" w:pos="360"/>
        </w:tabs>
      </w:pPr>
    </w:p>
    <w:p w:rsidR="00E418E5" w:rsidP="00CE6B10" w14:paraId="2C1017BC" w14:textId="77777777">
      <w:pPr>
        <w:pStyle w:val="NormalWeb"/>
        <w:tabs>
          <w:tab w:val="left" w:pos="360"/>
        </w:tabs>
      </w:pPr>
    </w:p>
    <w:p w:rsidR="00E418E5" w:rsidP="00CE6B10" w14:paraId="30526638" w14:textId="77777777">
      <w:pPr>
        <w:pStyle w:val="NormalWeb"/>
        <w:tabs>
          <w:tab w:val="left" w:pos="360"/>
        </w:tabs>
      </w:pPr>
    </w:p>
    <w:sectPr w:rsidSect="007A2073">
      <w:footerReference w:type="even" r:id="rId12"/>
      <w:footerReference w:type="default" r:id="rId13"/>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F2D1C" w14:paraId="2F793597" w14:textId="77777777">
      <w:r>
        <w:separator/>
      </w:r>
    </w:p>
  </w:endnote>
  <w:endnote w:type="continuationSeparator" w:id="1">
    <w:p w:rsidR="00DF2D1C" w14:paraId="07FC92A4" w14:textId="77777777">
      <w:r>
        <w:continuationSeparator/>
      </w:r>
    </w:p>
  </w:endnote>
  <w:endnote w:type="continuationNotice" w:id="2">
    <w:p w:rsidR="00DF2D1C" w14:paraId="2D7E1DC4" w14:textId="77777777"/>
  </w:endnote>
  <w:endnote w:id="3">
    <w:p w:rsidR="00591FC5" w:rsidP="00591FC5" w14:paraId="494080B3" w14:textId="77777777">
      <w:pPr>
        <w:pStyle w:val="EndnoteText"/>
        <w:widowControl w:val="0"/>
        <w:suppressLineNumbers/>
        <w:suppressAutoHyphens/>
        <w:contextualSpacing/>
      </w:pPr>
      <w:r w:rsidRPr="001B5C4B">
        <w:rPr>
          <w:rStyle w:val="EndnoteReference"/>
        </w:rPr>
        <w:endnoteRef/>
      </w:r>
      <w:r w:rsidRPr="001B5C4B">
        <w:t xml:space="preserve"> Medicare Telemedicine Health Care Provider Fact Sheet. Content last reviewed March 2020. Center for Medicare &amp; Medicaid Services. </w:t>
      </w:r>
      <w:hyperlink r:id="rId1" w:history="1">
        <w:r w:rsidRPr="001B5C4B">
          <w:rPr>
            <w:rStyle w:val="Hyperlink"/>
          </w:rPr>
          <w:t>https://www.cms.</w:t>
        </w:r>
        <w:r w:rsidRPr="001B5C4B">
          <w:rPr>
            <w:rStyle w:val="Hyperlink"/>
          </w:rPr>
          <w:t>gov/newsroom/fact-sheets/medicare-telemedicine-health-care-provider-fact-sheet</w:t>
        </w:r>
      </w:hyperlink>
      <w:r w:rsidRPr="001B5C4B">
        <w:t xml:space="preserve">. </w:t>
      </w:r>
    </w:p>
    <w:p w:rsidR="00591FC5" w:rsidRPr="001B5C4B" w:rsidP="00591FC5" w14:paraId="4A962C31" w14:textId="77777777">
      <w:pPr>
        <w:pStyle w:val="EndnoteText"/>
        <w:widowControl w:val="0"/>
        <w:suppressLineNumbers/>
        <w:suppressAutoHyphens/>
        <w:contextualSpacing/>
      </w:pPr>
    </w:p>
  </w:endnote>
  <w:endnote w:id="4">
    <w:p w:rsidR="00591FC5" w:rsidP="00591FC5" w14:paraId="7E2A337B" w14:textId="77777777">
      <w:pPr>
        <w:pStyle w:val="EndnoteText"/>
        <w:widowControl w:val="0"/>
        <w:suppressLineNumbers/>
        <w:suppressAutoHyphens/>
        <w:contextualSpacing/>
        <w:rPr>
          <w:color w:val="333333"/>
          <w:shd w:val="clear" w:color="auto" w:fill="FFFFFF"/>
        </w:rPr>
      </w:pPr>
      <w:r w:rsidRPr="001B5C4B">
        <w:rPr>
          <w:rStyle w:val="EndnoteReference"/>
        </w:rPr>
        <w:endnoteRef/>
      </w:r>
      <w:r w:rsidRPr="001B5C4B">
        <w:t xml:space="preserve"> </w:t>
      </w:r>
      <w:r w:rsidRPr="001B5C4B">
        <w:rPr>
          <w:color w:val="333333"/>
          <w:shd w:val="clear" w:color="auto" w:fill="FFFFFF"/>
        </w:rPr>
        <w:t>Weiner JP, Bandeian S, Hatef E, Lans D, Liu A, Lemke KW. In-Person and telehealth ambulatory contacts and costs in a large US insured coh</w:t>
      </w:r>
      <w:r w:rsidRPr="001B5C4B">
        <w:rPr>
          <w:color w:val="333333"/>
          <w:shd w:val="clear" w:color="auto" w:fill="FFFFFF"/>
        </w:rPr>
        <w:t>ort before and during the COVID-19 pandemic. </w:t>
      </w:r>
      <w:r w:rsidRPr="001B5C4B">
        <w:rPr>
          <w:rStyle w:val="Emphasis"/>
          <w:color w:val="333333"/>
          <w:shd w:val="clear" w:color="auto" w:fill="FFFFFF"/>
        </w:rPr>
        <w:t>JAMA Netw Open.</w:t>
      </w:r>
      <w:r w:rsidRPr="001B5C4B">
        <w:rPr>
          <w:color w:val="333333"/>
          <w:shd w:val="clear" w:color="auto" w:fill="FFFFFF"/>
        </w:rPr>
        <w:t xml:space="preserve"> 2021;4(3):e212618. </w:t>
      </w:r>
    </w:p>
    <w:p w:rsidR="00591FC5" w:rsidRPr="001B5C4B" w:rsidP="00591FC5" w14:paraId="3405F42A" w14:textId="77777777">
      <w:pPr>
        <w:pStyle w:val="EndnoteText"/>
        <w:widowControl w:val="0"/>
        <w:suppressLineNumbers/>
        <w:suppressAutoHyphens/>
        <w:contextualSpacing/>
      </w:pPr>
    </w:p>
  </w:endnote>
  <w:endnote w:id="5">
    <w:p w:rsidR="00591FC5" w:rsidP="00591FC5" w14:paraId="6374BA1C" w14:textId="77777777">
      <w:pPr>
        <w:pStyle w:val="EndnoteText"/>
        <w:widowControl w:val="0"/>
        <w:suppressLineNumbers/>
        <w:suppressAutoHyphens/>
        <w:contextualSpacing/>
      </w:pPr>
      <w:r w:rsidRPr="001B5C4B">
        <w:rPr>
          <w:rStyle w:val="EndnoteReference"/>
        </w:rPr>
        <w:endnoteRef/>
      </w:r>
      <w:r w:rsidRPr="001B5C4B">
        <w:t xml:space="preserve"> Telehealth for Providers: What You Need to Know. Content last reviewed March 2021. Center for Medicare &amp; Medicaid Services. </w:t>
      </w:r>
      <w:hyperlink r:id="rId2" w:history="1">
        <w:r w:rsidRPr="001B5C4B">
          <w:rPr>
            <w:rStyle w:val="Hyperlink"/>
          </w:rPr>
          <w:t>https://www.cms.gov/files/document/telehealth-toolkit-providers.pdf</w:t>
        </w:r>
      </w:hyperlink>
      <w:r w:rsidRPr="001B5C4B">
        <w:t xml:space="preserve">. </w:t>
      </w:r>
    </w:p>
    <w:p w:rsidR="00591FC5" w:rsidRPr="001B5C4B" w:rsidP="00591FC5" w14:paraId="1014AF9F" w14:textId="77777777">
      <w:pPr>
        <w:pStyle w:val="EndnoteText"/>
        <w:widowControl w:val="0"/>
        <w:suppressLineNumbers/>
        <w:suppressAutoHyphens/>
        <w:contextualSpacing/>
      </w:pPr>
    </w:p>
  </w:endnote>
  <w:endnote w:id="6">
    <w:p w:rsidR="00B51734" w:rsidP="00B51734" w14:paraId="04A22C60" w14:textId="77777777">
      <w:pPr>
        <w:pStyle w:val="CommentText"/>
        <w:widowControl w:val="0"/>
        <w:suppressLineNumbers/>
        <w:suppressAutoHyphens/>
        <w:contextualSpacing/>
        <w:rPr>
          <w:rStyle w:val="Hyperlink"/>
          <w:color w:val="auto"/>
          <w:u w:val="none"/>
        </w:rPr>
      </w:pPr>
      <w:r w:rsidRPr="001B5C4B">
        <w:rPr>
          <w:rStyle w:val="EndnoteReference"/>
        </w:rPr>
        <w:endnoteRef/>
      </w:r>
      <w:r w:rsidRPr="001B5C4B">
        <w:t xml:space="preserve"> Anderson M. Mobile technology and home broadband. </w:t>
      </w:r>
      <w:r w:rsidRPr="001B5C4B">
        <w:rPr>
          <w:i/>
        </w:rPr>
        <w:t>Pew Research Center.</w:t>
      </w:r>
      <w:r w:rsidRPr="001B5C4B">
        <w:t xml:space="preserve"> 2019. </w:t>
      </w:r>
      <w:hyperlink r:id="rId3" w:tgtFrame="_blank" w:history="1">
        <w:r w:rsidRPr="001B5C4B">
          <w:rPr>
            <w:rStyle w:val="Hyperlink"/>
            <w:color w:val="auto"/>
            <w:u w:val="none"/>
          </w:rPr>
          <w:t>https://www.pewresearch.org/internet/2019/06/13/mobile-technology-and-home-broadband-2019/</w:t>
        </w:r>
      </w:hyperlink>
      <w:r w:rsidRPr="001B5C4B">
        <w:rPr>
          <w:rStyle w:val="Hyperlink"/>
          <w:color w:val="auto"/>
          <w:u w:val="none"/>
        </w:rPr>
        <w:t xml:space="preserve">. </w:t>
      </w:r>
    </w:p>
    <w:p w:rsidR="00B51734" w:rsidRPr="001B5C4B" w:rsidP="00B51734" w14:paraId="5C8D0889" w14:textId="77777777">
      <w:pPr>
        <w:pStyle w:val="CommentText"/>
        <w:widowControl w:val="0"/>
        <w:suppressLineNumbers/>
        <w:suppressAutoHyphens/>
        <w:contextualSpacing/>
      </w:pPr>
    </w:p>
  </w:endnote>
  <w:endnote w:id="7">
    <w:p w:rsidR="009E0CC0" w:rsidP="00E30D7B" w14:paraId="298D494F" w14:textId="77777777">
      <w:pPr>
        <w:pStyle w:val="EndnoteText"/>
        <w:widowControl w:val="0"/>
        <w:suppressLineNumbers/>
        <w:suppressAutoHyphens/>
        <w:spacing w:after="240"/>
        <w:contextualSpacing/>
      </w:pPr>
      <w:r w:rsidRPr="001B5C4B">
        <w:rPr>
          <w:rStyle w:val="EndnoteReference"/>
        </w:rPr>
        <w:endnoteRef/>
      </w:r>
      <w:r w:rsidRPr="001B5C4B">
        <w:t xml:space="preserve"> </w:t>
      </w:r>
      <w:r w:rsidRPr="001B5C4B">
        <w:rPr>
          <w:lang w:val="da-DK"/>
        </w:rPr>
        <w:t xml:space="preserve">Pronovost PJ, King J, Holzmueller CG, et al. </w:t>
      </w:r>
      <w:r w:rsidRPr="001B5C4B">
        <w:t xml:space="preserve">A web-based tool for the comprehensive unit-based Safety Program (CUSP). </w:t>
      </w:r>
      <w:r w:rsidRPr="001B5C4B">
        <w:rPr>
          <w:i/>
        </w:rPr>
        <w:t>Jt Comm J Qual Patient Saf</w:t>
      </w:r>
      <w:r w:rsidRPr="001B5C4B">
        <w:t xml:space="preserve"> 2006;</w:t>
      </w:r>
      <w:r w:rsidR="001B5C4B">
        <w:t xml:space="preserve"> </w:t>
      </w:r>
      <w:r w:rsidRPr="001B5C4B">
        <w:t xml:space="preserve">32:119-29. </w:t>
      </w:r>
    </w:p>
    <w:p w:rsidR="00E30D7B" w:rsidRPr="001B5C4B" w:rsidP="00E30D7B" w14:paraId="2C4237DD" w14:textId="77777777">
      <w:pPr>
        <w:pStyle w:val="EndnoteText"/>
        <w:widowControl w:val="0"/>
        <w:suppressLineNumbers/>
        <w:suppressAutoHyphens/>
        <w:spacing w:after="240"/>
        <w:contextualSpacing/>
      </w:pPr>
    </w:p>
  </w:endnote>
  <w:endnote w:id="8">
    <w:p w:rsidR="009E0CC0" w:rsidP="00E30D7B" w14:paraId="0365DCCD" w14:textId="77777777">
      <w:pPr>
        <w:pStyle w:val="EndnoteText"/>
        <w:widowControl w:val="0"/>
        <w:suppressLineNumbers/>
        <w:suppressAutoHyphens/>
        <w:contextualSpacing/>
      </w:pPr>
      <w:r w:rsidRPr="001B5C4B">
        <w:rPr>
          <w:rStyle w:val="EndnoteReference"/>
        </w:rPr>
        <w:endnoteRef/>
      </w:r>
      <w:r w:rsidRPr="001B5C4B">
        <w:t xml:space="preserve"> Core CUSP Toolkit. Content last reviewed August 2019. Agency for Healthcare Research and Quality, Rockville, MD. </w:t>
      </w:r>
      <w:hyperlink r:id="rId4" w:history="1">
        <w:r w:rsidRPr="001B5C4B">
          <w:rPr>
            <w:rStyle w:val="Hyperlink"/>
          </w:rPr>
          <w:t>https://www.ahrq.gov/hai/cusp/modules/index.html</w:t>
        </w:r>
      </w:hyperlink>
      <w:r w:rsidRPr="001B5C4B">
        <w:t xml:space="preserve">. </w:t>
      </w:r>
    </w:p>
    <w:p w:rsidR="00E30D7B" w:rsidRPr="001B5C4B" w:rsidP="00E30D7B" w14:paraId="75D44AD5" w14:textId="77777777">
      <w:pPr>
        <w:pStyle w:val="EndnoteText"/>
        <w:widowControl w:val="0"/>
        <w:suppressLineNumbers/>
        <w:suppressAutoHyphens/>
        <w:contextualSpacing/>
      </w:pPr>
    </w:p>
  </w:endnote>
  <w:endnote w:id="9">
    <w:p w:rsidR="002241F4" w:rsidP="00E30D7B" w14:paraId="18CA17C2" w14:textId="012B2C34">
      <w:pPr>
        <w:pStyle w:val="EndnoteText"/>
        <w:widowControl w:val="0"/>
        <w:suppressLineNumbers/>
        <w:suppressAutoHyphens/>
        <w:contextualSpacing/>
      </w:pPr>
      <w:r w:rsidRPr="001B5C4B">
        <w:rPr>
          <w:rStyle w:val="EndnoteReference"/>
        </w:rPr>
        <w:endnoteRef/>
      </w:r>
      <w:r w:rsidRPr="001B5C4B">
        <w:t xml:space="preserve"> CDC. Antibiotic Resistance Threats in the United States, 2019. Atlanta, GA: U.S. Department of Health and Human Services, CDC; 2019.</w:t>
      </w:r>
    </w:p>
    <w:p w:rsidR="00E30D7B" w:rsidRPr="001B5C4B" w:rsidP="00E30D7B" w14:paraId="1BFE1989" w14:textId="77777777">
      <w:pPr>
        <w:pStyle w:val="EndnoteText"/>
        <w:widowControl w:val="0"/>
        <w:suppressLineNumbers/>
        <w:suppressAutoHyphens/>
        <w:contextualSpacing/>
      </w:pPr>
    </w:p>
  </w:endnote>
  <w:endnote w:id="10">
    <w:p w:rsidR="002241F4" w:rsidP="00E30D7B" w14:paraId="7E266F1D" w14:textId="77777777">
      <w:pPr>
        <w:pStyle w:val="EndnoteText"/>
        <w:widowControl w:val="0"/>
        <w:suppressLineNumbers/>
        <w:suppressAutoHyphens/>
        <w:contextualSpacing/>
      </w:pPr>
      <w:r w:rsidRPr="001B5C4B">
        <w:rPr>
          <w:rStyle w:val="EndnoteReference"/>
        </w:rPr>
        <w:endnoteRef/>
      </w:r>
      <w:r w:rsidRPr="001B5C4B">
        <w:t xml:space="preserve"> </w:t>
      </w:r>
      <w:hyperlink r:id="rId5" w:history="1">
        <w:r w:rsidRPr="001B5C4B">
          <w:rPr>
            <w:rStyle w:val="Hyperlink"/>
            <w:color w:val="auto"/>
            <w:u w:val="none"/>
            <w:lang w:val="fi-FI"/>
          </w:rPr>
          <w:t xml:space="preserve">Martinez KA, Rood M, Jhangiani N </w:t>
        </w:r>
        <w:r w:rsidRPr="001B5C4B">
          <w:rPr>
            <w:rStyle w:val="Hyperlink"/>
            <w:i/>
            <w:color w:val="auto"/>
            <w:u w:val="none"/>
            <w:lang w:val="fi-FI"/>
          </w:rPr>
          <w:t>et al</w:t>
        </w:r>
        <w:r w:rsidRPr="001B5C4B">
          <w:rPr>
            <w:rStyle w:val="Hyperlink"/>
            <w:color w:val="auto"/>
            <w:u w:val="none"/>
            <w:lang w:val="fi-FI"/>
          </w:rPr>
          <w:t xml:space="preserve">. </w:t>
        </w:r>
        <w:r w:rsidRPr="001B5C4B">
          <w:rPr>
            <w:rStyle w:val="Hyperlink"/>
            <w:color w:val="auto"/>
            <w:u w:val="none"/>
          </w:rPr>
          <w:t>Patterns of use and</w:t>
        </w:r>
        <w:r w:rsidRPr="001B5C4B">
          <w:rPr>
            <w:rStyle w:val="Hyperlink"/>
            <w:color w:val="auto"/>
            <w:u w:val="none"/>
          </w:rPr>
          <w:t xml:space="preserve"> correlates of patient satisfaction with a large nationwide direct to consumer telemedicine service. </w:t>
        </w:r>
      </w:hyperlink>
      <w:hyperlink r:id="rId5" w:history="1">
        <w:r w:rsidRPr="001B5C4B">
          <w:rPr>
            <w:rStyle w:val="Hyperlink"/>
            <w:i/>
            <w:color w:val="auto"/>
            <w:u w:val="none"/>
          </w:rPr>
          <w:t>J Gen Intern Med</w:t>
        </w:r>
      </w:hyperlink>
      <w:hyperlink r:id="rId5" w:history="1">
        <w:r w:rsidRPr="001B5C4B">
          <w:rPr>
            <w:rStyle w:val="Hyperlink"/>
            <w:color w:val="auto"/>
            <w:u w:val="none"/>
          </w:rPr>
          <w:t xml:space="preserve"> 2018; 33: 1768–73.</w:t>
        </w:r>
      </w:hyperlink>
    </w:p>
    <w:p w:rsidR="00E30D7B" w:rsidRPr="001B5C4B" w:rsidP="00E30D7B" w14:paraId="23819D47" w14:textId="77777777">
      <w:pPr>
        <w:pStyle w:val="EndnoteText"/>
        <w:widowControl w:val="0"/>
        <w:suppressLineNumbers/>
        <w:suppressAutoHyphens/>
        <w:contextualSpacing/>
      </w:pPr>
    </w:p>
  </w:endnote>
  <w:endnote w:id="11">
    <w:p w:rsidR="002241F4" w:rsidP="00E30D7B" w14:paraId="3E7B7C71" w14:textId="77777777">
      <w:pPr>
        <w:pStyle w:val="EndnoteText"/>
        <w:widowControl w:val="0"/>
        <w:suppressLineNumbers/>
        <w:suppressAutoHyphens/>
        <w:contextualSpacing/>
      </w:pPr>
      <w:r w:rsidRPr="001B5C4B">
        <w:rPr>
          <w:rStyle w:val="EndnoteReference"/>
        </w:rPr>
        <w:endnoteRef/>
      </w:r>
      <w:r w:rsidRPr="001B5C4B">
        <w:t xml:space="preserve"> </w:t>
      </w:r>
      <w:hyperlink r:id="rId6" w:history="1">
        <w:r w:rsidRPr="001B5C4B">
          <w:rPr>
            <w:rStyle w:val="Hyperlink"/>
            <w:color w:val="auto"/>
            <w:u w:val="none"/>
          </w:rPr>
          <w:t xml:space="preserve">Martinez KA, Rood M, Jhangiani N </w:t>
        </w:r>
        <w:r w:rsidRPr="001B5C4B">
          <w:rPr>
            <w:rStyle w:val="Hyperlink"/>
            <w:i/>
            <w:color w:val="auto"/>
            <w:u w:val="none"/>
          </w:rPr>
          <w:t>et al</w:t>
        </w:r>
        <w:r w:rsidRPr="001B5C4B">
          <w:rPr>
            <w:rStyle w:val="Hyperlink"/>
            <w:color w:val="auto"/>
            <w:u w:val="none"/>
          </w:rPr>
          <w:t xml:space="preserve">. Association between antibiotic prescribing for respiratory tract infections and patient satisfaction in direct-to-consumer telemedicine. </w:t>
        </w:r>
      </w:hyperlink>
      <w:hyperlink r:id="rId6" w:history="1">
        <w:r w:rsidRPr="001B5C4B">
          <w:rPr>
            <w:rStyle w:val="Hyperlink"/>
            <w:i/>
            <w:color w:val="auto"/>
            <w:u w:val="none"/>
          </w:rPr>
          <w:t>JAMA Intern Med</w:t>
        </w:r>
      </w:hyperlink>
      <w:hyperlink r:id="rId6" w:history="1">
        <w:r w:rsidRPr="001B5C4B">
          <w:rPr>
            <w:rStyle w:val="Hyperlink"/>
            <w:color w:val="auto"/>
            <w:u w:val="none"/>
          </w:rPr>
          <w:t xml:space="preserve"> 2018; 178: 1558–60.</w:t>
        </w:r>
      </w:hyperlink>
    </w:p>
    <w:p w:rsidR="00E30D7B" w:rsidRPr="001B5C4B" w:rsidP="00E30D7B" w14:paraId="2261D81D" w14:textId="77777777">
      <w:pPr>
        <w:pStyle w:val="EndnoteText"/>
        <w:widowControl w:val="0"/>
        <w:suppressLineNumbers/>
        <w:suppressAutoHyphens/>
        <w:contextualSpacing/>
      </w:pPr>
    </w:p>
  </w:endnote>
  <w:endnote w:id="12">
    <w:p w:rsidR="002241F4" w:rsidP="00E30D7B" w14:paraId="1EAC9AF1" w14:textId="77777777">
      <w:pPr>
        <w:pStyle w:val="EndnoteText"/>
        <w:widowControl w:val="0"/>
        <w:suppressLineNumbers/>
        <w:suppressAutoHyphens/>
        <w:contextualSpacing/>
      </w:pPr>
      <w:r w:rsidRPr="001B5C4B">
        <w:rPr>
          <w:rStyle w:val="EndnoteReference"/>
        </w:rPr>
        <w:endnoteRef/>
      </w:r>
      <w:r w:rsidRPr="001B5C4B">
        <w:t xml:space="preserve"> </w:t>
      </w:r>
      <w:hyperlink r:id="rId7" w:history="1">
        <w:r w:rsidRPr="001B5C4B">
          <w:rPr>
            <w:rStyle w:val="Hyperlink"/>
            <w:color w:val="auto"/>
            <w:u w:val="none"/>
          </w:rPr>
          <w:t>Jain T, Mehrotra A. Comparison of direct-to-consumer telemedicine visits with</w:t>
        </w:r>
        <w:r w:rsidRPr="001B5C4B">
          <w:rPr>
            <w:rStyle w:val="Hyperlink"/>
            <w:color w:val="auto"/>
            <w:u w:val="none"/>
          </w:rPr>
          <w:t xml:space="preserve"> primary care visits. </w:t>
        </w:r>
      </w:hyperlink>
      <w:hyperlink r:id="rId7" w:history="1">
        <w:r w:rsidRPr="001B5C4B">
          <w:rPr>
            <w:rStyle w:val="Hyperlink"/>
            <w:i/>
            <w:color w:val="auto"/>
            <w:u w:val="none"/>
          </w:rPr>
          <w:t>JAMA Netw Open</w:t>
        </w:r>
      </w:hyperlink>
      <w:hyperlink r:id="rId7" w:history="1">
        <w:r w:rsidRPr="001B5C4B">
          <w:rPr>
            <w:rStyle w:val="Hyperlink"/>
            <w:color w:val="auto"/>
            <w:u w:val="none"/>
          </w:rPr>
          <w:t xml:space="preserve"> 2020; 3: e2028392.</w:t>
        </w:r>
      </w:hyperlink>
    </w:p>
    <w:p w:rsidR="00E30D7B" w:rsidRPr="001B5C4B" w:rsidP="00E30D7B" w14:paraId="5EC0D130" w14:textId="77777777">
      <w:pPr>
        <w:pStyle w:val="EndnoteText"/>
        <w:widowControl w:val="0"/>
        <w:suppressLineNumbers/>
        <w:suppressAutoHyphens/>
        <w:contextualSpacing/>
      </w:pPr>
    </w:p>
  </w:endnote>
  <w:endnote w:id="13">
    <w:p w:rsidR="002241F4" w:rsidP="00E30D7B" w14:paraId="2625FCC6" w14:textId="77777777">
      <w:pPr>
        <w:pStyle w:val="EndnoteText"/>
        <w:widowControl w:val="0"/>
        <w:suppressLineNumbers/>
        <w:suppressAutoHyphens/>
        <w:contextualSpacing/>
      </w:pPr>
      <w:r w:rsidRPr="001B5C4B">
        <w:rPr>
          <w:rStyle w:val="EndnoteReference"/>
        </w:rPr>
        <w:endnoteRef/>
      </w:r>
      <w:r w:rsidRPr="001B5C4B">
        <w:t xml:space="preserve"> </w:t>
      </w:r>
      <w:hyperlink r:id="rId8" w:history="1">
        <w:r w:rsidRPr="001B5C4B">
          <w:rPr>
            <w:rStyle w:val="Hyperlink"/>
            <w:color w:val="auto"/>
            <w:u w:val="none"/>
          </w:rPr>
          <w:t xml:space="preserve">Ray KN, Shi Z, Gidengil CA, Poon SJ </w:t>
        </w:r>
        <w:r w:rsidRPr="001B5C4B">
          <w:rPr>
            <w:rStyle w:val="Hyperlink"/>
            <w:i/>
            <w:color w:val="auto"/>
            <w:u w:val="none"/>
          </w:rPr>
          <w:t>et al</w:t>
        </w:r>
        <w:r w:rsidRPr="001B5C4B">
          <w:rPr>
            <w:rStyle w:val="Hyperlink"/>
            <w:color w:val="auto"/>
            <w:u w:val="none"/>
          </w:rPr>
          <w:t xml:space="preserve">. Antibiotic prescribing during pediatric direct-to-consumer telemedicine visits. </w:t>
        </w:r>
      </w:hyperlink>
      <w:hyperlink r:id="rId8" w:history="1">
        <w:r w:rsidRPr="001B5C4B">
          <w:rPr>
            <w:rStyle w:val="Hyperlink"/>
            <w:i/>
            <w:color w:val="auto"/>
            <w:u w:val="none"/>
          </w:rPr>
          <w:t>Pediatrics</w:t>
        </w:r>
      </w:hyperlink>
      <w:hyperlink r:id="rId8" w:history="1">
        <w:r w:rsidRPr="001B5C4B">
          <w:rPr>
            <w:rStyle w:val="Hyperlink"/>
            <w:color w:val="auto"/>
            <w:u w:val="none"/>
          </w:rPr>
          <w:t xml:space="preserve"> 2019; 143: </w:t>
        </w:r>
      </w:hyperlink>
      <w:hyperlink r:id="rId9" w:history="1">
        <w:r w:rsidRPr="001B5C4B">
          <w:rPr>
            <w:rStyle w:val="Hyperlink"/>
            <w:color w:val="auto"/>
            <w:u w:val="none"/>
          </w:rPr>
          <w:t>e20182491</w:t>
        </w:r>
      </w:hyperlink>
      <w:r w:rsidRPr="001B5C4B">
        <w:t>.</w:t>
      </w:r>
    </w:p>
    <w:p w:rsidR="00E30D7B" w:rsidRPr="001B5C4B" w:rsidP="00E30D7B" w14:paraId="1A5F05B5" w14:textId="77777777">
      <w:pPr>
        <w:pStyle w:val="EndnoteText"/>
        <w:widowControl w:val="0"/>
        <w:suppressLineNumbers/>
        <w:suppressAutoHyphens/>
        <w:contextualSpacing/>
      </w:pPr>
    </w:p>
  </w:endnote>
  <w:endnote w:id="14">
    <w:p w:rsidR="002241F4" w:rsidP="00E30D7B" w14:paraId="4A6AB90F" w14:textId="77777777">
      <w:pPr>
        <w:pStyle w:val="EndnoteText"/>
        <w:widowControl w:val="0"/>
        <w:suppressLineNumbers/>
        <w:suppressAutoHyphens/>
        <w:contextualSpacing/>
        <w:rPr>
          <w:color w:val="2A2A2A"/>
          <w:shd w:val="clear" w:color="auto" w:fill="FFFFFF"/>
        </w:rPr>
      </w:pPr>
      <w:r w:rsidRPr="001B5C4B">
        <w:rPr>
          <w:rStyle w:val="EndnoteReference"/>
        </w:rPr>
        <w:endnoteRef/>
      </w:r>
      <w:r w:rsidRPr="001B5C4B">
        <w:t xml:space="preserve"> </w:t>
      </w:r>
      <w:bookmarkStart w:id="11" w:name="OLE_LINK12"/>
      <w:r w:rsidRPr="001B5C4B">
        <w:rPr>
          <w:color w:val="2A2A2A"/>
          <w:shd w:val="clear" w:color="auto" w:fill="FFFFFF"/>
        </w:rPr>
        <w:t>Lucy X Li, Julia E Szymczak, Sara C Keller, Antibiotic stewardship in direct-to-consumer telemedicine: translating i</w:t>
      </w:r>
      <w:r w:rsidRPr="001B5C4B">
        <w:rPr>
          <w:color w:val="2A2A2A"/>
          <w:shd w:val="clear" w:color="auto" w:fill="FFFFFF"/>
        </w:rPr>
        <w:t>nterventions into the virtual realm. </w:t>
      </w:r>
      <w:r w:rsidRPr="001B5C4B">
        <w:rPr>
          <w:rStyle w:val="Emphasis"/>
          <w:color w:val="2A2A2A"/>
          <w:bdr w:val="none" w:sz="0" w:space="0" w:color="auto" w:frame="1"/>
          <w:shd w:val="clear" w:color="auto" w:fill="FFFFFF"/>
        </w:rPr>
        <w:t>Journal of Antimicrobial Chemotherapy</w:t>
      </w:r>
      <w:r w:rsidRPr="001B5C4B">
        <w:rPr>
          <w:color w:val="2A2A2A"/>
          <w:shd w:val="clear" w:color="auto" w:fill="FFFFFF"/>
        </w:rPr>
        <w:t>. 2022; 77(1): 13-15.</w:t>
      </w:r>
      <w:bookmarkEnd w:id="11"/>
    </w:p>
    <w:p w:rsidR="00E30D7B" w:rsidRPr="001B5C4B" w:rsidP="00E30D7B" w14:paraId="7B4A5926" w14:textId="77777777">
      <w:pPr>
        <w:pStyle w:val="EndnoteText"/>
        <w:widowControl w:val="0"/>
        <w:suppressLineNumbers/>
        <w:suppressAutoHyphens/>
        <w:contextualSpacing/>
      </w:pPr>
    </w:p>
  </w:endnote>
  <w:endnote w:id="15">
    <w:p w:rsidR="002241F4" w:rsidP="00E30D7B" w14:paraId="6E4B0BCD" w14:textId="77777777">
      <w:pPr>
        <w:pStyle w:val="EndnoteText"/>
        <w:widowControl w:val="0"/>
        <w:suppressLineNumbers/>
        <w:suppressAutoHyphens/>
        <w:contextualSpacing/>
      </w:pPr>
      <w:r w:rsidRPr="001B5C4B">
        <w:rPr>
          <w:rStyle w:val="EndnoteReference"/>
        </w:rPr>
        <w:endnoteRef/>
      </w:r>
      <w:r w:rsidRPr="001B5C4B">
        <w:t xml:space="preserve"> </w:t>
      </w:r>
      <w:r w:rsidRPr="001B5C4B">
        <w:rPr>
          <w:lang w:val="nl-NL"/>
        </w:rPr>
        <w:t xml:space="preserve">Szymczak JE, Keller SC, Linder JA. </w:t>
      </w:r>
      <w:r w:rsidRPr="001B5C4B">
        <w:t xml:space="preserve">"I Never Get Better Without an Antibiotic": antibiotic appeals and how to respond. </w:t>
      </w:r>
      <w:r w:rsidRPr="001B5C4B">
        <w:rPr>
          <w:i/>
        </w:rPr>
        <w:t>Mayo Clin Proc</w:t>
      </w:r>
      <w:r w:rsidRPr="001B5C4B">
        <w:t xml:space="preserve"> 2021;</w:t>
      </w:r>
      <w:r w:rsidR="001B5C4B">
        <w:t xml:space="preserve"> </w:t>
      </w:r>
      <w:r w:rsidRPr="001B5C4B">
        <w:t>96:543-6.</w:t>
      </w:r>
    </w:p>
    <w:p w:rsidR="00E30D7B" w:rsidRPr="001B5C4B" w:rsidP="00E30D7B" w14:paraId="5010A132" w14:textId="77777777">
      <w:pPr>
        <w:pStyle w:val="EndnoteText"/>
        <w:widowControl w:val="0"/>
        <w:suppressLineNumbers/>
        <w:suppressAutoHyphens/>
        <w:contextualSpacing/>
      </w:pPr>
    </w:p>
  </w:endnote>
  <w:endnote w:id="16">
    <w:p w:rsidR="002241F4" w:rsidP="00E30D7B" w14:paraId="2904E065" w14:textId="77777777">
      <w:pPr>
        <w:pStyle w:val="EndnoteText"/>
        <w:widowControl w:val="0"/>
        <w:suppressLineNumbers/>
        <w:suppressAutoHyphens/>
        <w:contextualSpacing/>
      </w:pPr>
      <w:r w:rsidRPr="001B5C4B">
        <w:rPr>
          <w:rStyle w:val="EndnoteReference"/>
        </w:rPr>
        <w:endnoteRef/>
      </w:r>
      <w:r w:rsidRPr="001B5C4B">
        <w:t xml:space="preserve"> Mille</w:t>
      </w:r>
      <w:r w:rsidRPr="001B5C4B">
        <w:t>r BJ, Carson KA, Keller S. Educating patients on unnecessary antibiotics: personalizing potential harm aids patient understanding. J Am Board Fam Med 2020;</w:t>
      </w:r>
      <w:r w:rsidR="001B5C4B">
        <w:t xml:space="preserve"> </w:t>
      </w:r>
      <w:r w:rsidRPr="001B5C4B">
        <w:t>33:969-77.</w:t>
      </w:r>
    </w:p>
    <w:p w:rsidR="0085141D" w:rsidRPr="001B5C4B" w:rsidP="00E30D7B" w14:paraId="43B1ECF8" w14:textId="77777777">
      <w:pPr>
        <w:pStyle w:val="EndnoteText"/>
        <w:widowControl w:val="0"/>
        <w:suppressLineNumbers/>
        <w:suppressAutoHyphens/>
        <w:contextualSpacing/>
      </w:pPr>
    </w:p>
  </w:endnote>
  <w:endnote w:id="17">
    <w:p w:rsidR="002241F4" w:rsidRPr="009729B4" w:rsidP="00E30D7B" w14:paraId="7AD0CB70" w14:textId="77777777">
      <w:pPr>
        <w:pStyle w:val="EndnoteText"/>
        <w:widowControl w:val="0"/>
        <w:suppressLineNumbers/>
        <w:suppressAutoHyphens/>
        <w:contextualSpacing/>
      </w:pPr>
      <w:r w:rsidRPr="009729B4">
        <w:rPr>
          <w:rStyle w:val="EndnoteReference"/>
        </w:rPr>
        <w:endnoteRef/>
      </w:r>
      <w:r w:rsidRPr="009729B4">
        <w:t xml:space="preserve"> Sanchez GV, Fleming-Dutra KE, Roberts RM, Hicks LA. Core elements of outpatient antibi</w:t>
      </w:r>
      <w:r w:rsidRPr="009729B4">
        <w:t xml:space="preserve">otic stewardship. </w:t>
      </w:r>
      <w:r w:rsidRPr="009729B4">
        <w:rPr>
          <w:i/>
        </w:rPr>
        <w:t>MMWR Morb Mortal Wkly Rep</w:t>
      </w:r>
      <w:r w:rsidRPr="009729B4">
        <w:t xml:space="preserve"> 2016;</w:t>
      </w:r>
      <w:r w:rsidRPr="009729B4" w:rsidR="001B5C4B">
        <w:t xml:space="preserve"> </w:t>
      </w:r>
      <w:r w:rsidRPr="009729B4">
        <w:t>65:1-12.</w:t>
      </w:r>
    </w:p>
    <w:p w:rsidR="00926EC8" w:rsidRPr="009729B4" w:rsidP="00E30D7B" w14:paraId="37197B9A" w14:textId="77777777">
      <w:pPr>
        <w:pStyle w:val="EndnoteText"/>
        <w:widowControl w:val="0"/>
        <w:suppressLineNumbers/>
        <w:suppressAutoHyphens/>
        <w:contextualSpacing/>
      </w:pPr>
    </w:p>
  </w:endnote>
  <w:endnote w:id="18">
    <w:p w:rsidR="002241F4" w:rsidRPr="009729B4" w:rsidP="00E30D7B" w14:paraId="67A79CC8" w14:textId="77777777">
      <w:pPr>
        <w:pStyle w:val="EndnoteText"/>
        <w:widowControl w:val="0"/>
        <w:suppressLineNumbers/>
        <w:suppressAutoHyphens/>
        <w:contextualSpacing/>
      </w:pPr>
      <w:r w:rsidRPr="009729B4">
        <w:rPr>
          <w:rStyle w:val="EndnoteReference"/>
        </w:rPr>
        <w:endnoteRef/>
      </w:r>
      <w:r w:rsidRPr="009729B4">
        <w:t xml:space="preserve"> </w:t>
      </w:r>
      <w:r w:rsidRPr="009729B4" w:rsidR="00926EC8">
        <w:t xml:space="preserve">Participation Options Overview. CMS Quality Payment Program. U.S. Centers for Medicare &amp; Medicaid Services, Baltimore, MD. </w:t>
      </w:r>
      <w:hyperlink r:id="rId10" w:history="1">
        <w:r w:rsidRPr="009729B4" w:rsidR="00926EC8">
          <w:rPr>
            <w:rStyle w:val="Hyperlink"/>
          </w:rPr>
          <w:t>https://qpp.cms.gov/mips/overview</w:t>
        </w:r>
      </w:hyperlink>
      <w:r w:rsidRPr="009729B4">
        <w:t xml:space="preserve">. </w:t>
      </w:r>
    </w:p>
    <w:p w:rsidR="00926EC8" w:rsidRPr="009729B4" w:rsidP="00E30D7B" w14:paraId="24369CB2" w14:textId="77777777">
      <w:pPr>
        <w:pStyle w:val="EndnoteText"/>
        <w:widowControl w:val="0"/>
        <w:suppressLineNumbers/>
        <w:suppressAutoHyphens/>
        <w:contextualSpacing/>
      </w:pPr>
    </w:p>
  </w:endnote>
  <w:endnote w:id="19">
    <w:p w:rsidR="002241F4" w:rsidRPr="009729B4" w:rsidP="00E30D7B" w14:paraId="5E260BB0" w14:textId="77777777">
      <w:pPr>
        <w:pStyle w:val="EndnoteText"/>
        <w:widowControl w:val="0"/>
        <w:suppressLineNumbers/>
        <w:suppressAutoHyphens/>
        <w:contextualSpacing/>
      </w:pPr>
      <w:r w:rsidRPr="009729B4">
        <w:rPr>
          <w:rStyle w:val="EndnoteReference"/>
        </w:rPr>
        <w:endnoteRef/>
      </w:r>
      <w:r w:rsidRPr="009729B4">
        <w:t xml:space="preserve"> </w:t>
      </w:r>
      <w:r w:rsidRPr="009729B4" w:rsidR="00926EC8">
        <w:t xml:space="preserve">R3 Report Issue 23: Antimicrobial Stewardship in Ambulatory Health Care. Issue 23. June 20, 2019. The Joint Commission. </w:t>
      </w:r>
      <w:hyperlink r:id="rId11" w:history="1">
        <w:r w:rsidRPr="009729B4" w:rsidR="0004614E">
          <w:rPr>
            <w:rStyle w:val="Hyperlink"/>
          </w:rPr>
          <w:t>https://www.jointcommission.org/standards/r3-report/r3-report-issue-23-antimicrobial-stewardship-in-ambulatory-health-care/</w:t>
        </w:r>
      </w:hyperlink>
      <w:r w:rsidRPr="009729B4">
        <w:t xml:space="preserve">. </w:t>
      </w:r>
    </w:p>
    <w:p w:rsidR="00926EC8" w:rsidRPr="009729B4" w:rsidP="00E30D7B" w14:paraId="749B5386" w14:textId="77777777">
      <w:pPr>
        <w:pStyle w:val="EndnoteText"/>
        <w:widowControl w:val="0"/>
        <w:suppressLineNumbers/>
        <w:suppressAutoHyphens/>
        <w:contextualSpacing/>
      </w:pPr>
    </w:p>
  </w:endnote>
  <w:endnote w:id="20">
    <w:p w:rsidR="002241F4" w:rsidP="00E30D7B" w14:paraId="1B0487BF" w14:textId="77777777">
      <w:pPr>
        <w:pStyle w:val="EndnoteText"/>
        <w:widowControl w:val="0"/>
        <w:suppressLineNumbers/>
        <w:suppressAutoHyphens/>
        <w:contextualSpacing/>
        <w:rPr>
          <w:lang w:val="pt-BR"/>
        </w:rPr>
      </w:pPr>
      <w:r w:rsidRPr="001B5C4B">
        <w:rPr>
          <w:rStyle w:val="EndnoteReference"/>
        </w:rPr>
        <w:endnoteRef/>
      </w:r>
      <w:r w:rsidRPr="001B5C4B">
        <w:t xml:space="preserve"> </w:t>
      </w:r>
      <w:hyperlink r:id="rId12" w:history="1">
        <w:r w:rsidRPr="001B5C4B">
          <w:rPr>
            <w:rStyle w:val="Hyperlink"/>
            <w:color w:val="auto"/>
            <w:u w:val="none"/>
            <w:lang w:val="sv-SE"/>
          </w:rPr>
          <w:t xml:space="preserve">Foster CB, Martinez KA, Sabella C </w:t>
        </w:r>
        <w:r w:rsidRPr="001B5C4B">
          <w:rPr>
            <w:rStyle w:val="Hyperlink"/>
            <w:i/>
            <w:color w:val="auto"/>
            <w:u w:val="none"/>
            <w:lang w:val="sv-SE"/>
          </w:rPr>
          <w:t>et al</w:t>
        </w:r>
        <w:r w:rsidRPr="001B5C4B">
          <w:rPr>
            <w:rStyle w:val="Hyperlink"/>
            <w:color w:val="auto"/>
            <w:u w:val="none"/>
            <w:lang w:val="sv-SE"/>
          </w:rPr>
          <w:t xml:space="preserve">. </w:t>
        </w:r>
        <w:r w:rsidRPr="001B5C4B">
          <w:rPr>
            <w:rStyle w:val="Hyperlink"/>
            <w:color w:val="auto"/>
            <w:u w:val="none"/>
          </w:rPr>
          <w:t xml:space="preserve">Patient satisfaction and antibiotic prescribing for respiratory infections by telemedicine. </w:t>
        </w:r>
      </w:hyperlink>
      <w:hyperlink r:id="rId12" w:history="1">
        <w:r w:rsidRPr="001B5C4B">
          <w:rPr>
            <w:rStyle w:val="Hyperlink"/>
            <w:i/>
            <w:color w:val="auto"/>
            <w:u w:val="none"/>
            <w:lang w:val="pt-BR"/>
          </w:rPr>
          <w:t>Pediatrics</w:t>
        </w:r>
      </w:hyperlink>
      <w:hyperlink r:id="rId12" w:history="1">
        <w:r w:rsidRPr="001B5C4B">
          <w:rPr>
            <w:rStyle w:val="Hyperlink"/>
            <w:color w:val="auto"/>
            <w:u w:val="none"/>
            <w:lang w:val="pt-BR"/>
          </w:rPr>
          <w:t xml:space="preserve"> 2019; 144: </w:t>
        </w:r>
      </w:hyperlink>
      <w:hyperlink r:id="rId13" w:history="1">
        <w:r w:rsidRPr="001B5C4B">
          <w:rPr>
            <w:rStyle w:val="Hyperlink"/>
            <w:color w:val="auto"/>
            <w:u w:val="none"/>
            <w:lang w:val="pt-BR"/>
          </w:rPr>
          <w:t>e20190844</w:t>
        </w:r>
      </w:hyperlink>
      <w:r w:rsidRPr="001B5C4B">
        <w:rPr>
          <w:lang w:val="pt-BR"/>
        </w:rPr>
        <w:t>.</w:t>
      </w:r>
    </w:p>
    <w:p w:rsidR="0004614E" w:rsidRPr="001B5C4B" w:rsidP="00E30D7B" w14:paraId="17D87ACA" w14:textId="77777777">
      <w:pPr>
        <w:pStyle w:val="EndnoteText"/>
        <w:widowControl w:val="0"/>
        <w:suppressLineNumbers/>
        <w:suppressAutoHyphens/>
        <w:contextualSpacing/>
      </w:pPr>
    </w:p>
  </w:endnote>
  <w:endnote w:id="21">
    <w:p w:rsidR="002241F4" w:rsidP="00E30D7B" w14:paraId="66EB4709" w14:textId="77777777">
      <w:pPr>
        <w:pStyle w:val="EndnoteText"/>
        <w:widowControl w:val="0"/>
        <w:suppressLineNumbers/>
        <w:suppressAutoHyphens/>
        <w:contextualSpacing/>
      </w:pPr>
      <w:r w:rsidRPr="001B5C4B">
        <w:rPr>
          <w:rStyle w:val="EndnoteReference"/>
        </w:rPr>
        <w:endnoteRef/>
      </w:r>
      <w:r w:rsidRPr="001B5C4B">
        <w:t xml:space="preserve"> </w:t>
      </w:r>
      <w:hyperlink r:id="rId14" w:history="1">
        <w:r w:rsidRPr="001B5C4B">
          <w:rPr>
            <w:rStyle w:val="Hyperlink"/>
            <w:color w:val="auto"/>
            <w:u w:val="none"/>
            <w:lang w:val="pt-BR"/>
          </w:rPr>
          <w:t>Rastog</w:t>
        </w:r>
        <w:r w:rsidRPr="001B5C4B">
          <w:rPr>
            <w:rStyle w:val="Hyperlink"/>
            <w:color w:val="auto"/>
            <w:u w:val="none"/>
            <w:lang w:val="pt-BR"/>
          </w:rPr>
          <w:t xml:space="preserve">i R, Martinez KA, Gupta N </w:t>
        </w:r>
        <w:r w:rsidRPr="001B5C4B">
          <w:rPr>
            <w:rStyle w:val="Hyperlink"/>
            <w:i/>
            <w:color w:val="auto"/>
            <w:u w:val="none"/>
            <w:lang w:val="pt-BR"/>
          </w:rPr>
          <w:t>et al</w:t>
        </w:r>
        <w:r w:rsidRPr="001B5C4B">
          <w:rPr>
            <w:rStyle w:val="Hyperlink"/>
            <w:color w:val="auto"/>
            <w:u w:val="none"/>
            <w:lang w:val="pt-BR"/>
          </w:rPr>
          <w:t xml:space="preserve">. </w:t>
        </w:r>
        <w:r w:rsidRPr="001B5C4B">
          <w:rPr>
            <w:rStyle w:val="Hyperlink"/>
            <w:color w:val="auto"/>
            <w:u w:val="none"/>
          </w:rPr>
          <w:t xml:space="preserve">Management of urinary tract infections in </w:t>
        </w:r>
        <w:r w:rsidRPr="001B5C4B" w:rsidR="001B5C4B">
          <w:rPr>
            <w:rStyle w:val="Hyperlink"/>
            <w:color w:val="auto"/>
            <w:u w:val="none"/>
          </w:rPr>
          <w:t>direct-to-consumer</w:t>
        </w:r>
        <w:r w:rsidRPr="001B5C4B">
          <w:rPr>
            <w:rStyle w:val="Hyperlink"/>
            <w:color w:val="auto"/>
            <w:u w:val="none"/>
          </w:rPr>
          <w:t xml:space="preserve"> telemedicine. </w:t>
        </w:r>
      </w:hyperlink>
      <w:hyperlink r:id="rId14" w:history="1">
        <w:r w:rsidRPr="001B5C4B">
          <w:rPr>
            <w:rStyle w:val="Hyperlink"/>
            <w:i/>
            <w:color w:val="auto"/>
            <w:u w:val="none"/>
          </w:rPr>
          <w:t>J Gen Intern Med</w:t>
        </w:r>
      </w:hyperlink>
      <w:hyperlink r:id="rId14" w:history="1">
        <w:r w:rsidRPr="001B5C4B">
          <w:rPr>
            <w:rStyle w:val="Hyperlink"/>
            <w:color w:val="auto"/>
            <w:u w:val="none"/>
          </w:rPr>
          <w:t xml:space="preserve"> 2020; 35: 643–8.</w:t>
        </w:r>
      </w:hyperlink>
    </w:p>
    <w:p w:rsidR="0004614E" w:rsidRPr="001B5C4B" w:rsidP="00E30D7B" w14:paraId="6B111230" w14:textId="77777777">
      <w:pPr>
        <w:pStyle w:val="EndnoteText"/>
        <w:widowControl w:val="0"/>
        <w:suppressLineNumbers/>
        <w:suppressAutoHyphens/>
        <w:contextualSpacing/>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724" w:rsidP="009B633D" w14:paraId="1F516A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85724" w14:paraId="115EEB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724" w:rsidP="009B633D" w14:paraId="3F73755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6B66">
      <w:rPr>
        <w:rStyle w:val="PageNumber"/>
        <w:noProof/>
      </w:rPr>
      <w:t>15</w:t>
    </w:r>
    <w:r>
      <w:rPr>
        <w:rStyle w:val="PageNumber"/>
      </w:rPr>
      <w:fldChar w:fldCharType="end"/>
    </w:r>
  </w:p>
  <w:p w:rsidR="00285724" w14:paraId="4B685C6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93FA484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A7CFE"/>
    <w:multiLevelType w:val="hybridMultilevel"/>
    <w:tmpl w:val="DC4CF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244948"/>
    <w:multiLevelType w:val="hybridMultilevel"/>
    <w:tmpl w:val="0772134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D6D6A"/>
    <w:multiLevelType w:val="hybridMultilevel"/>
    <w:tmpl w:val="9312C1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2C7048"/>
    <w:multiLevelType w:val="hybridMultilevel"/>
    <w:tmpl w:val="5D3654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07632F6"/>
    <w:multiLevelType w:val="hybridMultilevel"/>
    <w:tmpl w:val="A6B05B6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7055882"/>
    <w:multiLevelType w:val="hybridMultilevel"/>
    <w:tmpl w:val="C37C061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D725FBD"/>
    <w:multiLevelType w:val="hybridMultilevel"/>
    <w:tmpl w:val="3ED8775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29863E75"/>
    <w:multiLevelType w:val="hybridMultilevel"/>
    <w:tmpl w:val="23B647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0B4A36"/>
    <w:multiLevelType w:val="hybridMultilevel"/>
    <w:tmpl w:val="4A5E7AA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08B0036"/>
    <w:multiLevelType w:val="hybridMultilevel"/>
    <w:tmpl w:val="5010CA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10B3C0E"/>
    <w:multiLevelType w:val="hybridMultilevel"/>
    <w:tmpl w:val="5D3654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1584802"/>
    <w:multiLevelType w:val="hybridMultilevel"/>
    <w:tmpl w:val="A6B05B60"/>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nsid w:val="326627D4"/>
    <w:multiLevelType w:val="hybridMultilevel"/>
    <w:tmpl w:val="D3E48F9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89F62C5"/>
    <w:multiLevelType w:val="hybridMultilevel"/>
    <w:tmpl w:val="CFCA34E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1EF209E"/>
    <w:multiLevelType w:val="multilevel"/>
    <w:tmpl w:val="CBDE9408"/>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45778A5"/>
    <w:multiLevelType w:val="hybridMultilevel"/>
    <w:tmpl w:val="C37C061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5DF467D"/>
    <w:multiLevelType w:val="hybridMultilevel"/>
    <w:tmpl w:val="EF84511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5511F0"/>
    <w:multiLevelType w:val="hybridMultilevel"/>
    <w:tmpl w:val="A6B05B6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DC7843"/>
    <w:multiLevelType w:val="hybridMultilevel"/>
    <w:tmpl w:val="915051E4"/>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1F5EE1"/>
    <w:multiLevelType w:val="hybridMultilevel"/>
    <w:tmpl w:val="3CD2A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8">
    <w:nsid w:val="5B8132EC"/>
    <w:multiLevelType w:val="hybridMultilevel"/>
    <w:tmpl w:val="7A381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AD16D9"/>
    <w:multiLevelType w:val="hybridMultilevel"/>
    <w:tmpl w:val="88989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E077C46"/>
    <w:multiLevelType w:val="hybridMultilevel"/>
    <w:tmpl w:val="7220B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3806650"/>
    <w:multiLevelType w:val="hybridMultilevel"/>
    <w:tmpl w:val="054EF1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ED479FA"/>
    <w:multiLevelType w:val="hybridMultilevel"/>
    <w:tmpl w:val="6142AF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48B3B27"/>
    <w:multiLevelType w:val="hybridMultilevel"/>
    <w:tmpl w:val="C37C061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8122FCF"/>
    <w:multiLevelType w:val="hybridMultilevel"/>
    <w:tmpl w:val="371A6E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16cid:durableId="1644264071">
    <w:abstractNumId w:val="36"/>
  </w:num>
  <w:num w:numId="2" w16cid:durableId="1769889760">
    <w:abstractNumId w:val="27"/>
  </w:num>
  <w:num w:numId="3" w16cid:durableId="1653556384">
    <w:abstractNumId w:val="20"/>
  </w:num>
  <w:num w:numId="4" w16cid:durableId="10958046">
    <w:abstractNumId w:val="26"/>
  </w:num>
  <w:num w:numId="5" w16cid:durableId="1483814375">
    <w:abstractNumId w:val="29"/>
  </w:num>
  <w:num w:numId="6" w16cid:durableId="810682098">
    <w:abstractNumId w:val="10"/>
  </w:num>
  <w:num w:numId="7" w16cid:durableId="368604204">
    <w:abstractNumId w:val="3"/>
  </w:num>
  <w:num w:numId="8" w16cid:durableId="398676344">
    <w:abstractNumId w:val="23"/>
  </w:num>
  <w:num w:numId="9" w16cid:durableId="826749974">
    <w:abstractNumId w:val="21"/>
  </w:num>
  <w:num w:numId="10" w16cid:durableId="2127699844">
    <w:abstractNumId w:val="1"/>
  </w:num>
  <w:num w:numId="11" w16cid:durableId="1128358193">
    <w:abstractNumId w:val="11"/>
  </w:num>
  <w:num w:numId="12" w16cid:durableId="1530993920">
    <w:abstractNumId w:val="5"/>
  </w:num>
  <w:num w:numId="13" w16cid:durableId="881089139">
    <w:abstractNumId w:val="32"/>
  </w:num>
  <w:num w:numId="14" w16cid:durableId="899556606">
    <w:abstractNumId w:val="28"/>
  </w:num>
  <w:num w:numId="15" w16cid:durableId="1294942347">
    <w:abstractNumId w:val="30"/>
  </w:num>
  <w:num w:numId="16" w16cid:durableId="1620065073">
    <w:abstractNumId w:val="9"/>
  </w:num>
  <w:num w:numId="17" w16cid:durableId="2028867248">
    <w:abstractNumId w:val="25"/>
  </w:num>
  <w:num w:numId="18" w16cid:durableId="748385650">
    <w:abstractNumId w:val="15"/>
  </w:num>
  <w:num w:numId="19" w16cid:durableId="1603610772">
    <w:abstractNumId w:val="35"/>
  </w:num>
  <w:num w:numId="20" w16cid:durableId="1880314812">
    <w:abstractNumId w:val="4"/>
  </w:num>
  <w:num w:numId="21" w16cid:durableId="298192052">
    <w:abstractNumId w:val="19"/>
  </w:num>
  <w:num w:numId="22" w16cid:durableId="349718552">
    <w:abstractNumId w:val="6"/>
  </w:num>
  <w:num w:numId="23" w16cid:durableId="2078017036">
    <w:abstractNumId w:val="13"/>
  </w:num>
  <w:num w:numId="24" w16cid:durableId="680082527">
    <w:abstractNumId w:val="14"/>
  </w:num>
  <w:num w:numId="25" w16cid:durableId="1143698782">
    <w:abstractNumId w:val="0"/>
  </w:num>
  <w:num w:numId="26" w16cid:durableId="1877691671">
    <w:abstractNumId w:val="22"/>
  </w:num>
  <w:num w:numId="27" w16cid:durableId="816917833">
    <w:abstractNumId w:val="26"/>
  </w:num>
  <w:num w:numId="28" w16cid:durableId="1981156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53854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9660190">
    <w:abstractNumId w:val="16"/>
  </w:num>
  <w:num w:numId="31" w16cid:durableId="506022418">
    <w:abstractNumId w:val="1"/>
  </w:num>
  <w:num w:numId="32" w16cid:durableId="1714160950">
    <w:abstractNumId w:val="2"/>
  </w:num>
  <w:num w:numId="33" w16cid:durableId="681275821">
    <w:abstractNumId w:val="34"/>
  </w:num>
  <w:num w:numId="34" w16cid:durableId="1114517305">
    <w:abstractNumId w:val="3"/>
  </w:num>
  <w:num w:numId="35" w16cid:durableId="1790392869">
    <w:abstractNumId w:val="34"/>
  </w:num>
  <w:num w:numId="36" w16cid:durableId="1621259156">
    <w:abstractNumId w:val="17"/>
  </w:num>
  <w:num w:numId="37" w16cid:durableId="1021475082">
    <w:abstractNumId w:val="12"/>
  </w:num>
  <w:num w:numId="38" w16cid:durableId="1384986271">
    <w:abstractNumId w:val="33"/>
  </w:num>
  <w:num w:numId="39" w16cid:durableId="21384053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0566796">
    <w:abstractNumId w:val="31"/>
  </w:num>
  <w:num w:numId="41" w16cid:durableId="733816222">
    <w:abstractNumId w:val="24"/>
  </w:num>
  <w:num w:numId="42" w16cid:durableId="1083721207">
    <w:abstractNumId w:val="24"/>
  </w:num>
  <w:num w:numId="43" w16cid:durableId="19940946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8158532">
    <w:abstractNumId w:val="18"/>
  </w:num>
  <w:num w:numId="45" w16cid:durableId="892036385">
    <w:abstractNumId w:val="7"/>
  </w:num>
  <w:num w:numId="46" w16cid:durableId="126623444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74"/>
    <w:rsid w:val="000020D8"/>
    <w:rsid w:val="000028AD"/>
    <w:rsid w:val="00002C07"/>
    <w:rsid w:val="00003F42"/>
    <w:rsid w:val="00005358"/>
    <w:rsid w:val="00006F95"/>
    <w:rsid w:val="00010908"/>
    <w:rsid w:val="00011490"/>
    <w:rsid w:val="00011E85"/>
    <w:rsid w:val="00012921"/>
    <w:rsid w:val="00012FB9"/>
    <w:rsid w:val="00013F3E"/>
    <w:rsid w:val="00014CA8"/>
    <w:rsid w:val="00014E7C"/>
    <w:rsid w:val="00015AAF"/>
    <w:rsid w:val="00016177"/>
    <w:rsid w:val="00016560"/>
    <w:rsid w:val="00017FB0"/>
    <w:rsid w:val="00020A6C"/>
    <w:rsid w:val="00022576"/>
    <w:rsid w:val="00024101"/>
    <w:rsid w:val="00024FEE"/>
    <w:rsid w:val="000278C3"/>
    <w:rsid w:val="00027F72"/>
    <w:rsid w:val="0003090B"/>
    <w:rsid w:val="00032B2C"/>
    <w:rsid w:val="00033301"/>
    <w:rsid w:val="000333EA"/>
    <w:rsid w:val="000334DE"/>
    <w:rsid w:val="00037998"/>
    <w:rsid w:val="00040F42"/>
    <w:rsid w:val="000418E4"/>
    <w:rsid w:val="00041C74"/>
    <w:rsid w:val="00043473"/>
    <w:rsid w:val="00044E09"/>
    <w:rsid w:val="00045959"/>
    <w:rsid w:val="000460AA"/>
    <w:rsid w:val="0004614E"/>
    <w:rsid w:val="00046359"/>
    <w:rsid w:val="00046F6E"/>
    <w:rsid w:val="00047464"/>
    <w:rsid w:val="000479BA"/>
    <w:rsid w:val="000504F9"/>
    <w:rsid w:val="00053A92"/>
    <w:rsid w:val="0005679E"/>
    <w:rsid w:val="000572EB"/>
    <w:rsid w:val="0006207D"/>
    <w:rsid w:val="00062FCB"/>
    <w:rsid w:val="000641B3"/>
    <w:rsid w:val="0006612E"/>
    <w:rsid w:val="00071306"/>
    <w:rsid w:val="000722CE"/>
    <w:rsid w:val="00074B31"/>
    <w:rsid w:val="000769F7"/>
    <w:rsid w:val="00076EC1"/>
    <w:rsid w:val="000779A9"/>
    <w:rsid w:val="00082047"/>
    <w:rsid w:val="000838D5"/>
    <w:rsid w:val="000840CC"/>
    <w:rsid w:val="00091234"/>
    <w:rsid w:val="00094648"/>
    <w:rsid w:val="00096D56"/>
    <w:rsid w:val="000A016A"/>
    <w:rsid w:val="000A0C96"/>
    <w:rsid w:val="000A140E"/>
    <w:rsid w:val="000A3475"/>
    <w:rsid w:val="000B78CB"/>
    <w:rsid w:val="000B7DAF"/>
    <w:rsid w:val="000C2BA8"/>
    <w:rsid w:val="000C350C"/>
    <w:rsid w:val="000C3717"/>
    <w:rsid w:val="000C490F"/>
    <w:rsid w:val="000C5C81"/>
    <w:rsid w:val="000C6243"/>
    <w:rsid w:val="000C668F"/>
    <w:rsid w:val="000D115D"/>
    <w:rsid w:val="000D2FD7"/>
    <w:rsid w:val="000D429E"/>
    <w:rsid w:val="000D7A68"/>
    <w:rsid w:val="000D7CBE"/>
    <w:rsid w:val="000E01D1"/>
    <w:rsid w:val="000E2B90"/>
    <w:rsid w:val="000E3FB7"/>
    <w:rsid w:val="000E4300"/>
    <w:rsid w:val="000E65BF"/>
    <w:rsid w:val="000E6855"/>
    <w:rsid w:val="000E7AA5"/>
    <w:rsid w:val="000F0AF8"/>
    <w:rsid w:val="000F1328"/>
    <w:rsid w:val="000F1813"/>
    <w:rsid w:val="000F2AE2"/>
    <w:rsid w:val="000F2B59"/>
    <w:rsid w:val="000F51CF"/>
    <w:rsid w:val="000F7FEE"/>
    <w:rsid w:val="00101BCA"/>
    <w:rsid w:val="00101BDB"/>
    <w:rsid w:val="00102C44"/>
    <w:rsid w:val="00104F3E"/>
    <w:rsid w:val="00105AA9"/>
    <w:rsid w:val="00105DF2"/>
    <w:rsid w:val="00106090"/>
    <w:rsid w:val="00110316"/>
    <w:rsid w:val="001111D6"/>
    <w:rsid w:val="00112DF2"/>
    <w:rsid w:val="00120A0C"/>
    <w:rsid w:val="00122B60"/>
    <w:rsid w:val="00122F39"/>
    <w:rsid w:val="00124917"/>
    <w:rsid w:val="00125566"/>
    <w:rsid w:val="001301AA"/>
    <w:rsid w:val="00131443"/>
    <w:rsid w:val="00132844"/>
    <w:rsid w:val="001345DD"/>
    <w:rsid w:val="00135060"/>
    <w:rsid w:val="00135E3C"/>
    <w:rsid w:val="00136013"/>
    <w:rsid w:val="00136447"/>
    <w:rsid w:val="00137DB4"/>
    <w:rsid w:val="00140B24"/>
    <w:rsid w:val="00142935"/>
    <w:rsid w:val="0014301C"/>
    <w:rsid w:val="00143769"/>
    <w:rsid w:val="00143AA5"/>
    <w:rsid w:val="00152366"/>
    <w:rsid w:val="00152E69"/>
    <w:rsid w:val="0015385D"/>
    <w:rsid w:val="00153AEB"/>
    <w:rsid w:val="00160CCA"/>
    <w:rsid w:val="00161286"/>
    <w:rsid w:val="00162728"/>
    <w:rsid w:val="0016383A"/>
    <w:rsid w:val="00165DE6"/>
    <w:rsid w:val="00166A69"/>
    <w:rsid w:val="0017238B"/>
    <w:rsid w:val="00177F8F"/>
    <w:rsid w:val="00182245"/>
    <w:rsid w:val="00182464"/>
    <w:rsid w:val="001868E0"/>
    <w:rsid w:val="00186DEE"/>
    <w:rsid w:val="00187A50"/>
    <w:rsid w:val="001916C6"/>
    <w:rsid w:val="0019281B"/>
    <w:rsid w:val="00192EFC"/>
    <w:rsid w:val="00193ADF"/>
    <w:rsid w:val="00196AEA"/>
    <w:rsid w:val="00197272"/>
    <w:rsid w:val="001A04D8"/>
    <w:rsid w:val="001A23F4"/>
    <w:rsid w:val="001A28C0"/>
    <w:rsid w:val="001B1C61"/>
    <w:rsid w:val="001B3427"/>
    <w:rsid w:val="001B48C6"/>
    <w:rsid w:val="001B5923"/>
    <w:rsid w:val="001B5C4B"/>
    <w:rsid w:val="001B6F9B"/>
    <w:rsid w:val="001C06AD"/>
    <w:rsid w:val="001C0B31"/>
    <w:rsid w:val="001C1E5C"/>
    <w:rsid w:val="001C1EA2"/>
    <w:rsid w:val="001C59E4"/>
    <w:rsid w:val="001C5F27"/>
    <w:rsid w:val="001C6800"/>
    <w:rsid w:val="001C6901"/>
    <w:rsid w:val="001C7450"/>
    <w:rsid w:val="001D5704"/>
    <w:rsid w:val="001D7215"/>
    <w:rsid w:val="001D7AB7"/>
    <w:rsid w:val="001E2721"/>
    <w:rsid w:val="001E63C6"/>
    <w:rsid w:val="001E67CE"/>
    <w:rsid w:val="001F1D37"/>
    <w:rsid w:val="001F342C"/>
    <w:rsid w:val="001F3D06"/>
    <w:rsid w:val="001F6711"/>
    <w:rsid w:val="001F6D6F"/>
    <w:rsid w:val="00200322"/>
    <w:rsid w:val="0020064B"/>
    <w:rsid w:val="00201741"/>
    <w:rsid w:val="00205022"/>
    <w:rsid w:val="002074BF"/>
    <w:rsid w:val="00207B2E"/>
    <w:rsid w:val="00211E70"/>
    <w:rsid w:val="00212B47"/>
    <w:rsid w:val="00214DD5"/>
    <w:rsid w:val="0021671A"/>
    <w:rsid w:val="0022366A"/>
    <w:rsid w:val="002241F4"/>
    <w:rsid w:val="002246E7"/>
    <w:rsid w:val="00225535"/>
    <w:rsid w:val="002260AD"/>
    <w:rsid w:val="00230926"/>
    <w:rsid w:val="00232191"/>
    <w:rsid w:val="0023294F"/>
    <w:rsid w:val="002335DD"/>
    <w:rsid w:val="00233775"/>
    <w:rsid w:val="002343B5"/>
    <w:rsid w:val="00236929"/>
    <w:rsid w:val="002403AE"/>
    <w:rsid w:val="00240A33"/>
    <w:rsid w:val="00241AF2"/>
    <w:rsid w:val="00241D74"/>
    <w:rsid w:val="002425D7"/>
    <w:rsid w:val="00251783"/>
    <w:rsid w:val="00251B66"/>
    <w:rsid w:val="002520F0"/>
    <w:rsid w:val="00253FC7"/>
    <w:rsid w:val="00261D9E"/>
    <w:rsid w:val="002633DD"/>
    <w:rsid w:val="0026424E"/>
    <w:rsid w:val="00264B80"/>
    <w:rsid w:val="00265B6B"/>
    <w:rsid w:val="002665A1"/>
    <w:rsid w:val="0027083C"/>
    <w:rsid w:val="0027090B"/>
    <w:rsid w:val="00272E29"/>
    <w:rsid w:val="002772C3"/>
    <w:rsid w:val="00277AC5"/>
    <w:rsid w:val="00281A83"/>
    <w:rsid w:val="00285724"/>
    <w:rsid w:val="00285C8A"/>
    <w:rsid w:val="00291B73"/>
    <w:rsid w:val="00294AE7"/>
    <w:rsid w:val="00296F0D"/>
    <w:rsid w:val="0029734C"/>
    <w:rsid w:val="00297B2A"/>
    <w:rsid w:val="002A0C0C"/>
    <w:rsid w:val="002A3F6F"/>
    <w:rsid w:val="002A7FE5"/>
    <w:rsid w:val="002B382B"/>
    <w:rsid w:val="002B7635"/>
    <w:rsid w:val="002C459A"/>
    <w:rsid w:val="002C4BD8"/>
    <w:rsid w:val="002C4EFF"/>
    <w:rsid w:val="002C5639"/>
    <w:rsid w:val="002D364E"/>
    <w:rsid w:val="002D4585"/>
    <w:rsid w:val="002D6659"/>
    <w:rsid w:val="002D7F74"/>
    <w:rsid w:val="002E3369"/>
    <w:rsid w:val="002E4C6A"/>
    <w:rsid w:val="002E54EF"/>
    <w:rsid w:val="002E7F95"/>
    <w:rsid w:val="002F2416"/>
    <w:rsid w:val="002F285E"/>
    <w:rsid w:val="002F4787"/>
    <w:rsid w:val="002F4A6D"/>
    <w:rsid w:val="002F4DE8"/>
    <w:rsid w:val="002F6297"/>
    <w:rsid w:val="002F6975"/>
    <w:rsid w:val="003012EE"/>
    <w:rsid w:val="00302210"/>
    <w:rsid w:val="00302CF8"/>
    <w:rsid w:val="00305915"/>
    <w:rsid w:val="0030723F"/>
    <w:rsid w:val="00307733"/>
    <w:rsid w:val="00307A2B"/>
    <w:rsid w:val="00310A6D"/>
    <w:rsid w:val="003116F1"/>
    <w:rsid w:val="0031293F"/>
    <w:rsid w:val="00313697"/>
    <w:rsid w:val="003159D7"/>
    <w:rsid w:val="00316D24"/>
    <w:rsid w:val="00322589"/>
    <w:rsid w:val="00323428"/>
    <w:rsid w:val="00325B9C"/>
    <w:rsid w:val="003270FA"/>
    <w:rsid w:val="00330F72"/>
    <w:rsid w:val="00331C9C"/>
    <w:rsid w:val="0033389C"/>
    <w:rsid w:val="00334D06"/>
    <w:rsid w:val="00340256"/>
    <w:rsid w:val="00340D97"/>
    <w:rsid w:val="003419F2"/>
    <w:rsid w:val="0034325D"/>
    <w:rsid w:val="00343CED"/>
    <w:rsid w:val="00343F93"/>
    <w:rsid w:val="00344168"/>
    <w:rsid w:val="00345AA1"/>
    <w:rsid w:val="00346D2C"/>
    <w:rsid w:val="00350C8F"/>
    <w:rsid w:val="00350E4E"/>
    <w:rsid w:val="0035331C"/>
    <w:rsid w:val="00357EA3"/>
    <w:rsid w:val="00361F52"/>
    <w:rsid w:val="00363525"/>
    <w:rsid w:val="00364867"/>
    <w:rsid w:val="00365B7B"/>
    <w:rsid w:val="00366606"/>
    <w:rsid w:val="00370BAC"/>
    <w:rsid w:val="0037254D"/>
    <w:rsid w:val="003727D8"/>
    <w:rsid w:val="0037427A"/>
    <w:rsid w:val="00377301"/>
    <w:rsid w:val="0037771B"/>
    <w:rsid w:val="00377D80"/>
    <w:rsid w:val="00381496"/>
    <w:rsid w:val="0038217D"/>
    <w:rsid w:val="003840D1"/>
    <w:rsid w:val="0038613E"/>
    <w:rsid w:val="00387021"/>
    <w:rsid w:val="00387ADA"/>
    <w:rsid w:val="0039267D"/>
    <w:rsid w:val="0039432A"/>
    <w:rsid w:val="003964BB"/>
    <w:rsid w:val="003A0672"/>
    <w:rsid w:val="003A14B4"/>
    <w:rsid w:val="003A181B"/>
    <w:rsid w:val="003A55F9"/>
    <w:rsid w:val="003A606E"/>
    <w:rsid w:val="003A6468"/>
    <w:rsid w:val="003A7283"/>
    <w:rsid w:val="003B04E4"/>
    <w:rsid w:val="003B1C0A"/>
    <w:rsid w:val="003B21D0"/>
    <w:rsid w:val="003B2951"/>
    <w:rsid w:val="003B50D7"/>
    <w:rsid w:val="003B55FF"/>
    <w:rsid w:val="003B5859"/>
    <w:rsid w:val="003B6873"/>
    <w:rsid w:val="003B6B41"/>
    <w:rsid w:val="003C0B45"/>
    <w:rsid w:val="003C2CCD"/>
    <w:rsid w:val="003C4640"/>
    <w:rsid w:val="003C501C"/>
    <w:rsid w:val="003C60BD"/>
    <w:rsid w:val="003C7CB1"/>
    <w:rsid w:val="003D0911"/>
    <w:rsid w:val="003D097C"/>
    <w:rsid w:val="003D21A7"/>
    <w:rsid w:val="003D391A"/>
    <w:rsid w:val="003D3937"/>
    <w:rsid w:val="003D4B00"/>
    <w:rsid w:val="003D73D8"/>
    <w:rsid w:val="003E2801"/>
    <w:rsid w:val="003E438F"/>
    <w:rsid w:val="003E4B74"/>
    <w:rsid w:val="003E7EBF"/>
    <w:rsid w:val="003F1CD0"/>
    <w:rsid w:val="003F39D3"/>
    <w:rsid w:val="003F3B02"/>
    <w:rsid w:val="003F4930"/>
    <w:rsid w:val="003F5921"/>
    <w:rsid w:val="003F5A1C"/>
    <w:rsid w:val="003F7744"/>
    <w:rsid w:val="003F7BEC"/>
    <w:rsid w:val="003F7F8C"/>
    <w:rsid w:val="00402680"/>
    <w:rsid w:val="00403CF8"/>
    <w:rsid w:val="0040777A"/>
    <w:rsid w:val="004131BC"/>
    <w:rsid w:val="00413ECF"/>
    <w:rsid w:val="00414C80"/>
    <w:rsid w:val="004155E1"/>
    <w:rsid w:val="004175DA"/>
    <w:rsid w:val="00420AEC"/>
    <w:rsid w:val="00422331"/>
    <w:rsid w:val="00423E8F"/>
    <w:rsid w:val="00424A5E"/>
    <w:rsid w:val="00424D53"/>
    <w:rsid w:val="004256A9"/>
    <w:rsid w:val="0042574C"/>
    <w:rsid w:val="00425974"/>
    <w:rsid w:val="00426C62"/>
    <w:rsid w:val="00432FD4"/>
    <w:rsid w:val="004340AB"/>
    <w:rsid w:val="0043582D"/>
    <w:rsid w:val="0043596B"/>
    <w:rsid w:val="00436244"/>
    <w:rsid w:val="00436417"/>
    <w:rsid w:val="0043697D"/>
    <w:rsid w:val="0044284D"/>
    <w:rsid w:val="00442E73"/>
    <w:rsid w:val="00444095"/>
    <w:rsid w:val="004453EF"/>
    <w:rsid w:val="004459FD"/>
    <w:rsid w:val="004461A7"/>
    <w:rsid w:val="00446369"/>
    <w:rsid w:val="00446727"/>
    <w:rsid w:val="0044769A"/>
    <w:rsid w:val="004477BF"/>
    <w:rsid w:val="00447B8D"/>
    <w:rsid w:val="00450538"/>
    <w:rsid w:val="00451D35"/>
    <w:rsid w:val="00452006"/>
    <w:rsid w:val="00452268"/>
    <w:rsid w:val="004528FA"/>
    <w:rsid w:val="00456179"/>
    <w:rsid w:val="00456321"/>
    <w:rsid w:val="00461AD7"/>
    <w:rsid w:val="004626E9"/>
    <w:rsid w:val="004633F7"/>
    <w:rsid w:val="00463611"/>
    <w:rsid w:val="00464B30"/>
    <w:rsid w:val="004670C2"/>
    <w:rsid w:val="00467163"/>
    <w:rsid w:val="004712A0"/>
    <w:rsid w:val="00474D22"/>
    <w:rsid w:val="00475043"/>
    <w:rsid w:val="0047504D"/>
    <w:rsid w:val="00476288"/>
    <w:rsid w:val="0047714B"/>
    <w:rsid w:val="00480523"/>
    <w:rsid w:val="004811AD"/>
    <w:rsid w:val="004811DF"/>
    <w:rsid w:val="00482E15"/>
    <w:rsid w:val="0048334C"/>
    <w:rsid w:val="00483828"/>
    <w:rsid w:val="004847BF"/>
    <w:rsid w:val="0048769A"/>
    <w:rsid w:val="0049030B"/>
    <w:rsid w:val="00492F5F"/>
    <w:rsid w:val="00494C4E"/>
    <w:rsid w:val="004A253F"/>
    <w:rsid w:val="004A2B46"/>
    <w:rsid w:val="004A5A58"/>
    <w:rsid w:val="004A624D"/>
    <w:rsid w:val="004A7515"/>
    <w:rsid w:val="004B097F"/>
    <w:rsid w:val="004B0F3C"/>
    <w:rsid w:val="004B171F"/>
    <w:rsid w:val="004B22DC"/>
    <w:rsid w:val="004B44EF"/>
    <w:rsid w:val="004C1298"/>
    <w:rsid w:val="004C1DFE"/>
    <w:rsid w:val="004C3BA7"/>
    <w:rsid w:val="004C4A74"/>
    <w:rsid w:val="004C4C52"/>
    <w:rsid w:val="004C5FED"/>
    <w:rsid w:val="004D0DBD"/>
    <w:rsid w:val="004D4CB7"/>
    <w:rsid w:val="004D5AA3"/>
    <w:rsid w:val="004D7AE3"/>
    <w:rsid w:val="004D7FF7"/>
    <w:rsid w:val="004E16C0"/>
    <w:rsid w:val="004E16F6"/>
    <w:rsid w:val="004E35E2"/>
    <w:rsid w:val="004E363A"/>
    <w:rsid w:val="004E3A1B"/>
    <w:rsid w:val="004E650A"/>
    <w:rsid w:val="004F1585"/>
    <w:rsid w:val="004F185A"/>
    <w:rsid w:val="004F24BB"/>
    <w:rsid w:val="004F3910"/>
    <w:rsid w:val="004F723F"/>
    <w:rsid w:val="00501308"/>
    <w:rsid w:val="00501370"/>
    <w:rsid w:val="00502C17"/>
    <w:rsid w:val="00502C39"/>
    <w:rsid w:val="00504583"/>
    <w:rsid w:val="00510909"/>
    <w:rsid w:val="00512A2B"/>
    <w:rsid w:val="00516D39"/>
    <w:rsid w:val="00517209"/>
    <w:rsid w:val="00520147"/>
    <w:rsid w:val="00520CE0"/>
    <w:rsid w:val="005217BB"/>
    <w:rsid w:val="00521868"/>
    <w:rsid w:val="0052245E"/>
    <w:rsid w:val="00523E79"/>
    <w:rsid w:val="00524C20"/>
    <w:rsid w:val="00525F8F"/>
    <w:rsid w:val="00527BBD"/>
    <w:rsid w:val="00531857"/>
    <w:rsid w:val="0053463B"/>
    <w:rsid w:val="005357C3"/>
    <w:rsid w:val="00535B56"/>
    <w:rsid w:val="00537E63"/>
    <w:rsid w:val="0054079E"/>
    <w:rsid w:val="00541453"/>
    <w:rsid w:val="005415DF"/>
    <w:rsid w:val="005435E1"/>
    <w:rsid w:val="005516D9"/>
    <w:rsid w:val="005522AE"/>
    <w:rsid w:val="0055395B"/>
    <w:rsid w:val="00555932"/>
    <w:rsid w:val="00556066"/>
    <w:rsid w:val="00561062"/>
    <w:rsid w:val="0056238F"/>
    <w:rsid w:val="00563EE1"/>
    <w:rsid w:val="00564421"/>
    <w:rsid w:val="00564578"/>
    <w:rsid w:val="00565ADE"/>
    <w:rsid w:val="00571DD1"/>
    <w:rsid w:val="00572183"/>
    <w:rsid w:val="00574221"/>
    <w:rsid w:val="00574CA8"/>
    <w:rsid w:val="00575438"/>
    <w:rsid w:val="00575783"/>
    <w:rsid w:val="00576676"/>
    <w:rsid w:val="005770FE"/>
    <w:rsid w:val="00577AAF"/>
    <w:rsid w:val="0058162F"/>
    <w:rsid w:val="00581FD2"/>
    <w:rsid w:val="00582705"/>
    <w:rsid w:val="00590844"/>
    <w:rsid w:val="0059189B"/>
    <w:rsid w:val="00591DAB"/>
    <w:rsid w:val="00591FC5"/>
    <w:rsid w:val="00592354"/>
    <w:rsid w:val="00592AF3"/>
    <w:rsid w:val="00593E67"/>
    <w:rsid w:val="005951E8"/>
    <w:rsid w:val="00595EE5"/>
    <w:rsid w:val="005A14E7"/>
    <w:rsid w:val="005A16C0"/>
    <w:rsid w:val="005A44CD"/>
    <w:rsid w:val="005A7308"/>
    <w:rsid w:val="005B2955"/>
    <w:rsid w:val="005B3813"/>
    <w:rsid w:val="005B3C01"/>
    <w:rsid w:val="005B62CF"/>
    <w:rsid w:val="005B6FAA"/>
    <w:rsid w:val="005B715B"/>
    <w:rsid w:val="005C1681"/>
    <w:rsid w:val="005C2634"/>
    <w:rsid w:val="005C2CA9"/>
    <w:rsid w:val="005C4F72"/>
    <w:rsid w:val="005C72EC"/>
    <w:rsid w:val="005C762B"/>
    <w:rsid w:val="005D308C"/>
    <w:rsid w:val="005D3315"/>
    <w:rsid w:val="005D6332"/>
    <w:rsid w:val="005D6D09"/>
    <w:rsid w:val="005E06DD"/>
    <w:rsid w:val="005E10EA"/>
    <w:rsid w:val="005E2F41"/>
    <w:rsid w:val="005E3779"/>
    <w:rsid w:val="005E492D"/>
    <w:rsid w:val="005E49B8"/>
    <w:rsid w:val="005F4B12"/>
    <w:rsid w:val="0060047D"/>
    <w:rsid w:val="006014DB"/>
    <w:rsid w:val="0060308C"/>
    <w:rsid w:val="00603E37"/>
    <w:rsid w:val="00604437"/>
    <w:rsid w:val="00604871"/>
    <w:rsid w:val="00605DF1"/>
    <w:rsid w:val="0060620F"/>
    <w:rsid w:val="00606400"/>
    <w:rsid w:val="00606970"/>
    <w:rsid w:val="00612B04"/>
    <w:rsid w:val="006130BA"/>
    <w:rsid w:val="006133E5"/>
    <w:rsid w:val="00613C05"/>
    <w:rsid w:val="006160E9"/>
    <w:rsid w:val="00620B93"/>
    <w:rsid w:val="006211AD"/>
    <w:rsid w:val="00624F22"/>
    <w:rsid w:val="00625231"/>
    <w:rsid w:val="00625C1B"/>
    <w:rsid w:val="00626D1D"/>
    <w:rsid w:val="00627558"/>
    <w:rsid w:val="00631162"/>
    <w:rsid w:val="00631C81"/>
    <w:rsid w:val="00632576"/>
    <w:rsid w:val="00633677"/>
    <w:rsid w:val="00634784"/>
    <w:rsid w:val="00635119"/>
    <w:rsid w:val="006357AB"/>
    <w:rsid w:val="00636A0C"/>
    <w:rsid w:val="00636EEF"/>
    <w:rsid w:val="006414D8"/>
    <w:rsid w:val="006443DD"/>
    <w:rsid w:val="00644DCC"/>
    <w:rsid w:val="006459CD"/>
    <w:rsid w:val="00646624"/>
    <w:rsid w:val="0064723A"/>
    <w:rsid w:val="0065029F"/>
    <w:rsid w:val="00652C96"/>
    <w:rsid w:val="00653451"/>
    <w:rsid w:val="00654F33"/>
    <w:rsid w:val="0065583B"/>
    <w:rsid w:val="00655A17"/>
    <w:rsid w:val="00661144"/>
    <w:rsid w:val="006626F5"/>
    <w:rsid w:val="00667C96"/>
    <w:rsid w:val="00672A73"/>
    <w:rsid w:val="00673146"/>
    <w:rsid w:val="00673643"/>
    <w:rsid w:val="00673C76"/>
    <w:rsid w:val="00674D05"/>
    <w:rsid w:val="00683AD9"/>
    <w:rsid w:val="006864D0"/>
    <w:rsid w:val="00686B3F"/>
    <w:rsid w:val="006901EF"/>
    <w:rsid w:val="0069176B"/>
    <w:rsid w:val="006923E7"/>
    <w:rsid w:val="0069247F"/>
    <w:rsid w:val="006934CA"/>
    <w:rsid w:val="006A01AB"/>
    <w:rsid w:val="006A28E1"/>
    <w:rsid w:val="006A4BA4"/>
    <w:rsid w:val="006A4D4E"/>
    <w:rsid w:val="006A5E7F"/>
    <w:rsid w:val="006A68B0"/>
    <w:rsid w:val="006B0F22"/>
    <w:rsid w:val="006B4021"/>
    <w:rsid w:val="006C3F5F"/>
    <w:rsid w:val="006C45D0"/>
    <w:rsid w:val="006C5A70"/>
    <w:rsid w:val="006D1BEB"/>
    <w:rsid w:val="006D1C5E"/>
    <w:rsid w:val="006D3D02"/>
    <w:rsid w:val="006D5791"/>
    <w:rsid w:val="006D7C70"/>
    <w:rsid w:val="006E0A89"/>
    <w:rsid w:val="006E11BE"/>
    <w:rsid w:val="006E43EA"/>
    <w:rsid w:val="006E5349"/>
    <w:rsid w:val="006E5DD6"/>
    <w:rsid w:val="006E7001"/>
    <w:rsid w:val="006E792E"/>
    <w:rsid w:val="006F1B69"/>
    <w:rsid w:val="006F2E4B"/>
    <w:rsid w:val="006F462D"/>
    <w:rsid w:val="0070072D"/>
    <w:rsid w:val="00700849"/>
    <w:rsid w:val="00701B84"/>
    <w:rsid w:val="00702E70"/>
    <w:rsid w:val="00703173"/>
    <w:rsid w:val="007034F7"/>
    <w:rsid w:val="00703573"/>
    <w:rsid w:val="007040B2"/>
    <w:rsid w:val="00705C8F"/>
    <w:rsid w:val="007109B1"/>
    <w:rsid w:val="00710C91"/>
    <w:rsid w:val="00711A94"/>
    <w:rsid w:val="007129F5"/>
    <w:rsid w:val="00715FBC"/>
    <w:rsid w:val="007208E0"/>
    <w:rsid w:val="00720A56"/>
    <w:rsid w:val="007226BE"/>
    <w:rsid w:val="00723075"/>
    <w:rsid w:val="00725D5A"/>
    <w:rsid w:val="0072692A"/>
    <w:rsid w:val="00730882"/>
    <w:rsid w:val="007324B3"/>
    <w:rsid w:val="00732FB9"/>
    <w:rsid w:val="00733323"/>
    <w:rsid w:val="007336F6"/>
    <w:rsid w:val="00734613"/>
    <w:rsid w:val="00735869"/>
    <w:rsid w:val="007374BC"/>
    <w:rsid w:val="00737505"/>
    <w:rsid w:val="00740D96"/>
    <w:rsid w:val="00740FF6"/>
    <w:rsid w:val="00741D99"/>
    <w:rsid w:val="007439F7"/>
    <w:rsid w:val="00744A13"/>
    <w:rsid w:val="00744D19"/>
    <w:rsid w:val="00744E84"/>
    <w:rsid w:val="00745FB4"/>
    <w:rsid w:val="00745FDD"/>
    <w:rsid w:val="00747A7E"/>
    <w:rsid w:val="00747D2F"/>
    <w:rsid w:val="00747E5F"/>
    <w:rsid w:val="00752EA8"/>
    <w:rsid w:val="00753A8A"/>
    <w:rsid w:val="00753D93"/>
    <w:rsid w:val="00753E41"/>
    <w:rsid w:val="00755B4B"/>
    <w:rsid w:val="00756E50"/>
    <w:rsid w:val="0075794B"/>
    <w:rsid w:val="007601C2"/>
    <w:rsid w:val="00762675"/>
    <w:rsid w:val="007630CE"/>
    <w:rsid w:val="00764677"/>
    <w:rsid w:val="00765D1A"/>
    <w:rsid w:val="00767BA0"/>
    <w:rsid w:val="007700A7"/>
    <w:rsid w:val="007721F3"/>
    <w:rsid w:val="00773900"/>
    <w:rsid w:val="00774A20"/>
    <w:rsid w:val="00776654"/>
    <w:rsid w:val="00780223"/>
    <w:rsid w:val="00780979"/>
    <w:rsid w:val="007827AF"/>
    <w:rsid w:val="00782EE2"/>
    <w:rsid w:val="0078459D"/>
    <w:rsid w:val="00784A8B"/>
    <w:rsid w:val="00786B01"/>
    <w:rsid w:val="00786E44"/>
    <w:rsid w:val="00790A0F"/>
    <w:rsid w:val="00794D5E"/>
    <w:rsid w:val="007953F9"/>
    <w:rsid w:val="0079643E"/>
    <w:rsid w:val="007A0320"/>
    <w:rsid w:val="007A0DE3"/>
    <w:rsid w:val="007A1739"/>
    <w:rsid w:val="007A2073"/>
    <w:rsid w:val="007A265C"/>
    <w:rsid w:val="007A2F90"/>
    <w:rsid w:val="007A37C6"/>
    <w:rsid w:val="007A43C4"/>
    <w:rsid w:val="007A6F52"/>
    <w:rsid w:val="007B0CF3"/>
    <w:rsid w:val="007B0F1E"/>
    <w:rsid w:val="007B1597"/>
    <w:rsid w:val="007B3A8E"/>
    <w:rsid w:val="007B3B26"/>
    <w:rsid w:val="007B50EE"/>
    <w:rsid w:val="007B7D11"/>
    <w:rsid w:val="007C045B"/>
    <w:rsid w:val="007C0A70"/>
    <w:rsid w:val="007C0CC9"/>
    <w:rsid w:val="007C1ECB"/>
    <w:rsid w:val="007C5702"/>
    <w:rsid w:val="007D03F7"/>
    <w:rsid w:val="007D2D05"/>
    <w:rsid w:val="007D3665"/>
    <w:rsid w:val="007D36CD"/>
    <w:rsid w:val="007D4BA4"/>
    <w:rsid w:val="007D4F9F"/>
    <w:rsid w:val="007D52B2"/>
    <w:rsid w:val="007D7E12"/>
    <w:rsid w:val="007E4359"/>
    <w:rsid w:val="007E47B3"/>
    <w:rsid w:val="007E4C22"/>
    <w:rsid w:val="007E4DF4"/>
    <w:rsid w:val="007E6716"/>
    <w:rsid w:val="007F0DA7"/>
    <w:rsid w:val="007F307E"/>
    <w:rsid w:val="007F3599"/>
    <w:rsid w:val="007F7A36"/>
    <w:rsid w:val="00801AA7"/>
    <w:rsid w:val="008029B9"/>
    <w:rsid w:val="00802F78"/>
    <w:rsid w:val="00805877"/>
    <w:rsid w:val="0080612B"/>
    <w:rsid w:val="00811303"/>
    <w:rsid w:val="00811735"/>
    <w:rsid w:val="0081527B"/>
    <w:rsid w:val="0081536B"/>
    <w:rsid w:val="008158B6"/>
    <w:rsid w:val="00816E0B"/>
    <w:rsid w:val="0081775A"/>
    <w:rsid w:val="00817DA0"/>
    <w:rsid w:val="00817F43"/>
    <w:rsid w:val="0082090B"/>
    <w:rsid w:val="00820F02"/>
    <w:rsid w:val="00821B57"/>
    <w:rsid w:val="0082220D"/>
    <w:rsid w:val="00822EE1"/>
    <w:rsid w:val="00824FEF"/>
    <w:rsid w:val="00825DA9"/>
    <w:rsid w:val="008268D2"/>
    <w:rsid w:val="00830154"/>
    <w:rsid w:val="00830651"/>
    <w:rsid w:val="0083145C"/>
    <w:rsid w:val="00835AD6"/>
    <w:rsid w:val="0084059E"/>
    <w:rsid w:val="00840CFA"/>
    <w:rsid w:val="00841047"/>
    <w:rsid w:val="008450C0"/>
    <w:rsid w:val="008463CF"/>
    <w:rsid w:val="0085141D"/>
    <w:rsid w:val="008573ED"/>
    <w:rsid w:val="00860348"/>
    <w:rsid w:val="00861E61"/>
    <w:rsid w:val="0086609E"/>
    <w:rsid w:val="00866AC0"/>
    <w:rsid w:val="00867180"/>
    <w:rsid w:val="008702A9"/>
    <w:rsid w:val="0087099E"/>
    <w:rsid w:val="008726C1"/>
    <w:rsid w:val="00873D22"/>
    <w:rsid w:val="00873F74"/>
    <w:rsid w:val="008770A6"/>
    <w:rsid w:val="00880DFE"/>
    <w:rsid w:val="00880F8C"/>
    <w:rsid w:val="00881CC7"/>
    <w:rsid w:val="00884D8B"/>
    <w:rsid w:val="00885F75"/>
    <w:rsid w:val="008872BA"/>
    <w:rsid w:val="00887F65"/>
    <w:rsid w:val="00892655"/>
    <w:rsid w:val="00894D19"/>
    <w:rsid w:val="00895575"/>
    <w:rsid w:val="00895FDE"/>
    <w:rsid w:val="00896D9C"/>
    <w:rsid w:val="008A2A14"/>
    <w:rsid w:val="008A30B9"/>
    <w:rsid w:val="008A5D9F"/>
    <w:rsid w:val="008A5E7C"/>
    <w:rsid w:val="008A5E9F"/>
    <w:rsid w:val="008A61AE"/>
    <w:rsid w:val="008B072E"/>
    <w:rsid w:val="008B0A29"/>
    <w:rsid w:val="008B49FF"/>
    <w:rsid w:val="008B5916"/>
    <w:rsid w:val="008B593F"/>
    <w:rsid w:val="008B605B"/>
    <w:rsid w:val="008B7CC6"/>
    <w:rsid w:val="008C03F4"/>
    <w:rsid w:val="008C580E"/>
    <w:rsid w:val="008C692C"/>
    <w:rsid w:val="008C7BBA"/>
    <w:rsid w:val="008D028E"/>
    <w:rsid w:val="008D201C"/>
    <w:rsid w:val="008D25EB"/>
    <w:rsid w:val="008D2A4E"/>
    <w:rsid w:val="008D582C"/>
    <w:rsid w:val="008D61BF"/>
    <w:rsid w:val="008D7F8A"/>
    <w:rsid w:val="008E063B"/>
    <w:rsid w:val="008E0BC9"/>
    <w:rsid w:val="008E1225"/>
    <w:rsid w:val="008E3436"/>
    <w:rsid w:val="008E4FC9"/>
    <w:rsid w:val="008E567E"/>
    <w:rsid w:val="008F0B8B"/>
    <w:rsid w:val="008F1988"/>
    <w:rsid w:val="008F47BC"/>
    <w:rsid w:val="008F5093"/>
    <w:rsid w:val="008F7780"/>
    <w:rsid w:val="008F7E01"/>
    <w:rsid w:val="0090243A"/>
    <w:rsid w:val="00904CC3"/>
    <w:rsid w:val="00911ED4"/>
    <w:rsid w:val="009162B1"/>
    <w:rsid w:val="00922454"/>
    <w:rsid w:val="009229F6"/>
    <w:rsid w:val="009249AE"/>
    <w:rsid w:val="00925225"/>
    <w:rsid w:val="00926EC8"/>
    <w:rsid w:val="009301EA"/>
    <w:rsid w:val="0093042D"/>
    <w:rsid w:val="0093389A"/>
    <w:rsid w:val="009349DF"/>
    <w:rsid w:val="00934E48"/>
    <w:rsid w:val="009352D0"/>
    <w:rsid w:val="009362B4"/>
    <w:rsid w:val="009374DF"/>
    <w:rsid w:val="00937889"/>
    <w:rsid w:val="00937941"/>
    <w:rsid w:val="009416D7"/>
    <w:rsid w:val="0094290D"/>
    <w:rsid w:val="00942D43"/>
    <w:rsid w:val="009440C7"/>
    <w:rsid w:val="00944B8B"/>
    <w:rsid w:val="00945E34"/>
    <w:rsid w:val="009470DD"/>
    <w:rsid w:val="009537FA"/>
    <w:rsid w:val="00955553"/>
    <w:rsid w:val="00957C8D"/>
    <w:rsid w:val="00957CD2"/>
    <w:rsid w:val="00960A3F"/>
    <w:rsid w:val="00971A60"/>
    <w:rsid w:val="009729B4"/>
    <w:rsid w:val="00973F8D"/>
    <w:rsid w:val="009746A1"/>
    <w:rsid w:val="00977AC5"/>
    <w:rsid w:val="00980528"/>
    <w:rsid w:val="0098408B"/>
    <w:rsid w:val="009848ED"/>
    <w:rsid w:val="00984CD1"/>
    <w:rsid w:val="0098568F"/>
    <w:rsid w:val="0098580E"/>
    <w:rsid w:val="009908CD"/>
    <w:rsid w:val="009943E2"/>
    <w:rsid w:val="009943E4"/>
    <w:rsid w:val="009948B4"/>
    <w:rsid w:val="00994C16"/>
    <w:rsid w:val="00995618"/>
    <w:rsid w:val="009957EF"/>
    <w:rsid w:val="009963C9"/>
    <w:rsid w:val="0099643A"/>
    <w:rsid w:val="0099646C"/>
    <w:rsid w:val="009A1C0E"/>
    <w:rsid w:val="009A237A"/>
    <w:rsid w:val="009A49A7"/>
    <w:rsid w:val="009A6802"/>
    <w:rsid w:val="009A6A21"/>
    <w:rsid w:val="009B251D"/>
    <w:rsid w:val="009B2DEF"/>
    <w:rsid w:val="009B3587"/>
    <w:rsid w:val="009B3622"/>
    <w:rsid w:val="009B5007"/>
    <w:rsid w:val="009B62E3"/>
    <w:rsid w:val="009B633D"/>
    <w:rsid w:val="009C031E"/>
    <w:rsid w:val="009C155B"/>
    <w:rsid w:val="009C4881"/>
    <w:rsid w:val="009C60F9"/>
    <w:rsid w:val="009C6B2A"/>
    <w:rsid w:val="009D1238"/>
    <w:rsid w:val="009D2010"/>
    <w:rsid w:val="009D3DBB"/>
    <w:rsid w:val="009D4574"/>
    <w:rsid w:val="009D4E2F"/>
    <w:rsid w:val="009D62A9"/>
    <w:rsid w:val="009E0CC0"/>
    <w:rsid w:val="009E2768"/>
    <w:rsid w:val="009E47CB"/>
    <w:rsid w:val="009E5077"/>
    <w:rsid w:val="009F299E"/>
    <w:rsid w:val="009F43EA"/>
    <w:rsid w:val="009F4E13"/>
    <w:rsid w:val="009F597D"/>
    <w:rsid w:val="009F5C88"/>
    <w:rsid w:val="009F6BE7"/>
    <w:rsid w:val="009F7EAC"/>
    <w:rsid w:val="00A036EF"/>
    <w:rsid w:val="00A070AD"/>
    <w:rsid w:val="00A07874"/>
    <w:rsid w:val="00A10E89"/>
    <w:rsid w:val="00A12839"/>
    <w:rsid w:val="00A1314D"/>
    <w:rsid w:val="00A13D8D"/>
    <w:rsid w:val="00A15D49"/>
    <w:rsid w:val="00A21112"/>
    <w:rsid w:val="00A219D8"/>
    <w:rsid w:val="00A23056"/>
    <w:rsid w:val="00A23403"/>
    <w:rsid w:val="00A24E79"/>
    <w:rsid w:val="00A2649E"/>
    <w:rsid w:val="00A2679D"/>
    <w:rsid w:val="00A27902"/>
    <w:rsid w:val="00A30D9A"/>
    <w:rsid w:val="00A330DB"/>
    <w:rsid w:val="00A331A3"/>
    <w:rsid w:val="00A3675B"/>
    <w:rsid w:val="00A36E4D"/>
    <w:rsid w:val="00A37596"/>
    <w:rsid w:val="00A401EF"/>
    <w:rsid w:val="00A42E68"/>
    <w:rsid w:val="00A44855"/>
    <w:rsid w:val="00A468ED"/>
    <w:rsid w:val="00A4694A"/>
    <w:rsid w:val="00A516B7"/>
    <w:rsid w:val="00A53684"/>
    <w:rsid w:val="00A53D7C"/>
    <w:rsid w:val="00A5446B"/>
    <w:rsid w:val="00A571F9"/>
    <w:rsid w:val="00A60E3B"/>
    <w:rsid w:val="00A6155E"/>
    <w:rsid w:val="00A63553"/>
    <w:rsid w:val="00A64AE0"/>
    <w:rsid w:val="00A64D47"/>
    <w:rsid w:val="00A64E80"/>
    <w:rsid w:val="00A65884"/>
    <w:rsid w:val="00A71471"/>
    <w:rsid w:val="00A7414B"/>
    <w:rsid w:val="00A74E0A"/>
    <w:rsid w:val="00A7556B"/>
    <w:rsid w:val="00A777E1"/>
    <w:rsid w:val="00A817F5"/>
    <w:rsid w:val="00A82B26"/>
    <w:rsid w:val="00A835C4"/>
    <w:rsid w:val="00A835E4"/>
    <w:rsid w:val="00A8466B"/>
    <w:rsid w:val="00A86C85"/>
    <w:rsid w:val="00A905D8"/>
    <w:rsid w:val="00A92DED"/>
    <w:rsid w:val="00A94219"/>
    <w:rsid w:val="00A9642C"/>
    <w:rsid w:val="00A975FB"/>
    <w:rsid w:val="00AA0817"/>
    <w:rsid w:val="00AA0B6B"/>
    <w:rsid w:val="00AA1DDC"/>
    <w:rsid w:val="00AA3F0B"/>
    <w:rsid w:val="00AA788A"/>
    <w:rsid w:val="00AB1EB8"/>
    <w:rsid w:val="00AB298E"/>
    <w:rsid w:val="00AB2B98"/>
    <w:rsid w:val="00AB4A64"/>
    <w:rsid w:val="00AC039B"/>
    <w:rsid w:val="00AC6616"/>
    <w:rsid w:val="00AD56D5"/>
    <w:rsid w:val="00AD6516"/>
    <w:rsid w:val="00AD7052"/>
    <w:rsid w:val="00AE097E"/>
    <w:rsid w:val="00AE1020"/>
    <w:rsid w:val="00AE1382"/>
    <w:rsid w:val="00AE3C89"/>
    <w:rsid w:val="00AE4702"/>
    <w:rsid w:val="00AE5E62"/>
    <w:rsid w:val="00AF09B4"/>
    <w:rsid w:val="00AF646B"/>
    <w:rsid w:val="00B01428"/>
    <w:rsid w:val="00B059A3"/>
    <w:rsid w:val="00B105CD"/>
    <w:rsid w:val="00B13204"/>
    <w:rsid w:val="00B138B2"/>
    <w:rsid w:val="00B13C50"/>
    <w:rsid w:val="00B13F1D"/>
    <w:rsid w:val="00B2166E"/>
    <w:rsid w:val="00B21F7E"/>
    <w:rsid w:val="00B238AD"/>
    <w:rsid w:val="00B257FE"/>
    <w:rsid w:val="00B25DE6"/>
    <w:rsid w:val="00B26450"/>
    <w:rsid w:val="00B265AE"/>
    <w:rsid w:val="00B27F17"/>
    <w:rsid w:val="00B31E2E"/>
    <w:rsid w:val="00B33601"/>
    <w:rsid w:val="00B36A3D"/>
    <w:rsid w:val="00B37683"/>
    <w:rsid w:val="00B410AF"/>
    <w:rsid w:val="00B458F0"/>
    <w:rsid w:val="00B45963"/>
    <w:rsid w:val="00B476D5"/>
    <w:rsid w:val="00B47F91"/>
    <w:rsid w:val="00B51378"/>
    <w:rsid w:val="00B51734"/>
    <w:rsid w:val="00B5189D"/>
    <w:rsid w:val="00B519B4"/>
    <w:rsid w:val="00B5232D"/>
    <w:rsid w:val="00B52533"/>
    <w:rsid w:val="00B54400"/>
    <w:rsid w:val="00B545FD"/>
    <w:rsid w:val="00B61FEB"/>
    <w:rsid w:val="00B62C96"/>
    <w:rsid w:val="00B64547"/>
    <w:rsid w:val="00B645ED"/>
    <w:rsid w:val="00B678E5"/>
    <w:rsid w:val="00B70C24"/>
    <w:rsid w:val="00B720EC"/>
    <w:rsid w:val="00B7365A"/>
    <w:rsid w:val="00B762E0"/>
    <w:rsid w:val="00B76712"/>
    <w:rsid w:val="00B76B66"/>
    <w:rsid w:val="00B80669"/>
    <w:rsid w:val="00B80E36"/>
    <w:rsid w:val="00B825D0"/>
    <w:rsid w:val="00B82A59"/>
    <w:rsid w:val="00B83929"/>
    <w:rsid w:val="00B847A9"/>
    <w:rsid w:val="00B84B2A"/>
    <w:rsid w:val="00B915AB"/>
    <w:rsid w:val="00B915F1"/>
    <w:rsid w:val="00B92B52"/>
    <w:rsid w:val="00B93686"/>
    <w:rsid w:val="00B946B8"/>
    <w:rsid w:val="00B966F1"/>
    <w:rsid w:val="00BA1DD4"/>
    <w:rsid w:val="00BA39BD"/>
    <w:rsid w:val="00BA4001"/>
    <w:rsid w:val="00BA7DEC"/>
    <w:rsid w:val="00BB1C2F"/>
    <w:rsid w:val="00BB2479"/>
    <w:rsid w:val="00BB3C13"/>
    <w:rsid w:val="00BB4779"/>
    <w:rsid w:val="00BB5754"/>
    <w:rsid w:val="00BB5B2F"/>
    <w:rsid w:val="00BB7136"/>
    <w:rsid w:val="00BC0331"/>
    <w:rsid w:val="00BC2E2E"/>
    <w:rsid w:val="00BC3238"/>
    <w:rsid w:val="00BC4A10"/>
    <w:rsid w:val="00BC5EC6"/>
    <w:rsid w:val="00BC763B"/>
    <w:rsid w:val="00BD357C"/>
    <w:rsid w:val="00BD6053"/>
    <w:rsid w:val="00BD7FA4"/>
    <w:rsid w:val="00BE0430"/>
    <w:rsid w:val="00BE0AED"/>
    <w:rsid w:val="00BE7C2B"/>
    <w:rsid w:val="00BF12FB"/>
    <w:rsid w:val="00BF239E"/>
    <w:rsid w:val="00BF514B"/>
    <w:rsid w:val="00BF735E"/>
    <w:rsid w:val="00C02325"/>
    <w:rsid w:val="00C030E6"/>
    <w:rsid w:val="00C03381"/>
    <w:rsid w:val="00C06210"/>
    <w:rsid w:val="00C0644C"/>
    <w:rsid w:val="00C07533"/>
    <w:rsid w:val="00C12BF3"/>
    <w:rsid w:val="00C13620"/>
    <w:rsid w:val="00C16134"/>
    <w:rsid w:val="00C163C6"/>
    <w:rsid w:val="00C205C8"/>
    <w:rsid w:val="00C218DB"/>
    <w:rsid w:val="00C3069F"/>
    <w:rsid w:val="00C30E1A"/>
    <w:rsid w:val="00C313FB"/>
    <w:rsid w:val="00C322C7"/>
    <w:rsid w:val="00C34962"/>
    <w:rsid w:val="00C36AD9"/>
    <w:rsid w:val="00C4006D"/>
    <w:rsid w:val="00C40526"/>
    <w:rsid w:val="00C40AEF"/>
    <w:rsid w:val="00C41FB5"/>
    <w:rsid w:val="00C4209F"/>
    <w:rsid w:val="00C435E2"/>
    <w:rsid w:val="00C44FA1"/>
    <w:rsid w:val="00C4623B"/>
    <w:rsid w:val="00C46919"/>
    <w:rsid w:val="00C46D12"/>
    <w:rsid w:val="00C50753"/>
    <w:rsid w:val="00C5317D"/>
    <w:rsid w:val="00C53BC0"/>
    <w:rsid w:val="00C54544"/>
    <w:rsid w:val="00C553EC"/>
    <w:rsid w:val="00C568C5"/>
    <w:rsid w:val="00C65B05"/>
    <w:rsid w:val="00C66043"/>
    <w:rsid w:val="00C66F7A"/>
    <w:rsid w:val="00C718AC"/>
    <w:rsid w:val="00C73F08"/>
    <w:rsid w:val="00C74094"/>
    <w:rsid w:val="00C759D8"/>
    <w:rsid w:val="00C77433"/>
    <w:rsid w:val="00C77CB9"/>
    <w:rsid w:val="00C83978"/>
    <w:rsid w:val="00C84911"/>
    <w:rsid w:val="00C85EB7"/>
    <w:rsid w:val="00C8638B"/>
    <w:rsid w:val="00C86AA3"/>
    <w:rsid w:val="00C91A57"/>
    <w:rsid w:val="00C924F6"/>
    <w:rsid w:val="00C929D4"/>
    <w:rsid w:val="00C933ED"/>
    <w:rsid w:val="00C93B19"/>
    <w:rsid w:val="00C93BEE"/>
    <w:rsid w:val="00C93CCC"/>
    <w:rsid w:val="00C94F12"/>
    <w:rsid w:val="00C9633D"/>
    <w:rsid w:val="00CA059C"/>
    <w:rsid w:val="00CA0D09"/>
    <w:rsid w:val="00CA136B"/>
    <w:rsid w:val="00CA5CDA"/>
    <w:rsid w:val="00CA7470"/>
    <w:rsid w:val="00CA7D4F"/>
    <w:rsid w:val="00CB1050"/>
    <w:rsid w:val="00CB23F3"/>
    <w:rsid w:val="00CB292F"/>
    <w:rsid w:val="00CB336C"/>
    <w:rsid w:val="00CB531A"/>
    <w:rsid w:val="00CB6D49"/>
    <w:rsid w:val="00CC2FEA"/>
    <w:rsid w:val="00CC42FB"/>
    <w:rsid w:val="00CC582F"/>
    <w:rsid w:val="00CC7166"/>
    <w:rsid w:val="00CC793F"/>
    <w:rsid w:val="00CD22C5"/>
    <w:rsid w:val="00CD32D7"/>
    <w:rsid w:val="00CD6234"/>
    <w:rsid w:val="00CD655B"/>
    <w:rsid w:val="00CD6DCD"/>
    <w:rsid w:val="00CE01D2"/>
    <w:rsid w:val="00CE0F86"/>
    <w:rsid w:val="00CE33DC"/>
    <w:rsid w:val="00CE54F9"/>
    <w:rsid w:val="00CE6533"/>
    <w:rsid w:val="00CE662A"/>
    <w:rsid w:val="00CE6B10"/>
    <w:rsid w:val="00CE7ABD"/>
    <w:rsid w:val="00CF3861"/>
    <w:rsid w:val="00CF5036"/>
    <w:rsid w:val="00D001F8"/>
    <w:rsid w:val="00D01248"/>
    <w:rsid w:val="00D01CF2"/>
    <w:rsid w:val="00D04EFA"/>
    <w:rsid w:val="00D05663"/>
    <w:rsid w:val="00D0660C"/>
    <w:rsid w:val="00D068A0"/>
    <w:rsid w:val="00D10D99"/>
    <w:rsid w:val="00D11271"/>
    <w:rsid w:val="00D13437"/>
    <w:rsid w:val="00D143B5"/>
    <w:rsid w:val="00D150A9"/>
    <w:rsid w:val="00D17FB9"/>
    <w:rsid w:val="00D20C47"/>
    <w:rsid w:val="00D24763"/>
    <w:rsid w:val="00D2497C"/>
    <w:rsid w:val="00D2521F"/>
    <w:rsid w:val="00D25C2A"/>
    <w:rsid w:val="00D262F6"/>
    <w:rsid w:val="00D27D52"/>
    <w:rsid w:val="00D33D09"/>
    <w:rsid w:val="00D344EA"/>
    <w:rsid w:val="00D41503"/>
    <w:rsid w:val="00D42A25"/>
    <w:rsid w:val="00D42A71"/>
    <w:rsid w:val="00D42B90"/>
    <w:rsid w:val="00D44D4E"/>
    <w:rsid w:val="00D474B5"/>
    <w:rsid w:val="00D50F88"/>
    <w:rsid w:val="00D54126"/>
    <w:rsid w:val="00D543D5"/>
    <w:rsid w:val="00D54F66"/>
    <w:rsid w:val="00D57118"/>
    <w:rsid w:val="00D5717A"/>
    <w:rsid w:val="00D650F5"/>
    <w:rsid w:val="00D65943"/>
    <w:rsid w:val="00D66E74"/>
    <w:rsid w:val="00D71264"/>
    <w:rsid w:val="00D72090"/>
    <w:rsid w:val="00D72CAA"/>
    <w:rsid w:val="00D749E2"/>
    <w:rsid w:val="00D7627E"/>
    <w:rsid w:val="00D778CE"/>
    <w:rsid w:val="00D83E78"/>
    <w:rsid w:val="00D877F3"/>
    <w:rsid w:val="00D9045B"/>
    <w:rsid w:val="00D94C20"/>
    <w:rsid w:val="00DA043A"/>
    <w:rsid w:val="00DA097F"/>
    <w:rsid w:val="00DA197E"/>
    <w:rsid w:val="00DA1D95"/>
    <w:rsid w:val="00DA3912"/>
    <w:rsid w:val="00DA3BCC"/>
    <w:rsid w:val="00DA3E7C"/>
    <w:rsid w:val="00DA4AE8"/>
    <w:rsid w:val="00DA69BC"/>
    <w:rsid w:val="00DA73A3"/>
    <w:rsid w:val="00DA79B5"/>
    <w:rsid w:val="00DB1BBA"/>
    <w:rsid w:val="00DB3948"/>
    <w:rsid w:val="00DB49A0"/>
    <w:rsid w:val="00DB4C23"/>
    <w:rsid w:val="00DB6378"/>
    <w:rsid w:val="00DC0C55"/>
    <w:rsid w:val="00DC0FFC"/>
    <w:rsid w:val="00DC10BD"/>
    <w:rsid w:val="00DC1C8D"/>
    <w:rsid w:val="00DC1D2C"/>
    <w:rsid w:val="00DC20C8"/>
    <w:rsid w:val="00DC3288"/>
    <w:rsid w:val="00DC387F"/>
    <w:rsid w:val="00DC3E6A"/>
    <w:rsid w:val="00DC728E"/>
    <w:rsid w:val="00DD0172"/>
    <w:rsid w:val="00DD03B5"/>
    <w:rsid w:val="00DD0A49"/>
    <w:rsid w:val="00DD0D2D"/>
    <w:rsid w:val="00DD73D1"/>
    <w:rsid w:val="00DD7EBE"/>
    <w:rsid w:val="00DE1202"/>
    <w:rsid w:val="00DE2E04"/>
    <w:rsid w:val="00DE5F47"/>
    <w:rsid w:val="00DE691B"/>
    <w:rsid w:val="00DF2D1C"/>
    <w:rsid w:val="00DF4A5E"/>
    <w:rsid w:val="00DF4F3C"/>
    <w:rsid w:val="00DF4F6F"/>
    <w:rsid w:val="00DF6965"/>
    <w:rsid w:val="00E06A23"/>
    <w:rsid w:val="00E076A3"/>
    <w:rsid w:val="00E129DF"/>
    <w:rsid w:val="00E12DC2"/>
    <w:rsid w:val="00E14562"/>
    <w:rsid w:val="00E14FC3"/>
    <w:rsid w:val="00E175C4"/>
    <w:rsid w:val="00E2247A"/>
    <w:rsid w:val="00E24276"/>
    <w:rsid w:val="00E24EA6"/>
    <w:rsid w:val="00E2592B"/>
    <w:rsid w:val="00E30599"/>
    <w:rsid w:val="00E30D7B"/>
    <w:rsid w:val="00E329EE"/>
    <w:rsid w:val="00E32C9F"/>
    <w:rsid w:val="00E418E5"/>
    <w:rsid w:val="00E42A56"/>
    <w:rsid w:val="00E43EBB"/>
    <w:rsid w:val="00E4456A"/>
    <w:rsid w:val="00E47851"/>
    <w:rsid w:val="00E52235"/>
    <w:rsid w:val="00E56716"/>
    <w:rsid w:val="00E61888"/>
    <w:rsid w:val="00E62B5C"/>
    <w:rsid w:val="00E62D11"/>
    <w:rsid w:val="00E65716"/>
    <w:rsid w:val="00E66420"/>
    <w:rsid w:val="00E706B3"/>
    <w:rsid w:val="00E71902"/>
    <w:rsid w:val="00E72CF3"/>
    <w:rsid w:val="00E738AF"/>
    <w:rsid w:val="00E73A00"/>
    <w:rsid w:val="00E7422B"/>
    <w:rsid w:val="00E74A94"/>
    <w:rsid w:val="00E75926"/>
    <w:rsid w:val="00E771C3"/>
    <w:rsid w:val="00E870EE"/>
    <w:rsid w:val="00E90F16"/>
    <w:rsid w:val="00E91D15"/>
    <w:rsid w:val="00E962DA"/>
    <w:rsid w:val="00E974EF"/>
    <w:rsid w:val="00E97584"/>
    <w:rsid w:val="00EA0B42"/>
    <w:rsid w:val="00EA1EB7"/>
    <w:rsid w:val="00EA271D"/>
    <w:rsid w:val="00EA3BED"/>
    <w:rsid w:val="00EA3FDA"/>
    <w:rsid w:val="00EA608F"/>
    <w:rsid w:val="00EB0876"/>
    <w:rsid w:val="00EB229C"/>
    <w:rsid w:val="00EB430E"/>
    <w:rsid w:val="00EB58F3"/>
    <w:rsid w:val="00EB7650"/>
    <w:rsid w:val="00EC051D"/>
    <w:rsid w:val="00EC0BC5"/>
    <w:rsid w:val="00EC1490"/>
    <w:rsid w:val="00EC3197"/>
    <w:rsid w:val="00EC662B"/>
    <w:rsid w:val="00EC7262"/>
    <w:rsid w:val="00ED0EBB"/>
    <w:rsid w:val="00ED1100"/>
    <w:rsid w:val="00EE254F"/>
    <w:rsid w:val="00EE29DC"/>
    <w:rsid w:val="00EE392C"/>
    <w:rsid w:val="00EE4455"/>
    <w:rsid w:val="00EE746E"/>
    <w:rsid w:val="00EE7831"/>
    <w:rsid w:val="00EF05BD"/>
    <w:rsid w:val="00EF7BE8"/>
    <w:rsid w:val="00F00EF3"/>
    <w:rsid w:val="00F025D8"/>
    <w:rsid w:val="00F03885"/>
    <w:rsid w:val="00F03CDD"/>
    <w:rsid w:val="00F04055"/>
    <w:rsid w:val="00F11BD6"/>
    <w:rsid w:val="00F11EA1"/>
    <w:rsid w:val="00F122B9"/>
    <w:rsid w:val="00F161E2"/>
    <w:rsid w:val="00F2110F"/>
    <w:rsid w:val="00F21CD9"/>
    <w:rsid w:val="00F22750"/>
    <w:rsid w:val="00F22AFD"/>
    <w:rsid w:val="00F2542E"/>
    <w:rsid w:val="00F25922"/>
    <w:rsid w:val="00F26057"/>
    <w:rsid w:val="00F26DA1"/>
    <w:rsid w:val="00F30508"/>
    <w:rsid w:val="00F30951"/>
    <w:rsid w:val="00F3207F"/>
    <w:rsid w:val="00F322DC"/>
    <w:rsid w:val="00F337B4"/>
    <w:rsid w:val="00F33D11"/>
    <w:rsid w:val="00F345F7"/>
    <w:rsid w:val="00F34D56"/>
    <w:rsid w:val="00F35343"/>
    <w:rsid w:val="00F3541A"/>
    <w:rsid w:val="00F36DFD"/>
    <w:rsid w:val="00F4022E"/>
    <w:rsid w:val="00F43FE9"/>
    <w:rsid w:val="00F46275"/>
    <w:rsid w:val="00F46F7B"/>
    <w:rsid w:val="00F50018"/>
    <w:rsid w:val="00F51B3B"/>
    <w:rsid w:val="00F5665F"/>
    <w:rsid w:val="00F603E3"/>
    <w:rsid w:val="00F60488"/>
    <w:rsid w:val="00F6309E"/>
    <w:rsid w:val="00F631B6"/>
    <w:rsid w:val="00F63331"/>
    <w:rsid w:val="00F63BC0"/>
    <w:rsid w:val="00F640FB"/>
    <w:rsid w:val="00F70479"/>
    <w:rsid w:val="00F70715"/>
    <w:rsid w:val="00F71926"/>
    <w:rsid w:val="00F719B8"/>
    <w:rsid w:val="00F76ADC"/>
    <w:rsid w:val="00F76F44"/>
    <w:rsid w:val="00F772E1"/>
    <w:rsid w:val="00F77F79"/>
    <w:rsid w:val="00F822C5"/>
    <w:rsid w:val="00F82CC6"/>
    <w:rsid w:val="00F83AD4"/>
    <w:rsid w:val="00F83DDB"/>
    <w:rsid w:val="00F8494A"/>
    <w:rsid w:val="00F86247"/>
    <w:rsid w:val="00F86551"/>
    <w:rsid w:val="00F875C5"/>
    <w:rsid w:val="00F92178"/>
    <w:rsid w:val="00F9475F"/>
    <w:rsid w:val="00F94B00"/>
    <w:rsid w:val="00F95696"/>
    <w:rsid w:val="00FA03AD"/>
    <w:rsid w:val="00FA2E89"/>
    <w:rsid w:val="00FA41F6"/>
    <w:rsid w:val="00FA4E42"/>
    <w:rsid w:val="00FA53A0"/>
    <w:rsid w:val="00FA59B8"/>
    <w:rsid w:val="00FA6388"/>
    <w:rsid w:val="00FB0051"/>
    <w:rsid w:val="00FB0826"/>
    <w:rsid w:val="00FB1488"/>
    <w:rsid w:val="00FB21ED"/>
    <w:rsid w:val="00FB4BFF"/>
    <w:rsid w:val="00FB4D16"/>
    <w:rsid w:val="00FB60A7"/>
    <w:rsid w:val="00FB615B"/>
    <w:rsid w:val="00FB6500"/>
    <w:rsid w:val="00FB6C42"/>
    <w:rsid w:val="00FC0633"/>
    <w:rsid w:val="00FC430C"/>
    <w:rsid w:val="00FC7332"/>
    <w:rsid w:val="00FC7D9C"/>
    <w:rsid w:val="00FD1D9C"/>
    <w:rsid w:val="00FD4537"/>
    <w:rsid w:val="00FD4B35"/>
    <w:rsid w:val="00FD6E34"/>
    <w:rsid w:val="00FD7419"/>
    <w:rsid w:val="00FE0D9B"/>
    <w:rsid w:val="00FF01B6"/>
    <w:rsid w:val="00FF0865"/>
    <w:rsid w:val="00FF14CC"/>
    <w:rsid w:val="00FF1A56"/>
    <w:rsid w:val="00FF28DB"/>
    <w:rsid w:val="00FF34A0"/>
    <w:rsid w:val="00FF3C86"/>
    <w:rsid w:val="00FF3C9F"/>
    <w:rsid w:val="00FF42BD"/>
    <w:rsid w:val="00FF6A0C"/>
    <w:rsid w:val="00FF7037"/>
  </w:rsids>
  <w:docVars>
    <w:docVar w:name="EN.InstantFormat" w:val="&lt;ENInstantFormat&gt;&lt;Enabled&gt;1&lt;/Enabled&gt;&lt;ScanUnformatted&gt;1&lt;/ScanUnformatted&gt;&lt;ScanChanges&gt;1&lt;/ScanChanges&gt;&lt;Suspended&gt;1&lt;/Suspended&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DF523B"/>
  <w15:docId w15:val="{58ADC3B9-4917-45C1-8724-1801DB2D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0526"/>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73F74"/>
    <w:pPr>
      <w:bidi/>
      <w:jc w:val="right"/>
    </w:pPr>
    <w:rPr>
      <w:sz w:val="20"/>
      <w:szCs w:val="20"/>
      <w:lang w:bidi="ar-QA"/>
    </w:rPr>
  </w:style>
  <w:style w:type="character" w:styleId="FootnoteReference">
    <w:name w:val="footnote reference"/>
    <w:uiPriority w:val="99"/>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F6711"/>
    <w:pPr>
      <w:tabs>
        <w:tab w:val="right" w:leader="dot" w:pos="8630"/>
      </w:tabs>
    </w:pPr>
  </w:style>
  <w:style w:type="paragraph" w:styleId="TOC2">
    <w:name w:val="toc 2"/>
    <w:basedOn w:val="Normal"/>
    <w:next w:val="Normal"/>
    <w:autoRedefine/>
    <w:uiPriority w:val="39"/>
    <w:rsid w:val="007630CE"/>
    <w:pPr>
      <w:tabs>
        <w:tab w:val="right" w:leader="dot" w:pos="8630"/>
      </w:tabs>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21299"/>
    <w:rPr>
      <w:sz w:val="16"/>
      <w:szCs w:val="16"/>
    </w:rPr>
  </w:style>
  <w:style w:type="paragraph" w:styleId="CommentText">
    <w:name w:val="annotation text"/>
    <w:aliases w:val="Times New Roman"/>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aliases w:val="Times New Roman Char"/>
    <w:basedOn w:val="DefaultParagraphFont"/>
    <w:link w:val="CommentText"/>
    <w:uiPriority w:val="99"/>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34"/>
    <w:qFormat/>
    <w:rsid w:val="00420AEC"/>
    <w:pPr>
      <w:ind w:left="720"/>
    </w:pPr>
  </w:style>
  <w:style w:type="paragraph" w:customStyle="1" w:styleId="Default">
    <w:name w:val="Default"/>
    <w:rsid w:val="004A253F"/>
    <w:pPr>
      <w:autoSpaceDE w:val="0"/>
      <w:autoSpaceDN w:val="0"/>
      <w:adjustRightInd w:val="0"/>
    </w:pPr>
    <w:rPr>
      <w:color w:val="000000"/>
      <w:sz w:val="24"/>
      <w:szCs w:val="24"/>
    </w:rPr>
  </w:style>
  <w:style w:type="paragraph" w:styleId="BodyText">
    <w:name w:val="Body Text"/>
    <w:basedOn w:val="Normal"/>
    <w:link w:val="BodyTextChar"/>
    <w:rsid w:val="00432FD4"/>
    <w:pPr>
      <w:spacing w:after="120"/>
    </w:pPr>
  </w:style>
  <w:style w:type="character" w:customStyle="1" w:styleId="BodyTextChar">
    <w:name w:val="Body Text Char"/>
    <w:link w:val="BodyText"/>
    <w:rsid w:val="00432FD4"/>
    <w:rPr>
      <w:sz w:val="24"/>
      <w:szCs w:val="24"/>
    </w:rPr>
  </w:style>
  <w:style w:type="character" w:customStyle="1" w:styleId="FootnoteTextChar">
    <w:name w:val="Footnote Text Char"/>
    <w:link w:val="FootnoteText"/>
    <w:uiPriority w:val="99"/>
    <w:semiHidden/>
    <w:rsid w:val="00767BA0"/>
    <w:rPr>
      <w:lang w:bidi="ar-QA"/>
    </w:rPr>
  </w:style>
  <w:style w:type="paragraph" w:customStyle="1" w:styleId="GridTable31">
    <w:name w:val="Grid Table 31"/>
    <w:basedOn w:val="Heading1"/>
    <w:next w:val="Normal"/>
    <w:uiPriority w:val="39"/>
    <w:unhideWhenUsed/>
    <w:qFormat/>
    <w:rsid w:val="00233775"/>
    <w:pPr>
      <w:outlineLvl w:val="9"/>
    </w:pPr>
    <w:rPr>
      <w:rFonts w:ascii="Calibri Light" w:hAnsi="Calibri Light" w:cs="Times New Roman"/>
    </w:rPr>
  </w:style>
  <w:style w:type="character" w:customStyle="1" w:styleId="HeaderChar">
    <w:name w:val="Header Char"/>
    <w:link w:val="Header"/>
    <w:uiPriority w:val="99"/>
    <w:rsid w:val="00541453"/>
    <w:rPr>
      <w:sz w:val="24"/>
    </w:rPr>
  </w:style>
  <w:style w:type="character" w:customStyle="1" w:styleId="EndnoteTextChar">
    <w:name w:val="Endnote Text Char"/>
    <w:link w:val="EndnoteText"/>
    <w:rsid w:val="00076EC1"/>
  </w:style>
  <w:style w:type="paragraph" w:customStyle="1" w:styleId="Normal15Spaced">
    <w:name w:val="Normal 1.5 Spaced"/>
    <w:basedOn w:val="Normal"/>
    <w:uiPriority w:val="99"/>
    <w:qFormat/>
    <w:rsid w:val="00076EC1"/>
    <w:pPr>
      <w:spacing w:line="360" w:lineRule="auto"/>
      <w:ind w:firstLine="288"/>
    </w:pPr>
    <w:rPr>
      <w:rFonts w:ascii="Arial Narrow" w:hAnsi="Arial Narrow"/>
      <w:sz w:val="22"/>
      <w:szCs w:val="20"/>
    </w:rPr>
  </w:style>
  <w:style w:type="character" w:customStyle="1" w:styleId="InlineLevel1Black">
    <w:name w:val="Inline Level 1 Black"/>
    <w:qFormat/>
    <w:rsid w:val="00076EC1"/>
    <w:rPr>
      <w:rFonts w:ascii="Arial Narrow" w:hAnsi="Arial Narrow" w:hint="default"/>
      <w:b/>
      <w:bCs w:val="0"/>
      <w:sz w:val="22"/>
    </w:rPr>
  </w:style>
  <w:style w:type="paragraph" w:styleId="ListParagraph">
    <w:name w:val="List Paragraph"/>
    <w:basedOn w:val="Normal"/>
    <w:uiPriority w:val="34"/>
    <w:qFormat/>
    <w:rsid w:val="00565ADE"/>
    <w:pPr>
      <w:ind w:left="720"/>
    </w:pPr>
  </w:style>
  <w:style w:type="paragraph" w:styleId="Revision">
    <w:name w:val="Revision"/>
    <w:hidden/>
    <w:uiPriority w:val="99"/>
    <w:semiHidden/>
    <w:rsid w:val="00C93B19"/>
    <w:rPr>
      <w:sz w:val="24"/>
      <w:szCs w:val="24"/>
    </w:rPr>
  </w:style>
  <w:style w:type="character" w:styleId="UnresolvedMention">
    <w:name w:val="Unresolved Mention"/>
    <w:uiPriority w:val="99"/>
    <w:semiHidden/>
    <w:unhideWhenUsed/>
    <w:rsid w:val="00817F43"/>
    <w:rPr>
      <w:color w:val="605E5C"/>
      <w:shd w:val="clear" w:color="auto" w:fill="E1DFDD"/>
    </w:rPr>
  </w:style>
  <w:style w:type="numbering" w:customStyle="1" w:styleId="CurrentList1">
    <w:name w:val="Current List1"/>
    <w:rsid w:val="00E129DF"/>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s://www.ahrq.gov/sites/default/files/wysiwyg/policymakers/hrqa99.pdf" TargetMode="External" /><Relationship Id="rId11" Type="http://schemas.openxmlformats.org/officeDocument/2006/relationships/hyperlink" Target="https://www.bls.gov/oes/current/oes_stru.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info.gov/public/do/PRAViewICR?ref_nbr=202303-0935-001" TargetMode="External" /></Relationships>
</file>

<file path=word/_rels/endnotes.xml.rels><?xml version="1.0" encoding="utf-8" standalone="yes"?><Relationships xmlns="http://schemas.openxmlformats.org/package/2006/relationships"><Relationship Id="rId1" Type="http://schemas.openxmlformats.org/officeDocument/2006/relationships/hyperlink" Target="https://www.cms.gov/newsroom/fact-sheets/medicare-telemedicine-health-care-provider-fact-sheet" TargetMode="External" /><Relationship Id="rId10" Type="http://schemas.openxmlformats.org/officeDocument/2006/relationships/hyperlink" Target="https://qpp.cms.gov/mips/overview" TargetMode="External" /><Relationship Id="rId11" Type="http://schemas.openxmlformats.org/officeDocument/2006/relationships/hyperlink" Target="https://www.jointcommission.org/standards/r3-report/r3-report-issue-23-antimicrobial-stewardship-in-ambulatory-health-care/" TargetMode="External" /><Relationship Id="rId12" Type="http://schemas.openxmlformats.org/officeDocument/2006/relationships/hyperlink" Target="http://paperpile.com/b/vRLFwo/t7U6r" TargetMode="External" /><Relationship Id="rId13" Type="http://schemas.openxmlformats.org/officeDocument/2006/relationships/hyperlink" Target="http://dx.doi.org/10.1542/peds.2019-0844" TargetMode="External" /><Relationship Id="rId14" Type="http://schemas.openxmlformats.org/officeDocument/2006/relationships/hyperlink" Target="http://paperpile.com/b/vRLFwo/OVBml" TargetMode="External" /><Relationship Id="rId2" Type="http://schemas.openxmlformats.org/officeDocument/2006/relationships/hyperlink" Target="https://www.cms.gov/files/document/telehealth-toolkit-providers.pdf" TargetMode="External" /><Relationship Id="rId3" Type="http://schemas.openxmlformats.org/officeDocument/2006/relationships/hyperlink" Target="https://www.pewresearch.org/internet/2019/06/13/mobile-technology-and-home-broadband-2019/" TargetMode="External" /><Relationship Id="rId4" Type="http://schemas.openxmlformats.org/officeDocument/2006/relationships/hyperlink" Target="https://www.ahrq.gov/hai/cusp/modules/index.html" TargetMode="External" /><Relationship Id="rId5" Type="http://schemas.openxmlformats.org/officeDocument/2006/relationships/hyperlink" Target="http://paperpile.com/b/vRLFwo/AAP7V" TargetMode="External" /><Relationship Id="rId6" Type="http://schemas.openxmlformats.org/officeDocument/2006/relationships/hyperlink" Target="http://paperpile.com/b/vRLFwo/9SAPi" TargetMode="External" /><Relationship Id="rId7" Type="http://schemas.openxmlformats.org/officeDocument/2006/relationships/hyperlink" Target="http://paperpile.com/b/vRLFwo/2Pb2n" TargetMode="External" /><Relationship Id="rId8" Type="http://schemas.openxmlformats.org/officeDocument/2006/relationships/hyperlink" Target="http://paperpile.com/b/vRLFwo/mtG68" TargetMode="External" /><Relationship Id="rId9" Type="http://schemas.openxmlformats.org/officeDocument/2006/relationships/hyperlink" Target="http://dx.doi.org/10.1542/peds.2018-24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E334453B01764AB9D170C5E0A81A3F" ma:contentTypeVersion="7" ma:contentTypeDescription="Create a new document." ma:contentTypeScope="" ma:versionID="cee6ab3fb6deed4ce2a39ee4756fc2f9">
  <xsd:schema xmlns:xsd="http://www.w3.org/2001/XMLSchema" xmlns:xs="http://www.w3.org/2001/XMLSchema" xmlns:p="http://schemas.microsoft.com/office/2006/metadata/properties" xmlns:ns1="http://schemas.microsoft.com/sharepoint/v3" xmlns:ns2="87b3014e-fe00-4e4e-892f-8f0a76489077" xmlns:ns3="ce0c851c-d23c-4c05-95cd-d0352d667fbe" targetNamespace="http://schemas.microsoft.com/office/2006/metadata/properties" ma:root="true" ma:fieldsID="5ef883a0ed55ba4be9b93cc94aae2876" ns1:_="" ns2:_="" ns3:_="">
    <xsd:import namespace="http://schemas.microsoft.com/sharepoint/v3"/>
    <xsd:import namespace="87b3014e-fe00-4e4e-892f-8f0a76489077"/>
    <xsd:import namespace="ce0c851c-d23c-4c05-95cd-d0352d667fbe"/>
    <xsd:element name="properties">
      <xsd:complexType>
        <xsd:sequence>
          <xsd:element name="documentManagement">
            <xsd:complexType>
              <xsd:all>
                <xsd:element ref="ns2:TaxCatchAll" minOccurs="0"/>
                <xsd:element ref="ns2:TaxCatchAllLabel" minOccurs="0"/>
                <xsd:element ref="ns1:DocumentSetDescription"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b3014e-fe00-4e4e-892f-8f0a7648907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66deb2d-acf4-41f7-9ef7-ce88a46ed612}" ma:internalName="TaxCatchAll" ma:showField="CatchAllData" ma:web="87b3014e-fe00-4e4e-892f-8f0a7648907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66deb2d-acf4-41f7-9ef7-ce88a46ed612}" ma:internalName="TaxCatchAllLabel" ma:readOnly="true" ma:showField="CatchAllDataLabel" ma:web="87b3014e-fe00-4e4e-892f-8f0a764890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0c851c-d23c-4c05-95cd-d0352d667f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TaxCatchAll xmlns="87b3014e-fe00-4e4e-892f-8f0a76489077"/>
  </documentManagement>
</p:properties>
</file>

<file path=customXml/itemProps1.xml><?xml version="1.0" encoding="utf-8"?>
<ds:datastoreItem xmlns:ds="http://schemas.openxmlformats.org/officeDocument/2006/customXml" ds:itemID="{EB41A986-F2F1-4CBD-B539-FC3A2AC881C1}">
  <ds:schemaRefs>
    <ds:schemaRef ds:uri="http://schemas.openxmlformats.org/officeDocument/2006/bibliography"/>
  </ds:schemaRefs>
</ds:datastoreItem>
</file>

<file path=customXml/itemProps2.xml><?xml version="1.0" encoding="utf-8"?>
<ds:datastoreItem xmlns:ds="http://schemas.openxmlformats.org/officeDocument/2006/customXml" ds:itemID="{5D60C2D5-5D0A-4D1B-AFD7-5F8CEEBD0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b3014e-fe00-4e4e-892f-8f0a76489077"/>
    <ds:schemaRef ds:uri="ce0c851c-d23c-4c05-95cd-d0352d667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59FA3-0E3B-41A6-827D-1A9D5CCAC4B7}">
  <ds:schemaRefs>
    <ds:schemaRef ds:uri="http://schemas.microsoft.com/sharepoint/v3/contenttype/forms"/>
  </ds:schemaRefs>
</ds:datastoreItem>
</file>

<file path=customXml/itemProps4.xml><?xml version="1.0" encoding="utf-8"?>
<ds:datastoreItem xmlns:ds="http://schemas.openxmlformats.org/officeDocument/2006/customXml" ds:itemID="{6F9A8F89-73B7-467A-B6EA-FB6ADAC5F56E}">
  <ds:schemaRefs>
    <ds:schemaRef ds:uri="http://schemas.microsoft.com/office/2006/metadata/properties"/>
    <ds:schemaRef ds:uri="http://schemas.microsoft.com/office/infopath/2007/PartnerControls"/>
    <ds:schemaRef ds:uri="http://schemas.microsoft.com/sharepoint/v3"/>
    <ds:schemaRef ds:uri="87b3014e-fe00-4e4e-892f-8f0a7648907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5295</Words>
  <Characters>30186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DHHS</Company>
  <LinksUpToDate>false</LinksUpToDate>
  <CharactersWithSpaces>35411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Roberts, Michelle (AHRQ/CFACT)</cp:lastModifiedBy>
  <cp:revision>2</cp:revision>
  <cp:lastPrinted>2017-05-11T13:49:00Z</cp:lastPrinted>
  <dcterms:created xsi:type="dcterms:W3CDTF">2024-07-12T17:07:00Z</dcterms:created>
  <dcterms:modified xsi:type="dcterms:W3CDTF">2024-07-12T17:07:00Z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etDescription">
    <vt:lpwstr/>
  </property>
  <property fmtid="{D5CDD505-2E9C-101B-9397-08002B2CF9AE}" pid="3" name="TaxCatchAll">
    <vt:lpwstr/>
  </property>
</Properties>
</file>