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8452B" w:rsidRPr="00D94F41" w:rsidP="00A766F7" w14:paraId="14134641" w14:textId="4E604CFD">
      <w:pPr>
        <w:pStyle w:val="Heading1"/>
        <w:spacing w:before="480" w:after="1080" w:line="264" w:lineRule="auto"/>
        <w:ind w:left="0" w:right="0"/>
      </w:pPr>
      <w:r w:rsidRPr="00D94F41">
        <w:t>Supporting Statement B</w:t>
      </w:r>
      <w:r w:rsidR="00632E4F">
        <w:t xml:space="preserve"> </w:t>
      </w:r>
      <w:r w:rsidRPr="00D94F41" w:rsidR="00AA22B0">
        <w:br/>
      </w:r>
      <w:r w:rsidRPr="00D94F41">
        <w:t xml:space="preserve">For Revision of Currently Approved Collection: </w:t>
      </w:r>
      <w:r w:rsidRPr="00D94F41" w:rsidR="00AA22B0">
        <w:br/>
      </w:r>
      <w:r w:rsidRPr="00D94F41">
        <w:t>Medicare Current Beneficiary Survey (MCBS)</w:t>
      </w:r>
    </w:p>
    <w:p w:rsidR="00066B99" w:rsidRPr="00D94F41" w:rsidP="00066B99" w14:paraId="0AF679AC" w14:textId="77777777">
      <w:pPr>
        <w:pStyle w:val="BodyText"/>
        <w:spacing w:after="240"/>
        <w:jc w:val="center"/>
        <w:rPr>
          <w:sz w:val="28"/>
          <w:szCs w:val="28"/>
        </w:rPr>
      </w:pPr>
      <w:r w:rsidRPr="00D94F41">
        <w:rPr>
          <w:sz w:val="28"/>
          <w:szCs w:val="28"/>
        </w:rPr>
        <w:t>Contact Information:</w:t>
      </w:r>
    </w:p>
    <w:p w:rsidR="00632E4F" w:rsidP="00632E4F" w14:paraId="6D4A79B5" w14:textId="77777777">
      <w:pPr>
        <w:pStyle w:val="BodyText"/>
        <w:spacing w:after="0"/>
        <w:jc w:val="center"/>
        <w:rPr>
          <w:sz w:val="28"/>
          <w:szCs w:val="28"/>
        </w:rPr>
      </w:pPr>
      <w:r w:rsidRPr="00D94F41">
        <w:rPr>
          <w:sz w:val="28"/>
          <w:szCs w:val="28"/>
        </w:rPr>
        <w:t>William S. Long</w:t>
      </w:r>
    </w:p>
    <w:p w:rsidR="00632E4F" w:rsidP="00632E4F" w14:paraId="2613DC70" w14:textId="77777777">
      <w:pPr>
        <w:pStyle w:val="BodyText"/>
        <w:spacing w:after="0"/>
        <w:jc w:val="center"/>
        <w:rPr>
          <w:sz w:val="28"/>
          <w:szCs w:val="28"/>
        </w:rPr>
      </w:pPr>
      <w:r w:rsidRPr="00D94F41">
        <w:rPr>
          <w:sz w:val="28"/>
          <w:szCs w:val="28"/>
        </w:rPr>
        <w:t>Contracting Officer’s Representative, Medicare Current Beneficiary Survey Office of Enterprise Data and Analytics (OEDA)/CMS</w:t>
      </w:r>
    </w:p>
    <w:p w:rsidR="00632E4F" w:rsidP="00632E4F" w14:paraId="18AC819F" w14:textId="77777777">
      <w:pPr>
        <w:pStyle w:val="BodyText"/>
        <w:spacing w:after="0"/>
        <w:jc w:val="center"/>
        <w:rPr>
          <w:sz w:val="28"/>
          <w:szCs w:val="28"/>
        </w:rPr>
      </w:pPr>
      <w:r w:rsidRPr="00D94F41">
        <w:rPr>
          <w:sz w:val="28"/>
          <w:szCs w:val="28"/>
        </w:rPr>
        <w:t>7500 Security Boulevard, Mail Stop Mailstop B2-04-12</w:t>
      </w:r>
    </w:p>
    <w:p w:rsidR="00632E4F" w:rsidP="00632E4F" w14:paraId="1A34DD7C" w14:textId="77777777">
      <w:pPr>
        <w:pStyle w:val="BodyText"/>
        <w:spacing w:after="0"/>
        <w:jc w:val="center"/>
        <w:rPr>
          <w:sz w:val="28"/>
          <w:szCs w:val="28"/>
        </w:rPr>
      </w:pPr>
      <w:r w:rsidRPr="00D94F41">
        <w:rPr>
          <w:sz w:val="28"/>
          <w:szCs w:val="28"/>
        </w:rPr>
        <w:t>Baltimore, MD 21244</w:t>
      </w:r>
    </w:p>
    <w:p w:rsidR="00632E4F" w:rsidP="00066B99" w14:paraId="2742F290" w14:textId="77777777">
      <w:pPr>
        <w:pStyle w:val="BodyText"/>
        <w:spacing w:after="960"/>
        <w:jc w:val="center"/>
        <w:rPr>
          <w:sz w:val="28"/>
          <w:szCs w:val="28"/>
        </w:rPr>
      </w:pPr>
      <w:r w:rsidRPr="00D94F41">
        <w:rPr>
          <w:sz w:val="28"/>
          <w:szCs w:val="28"/>
        </w:rPr>
        <w:t>(410) 786-7927</w:t>
      </w:r>
    </w:p>
    <w:p w:rsidR="00066B99" w:rsidRPr="00D94F41" w:rsidP="00066B99" w14:paraId="2CA667EB" w14:textId="1A28B8B7">
      <w:pPr>
        <w:pStyle w:val="BodyText"/>
        <w:spacing w:after="960"/>
        <w:jc w:val="center"/>
        <w:rPr>
          <w:sz w:val="28"/>
          <w:szCs w:val="28"/>
        </w:rPr>
      </w:pPr>
      <w:hyperlink r:id="rId6">
        <w:r w:rsidRPr="00D94F41">
          <w:rPr>
            <w:sz w:val="28"/>
            <w:szCs w:val="28"/>
            <w:u w:val="single"/>
          </w:rPr>
          <w:t>william.long@cms.hhs.gov</w:t>
        </w:r>
      </w:hyperlink>
      <w:r w:rsidRPr="00632E4F">
        <w:rPr>
          <w:sz w:val="28"/>
          <w:szCs w:val="28"/>
        </w:rPr>
        <w:t xml:space="preserve"> </w:t>
      </w:r>
      <w:r w:rsidRPr="00D94F41">
        <w:rPr>
          <w:sz w:val="28"/>
          <w:szCs w:val="28"/>
        </w:rPr>
        <w:t>(410) 786-5515 (fax)</w:t>
      </w:r>
    </w:p>
    <w:p w:rsidR="0088452B" w:rsidRPr="00CF2B93" w:rsidP="00CF2B93" w14:paraId="039AB3FA" w14:textId="6B1A7334">
      <w:pPr>
        <w:pStyle w:val="BodyText"/>
        <w:jc w:val="center"/>
      </w:pPr>
      <w:r>
        <w:t xml:space="preserve">June </w:t>
      </w:r>
      <w:r w:rsidR="00853A05">
        <w:t>26</w:t>
      </w:r>
      <w:r w:rsidR="00AE32A7">
        <w:t>, 2024</w:t>
      </w:r>
    </w:p>
    <w:p w:rsidR="0088452B" w:rsidRPr="00D94F41" w14:paraId="60F72588" w14:textId="77777777">
      <w:pPr>
        <w:jc w:val="center"/>
        <w:rPr>
          <w:sz w:val="28"/>
        </w:rPr>
        <w:sectPr w:rsidSect="0005551B">
          <w:type w:val="continuous"/>
          <w:pgSz w:w="12240" w:h="15840" w:code="1"/>
          <w:pgMar w:top="1440" w:right="1440" w:bottom="1080" w:left="1440" w:header="720" w:footer="720" w:gutter="0"/>
          <w:cols w:space="720"/>
        </w:sectPr>
      </w:pPr>
    </w:p>
    <w:p w:rsidR="0088452B" w:rsidRPr="00D94F41" w:rsidP="00AA22B0" w14:paraId="0467B697" w14:textId="77777777">
      <w:pPr>
        <w:pStyle w:val="Heading2-NoTOC"/>
      </w:pPr>
      <w:bookmarkStart w:id="0" w:name="Table_of_Contents"/>
      <w:bookmarkEnd w:id="0"/>
      <w:r w:rsidRPr="00D94F41">
        <w:t>Table of Contents</w:t>
      </w:r>
    </w:p>
    <w:p w:rsidR="00727629" w14:paraId="325EB89B" w14:textId="0EE4EFB8">
      <w:pPr>
        <w:pStyle w:val="TOC1"/>
        <w:rPr>
          <w:rFonts w:asciiTheme="minorHAnsi" w:eastAsiaTheme="minorEastAsia" w:hAnsiTheme="minorHAnsi" w:cstheme="minorBidi"/>
          <w:kern w:val="2"/>
          <w:szCs w:val="24"/>
          <w14:ligatures w14:val="standardContextual"/>
        </w:rPr>
      </w:pPr>
      <w:r w:rsidRPr="00D94F41">
        <w:rPr>
          <w:szCs w:val="24"/>
        </w:rPr>
        <w:fldChar w:fldCharType="begin"/>
      </w:r>
      <w:r w:rsidRPr="00D94F41">
        <w:rPr>
          <w:szCs w:val="24"/>
        </w:rPr>
        <w:instrText xml:space="preserve"> TOC \h \z \t "Heading 2,1,Heading 3,2" </w:instrText>
      </w:r>
      <w:r w:rsidRPr="00D94F41">
        <w:rPr>
          <w:szCs w:val="24"/>
        </w:rPr>
        <w:fldChar w:fldCharType="separate"/>
      </w:r>
      <w:hyperlink w:anchor="_Toc170735983" w:history="1">
        <w:r w:rsidRPr="007B6021">
          <w:rPr>
            <w:rStyle w:val="Hyperlink"/>
          </w:rPr>
          <w:t>B.</w:t>
        </w:r>
        <w:r>
          <w:rPr>
            <w:rFonts w:asciiTheme="minorHAnsi" w:eastAsiaTheme="minorEastAsia" w:hAnsiTheme="minorHAnsi" w:cstheme="minorBidi"/>
            <w:kern w:val="2"/>
            <w:szCs w:val="24"/>
            <w14:ligatures w14:val="standardContextual"/>
          </w:rPr>
          <w:tab/>
        </w:r>
        <w:r w:rsidRPr="007B6021">
          <w:rPr>
            <w:rStyle w:val="Hyperlink"/>
          </w:rPr>
          <w:t>Statistical Methods</w:t>
        </w:r>
        <w:r>
          <w:rPr>
            <w:webHidden/>
          </w:rPr>
          <w:tab/>
        </w:r>
        <w:r>
          <w:rPr>
            <w:webHidden/>
          </w:rPr>
          <w:fldChar w:fldCharType="begin"/>
        </w:r>
        <w:r>
          <w:rPr>
            <w:webHidden/>
          </w:rPr>
          <w:instrText xml:space="preserve"> PAGEREF _Toc170735983 \h </w:instrText>
        </w:r>
        <w:r>
          <w:rPr>
            <w:webHidden/>
          </w:rPr>
          <w:fldChar w:fldCharType="separate"/>
        </w:r>
        <w:r>
          <w:rPr>
            <w:webHidden/>
          </w:rPr>
          <w:t>1</w:t>
        </w:r>
        <w:r>
          <w:rPr>
            <w:webHidden/>
          </w:rPr>
          <w:fldChar w:fldCharType="end"/>
        </w:r>
      </w:hyperlink>
    </w:p>
    <w:p w:rsidR="00727629" w14:paraId="76DCD478" w14:textId="44745EBB">
      <w:pPr>
        <w:pStyle w:val="TOC2"/>
        <w:rPr>
          <w:rFonts w:asciiTheme="minorHAnsi" w:eastAsiaTheme="minorEastAsia" w:hAnsiTheme="minorHAnsi" w:cstheme="minorBidi"/>
          <w:kern w:val="2"/>
          <w:szCs w:val="24"/>
          <w14:ligatures w14:val="standardContextual"/>
        </w:rPr>
      </w:pPr>
      <w:hyperlink w:anchor="_Toc170735984" w:history="1">
        <w:r w:rsidRPr="007B6021">
          <w:rPr>
            <w:rStyle w:val="Hyperlink"/>
          </w:rPr>
          <w:t>B1.</w:t>
        </w:r>
        <w:r>
          <w:rPr>
            <w:rFonts w:asciiTheme="minorHAnsi" w:eastAsiaTheme="minorEastAsia" w:hAnsiTheme="minorHAnsi" w:cstheme="minorBidi"/>
            <w:kern w:val="2"/>
            <w:szCs w:val="24"/>
            <w14:ligatures w14:val="standardContextual"/>
          </w:rPr>
          <w:tab/>
        </w:r>
        <w:r w:rsidRPr="007B6021">
          <w:rPr>
            <w:rStyle w:val="Hyperlink"/>
          </w:rPr>
          <w:t>Universe and Respondent Selection</w:t>
        </w:r>
        <w:r>
          <w:rPr>
            <w:webHidden/>
          </w:rPr>
          <w:tab/>
        </w:r>
        <w:r>
          <w:rPr>
            <w:webHidden/>
          </w:rPr>
          <w:fldChar w:fldCharType="begin"/>
        </w:r>
        <w:r>
          <w:rPr>
            <w:webHidden/>
          </w:rPr>
          <w:instrText xml:space="preserve"> PAGEREF _Toc170735984 \h </w:instrText>
        </w:r>
        <w:r>
          <w:rPr>
            <w:webHidden/>
          </w:rPr>
          <w:fldChar w:fldCharType="separate"/>
        </w:r>
        <w:r>
          <w:rPr>
            <w:webHidden/>
          </w:rPr>
          <w:t>1</w:t>
        </w:r>
        <w:r>
          <w:rPr>
            <w:webHidden/>
          </w:rPr>
          <w:fldChar w:fldCharType="end"/>
        </w:r>
      </w:hyperlink>
    </w:p>
    <w:p w:rsidR="00727629" w14:paraId="10CFE859" w14:textId="64782766">
      <w:pPr>
        <w:pStyle w:val="TOC2"/>
        <w:rPr>
          <w:rFonts w:asciiTheme="minorHAnsi" w:eastAsiaTheme="minorEastAsia" w:hAnsiTheme="minorHAnsi" w:cstheme="minorBidi"/>
          <w:kern w:val="2"/>
          <w:szCs w:val="24"/>
          <w14:ligatures w14:val="standardContextual"/>
        </w:rPr>
      </w:pPr>
      <w:hyperlink w:anchor="_Toc170735985" w:history="1">
        <w:r w:rsidRPr="007B6021">
          <w:rPr>
            <w:rStyle w:val="Hyperlink"/>
          </w:rPr>
          <w:t>B2.</w:t>
        </w:r>
        <w:r>
          <w:rPr>
            <w:rFonts w:asciiTheme="minorHAnsi" w:eastAsiaTheme="minorEastAsia" w:hAnsiTheme="minorHAnsi" w:cstheme="minorBidi"/>
            <w:kern w:val="2"/>
            <w:szCs w:val="24"/>
            <w14:ligatures w14:val="standardContextual"/>
          </w:rPr>
          <w:tab/>
        </w:r>
        <w:r w:rsidRPr="007B6021">
          <w:rPr>
            <w:rStyle w:val="Hyperlink"/>
          </w:rPr>
          <w:t>Procedures for Collecting Information</w:t>
        </w:r>
        <w:r>
          <w:rPr>
            <w:webHidden/>
          </w:rPr>
          <w:tab/>
        </w:r>
        <w:r>
          <w:rPr>
            <w:webHidden/>
          </w:rPr>
          <w:fldChar w:fldCharType="begin"/>
        </w:r>
        <w:r>
          <w:rPr>
            <w:webHidden/>
          </w:rPr>
          <w:instrText xml:space="preserve"> PAGEREF _Toc170735985 \h </w:instrText>
        </w:r>
        <w:r>
          <w:rPr>
            <w:webHidden/>
          </w:rPr>
          <w:fldChar w:fldCharType="separate"/>
        </w:r>
        <w:r>
          <w:rPr>
            <w:webHidden/>
          </w:rPr>
          <w:t>4</w:t>
        </w:r>
        <w:r>
          <w:rPr>
            <w:webHidden/>
          </w:rPr>
          <w:fldChar w:fldCharType="end"/>
        </w:r>
      </w:hyperlink>
    </w:p>
    <w:p w:rsidR="00727629" w14:paraId="13114F6A" w14:textId="253B1E05">
      <w:pPr>
        <w:pStyle w:val="TOC2"/>
        <w:rPr>
          <w:rFonts w:asciiTheme="minorHAnsi" w:eastAsiaTheme="minorEastAsia" w:hAnsiTheme="minorHAnsi" w:cstheme="minorBidi"/>
          <w:kern w:val="2"/>
          <w:szCs w:val="24"/>
          <w14:ligatures w14:val="standardContextual"/>
        </w:rPr>
      </w:pPr>
      <w:hyperlink w:anchor="_Toc170735986" w:history="1">
        <w:r w:rsidRPr="007B6021">
          <w:rPr>
            <w:rStyle w:val="Hyperlink"/>
          </w:rPr>
          <w:t>B3.</w:t>
        </w:r>
        <w:r>
          <w:rPr>
            <w:rFonts w:asciiTheme="minorHAnsi" w:eastAsiaTheme="minorEastAsia" w:hAnsiTheme="minorHAnsi" w:cstheme="minorBidi"/>
            <w:kern w:val="2"/>
            <w:szCs w:val="24"/>
            <w14:ligatures w14:val="standardContextual"/>
          </w:rPr>
          <w:tab/>
        </w:r>
        <w:r w:rsidRPr="007B6021">
          <w:rPr>
            <w:rStyle w:val="Hyperlink"/>
          </w:rPr>
          <w:t>Methods for Maximizing Response Rates and Dealing with Issues of Non-Response</w:t>
        </w:r>
        <w:r>
          <w:rPr>
            <w:webHidden/>
          </w:rPr>
          <w:tab/>
        </w:r>
        <w:r>
          <w:rPr>
            <w:webHidden/>
          </w:rPr>
          <w:fldChar w:fldCharType="begin"/>
        </w:r>
        <w:r>
          <w:rPr>
            <w:webHidden/>
          </w:rPr>
          <w:instrText xml:space="preserve"> PAGEREF _Toc170735986 \h </w:instrText>
        </w:r>
        <w:r>
          <w:rPr>
            <w:webHidden/>
          </w:rPr>
          <w:fldChar w:fldCharType="separate"/>
        </w:r>
        <w:r>
          <w:rPr>
            <w:webHidden/>
          </w:rPr>
          <w:t>18</w:t>
        </w:r>
        <w:r>
          <w:rPr>
            <w:webHidden/>
          </w:rPr>
          <w:fldChar w:fldCharType="end"/>
        </w:r>
      </w:hyperlink>
    </w:p>
    <w:p w:rsidR="00727629" w14:paraId="1A204803" w14:textId="446316DF">
      <w:pPr>
        <w:pStyle w:val="TOC2"/>
        <w:rPr>
          <w:rFonts w:asciiTheme="minorHAnsi" w:eastAsiaTheme="minorEastAsia" w:hAnsiTheme="minorHAnsi" w:cstheme="minorBidi"/>
          <w:kern w:val="2"/>
          <w:szCs w:val="24"/>
          <w14:ligatures w14:val="standardContextual"/>
        </w:rPr>
      </w:pPr>
      <w:hyperlink w:anchor="_Toc170735987" w:history="1">
        <w:r w:rsidRPr="007B6021">
          <w:rPr>
            <w:rStyle w:val="Hyperlink"/>
          </w:rPr>
          <w:t>B4.</w:t>
        </w:r>
        <w:r>
          <w:rPr>
            <w:rFonts w:asciiTheme="minorHAnsi" w:eastAsiaTheme="minorEastAsia" w:hAnsiTheme="minorHAnsi" w:cstheme="minorBidi"/>
            <w:kern w:val="2"/>
            <w:szCs w:val="24"/>
            <w14:ligatures w14:val="standardContextual"/>
          </w:rPr>
          <w:tab/>
        </w:r>
        <w:r w:rsidRPr="007B6021">
          <w:rPr>
            <w:rStyle w:val="Hyperlink"/>
          </w:rPr>
          <w:t>Tests of Procedures or Methods</w:t>
        </w:r>
        <w:r>
          <w:rPr>
            <w:webHidden/>
          </w:rPr>
          <w:tab/>
        </w:r>
        <w:r>
          <w:rPr>
            <w:webHidden/>
          </w:rPr>
          <w:fldChar w:fldCharType="begin"/>
        </w:r>
        <w:r>
          <w:rPr>
            <w:webHidden/>
          </w:rPr>
          <w:instrText xml:space="preserve"> PAGEREF _Toc170735987 \h </w:instrText>
        </w:r>
        <w:r>
          <w:rPr>
            <w:webHidden/>
          </w:rPr>
          <w:fldChar w:fldCharType="separate"/>
        </w:r>
        <w:r>
          <w:rPr>
            <w:webHidden/>
          </w:rPr>
          <w:t>23</w:t>
        </w:r>
        <w:r>
          <w:rPr>
            <w:webHidden/>
          </w:rPr>
          <w:fldChar w:fldCharType="end"/>
        </w:r>
      </w:hyperlink>
    </w:p>
    <w:p w:rsidR="00727629" w14:paraId="63775EE6" w14:textId="43C52A8B">
      <w:pPr>
        <w:pStyle w:val="TOC2"/>
        <w:rPr>
          <w:rFonts w:asciiTheme="minorHAnsi" w:eastAsiaTheme="minorEastAsia" w:hAnsiTheme="minorHAnsi" w:cstheme="minorBidi"/>
          <w:kern w:val="2"/>
          <w:szCs w:val="24"/>
          <w14:ligatures w14:val="standardContextual"/>
        </w:rPr>
      </w:pPr>
      <w:hyperlink w:anchor="_Toc170735988" w:history="1">
        <w:r w:rsidRPr="007B6021">
          <w:rPr>
            <w:rStyle w:val="Hyperlink"/>
          </w:rPr>
          <w:t>B5.</w:t>
        </w:r>
        <w:r>
          <w:rPr>
            <w:rFonts w:asciiTheme="minorHAnsi" w:eastAsiaTheme="minorEastAsia" w:hAnsiTheme="minorHAnsi" w:cstheme="minorBidi"/>
            <w:kern w:val="2"/>
            <w:szCs w:val="24"/>
            <w14:ligatures w14:val="standardContextual"/>
          </w:rPr>
          <w:tab/>
        </w:r>
        <w:r w:rsidRPr="007B6021">
          <w:rPr>
            <w:rStyle w:val="Hyperlink"/>
          </w:rPr>
          <w:t>Individuals Consulted on Statistical Aspects of Design</w:t>
        </w:r>
        <w:r>
          <w:rPr>
            <w:webHidden/>
          </w:rPr>
          <w:tab/>
        </w:r>
        <w:r>
          <w:rPr>
            <w:webHidden/>
          </w:rPr>
          <w:fldChar w:fldCharType="begin"/>
        </w:r>
        <w:r>
          <w:rPr>
            <w:webHidden/>
          </w:rPr>
          <w:instrText xml:space="preserve"> PAGEREF _Toc170735988 \h </w:instrText>
        </w:r>
        <w:r>
          <w:rPr>
            <w:webHidden/>
          </w:rPr>
          <w:fldChar w:fldCharType="separate"/>
        </w:r>
        <w:r>
          <w:rPr>
            <w:webHidden/>
          </w:rPr>
          <w:t>23</w:t>
        </w:r>
        <w:r>
          <w:rPr>
            <w:webHidden/>
          </w:rPr>
          <w:fldChar w:fldCharType="end"/>
        </w:r>
      </w:hyperlink>
    </w:p>
    <w:p w:rsidR="003B695E" w:rsidRPr="00CF2B93" w:rsidP="00DF1C0C" w14:paraId="1053EB5C" w14:textId="75808627">
      <w:pPr>
        <w:pStyle w:val="TOC2"/>
      </w:pPr>
      <w:r w:rsidRPr="00D94F41">
        <w:rPr>
          <w:szCs w:val="24"/>
        </w:rPr>
        <w:fldChar w:fldCharType="end"/>
      </w:r>
    </w:p>
    <w:p w:rsidR="0088452B" w:rsidRPr="00D94F41" w14:paraId="518E2025" w14:textId="77777777">
      <w:pPr>
        <w:sectPr w:rsidSect="0005551B">
          <w:footerReference w:type="default" r:id="rId7"/>
          <w:pgSz w:w="12240" w:h="15840" w:code="1"/>
          <w:pgMar w:top="1440" w:right="1440" w:bottom="1440" w:left="1440" w:header="720" w:footer="720" w:gutter="0"/>
          <w:pgNumType w:fmt="lowerRoman" w:start="1"/>
          <w:cols w:space="720"/>
        </w:sectPr>
      </w:pPr>
    </w:p>
    <w:p w:rsidR="008C5570" w:rsidRPr="00D94F41" w:rsidP="00AA22B0" w14:paraId="1AAD816F" w14:textId="77777777">
      <w:pPr>
        <w:pStyle w:val="Heading2-NoTOC"/>
        <w:tabs>
          <w:tab w:val="clear" w:pos="419"/>
        </w:tabs>
        <w:ind w:left="0" w:firstLine="0"/>
      </w:pPr>
      <w:bookmarkStart w:id="1" w:name="List_of_Attachments"/>
      <w:bookmarkStart w:id="2" w:name="B._Statistical_Methods"/>
      <w:bookmarkStart w:id="3" w:name="B1._Universe_and_Respondent_Selection"/>
      <w:bookmarkEnd w:id="1"/>
      <w:bookmarkEnd w:id="2"/>
      <w:bookmarkEnd w:id="3"/>
      <w:r w:rsidRPr="00D94F41">
        <w:t>List of Attachments</w:t>
      </w:r>
    </w:p>
    <w:p w:rsidR="00555832" w:rsidP="00555832" w14:paraId="1C37B883" w14:textId="347FF8E1">
      <w:pPr>
        <w:pStyle w:val="BodyText"/>
        <w:spacing w:after="320"/>
      </w:pPr>
      <w:bookmarkStart w:id="4" w:name="OLE_LINK3"/>
      <w:r>
        <w:t>Attachment 1:</w:t>
      </w:r>
      <w:r>
        <w:tab/>
        <w:t>Community Materials</w:t>
      </w:r>
    </w:p>
    <w:p w:rsidR="00555832" w:rsidP="00555832" w14:paraId="20AE2AF8" w14:textId="756AD1E3">
      <w:pPr>
        <w:pStyle w:val="BodyText"/>
        <w:spacing w:after="320"/>
      </w:pPr>
      <w:r>
        <w:t>Attachment 2:</w:t>
      </w:r>
      <w:r>
        <w:tab/>
        <w:t>Community Instrument</w:t>
      </w:r>
      <w:r w:rsidR="00843C7D">
        <w:t>s</w:t>
      </w:r>
      <w:r>
        <w:t xml:space="preserve"> (Baseline and Continuing) and Showcards</w:t>
      </w:r>
    </w:p>
    <w:p w:rsidR="00555832" w:rsidP="00555832" w14:paraId="54B33A78" w14:textId="77777777">
      <w:pPr>
        <w:pStyle w:val="BodyText"/>
        <w:spacing w:after="320"/>
      </w:pPr>
      <w:r>
        <w:t>Attachment 3:</w:t>
      </w:r>
      <w:r>
        <w:tab/>
        <w:t>Facility Eligibility Screener</w:t>
      </w:r>
    </w:p>
    <w:p w:rsidR="00555832" w:rsidP="00555832" w14:paraId="7AD6E748" w14:textId="3653F657">
      <w:pPr>
        <w:pStyle w:val="BodyText"/>
        <w:spacing w:after="320"/>
      </w:pPr>
      <w:r>
        <w:t>Attachment 4:</w:t>
      </w:r>
      <w:r>
        <w:tab/>
        <w:t>Facility Instrument</w:t>
      </w:r>
      <w:r w:rsidR="00843C7D">
        <w:t>s</w:t>
      </w:r>
      <w:r>
        <w:t xml:space="preserve"> (Baseline and Continuing) and Showcards</w:t>
      </w:r>
    </w:p>
    <w:p w:rsidR="00555832" w:rsidRPr="004A6345" w:rsidP="00555832" w14:paraId="21739F42" w14:textId="77777777">
      <w:pPr>
        <w:pStyle w:val="BodyText"/>
        <w:spacing w:after="320"/>
      </w:pPr>
      <w:r>
        <w:t>Attachment 5:</w:t>
      </w:r>
      <w:r>
        <w:tab/>
        <w:t>Facility Materials</w:t>
      </w:r>
    </w:p>
    <w:p w:rsidR="00555832" w:rsidP="00555832" w14:paraId="6BB1623E" w14:textId="77777777">
      <w:pPr>
        <w:pStyle w:val="BodyText"/>
        <w:spacing w:after="320"/>
      </w:pPr>
      <w:r>
        <w:t>Attachment 6:</w:t>
      </w:r>
      <w:r>
        <w:tab/>
      </w:r>
      <w:r w:rsidRPr="004A6345">
        <w:t xml:space="preserve">CAPI Screenshots </w:t>
      </w:r>
      <w:r>
        <w:t>of Introductory Screen and</w:t>
      </w:r>
      <w:r w:rsidRPr="004A6345">
        <w:t xml:space="preserve"> Thank You Screen</w:t>
      </w:r>
    </w:p>
    <w:p w:rsidR="00856ADE" w:rsidP="00843C7D" w14:paraId="5D62D68A" w14:textId="0A3292F9">
      <w:pPr>
        <w:pStyle w:val="BodyText"/>
        <w:spacing w:after="320"/>
      </w:pPr>
      <w:r>
        <w:t xml:space="preserve">Attachment </w:t>
      </w:r>
      <w:r w:rsidR="003338A5">
        <w:t>7</w:t>
      </w:r>
      <w:r>
        <w:t>:</w:t>
      </w:r>
      <w:r w:rsidR="00632E4F">
        <w:tab/>
      </w:r>
      <w:r>
        <w:t>New Respondent Materials</w:t>
      </w:r>
    </w:p>
    <w:bookmarkEnd w:id="4"/>
    <w:p w:rsidR="00D9180E" w:rsidRPr="00D94F41" w:rsidP="00DF1C0C" w14:paraId="6169BE09" w14:textId="24A72B4F">
      <w:pPr>
        <w:pStyle w:val="BodyText"/>
        <w:sectPr w:rsidSect="0005551B">
          <w:footerReference w:type="default" r:id="rId8"/>
          <w:pgSz w:w="12240" w:h="15840" w:code="1"/>
          <w:pgMar w:top="1080" w:right="1440" w:bottom="1080" w:left="1440" w:header="720" w:footer="720" w:gutter="0"/>
          <w:pgNumType w:fmt="lowerRoman"/>
          <w:cols w:space="720"/>
        </w:sectPr>
      </w:pPr>
    </w:p>
    <w:p w:rsidR="0088452B" w:rsidRPr="00D94F41" w:rsidP="007F6E34" w14:paraId="5CDCF728" w14:textId="51A744E4">
      <w:pPr>
        <w:pStyle w:val="Heading2"/>
        <w:numPr>
          <w:ilvl w:val="0"/>
          <w:numId w:val="0"/>
        </w:numPr>
        <w:ind w:left="317" w:hanging="317"/>
      </w:pPr>
      <w:bookmarkStart w:id="5" w:name="_Toc91154934"/>
      <w:bookmarkStart w:id="6" w:name="_Toc170735983"/>
      <w:r w:rsidRPr="00D94F41">
        <w:t>B.</w:t>
      </w:r>
      <w:r w:rsidRPr="00D94F41">
        <w:tab/>
      </w:r>
      <w:r w:rsidRPr="00D94F41" w:rsidR="004112E2">
        <w:t>Statistical Methods</w:t>
      </w:r>
      <w:bookmarkEnd w:id="5"/>
      <w:bookmarkEnd w:id="6"/>
    </w:p>
    <w:p w:rsidR="0088452B" w:rsidRPr="00D94F41" w:rsidP="00BD72D7" w14:paraId="24029E16" w14:textId="3ACB1ACE">
      <w:pPr>
        <w:pStyle w:val="BodyText"/>
      </w:pPr>
      <w:r w:rsidRPr="00D94F41">
        <w:t>The revision to this OMB package includes the following modifications to the Community instrument sections</w:t>
      </w:r>
      <w:r w:rsidR="00420B0B">
        <w:t xml:space="preserve"> to </w:t>
      </w:r>
      <w:r w:rsidR="0096357B">
        <w:t xml:space="preserve">improve measures, streamline content, and </w:t>
      </w:r>
      <w:r w:rsidR="00420B0B">
        <w:t>measure awareness and use of beneficiary-centric provisions of the Inflation Reduction Act (IRA)</w:t>
      </w:r>
      <w:r w:rsidRPr="00D94F41">
        <w:t>:</w:t>
      </w:r>
    </w:p>
    <w:p w:rsidR="00D376A5" w:rsidP="00AA0354" w14:paraId="7002870C" w14:textId="57CF25C6">
      <w:pPr>
        <w:pStyle w:val="ListBullet2"/>
      </w:pPr>
      <w:bookmarkStart w:id="7" w:name="OLE_LINK15"/>
      <w:r>
        <w:t xml:space="preserve">Add five new questions on beneficiary knowledge of IRA provisions to the Beneficiary </w:t>
      </w:r>
      <w:r w:rsidRPr="00AA0354">
        <w:t>Knowledge</w:t>
      </w:r>
      <w:r>
        <w:t xml:space="preserve"> and Information Needs Questionnaire (KNQ).</w:t>
      </w:r>
    </w:p>
    <w:p w:rsidR="00D376A5" w:rsidP="00D376A5" w14:paraId="2C03BC4A" w14:textId="58816A2E">
      <w:pPr>
        <w:pStyle w:val="ListBullet2"/>
      </w:pPr>
      <w:r>
        <w:t>Streamline and enhance collection of immunization information via a</w:t>
      </w:r>
      <w:r>
        <w:t xml:space="preserve"> new Immunization Questionnaire (IMQ) containing</w:t>
      </w:r>
      <w:r w:rsidR="002E0091">
        <w:t xml:space="preserve"> two existing items migrated from the Preventive Care Questionnaire (PVQ) and 16 new items</w:t>
      </w:r>
      <w:r>
        <w:t xml:space="preserve"> about immunization </w:t>
      </w:r>
      <w:r w:rsidR="00FB1EC4">
        <w:t>uptake</w:t>
      </w:r>
      <w:r>
        <w:t>, location, and cost-sharing for the shingles, pneumonia, and RSV vaccinations.</w:t>
      </w:r>
    </w:p>
    <w:p w:rsidR="00D376A5" w:rsidP="00D376A5" w14:paraId="265B3023" w14:textId="18ECC0EB">
      <w:pPr>
        <w:pStyle w:val="ListBullet2"/>
      </w:pPr>
      <w:r>
        <w:t>Redesign the existing Income and Assets Questionnaire (IAQ), which includes overarching changes to section structure to enhance analytic utility</w:t>
      </w:r>
      <w:r w:rsidR="002E0091">
        <w:t xml:space="preserve"> and respond to policy needs</w:t>
      </w:r>
      <w:r>
        <w:t xml:space="preserve">, deletion of </w:t>
      </w:r>
      <w:r w:rsidR="004D7000">
        <w:t xml:space="preserve">25 </w:t>
      </w:r>
      <w:r>
        <w:t>items which are no longer relevant, and the addition of</w:t>
      </w:r>
      <w:r w:rsidR="005F6EBF">
        <w:t xml:space="preserve"> three items related to other financial investments,</w:t>
      </w:r>
      <w:r>
        <w:t xml:space="preserve"> </w:t>
      </w:r>
      <w:r w:rsidR="004D7000">
        <w:t xml:space="preserve">22 </w:t>
      </w:r>
      <w:r>
        <w:t xml:space="preserve">new items on medical and credit card debt, one new item related to financial liquidity, and </w:t>
      </w:r>
      <w:r w:rsidR="002E0091">
        <w:t>four</w:t>
      </w:r>
      <w:r>
        <w:t xml:space="preserve"> new items related to participation in and awareness of Federal assistance programs.  </w:t>
      </w:r>
    </w:p>
    <w:p w:rsidR="00144C6B" w:rsidRPr="00144C6B" w:rsidP="00144C6B" w14:paraId="47C32943" w14:textId="703E2953">
      <w:pPr>
        <w:pStyle w:val="ListBullet2"/>
      </w:pPr>
      <w:bookmarkStart w:id="8" w:name="OLE_LINK61"/>
      <w:r>
        <w:t>The addition of one new item on financial assistance programs for medical bills (charity care) and the deletion of one item related to outstanding medical bills in the Health Status and Functioning Questionnaire (HFQ).</w:t>
      </w:r>
    </w:p>
    <w:bookmarkEnd w:id="8"/>
    <w:p w:rsidR="00E95785" w:rsidRPr="006C2977" w:rsidP="00555832" w14:paraId="3841DD5B" w14:textId="27D23EE2">
      <w:pPr>
        <w:pStyle w:val="ListBullet2"/>
      </w:pPr>
      <w:r w:rsidRPr="006C2977">
        <w:t>Update</w:t>
      </w:r>
      <w:r w:rsidRPr="006C2977">
        <w:t xml:space="preserve"> respondent materials to increase understanding of the survey and improve participation.</w:t>
      </w:r>
    </w:p>
    <w:p w:rsidR="0088452B" w:rsidRPr="00D94F41" w:rsidP="004A3958" w14:paraId="1E632D08" w14:textId="06C6F6C9">
      <w:pPr>
        <w:pStyle w:val="Heading3"/>
        <w:tabs>
          <w:tab w:val="left" w:pos="540"/>
        </w:tabs>
      </w:pPr>
      <w:bookmarkStart w:id="9" w:name="_Toc91154935"/>
      <w:bookmarkStart w:id="10" w:name="_Toc170735984"/>
      <w:bookmarkEnd w:id="7"/>
      <w:r w:rsidRPr="00D94F41">
        <w:t>B1.</w:t>
      </w:r>
      <w:r w:rsidRPr="00D94F41">
        <w:tab/>
      </w:r>
      <w:r w:rsidRPr="00D94F41" w:rsidR="004112E2">
        <w:t>Universe and Respondent Selection</w:t>
      </w:r>
      <w:bookmarkEnd w:id="9"/>
      <w:bookmarkEnd w:id="10"/>
    </w:p>
    <w:p w:rsidR="0088452B" w:rsidRPr="00D94F41" w:rsidP="00BD72D7" w14:paraId="26BC8044" w14:textId="0337467C">
      <w:pPr>
        <w:pStyle w:val="BodyText"/>
      </w:pPr>
      <w:r w:rsidRPr="00D94F41">
        <w:t xml:space="preserve">The target universe is current Medicare beneficiaries entitled to hospital and/or supplementary medical insurance and living in the 50 states or the District of Columbia. Both institutionalized and non-institutionalized beneficiaries are represented. Table B.1 summarizes the number of beneficiaries in the target universe based on CMS administrative records </w:t>
      </w:r>
      <w:r w:rsidRPr="00D94F41" w:rsidR="00CC4DE7">
        <w:t>through 202</w:t>
      </w:r>
      <w:r w:rsidR="00DE6332">
        <w:t>3</w:t>
      </w:r>
      <w:r w:rsidRPr="00D94F41">
        <w:t xml:space="preserve">. The seven age groups shown in the table correspond to the primary sampling strata from which the samples for the MCBS are drawn. The age groups are defined by the beneficiaries’ age as of December 31 of the given year for </w:t>
      </w:r>
      <w:r w:rsidRPr="00D94F41" w:rsidR="00A05A57">
        <w:t>201</w:t>
      </w:r>
      <w:r w:rsidR="00A05A57">
        <w:t>7</w:t>
      </w:r>
      <w:r w:rsidRPr="00D94F41" w:rsidR="00A05A57">
        <w:t xml:space="preserve"> </w:t>
      </w:r>
      <w:r w:rsidRPr="00D94F41" w:rsidR="00EB5306">
        <w:t>and later</w:t>
      </w:r>
      <w:r w:rsidRPr="00D94F41">
        <w:t>.</w:t>
      </w:r>
    </w:p>
    <w:p w:rsidR="0088452B" w:rsidRPr="00D94F41" w:rsidP="00AE5C2C" w14:paraId="28917D6E" w14:textId="7F4DF020">
      <w:pPr>
        <w:pStyle w:val="Caption"/>
        <w:tabs>
          <w:tab w:val="left" w:pos="1170"/>
        </w:tabs>
      </w:pPr>
      <w:r w:rsidRPr="00D94F41">
        <w:t xml:space="preserve">Table B.1: </w:t>
      </w:r>
      <w:r w:rsidR="00632E4F">
        <w:tab/>
      </w:r>
      <w:r w:rsidRPr="00D94F41">
        <w:t>Universe Counts Broken Down by MCBS Age Groups (in thousands)</w:t>
      </w:r>
    </w:p>
    <w:tbl>
      <w:tblPr>
        <w:tblStyle w:val="GridTableLight"/>
        <w:tblCaption w:val="Table B.1 Universe counts broken down by MCBS age groups"/>
        <w:tblW w:w="52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tblPr>
      <w:tblGrid>
        <w:gridCol w:w="2155"/>
        <w:gridCol w:w="1094"/>
        <w:gridCol w:w="1095"/>
        <w:gridCol w:w="1095"/>
        <w:gridCol w:w="1094"/>
        <w:gridCol w:w="1095"/>
        <w:gridCol w:w="1095"/>
        <w:gridCol w:w="1095"/>
      </w:tblGrid>
      <w:tr w14:paraId="29933BA9" w14:textId="68A5B4F1" w:rsidTr="00B81F5A">
        <w:tblPrEx>
          <w:tblW w:w="52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tblPrEx>
        <w:trPr>
          <w:cantSplit/>
          <w:tblHeader/>
        </w:trPr>
        <w:tc>
          <w:tcPr>
            <w:tcW w:w="2155" w:type="dxa"/>
            <w:shd w:val="clear" w:color="auto" w:fill="D9D9D9"/>
            <w:tcMar>
              <w:left w:w="43" w:type="dxa"/>
              <w:right w:w="43" w:type="dxa"/>
            </w:tcMar>
            <w:vAlign w:val="center"/>
          </w:tcPr>
          <w:p w:rsidR="009D44C1" w:rsidRPr="00D94F41" w:rsidP="00C97F7C" w14:paraId="55F59025" w14:textId="371D5425">
            <w:pPr>
              <w:pStyle w:val="TableParagraph"/>
              <w:spacing w:before="40" w:after="40"/>
              <w:jc w:val="right"/>
              <w:rPr>
                <w:b/>
              </w:rPr>
            </w:pPr>
            <w:r w:rsidRPr="00D94F41">
              <w:rPr>
                <w:b/>
              </w:rPr>
              <w:t>Age Interval</w:t>
            </w:r>
          </w:p>
        </w:tc>
        <w:tc>
          <w:tcPr>
            <w:tcW w:w="1094" w:type="dxa"/>
            <w:shd w:val="clear" w:color="auto" w:fill="D9D9D9"/>
            <w:tcMar>
              <w:left w:w="43" w:type="dxa"/>
              <w:right w:w="43" w:type="dxa"/>
            </w:tcMar>
            <w:vAlign w:val="center"/>
          </w:tcPr>
          <w:p w:rsidR="009D44C1" w:rsidRPr="00D94F41" w:rsidP="00C97F7C" w14:paraId="5DABE900" w14:textId="77777777">
            <w:pPr>
              <w:pStyle w:val="TableParagraph"/>
              <w:spacing w:before="40" w:after="40"/>
              <w:jc w:val="right"/>
              <w:rPr>
                <w:b/>
              </w:rPr>
            </w:pPr>
            <w:r w:rsidRPr="00D94F41">
              <w:rPr>
                <w:b/>
              </w:rPr>
              <w:t>2017</w:t>
            </w:r>
          </w:p>
        </w:tc>
        <w:tc>
          <w:tcPr>
            <w:tcW w:w="1095" w:type="dxa"/>
            <w:shd w:val="clear" w:color="auto" w:fill="D9D9D9"/>
            <w:tcMar>
              <w:left w:w="43" w:type="dxa"/>
              <w:right w:w="43" w:type="dxa"/>
            </w:tcMar>
            <w:vAlign w:val="center"/>
          </w:tcPr>
          <w:p w:rsidR="009D44C1" w:rsidRPr="00D94F41" w:rsidP="00C97F7C" w14:paraId="27169D09" w14:textId="14AC2B45">
            <w:pPr>
              <w:pStyle w:val="TableParagraph"/>
              <w:spacing w:before="40" w:after="40"/>
              <w:jc w:val="right"/>
              <w:rPr>
                <w:b/>
              </w:rPr>
            </w:pPr>
            <w:r w:rsidRPr="00D94F41">
              <w:rPr>
                <w:b/>
              </w:rPr>
              <w:t>2018</w:t>
            </w:r>
          </w:p>
        </w:tc>
        <w:tc>
          <w:tcPr>
            <w:tcW w:w="1095" w:type="dxa"/>
            <w:shd w:val="clear" w:color="auto" w:fill="D9D9D9"/>
            <w:tcMar>
              <w:left w:w="43" w:type="dxa"/>
              <w:right w:w="43" w:type="dxa"/>
            </w:tcMar>
            <w:vAlign w:val="center"/>
          </w:tcPr>
          <w:p w:rsidR="009D44C1" w:rsidRPr="00D94F41" w:rsidP="00C97F7C" w14:paraId="0623DFB9" w14:textId="62B2C58F">
            <w:pPr>
              <w:pStyle w:val="TableParagraph"/>
              <w:spacing w:before="40" w:after="40"/>
              <w:jc w:val="right"/>
              <w:rPr>
                <w:b/>
              </w:rPr>
            </w:pPr>
            <w:r w:rsidRPr="00D94F41">
              <w:rPr>
                <w:b/>
              </w:rPr>
              <w:t>2019</w:t>
            </w:r>
          </w:p>
        </w:tc>
        <w:tc>
          <w:tcPr>
            <w:tcW w:w="1094" w:type="dxa"/>
            <w:shd w:val="clear" w:color="auto" w:fill="D9D9D9"/>
            <w:tcMar>
              <w:left w:w="43" w:type="dxa"/>
              <w:right w:w="43" w:type="dxa"/>
            </w:tcMar>
            <w:vAlign w:val="center"/>
          </w:tcPr>
          <w:p w:rsidR="009D44C1" w:rsidRPr="00D94F41" w:rsidP="00C97F7C" w14:paraId="63A89EA3" w14:textId="2C04A559">
            <w:pPr>
              <w:pStyle w:val="TableParagraph"/>
              <w:spacing w:before="40" w:after="40"/>
              <w:jc w:val="right"/>
              <w:rPr>
                <w:b/>
              </w:rPr>
            </w:pPr>
            <w:r w:rsidRPr="00D94F41">
              <w:rPr>
                <w:b/>
              </w:rPr>
              <w:t>2020</w:t>
            </w:r>
          </w:p>
        </w:tc>
        <w:tc>
          <w:tcPr>
            <w:tcW w:w="1095" w:type="dxa"/>
            <w:shd w:val="clear" w:color="auto" w:fill="D9D9D9"/>
            <w:tcMar>
              <w:left w:w="43" w:type="dxa"/>
              <w:right w:w="43" w:type="dxa"/>
            </w:tcMar>
            <w:vAlign w:val="center"/>
          </w:tcPr>
          <w:p w:rsidR="009D44C1" w:rsidRPr="00D94F41" w:rsidP="00C97F7C" w14:paraId="55997C8E" w14:textId="78FC32CF">
            <w:pPr>
              <w:pStyle w:val="TableParagraph"/>
              <w:spacing w:before="40" w:after="40"/>
              <w:jc w:val="right"/>
              <w:rPr>
                <w:b/>
              </w:rPr>
            </w:pPr>
            <w:r w:rsidRPr="00D94F41">
              <w:rPr>
                <w:b/>
              </w:rPr>
              <w:t>2021</w:t>
            </w:r>
          </w:p>
        </w:tc>
        <w:tc>
          <w:tcPr>
            <w:tcW w:w="1095" w:type="dxa"/>
            <w:shd w:val="clear" w:color="auto" w:fill="D9D9D9"/>
            <w:vAlign w:val="center"/>
          </w:tcPr>
          <w:p w:rsidR="009D44C1" w:rsidRPr="00D94F41" w:rsidP="00C97F7C" w14:paraId="12093286" w14:textId="0F94679C">
            <w:pPr>
              <w:pStyle w:val="TableParagraph"/>
              <w:spacing w:before="40" w:after="40"/>
              <w:jc w:val="right"/>
              <w:rPr>
                <w:b/>
              </w:rPr>
            </w:pPr>
            <w:r>
              <w:rPr>
                <w:b/>
              </w:rPr>
              <w:t>2022</w:t>
            </w:r>
          </w:p>
        </w:tc>
        <w:tc>
          <w:tcPr>
            <w:tcW w:w="1095" w:type="dxa"/>
            <w:shd w:val="clear" w:color="auto" w:fill="D9D9D9"/>
            <w:vAlign w:val="center"/>
          </w:tcPr>
          <w:p w:rsidR="009D44C1" w:rsidP="00C97F7C" w14:paraId="381B7564" w14:textId="78E4AE3B">
            <w:pPr>
              <w:pStyle w:val="TableParagraph"/>
              <w:spacing w:before="40" w:after="40"/>
              <w:jc w:val="right"/>
              <w:rPr>
                <w:b/>
              </w:rPr>
            </w:pPr>
            <w:r>
              <w:rPr>
                <w:b/>
              </w:rPr>
              <w:t>2023</w:t>
            </w:r>
          </w:p>
        </w:tc>
      </w:tr>
      <w:tr w14:paraId="1677CE31" w14:textId="10735021" w:rsidTr="00B81F5A">
        <w:tblPrEx>
          <w:tblW w:w="5250" w:type="pct"/>
          <w:tblLayout w:type="fixed"/>
          <w:tblCellMar>
            <w:left w:w="58" w:type="dxa"/>
            <w:right w:w="58" w:type="dxa"/>
          </w:tblCellMar>
          <w:tblLook w:val="01E0"/>
        </w:tblPrEx>
        <w:trPr>
          <w:cantSplit/>
        </w:trPr>
        <w:tc>
          <w:tcPr>
            <w:tcW w:w="2155" w:type="dxa"/>
            <w:tcMar>
              <w:left w:w="43" w:type="dxa"/>
              <w:right w:w="43" w:type="dxa"/>
            </w:tcMar>
            <w:vAlign w:val="center"/>
          </w:tcPr>
          <w:p w:rsidR="009D44C1" w:rsidRPr="00D94F41" w:rsidP="00C97F7C" w14:paraId="1064909F" w14:textId="44CF40D4">
            <w:pPr>
              <w:pStyle w:val="TableParagraph"/>
              <w:spacing w:before="40" w:after="40"/>
              <w:jc w:val="right"/>
              <w:rPr>
                <w:b/>
                <w:bCs/>
              </w:rPr>
            </w:pPr>
            <w:r w:rsidRPr="00D94F41">
              <w:rPr>
                <w:b/>
                <w:bCs/>
              </w:rPr>
              <w:t>Disabled &lt;45</w:t>
            </w:r>
          </w:p>
        </w:tc>
        <w:tc>
          <w:tcPr>
            <w:tcW w:w="1094" w:type="dxa"/>
            <w:tcMar>
              <w:left w:w="43" w:type="dxa"/>
              <w:right w:w="43" w:type="dxa"/>
            </w:tcMar>
            <w:vAlign w:val="center"/>
          </w:tcPr>
          <w:p w:rsidR="009D44C1" w:rsidRPr="00D94F41" w:rsidP="00C97F7C" w14:paraId="60A9D9B4" w14:textId="77777777">
            <w:pPr>
              <w:pStyle w:val="TableParagraph"/>
              <w:spacing w:before="40" w:after="40"/>
              <w:jc w:val="right"/>
            </w:pPr>
            <w:r w:rsidRPr="00D94F41">
              <w:t>1,842.08</w:t>
            </w:r>
          </w:p>
        </w:tc>
        <w:tc>
          <w:tcPr>
            <w:tcW w:w="1095" w:type="dxa"/>
            <w:tcMar>
              <w:left w:w="43" w:type="dxa"/>
              <w:right w:w="43" w:type="dxa"/>
            </w:tcMar>
            <w:vAlign w:val="center"/>
          </w:tcPr>
          <w:p w:rsidR="009D44C1" w:rsidRPr="00D94F41" w:rsidP="00C97F7C" w14:paraId="6F11BC75" w14:textId="39D1BF08">
            <w:pPr>
              <w:pStyle w:val="TableParagraph"/>
              <w:spacing w:before="40" w:after="40"/>
              <w:jc w:val="right"/>
            </w:pPr>
            <w:r w:rsidRPr="00D94F41">
              <w:t>1,791.78</w:t>
            </w:r>
          </w:p>
        </w:tc>
        <w:tc>
          <w:tcPr>
            <w:tcW w:w="1095" w:type="dxa"/>
            <w:tcMar>
              <w:left w:w="43" w:type="dxa"/>
              <w:right w:w="43" w:type="dxa"/>
            </w:tcMar>
            <w:vAlign w:val="center"/>
          </w:tcPr>
          <w:p w:rsidR="009D44C1" w:rsidRPr="00D94F41" w:rsidP="00C97F7C" w14:paraId="26696CBC" w14:textId="46DD0735">
            <w:pPr>
              <w:pStyle w:val="TableParagraph"/>
              <w:spacing w:before="40" w:after="40"/>
              <w:jc w:val="right"/>
            </w:pPr>
            <w:r w:rsidRPr="00D94F41">
              <w:rPr>
                <w:color w:val="000000"/>
              </w:rPr>
              <w:t>1,771.52</w:t>
            </w:r>
          </w:p>
        </w:tc>
        <w:tc>
          <w:tcPr>
            <w:tcW w:w="1094" w:type="dxa"/>
            <w:tcMar>
              <w:left w:w="43" w:type="dxa"/>
              <w:right w:w="43" w:type="dxa"/>
            </w:tcMar>
            <w:vAlign w:val="center"/>
          </w:tcPr>
          <w:p w:rsidR="009D44C1" w:rsidRPr="00D94F41" w:rsidP="00C97F7C" w14:paraId="1F9DB335" w14:textId="231670F7">
            <w:pPr>
              <w:pStyle w:val="TableParagraph"/>
              <w:spacing w:before="40" w:after="40"/>
              <w:jc w:val="right"/>
            </w:pPr>
            <w:r w:rsidRPr="00D94F41">
              <w:t>1,744.56</w:t>
            </w:r>
          </w:p>
        </w:tc>
        <w:tc>
          <w:tcPr>
            <w:tcW w:w="1095" w:type="dxa"/>
            <w:tcMar>
              <w:left w:w="43" w:type="dxa"/>
              <w:right w:w="43" w:type="dxa"/>
            </w:tcMar>
            <w:vAlign w:val="center"/>
          </w:tcPr>
          <w:p w:rsidR="009D44C1" w:rsidRPr="00D94F41" w:rsidP="00C97F7C" w14:paraId="1385889B" w14:textId="75576967">
            <w:pPr>
              <w:pStyle w:val="TableParagraph"/>
              <w:spacing w:before="40" w:after="40"/>
              <w:jc w:val="right"/>
              <w:rPr>
                <w:color w:val="000000"/>
              </w:rPr>
            </w:pPr>
            <w:r w:rsidRPr="00D94F41">
              <w:t>1,715.78</w:t>
            </w:r>
          </w:p>
        </w:tc>
        <w:tc>
          <w:tcPr>
            <w:tcW w:w="1095" w:type="dxa"/>
            <w:vAlign w:val="center"/>
          </w:tcPr>
          <w:p w:rsidR="009D44C1" w:rsidRPr="00D94F41" w:rsidP="00C97F7C" w14:paraId="168E2608" w14:textId="1497BFA4">
            <w:pPr>
              <w:pStyle w:val="TableParagraph"/>
              <w:spacing w:before="40" w:after="40"/>
              <w:jc w:val="right"/>
            </w:pPr>
            <w:r w:rsidRPr="00BA086A">
              <w:t>1,646.76</w:t>
            </w:r>
          </w:p>
        </w:tc>
        <w:tc>
          <w:tcPr>
            <w:tcW w:w="1095" w:type="dxa"/>
            <w:vAlign w:val="center"/>
          </w:tcPr>
          <w:p w:rsidR="009D44C1" w:rsidRPr="00BA086A" w:rsidP="00C97F7C" w14:paraId="32D5AA73" w14:textId="6CF72022">
            <w:pPr>
              <w:pStyle w:val="TableParagraph"/>
              <w:spacing w:before="40" w:after="40"/>
              <w:jc w:val="right"/>
            </w:pPr>
            <w:r w:rsidRPr="00E83DA5">
              <w:t>1,585.22</w:t>
            </w:r>
          </w:p>
        </w:tc>
      </w:tr>
      <w:tr w14:paraId="413B29D8" w14:textId="49F8DAEA" w:rsidTr="00B81F5A">
        <w:tblPrEx>
          <w:tblW w:w="5250" w:type="pct"/>
          <w:tblLayout w:type="fixed"/>
          <w:tblCellMar>
            <w:left w:w="58" w:type="dxa"/>
            <w:right w:w="58" w:type="dxa"/>
          </w:tblCellMar>
          <w:tblLook w:val="01E0"/>
        </w:tblPrEx>
        <w:trPr>
          <w:cantSplit/>
        </w:trPr>
        <w:tc>
          <w:tcPr>
            <w:tcW w:w="2155" w:type="dxa"/>
            <w:tcMar>
              <w:left w:w="43" w:type="dxa"/>
              <w:right w:w="43" w:type="dxa"/>
            </w:tcMar>
            <w:vAlign w:val="center"/>
          </w:tcPr>
          <w:p w:rsidR="009D44C1" w:rsidRPr="00D94F41" w:rsidP="00C97F7C" w14:paraId="0D2DE0AE" w14:textId="62C4C9BF">
            <w:pPr>
              <w:pStyle w:val="TableParagraph"/>
              <w:spacing w:before="40" w:after="40"/>
              <w:jc w:val="right"/>
              <w:rPr>
                <w:b/>
                <w:bCs/>
              </w:rPr>
            </w:pPr>
            <w:r w:rsidRPr="00D94F41">
              <w:rPr>
                <w:b/>
                <w:bCs/>
              </w:rPr>
              <w:t>45 to 64</w:t>
            </w:r>
          </w:p>
        </w:tc>
        <w:tc>
          <w:tcPr>
            <w:tcW w:w="1094" w:type="dxa"/>
            <w:tcMar>
              <w:left w:w="43" w:type="dxa"/>
              <w:right w:w="43" w:type="dxa"/>
            </w:tcMar>
            <w:vAlign w:val="center"/>
          </w:tcPr>
          <w:p w:rsidR="009D44C1" w:rsidRPr="00D94F41" w:rsidP="00C97F7C" w14:paraId="2455907C" w14:textId="77777777">
            <w:pPr>
              <w:pStyle w:val="TableParagraph"/>
              <w:spacing w:before="40" w:after="40"/>
              <w:jc w:val="right"/>
            </w:pPr>
            <w:r w:rsidRPr="00D94F41">
              <w:t>7,076.64</w:t>
            </w:r>
          </w:p>
        </w:tc>
        <w:tc>
          <w:tcPr>
            <w:tcW w:w="1095" w:type="dxa"/>
            <w:tcMar>
              <w:left w:w="43" w:type="dxa"/>
              <w:right w:w="43" w:type="dxa"/>
            </w:tcMar>
            <w:vAlign w:val="center"/>
          </w:tcPr>
          <w:p w:rsidR="009D44C1" w:rsidRPr="00D94F41" w:rsidP="00C97F7C" w14:paraId="0194B6F3" w14:textId="4300639D">
            <w:pPr>
              <w:pStyle w:val="TableParagraph"/>
              <w:spacing w:before="40" w:after="40"/>
              <w:jc w:val="right"/>
            </w:pPr>
            <w:r w:rsidRPr="00D94F41">
              <w:t>6,903.46</w:t>
            </w:r>
          </w:p>
        </w:tc>
        <w:tc>
          <w:tcPr>
            <w:tcW w:w="1095" w:type="dxa"/>
            <w:tcMar>
              <w:left w:w="43" w:type="dxa"/>
              <w:right w:w="43" w:type="dxa"/>
            </w:tcMar>
            <w:vAlign w:val="center"/>
          </w:tcPr>
          <w:p w:rsidR="009D44C1" w:rsidRPr="00D94F41" w:rsidP="00C97F7C" w14:paraId="1BBC0B50" w14:textId="286A4C94">
            <w:pPr>
              <w:pStyle w:val="TableParagraph"/>
              <w:spacing w:before="40" w:after="40"/>
              <w:jc w:val="right"/>
            </w:pPr>
            <w:r w:rsidRPr="00D94F41">
              <w:rPr>
                <w:color w:val="000000"/>
              </w:rPr>
              <w:t>6,773.12</w:t>
            </w:r>
          </w:p>
        </w:tc>
        <w:tc>
          <w:tcPr>
            <w:tcW w:w="1094" w:type="dxa"/>
            <w:tcMar>
              <w:left w:w="43" w:type="dxa"/>
              <w:right w:w="43" w:type="dxa"/>
            </w:tcMar>
            <w:vAlign w:val="center"/>
          </w:tcPr>
          <w:p w:rsidR="009D44C1" w:rsidRPr="00D94F41" w:rsidP="00C97F7C" w14:paraId="5057A6D4" w14:textId="2EF86CE7">
            <w:pPr>
              <w:pStyle w:val="TableParagraph"/>
              <w:spacing w:before="40" w:after="40"/>
              <w:jc w:val="right"/>
            </w:pPr>
            <w:r w:rsidRPr="00D94F41">
              <w:t>6,641.56</w:t>
            </w:r>
          </w:p>
        </w:tc>
        <w:tc>
          <w:tcPr>
            <w:tcW w:w="1095" w:type="dxa"/>
            <w:tcMar>
              <w:left w:w="43" w:type="dxa"/>
              <w:right w:w="43" w:type="dxa"/>
            </w:tcMar>
            <w:vAlign w:val="center"/>
          </w:tcPr>
          <w:p w:rsidR="009D44C1" w:rsidRPr="00D94F41" w:rsidP="00C97F7C" w14:paraId="2F8E7BB5" w14:textId="3F7AA770">
            <w:pPr>
              <w:pStyle w:val="TableParagraph"/>
              <w:spacing w:before="40" w:after="40"/>
              <w:jc w:val="right"/>
              <w:rPr>
                <w:color w:val="000000"/>
              </w:rPr>
            </w:pPr>
            <w:r w:rsidRPr="00D94F41">
              <w:t>6,411.54</w:t>
            </w:r>
          </w:p>
        </w:tc>
        <w:tc>
          <w:tcPr>
            <w:tcW w:w="1095" w:type="dxa"/>
            <w:vAlign w:val="center"/>
          </w:tcPr>
          <w:p w:rsidR="009D44C1" w:rsidRPr="00D94F41" w:rsidP="00C97F7C" w14:paraId="02491604" w14:textId="36F4EE1C">
            <w:pPr>
              <w:pStyle w:val="TableParagraph"/>
              <w:spacing w:before="40" w:after="40"/>
              <w:jc w:val="right"/>
            </w:pPr>
            <w:r w:rsidRPr="00BA086A">
              <w:t>6,153.78</w:t>
            </w:r>
          </w:p>
        </w:tc>
        <w:tc>
          <w:tcPr>
            <w:tcW w:w="1095" w:type="dxa"/>
            <w:vAlign w:val="center"/>
          </w:tcPr>
          <w:p w:rsidR="009D44C1" w:rsidRPr="00BA086A" w:rsidP="00C97F7C" w14:paraId="6AF31461" w14:textId="7C0A8983">
            <w:pPr>
              <w:pStyle w:val="TableParagraph"/>
              <w:spacing w:before="40" w:after="40"/>
              <w:jc w:val="right"/>
            </w:pPr>
            <w:r w:rsidRPr="00E83DA5">
              <w:t>5,897.58</w:t>
            </w:r>
          </w:p>
        </w:tc>
      </w:tr>
      <w:tr w14:paraId="5FB2DD04" w14:textId="0A61B11F" w:rsidTr="00B81F5A">
        <w:tblPrEx>
          <w:tblW w:w="5250" w:type="pct"/>
          <w:tblLayout w:type="fixed"/>
          <w:tblCellMar>
            <w:left w:w="58" w:type="dxa"/>
            <w:right w:w="58" w:type="dxa"/>
          </w:tblCellMar>
          <w:tblLook w:val="01E0"/>
        </w:tblPrEx>
        <w:trPr>
          <w:cantSplit/>
        </w:trPr>
        <w:tc>
          <w:tcPr>
            <w:tcW w:w="2155" w:type="dxa"/>
            <w:tcMar>
              <w:left w:w="43" w:type="dxa"/>
              <w:right w:w="43" w:type="dxa"/>
            </w:tcMar>
            <w:vAlign w:val="center"/>
          </w:tcPr>
          <w:p w:rsidR="009D44C1" w:rsidRPr="00D94F41" w:rsidP="00C97F7C" w14:paraId="3AB8AD0C" w14:textId="2177CB0C">
            <w:pPr>
              <w:pStyle w:val="TableParagraph"/>
              <w:tabs>
                <w:tab w:val="left" w:pos="666"/>
              </w:tabs>
              <w:spacing w:before="40" w:after="40"/>
              <w:jc w:val="right"/>
              <w:rPr>
                <w:b/>
                <w:bCs/>
              </w:rPr>
            </w:pPr>
            <w:r w:rsidRPr="00D94F41">
              <w:rPr>
                <w:b/>
                <w:bCs/>
              </w:rPr>
              <w:t>65 to 69</w:t>
            </w:r>
          </w:p>
        </w:tc>
        <w:tc>
          <w:tcPr>
            <w:tcW w:w="1094" w:type="dxa"/>
            <w:tcMar>
              <w:left w:w="43" w:type="dxa"/>
              <w:right w:w="43" w:type="dxa"/>
            </w:tcMar>
            <w:vAlign w:val="center"/>
          </w:tcPr>
          <w:p w:rsidR="009D44C1" w:rsidRPr="00D94F41" w:rsidP="00C97F7C" w14:paraId="2BC6D0BB" w14:textId="77777777">
            <w:pPr>
              <w:pStyle w:val="TableParagraph"/>
              <w:spacing w:before="40" w:after="40"/>
              <w:jc w:val="right"/>
            </w:pPr>
            <w:r w:rsidRPr="00D94F41">
              <w:t>15,767.28</w:t>
            </w:r>
          </w:p>
        </w:tc>
        <w:tc>
          <w:tcPr>
            <w:tcW w:w="1095" w:type="dxa"/>
            <w:tcMar>
              <w:left w:w="43" w:type="dxa"/>
              <w:right w:w="43" w:type="dxa"/>
            </w:tcMar>
            <w:vAlign w:val="center"/>
          </w:tcPr>
          <w:p w:rsidR="009D44C1" w:rsidRPr="00D94F41" w:rsidP="00C97F7C" w14:paraId="05426895" w14:textId="2DBFF329">
            <w:pPr>
              <w:pStyle w:val="TableParagraph"/>
              <w:spacing w:before="40" w:after="40"/>
              <w:jc w:val="right"/>
            </w:pPr>
            <w:r w:rsidRPr="00D94F41">
              <w:t>15,978.62</w:t>
            </w:r>
          </w:p>
        </w:tc>
        <w:tc>
          <w:tcPr>
            <w:tcW w:w="1095" w:type="dxa"/>
            <w:tcMar>
              <w:left w:w="43" w:type="dxa"/>
              <w:right w:w="43" w:type="dxa"/>
            </w:tcMar>
            <w:vAlign w:val="center"/>
          </w:tcPr>
          <w:p w:rsidR="009D44C1" w:rsidRPr="00D94F41" w:rsidP="00C97F7C" w14:paraId="3D26B073" w14:textId="3681D03E">
            <w:pPr>
              <w:pStyle w:val="TableParagraph"/>
              <w:spacing w:before="40" w:after="40"/>
              <w:jc w:val="right"/>
            </w:pPr>
            <w:r w:rsidRPr="00D94F41">
              <w:rPr>
                <w:color w:val="000000"/>
              </w:rPr>
              <w:t>16,368.74</w:t>
            </w:r>
          </w:p>
        </w:tc>
        <w:tc>
          <w:tcPr>
            <w:tcW w:w="1094" w:type="dxa"/>
            <w:tcMar>
              <w:left w:w="43" w:type="dxa"/>
              <w:right w:w="43" w:type="dxa"/>
            </w:tcMar>
            <w:vAlign w:val="center"/>
          </w:tcPr>
          <w:p w:rsidR="009D44C1" w:rsidRPr="00D94F41" w:rsidP="00C97F7C" w14:paraId="33A5615E" w14:textId="6182262D">
            <w:pPr>
              <w:pStyle w:val="TableParagraph"/>
              <w:spacing w:before="40" w:after="40"/>
              <w:jc w:val="right"/>
            </w:pPr>
            <w:r w:rsidRPr="00D94F41">
              <w:t>16,895.90</w:t>
            </w:r>
          </w:p>
        </w:tc>
        <w:tc>
          <w:tcPr>
            <w:tcW w:w="1095" w:type="dxa"/>
            <w:tcMar>
              <w:left w:w="43" w:type="dxa"/>
              <w:right w:w="43" w:type="dxa"/>
            </w:tcMar>
            <w:vAlign w:val="center"/>
          </w:tcPr>
          <w:p w:rsidR="009D44C1" w:rsidRPr="00D94F41" w:rsidP="00C97F7C" w14:paraId="51E712D2" w14:textId="00873DA5">
            <w:pPr>
              <w:pStyle w:val="TableParagraph"/>
              <w:spacing w:before="40" w:after="40"/>
              <w:jc w:val="right"/>
              <w:rPr>
                <w:color w:val="000000"/>
              </w:rPr>
            </w:pPr>
            <w:r w:rsidRPr="00D94F41">
              <w:t>16,975.40</w:t>
            </w:r>
          </w:p>
        </w:tc>
        <w:tc>
          <w:tcPr>
            <w:tcW w:w="1095" w:type="dxa"/>
            <w:vAlign w:val="center"/>
          </w:tcPr>
          <w:p w:rsidR="009D44C1" w:rsidRPr="00D94F41" w:rsidP="00C97F7C" w14:paraId="14B94972" w14:textId="0156BDEF">
            <w:pPr>
              <w:pStyle w:val="TableParagraph"/>
              <w:spacing w:before="40" w:after="40"/>
              <w:jc w:val="right"/>
            </w:pPr>
            <w:r w:rsidRPr="00BA086A">
              <w:t>17,149.42</w:t>
            </w:r>
          </w:p>
        </w:tc>
        <w:tc>
          <w:tcPr>
            <w:tcW w:w="1095" w:type="dxa"/>
            <w:vAlign w:val="center"/>
          </w:tcPr>
          <w:p w:rsidR="009D44C1" w:rsidRPr="00BA086A" w:rsidP="00C97F7C" w14:paraId="60D4AAAE" w14:textId="2EB57E52">
            <w:pPr>
              <w:pStyle w:val="TableParagraph"/>
              <w:spacing w:before="40" w:after="40"/>
              <w:jc w:val="right"/>
            </w:pPr>
            <w:r w:rsidRPr="00E83DA5">
              <w:t>17,538.10</w:t>
            </w:r>
          </w:p>
        </w:tc>
      </w:tr>
      <w:tr w14:paraId="7781CAB7" w14:textId="59A4CCCC" w:rsidTr="00B81F5A">
        <w:tblPrEx>
          <w:tblW w:w="5250" w:type="pct"/>
          <w:tblLayout w:type="fixed"/>
          <w:tblCellMar>
            <w:left w:w="58" w:type="dxa"/>
            <w:right w:w="58" w:type="dxa"/>
          </w:tblCellMar>
          <w:tblLook w:val="01E0"/>
        </w:tblPrEx>
        <w:trPr>
          <w:cantSplit/>
        </w:trPr>
        <w:tc>
          <w:tcPr>
            <w:tcW w:w="2155" w:type="dxa"/>
            <w:tcMar>
              <w:left w:w="43" w:type="dxa"/>
              <w:right w:w="43" w:type="dxa"/>
            </w:tcMar>
            <w:vAlign w:val="center"/>
          </w:tcPr>
          <w:p w:rsidR="009D44C1" w:rsidRPr="00D94F41" w:rsidP="00C97F7C" w14:paraId="6BD5C7D4" w14:textId="114A7D12">
            <w:pPr>
              <w:pStyle w:val="TableParagraph"/>
              <w:tabs>
                <w:tab w:val="left" w:pos="666"/>
              </w:tabs>
              <w:spacing w:before="40" w:after="40"/>
              <w:jc w:val="right"/>
              <w:rPr>
                <w:b/>
                <w:bCs/>
              </w:rPr>
            </w:pPr>
            <w:r w:rsidRPr="00D94F41">
              <w:rPr>
                <w:b/>
                <w:bCs/>
              </w:rPr>
              <w:t>70-74</w:t>
            </w:r>
          </w:p>
        </w:tc>
        <w:tc>
          <w:tcPr>
            <w:tcW w:w="1094" w:type="dxa"/>
            <w:tcMar>
              <w:left w:w="43" w:type="dxa"/>
              <w:right w:w="43" w:type="dxa"/>
            </w:tcMar>
            <w:vAlign w:val="center"/>
          </w:tcPr>
          <w:p w:rsidR="009D44C1" w:rsidRPr="00D94F41" w:rsidP="00C97F7C" w14:paraId="3C009A08" w14:textId="77777777">
            <w:pPr>
              <w:pStyle w:val="TableParagraph"/>
              <w:spacing w:before="40" w:after="40"/>
              <w:jc w:val="right"/>
            </w:pPr>
            <w:r w:rsidRPr="00D94F41">
              <w:t>13,080.94</w:t>
            </w:r>
          </w:p>
        </w:tc>
        <w:tc>
          <w:tcPr>
            <w:tcW w:w="1095" w:type="dxa"/>
            <w:tcMar>
              <w:left w:w="43" w:type="dxa"/>
              <w:right w:w="43" w:type="dxa"/>
            </w:tcMar>
            <w:vAlign w:val="center"/>
          </w:tcPr>
          <w:p w:rsidR="009D44C1" w:rsidRPr="00D94F41" w:rsidP="00C97F7C" w14:paraId="7E21F35A" w14:textId="2FDD861F">
            <w:pPr>
              <w:pStyle w:val="TableParagraph"/>
              <w:spacing w:before="40" w:after="40"/>
              <w:jc w:val="right"/>
            </w:pPr>
            <w:r w:rsidRPr="00D94F41">
              <w:t>13,647.66</w:t>
            </w:r>
          </w:p>
        </w:tc>
        <w:tc>
          <w:tcPr>
            <w:tcW w:w="1095" w:type="dxa"/>
            <w:tcMar>
              <w:left w:w="43" w:type="dxa"/>
              <w:right w:w="43" w:type="dxa"/>
            </w:tcMar>
            <w:vAlign w:val="center"/>
          </w:tcPr>
          <w:p w:rsidR="009D44C1" w:rsidRPr="00D94F41" w:rsidP="00C97F7C" w14:paraId="4EA8B9C5" w14:textId="2D1EA59A">
            <w:pPr>
              <w:pStyle w:val="TableParagraph"/>
              <w:spacing w:before="40" w:after="40"/>
              <w:jc w:val="right"/>
            </w:pPr>
            <w:r w:rsidRPr="00D94F41">
              <w:rPr>
                <w:color w:val="000000"/>
              </w:rPr>
              <w:t>14,322.88</w:t>
            </w:r>
          </w:p>
        </w:tc>
        <w:tc>
          <w:tcPr>
            <w:tcW w:w="1094" w:type="dxa"/>
            <w:tcMar>
              <w:left w:w="43" w:type="dxa"/>
              <w:right w:w="43" w:type="dxa"/>
            </w:tcMar>
            <w:vAlign w:val="center"/>
          </w:tcPr>
          <w:p w:rsidR="009D44C1" w:rsidRPr="00D94F41" w:rsidP="00C97F7C" w14:paraId="73A1A8FB" w14:textId="58FF770B">
            <w:pPr>
              <w:pStyle w:val="TableParagraph"/>
              <w:spacing w:before="40" w:after="40"/>
              <w:jc w:val="right"/>
            </w:pPr>
            <w:r w:rsidRPr="00D94F41">
              <w:t>14,967.58</w:t>
            </w:r>
          </w:p>
        </w:tc>
        <w:tc>
          <w:tcPr>
            <w:tcW w:w="1095" w:type="dxa"/>
            <w:tcMar>
              <w:left w:w="43" w:type="dxa"/>
              <w:right w:w="43" w:type="dxa"/>
            </w:tcMar>
            <w:vAlign w:val="center"/>
          </w:tcPr>
          <w:p w:rsidR="009D44C1" w:rsidRPr="00D94F41" w:rsidP="00C97F7C" w14:paraId="650E58A3" w14:textId="10C01446">
            <w:pPr>
              <w:pStyle w:val="TableParagraph"/>
              <w:spacing w:before="40" w:after="40"/>
              <w:jc w:val="right"/>
              <w:rPr>
                <w:color w:val="000000"/>
              </w:rPr>
            </w:pPr>
            <w:r w:rsidRPr="00D94F41">
              <w:t>15,115.86</w:t>
            </w:r>
          </w:p>
        </w:tc>
        <w:tc>
          <w:tcPr>
            <w:tcW w:w="1095" w:type="dxa"/>
            <w:vAlign w:val="center"/>
          </w:tcPr>
          <w:p w:rsidR="009D44C1" w:rsidRPr="00D94F41" w:rsidP="00C97F7C" w14:paraId="6A5D3AFC" w14:textId="48417CAA">
            <w:pPr>
              <w:pStyle w:val="TableParagraph"/>
              <w:spacing w:before="40" w:after="40"/>
              <w:jc w:val="right"/>
            </w:pPr>
            <w:r w:rsidRPr="00BA086A">
              <w:t>15,278.12</w:t>
            </w:r>
          </w:p>
        </w:tc>
        <w:tc>
          <w:tcPr>
            <w:tcW w:w="1095" w:type="dxa"/>
            <w:vAlign w:val="center"/>
          </w:tcPr>
          <w:p w:rsidR="009D44C1" w:rsidRPr="00BA086A" w:rsidP="00C97F7C" w14:paraId="2251840E" w14:textId="5A943BF2">
            <w:pPr>
              <w:pStyle w:val="TableParagraph"/>
              <w:spacing w:before="40" w:after="40"/>
              <w:jc w:val="right"/>
            </w:pPr>
            <w:r w:rsidRPr="00E83DA5">
              <w:t>15,631.94</w:t>
            </w:r>
          </w:p>
        </w:tc>
      </w:tr>
      <w:tr w14:paraId="4320D1AD" w14:textId="2C43CDAD" w:rsidTr="00B81F5A">
        <w:tblPrEx>
          <w:tblW w:w="5250" w:type="pct"/>
          <w:tblLayout w:type="fixed"/>
          <w:tblCellMar>
            <w:left w:w="58" w:type="dxa"/>
            <w:right w:w="58" w:type="dxa"/>
          </w:tblCellMar>
          <w:tblLook w:val="01E0"/>
        </w:tblPrEx>
        <w:trPr>
          <w:cantSplit/>
        </w:trPr>
        <w:tc>
          <w:tcPr>
            <w:tcW w:w="2155" w:type="dxa"/>
            <w:tcMar>
              <w:left w:w="43" w:type="dxa"/>
              <w:right w:w="43" w:type="dxa"/>
            </w:tcMar>
            <w:vAlign w:val="center"/>
          </w:tcPr>
          <w:p w:rsidR="009D44C1" w:rsidRPr="00D94F41" w:rsidP="00C97F7C" w14:paraId="494AB49C" w14:textId="07194F9F">
            <w:pPr>
              <w:pStyle w:val="TableParagraph"/>
              <w:tabs>
                <w:tab w:val="left" w:pos="666"/>
              </w:tabs>
              <w:spacing w:before="40" w:after="40"/>
              <w:jc w:val="right"/>
              <w:rPr>
                <w:b/>
                <w:bCs/>
              </w:rPr>
            </w:pPr>
            <w:r w:rsidRPr="00D94F41">
              <w:rPr>
                <w:b/>
                <w:bCs/>
              </w:rPr>
              <w:t>75-79</w:t>
            </w:r>
          </w:p>
        </w:tc>
        <w:tc>
          <w:tcPr>
            <w:tcW w:w="1094" w:type="dxa"/>
            <w:tcMar>
              <w:left w:w="43" w:type="dxa"/>
              <w:right w:w="43" w:type="dxa"/>
            </w:tcMar>
            <w:vAlign w:val="center"/>
          </w:tcPr>
          <w:p w:rsidR="009D44C1" w:rsidRPr="00D94F41" w:rsidP="00C97F7C" w14:paraId="2CF5B4F2" w14:textId="77777777">
            <w:pPr>
              <w:pStyle w:val="TableParagraph"/>
              <w:spacing w:before="40" w:after="40"/>
              <w:jc w:val="right"/>
            </w:pPr>
            <w:r w:rsidRPr="00D94F41">
              <w:t>9,080.94</w:t>
            </w:r>
          </w:p>
        </w:tc>
        <w:tc>
          <w:tcPr>
            <w:tcW w:w="1095" w:type="dxa"/>
            <w:tcMar>
              <w:left w:w="43" w:type="dxa"/>
              <w:right w:w="43" w:type="dxa"/>
            </w:tcMar>
            <w:vAlign w:val="center"/>
          </w:tcPr>
          <w:p w:rsidR="009D44C1" w:rsidRPr="00D94F41" w:rsidP="00C97F7C" w14:paraId="692B747D" w14:textId="1FA163FB">
            <w:pPr>
              <w:pStyle w:val="TableParagraph"/>
              <w:spacing w:before="40" w:after="40"/>
              <w:jc w:val="right"/>
            </w:pPr>
            <w:r w:rsidRPr="00D94F41">
              <w:t>9,463.14</w:t>
            </w:r>
          </w:p>
        </w:tc>
        <w:tc>
          <w:tcPr>
            <w:tcW w:w="1095" w:type="dxa"/>
            <w:tcMar>
              <w:left w:w="43" w:type="dxa"/>
              <w:right w:w="43" w:type="dxa"/>
            </w:tcMar>
            <w:vAlign w:val="center"/>
          </w:tcPr>
          <w:p w:rsidR="009D44C1" w:rsidRPr="00D94F41" w:rsidP="00C97F7C" w14:paraId="1DEB487B" w14:textId="0BC3DEF0">
            <w:pPr>
              <w:pStyle w:val="TableParagraph"/>
              <w:spacing w:before="40" w:after="40"/>
              <w:jc w:val="right"/>
            </w:pPr>
            <w:r w:rsidRPr="00D94F41">
              <w:rPr>
                <w:color w:val="000000"/>
              </w:rPr>
              <w:t>9,820.30</w:t>
            </w:r>
          </w:p>
        </w:tc>
        <w:tc>
          <w:tcPr>
            <w:tcW w:w="1094" w:type="dxa"/>
            <w:tcMar>
              <w:left w:w="43" w:type="dxa"/>
              <w:right w:w="43" w:type="dxa"/>
            </w:tcMar>
            <w:vAlign w:val="center"/>
          </w:tcPr>
          <w:p w:rsidR="009D44C1" w:rsidRPr="00D94F41" w:rsidP="00C97F7C" w14:paraId="7AE41728" w14:textId="5B86D402">
            <w:pPr>
              <w:pStyle w:val="TableParagraph"/>
              <w:spacing w:before="40" w:after="40"/>
              <w:jc w:val="right"/>
            </w:pPr>
            <w:r w:rsidRPr="00D94F41">
              <w:t>10,117.54</w:t>
            </w:r>
          </w:p>
        </w:tc>
        <w:tc>
          <w:tcPr>
            <w:tcW w:w="1095" w:type="dxa"/>
            <w:tcMar>
              <w:left w:w="43" w:type="dxa"/>
              <w:right w:w="43" w:type="dxa"/>
            </w:tcMar>
            <w:vAlign w:val="center"/>
          </w:tcPr>
          <w:p w:rsidR="009D44C1" w:rsidRPr="00D94F41" w:rsidP="00C97F7C" w14:paraId="1C5B1457" w14:textId="637DF64B">
            <w:pPr>
              <w:pStyle w:val="TableParagraph"/>
              <w:spacing w:before="40" w:after="40"/>
              <w:jc w:val="right"/>
              <w:rPr>
                <w:color w:val="000000"/>
              </w:rPr>
            </w:pPr>
            <w:r w:rsidRPr="00D94F41">
              <w:t>10,576.94</w:t>
            </w:r>
          </w:p>
        </w:tc>
        <w:tc>
          <w:tcPr>
            <w:tcW w:w="1095" w:type="dxa"/>
            <w:vAlign w:val="center"/>
          </w:tcPr>
          <w:p w:rsidR="009D44C1" w:rsidRPr="00D94F41" w:rsidP="00C97F7C" w14:paraId="22601A9F" w14:textId="400D859E">
            <w:pPr>
              <w:pStyle w:val="TableParagraph"/>
              <w:spacing w:before="40" w:after="40"/>
              <w:jc w:val="right"/>
            </w:pPr>
            <w:r w:rsidRPr="00BA086A">
              <w:t>11,296.14</w:t>
            </w:r>
          </w:p>
        </w:tc>
        <w:tc>
          <w:tcPr>
            <w:tcW w:w="1095" w:type="dxa"/>
            <w:vAlign w:val="center"/>
          </w:tcPr>
          <w:p w:rsidR="009D44C1" w:rsidRPr="00BA086A" w:rsidP="00C97F7C" w14:paraId="40362F5A" w14:textId="5909FC3E">
            <w:pPr>
              <w:pStyle w:val="TableParagraph"/>
              <w:spacing w:before="40" w:after="40"/>
              <w:jc w:val="right"/>
            </w:pPr>
            <w:r w:rsidRPr="00E83DA5">
              <w:t>11,789.56</w:t>
            </w:r>
          </w:p>
        </w:tc>
      </w:tr>
      <w:tr w14:paraId="6F79E7C4" w14:textId="79C370CD" w:rsidTr="00B81F5A">
        <w:tblPrEx>
          <w:tblW w:w="5250" w:type="pct"/>
          <w:tblLayout w:type="fixed"/>
          <w:tblCellMar>
            <w:left w:w="58" w:type="dxa"/>
            <w:right w:w="58" w:type="dxa"/>
          </w:tblCellMar>
          <w:tblLook w:val="01E0"/>
        </w:tblPrEx>
        <w:trPr>
          <w:cantSplit/>
        </w:trPr>
        <w:tc>
          <w:tcPr>
            <w:tcW w:w="2155" w:type="dxa"/>
            <w:tcMar>
              <w:left w:w="43" w:type="dxa"/>
              <w:right w:w="43" w:type="dxa"/>
            </w:tcMar>
            <w:vAlign w:val="center"/>
          </w:tcPr>
          <w:p w:rsidR="009D44C1" w:rsidRPr="00D94F41" w:rsidP="00C97F7C" w14:paraId="5D18B3C3" w14:textId="5BD2305C">
            <w:pPr>
              <w:pStyle w:val="TableParagraph"/>
              <w:tabs>
                <w:tab w:val="left" w:pos="666"/>
              </w:tabs>
              <w:spacing w:before="40" w:after="40"/>
              <w:jc w:val="right"/>
              <w:rPr>
                <w:b/>
                <w:bCs/>
              </w:rPr>
            </w:pPr>
            <w:r w:rsidRPr="00D94F41">
              <w:rPr>
                <w:b/>
                <w:bCs/>
              </w:rPr>
              <w:t>80-84</w:t>
            </w:r>
          </w:p>
        </w:tc>
        <w:tc>
          <w:tcPr>
            <w:tcW w:w="1094" w:type="dxa"/>
            <w:tcMar>
              <w:left w:w="43" w:type="dxa"/>
              <w:right w:w="43" w:type="dxa"/>
            </w:tcMar>
            <w:vAlign w:val="center"/>
          </w:tcPr>
          <w:p w:rsidR="009D44C1" w:rsidRPr="00D94F41" w:rsidP="00C97F7C" w14:paraId="4B35D1D9" w14:textId="77777777">
            <w:pPr>
              <w:pStyle w:val="TableParagraph"/>
              <w:spacing w:before="40" w:after="40"/>
              <w:jc w:val="right"/>
            </w:pPr>
            <w:r w:rsidRPr="00D94F41">
              <w:t>6,137.60</w:t>
            </w:r>
          </w:p>
        </w:tc>
        <w:tc>
          <w:tcPr>
            <w:tcW w:w="1095" w:type="dxa"/>
            <w:tcMar>
              <w:left w:w="43" w:type="dxa"/>
              <w:right w:w="43" w:type="dxa"/>
            </w:tcMar>
            <w:vAlign w:val="center"/>
          </w:tcPr>
          <w:p w:rsidR="009D44C1" w:rsidRPr="00D94F41" w:rsidP="00C97F7C" w14:paraId="6AC05496" w14:textId="4D79CBCC">
            <w:pPr>
              <w:pStyle w:val="TableParagraph"/>
              <w:spacing w:before="40" w:after="40"/>
              <w:jc w:val="right"/>
            </w:pPr>
            <w:r w:rsidRPr="00D94F41">
              <w:t>6,301.04</w:t>
            </w:r>
          </w:p>
        </w:tc>
        <w:tc>
          <w:tcPr>
            <w:tcW w:w="1095" w:type="dxa"/>
            <w:tcMar>
              <w:left w:w="43" w:type="dxa"/>
              <w:right w:w="43" w:type="dxa"/>
            </w:tcMar>
            <w:vAlign w:val="center"/>
          </w:tcPr>
          <w:p w:rsidR="009D44C1" w:rsidRPr="00D94F41" w:rsidP="00C97F7C" w14:paraId="014B964D" w14:textId="744C566E">
            <w:pPr>
              <w:pStyle w:val="TableParagraph"/>
              <w:spacing w:before="40" w:after="40"/>
              <w:jc w:val="right"/>
            </w:pPr>
            <w:r w:rsidRPr="00D94F41">
              <w:rPr>
                <w:color w:val="000000"/>
              </w:rPr>
              <w:t>6,441.96</w:t>
            </w:r>
          </w:p>
        </w:tc>
        <w:tc>
          <w:tcPr>
            <w:tcW w:w="1094" w:type="dxa"/>
            <w:tcMar>
              <w:left w:w="43" w:type="dxa"/>
              <w:right w:w="43" w:type="dxa"/>
            </w:tcMar>
            <w:vAlign w:val="center"/>
          </w:tcPr>
          <w:p w:rsidR="009D44C1" w:rsidRPr="00D94F41" w:rsidP="00C97F7C" w14:paraId="4D24FB02" w14:textId="5E8049F6">
            <w:pPr>
              <w:pStyle w:val="TableParagraph"/>
              <w:spacing w:before="40" w:after="40"/>
              <w:jc w:val="right"/>
            </w:pPr>
            <w:r w:rsidRPr="00D94F41">
              <w:t>6,610.14</w:t>
            </w:r>
          </w:p>
        </w:tc>
        <w:tc>
          <w:tcPr>
            <w:tcW w:w="1095" w:type="dxa"/>
            <w:tcMar>
              <w:left w:w="43" w:type="dxa"/>
              <w:right w:w="43" w:type="dxa"/>
            </w:tcMar>
            <w:vAlign w:val="center"/>
          </w:tcPr>
          <w:p w:rsidR="009D44C1" w:rsidRPr="00D94F41" w:rsidP="00C97F7C" w14:paraId="347340A5" w14:textId="486D1872">
            <w:pPr>
              <w:pStyle w:val="TableParagraph"/>
              <w:spacing w:before="40" w:after="40"/>
              <w:jc w:val="right"/>
              <w:rPr>
                <w:color w:val="000000"/>
              </w:rPr>
            </w:pPr>
            <w:r w:rsidRPr="00D94F41">
              <w:t>6,737.94</w:t>
            </w:r>
          </w:p>
        </w:tc>
        <w:tc>
          <w:tcPr>
            <w:tcW w:w="1095" w:type="dxa"/>
            <w:vAlign w:val="center"/>
          </w:tcPr>
          <w:p w:rsidR="009D44C1" w:rsidRPr="00D94F41" w:rsidP="00C97F7C" w14:paraId="3EBA14E7" w14:textId="62F17C51">
            <w:pPr>
              <w:pStyle w:val="TableParagraph"/>
              <w:spacing w:before="40" w:after="40"/>
              <w:jc w:val="right"/>
            </w:pPr>
            <w:r w:rsidRPr="00BA086A">
              <w:t>7,098.58</w:t>
            </w:r>
          </w:p>
        </w:tc>
        <w:tc>
          <w:tcPr>
            <w:tcW w:w="1095" w:type="dxa"/>
            <w:vAlign w:val="center"/>
          </w:tcPr>
          <w:p w:rsidR="009D44C1" w:rsidRPr="00BA086A" w:rsidP="00C97F7C" w14:paraId="59CB51E5" w14:textId="078BCF85">
            <w:pPr>
              <w:pStyle w:val="TableParagraph"/>
              <w:spacing w:before="40" w:after="40"/>
              <w:jc w:val="right"/>
            </w:pPr>
            <w:r w:rsidRPr="00E83DA5">
              <w:t>7,447.08</w:t>
            </w:r>
          </w:p>
        </w:tc>
      </w:tr>
      <w:tr w14:paraId="7384541A" w14:textId="6811ADE8" w:rsidTr="00B81F5A">
        <w:tblPrEx>
          <w:tblW w:w="5250" w:type="pct"/>
          <w:tblLayout w:type="fixed"/>
          <w:tblCellMar>
            <w:left w:w="58" w:type="dxa"/>
            <w:right w:w="58" w:type="dxa"/>
          </w:tblCellMar>
          <w:tblLook w:val="01E0"/>
        </w:tblPrEx>
        <w:trPr>
          <w:cantSplit/>
        </w:trPr>
        <w:tc>
          <w:tcPr>
            <w:tcW w:w="2155" w:type="dxa"/>
            <w:tcMar>
              <w:left w:w="43" w:type="dxa"/>
              <w:right w:w="43" w:type="dxa"/>
            </w:tcMar>
            <w:vAlign w:val="center"/>
          </w:tcPr>
          <w:p w:rsidR="009D44C1" w:rsidRPr="00D94F41" w:rsidP="00C97F7C" w14:paraId="32BD2BE9" w14:textId="53FE0A6D">
            <w:pPr>
              <w:pStyle w:val="TableParagraph"/>
              <w:tabs>
                <w:tab w:val="left" w:pos="666"/>
              </w:tabs>
              <w:spacing w:before="40" w:after="40"/>
              <w:jc w:val="right"/>
              <w:rPr>
                <w:b/>
                <w:bCs/>
              </w:rPr>
            </w:pPr>
            <w:r w:rsidRPr="00D94F41">
              <w:rPr>
                <w:b/>
                <w:bCs/>
              </w:rPr>
              <w:t>85+</w:t>
            </w:r>
          </w:p>
        </w:tc>
        <w:tc>
          <w:tcPr>
            <w:tcW w:w="1094" w:type="dxa"/>
            <w:tcMar>
              <w:left w:w="43" w:type="dxa"/>
              <w:right w:w="43" w:type="dxa"/>
            </w:tcMar>
            <w:vAlign w:val="center"/>
          </w:tcPr>
          <w:p w:rsidR="009D44C1" w:rsidRPr="00D94F41" w:rsidP="00C97F7C" w14:paraId="3959D85E" w14:textId="77777777">
            <w:pPr>
              <w:pStyle w:val="TableParagraph"/>
              <w:spacing w:before="40" w:after="40"/>
              <w:jc w:val="right"/>
            </w:pPr>
            <w:r w:rsidRPr="00D94F41">
              <w:t>7,021.14</w:t>
            </w:r>
          </w:p>
        </w:tc>
        <w:tc>
          <w:tcPr>
            <w:tcW w:w="1095" w:type="dxa"/>
            <w:tcMar>
              <w:left w:w="43" w:type="dxa"/>
              <w:right w:w="43" w:type="dxa"/>
            </w:tcMar>
            <w:vAlign w:val="center"/>
          </w:tcPr>
          <w:p w:rsidR="009D44C1" w:rsidRPr="00D94F41" w:rsidP="00C97F7C" w14:paraId="46CE4D9D" w14:textId="22E50098">
            <w:pPr>
              <w:pStyle w:val="TableParagraph"/>
              <w:spacing w:before="40" w:after="40"/>
              <w:jc w:val="right"/>
            </w:pPr>
            <w:r w:rsidRPr="00D94F41">
              <w:t>7,001.80</w:t>
            </w:r>
          </w:p>
        </w:tc>
        <w:tc>
          <w:tcPr>
            <w:tcW w:w="1095" w:type="dxa"/>
            <w:tcMar>
              <w:left w:w="43" w:type="dxa"/>
              <w:right w:w="43" w:type="dxa"/>
            </w:tcMar>
            <w:vAlign w:val="center"/>
          </w:tcPr>
          <w:p w:rsidR="009D44C1" w:rsidRPr="00D94F41" w:rsidP="00C97F7C" w14:paraId="4550BC23" w14:textId="2F9CB179">
            <w:pPr>
              <w:pStyle w:val="TableParagraph"/>
              <w:spacing w:before="40" w:after="40"/>
              <w:jc w:val="right"/>
            </w:pPr>
            <w:r w:rsidRPr="00D94F41">
              <w:rPr>
                <w:color w:val="000000"/>
              </w:rPr>
              <w:t>7,052.58</w:t>
            </w:r>
          </w:p>
        </w:tc>
        <w:tc>
          <w:tcPr>
            <w:tcW w:w="1094" w:type="dxa"/>
            <w:tcMar>
              <w:left w:w="43" w:type="dxa"/>
              <w:right w:w="43" w:type="dxa"/>
            </w:tcMar>
            <w:vAlign w:val="center"/>
          </w:tcPr>
          <w:p w:rsidR="009D44C1" w:rsidRPr="00D94F41" w:rsidP="00C97F7C" w14:paraId="065893B0" w14:textId="7AA23828">
            <w:pPr>
              <w:pStyle w:val="TableParagraph"/>
              <w:spacing w:before="40" w:after="40"/>
              <w:jc w:val="right"/>
            </w:pPr>
            <w:r w:rsidRPr="00D94F41">
              <w:t>7,099.28</w:t>
            </w:r>
          </w:p>
        </w:tc>
        <w:tc>
          <w:tcPr>
            <w:tcW w:w="1095" w:type="dxa"/>
            <w:tcMar>
              <w:left w:w="43" w:type="dxa"/>
              <w:right w:w="43" w:type="dxa"/>
            </w:tcMar>
            <w:vAlign w:val="center"/>
          </w:tcPr>
          <w:p w:rsidR="009D44C1" w:rsidRPr="00D94F41" w:rsidP="00C97F7C" w14:paraId="0E720793" w14:textId="18487B47">
            <w:pPr>
              <w:pStyle w:val="TableParagraph"/>
              <w:spacing w:before="40" w:after="40"/>
              <w:jc w:val="right"/>
              <w:rPr>
                <w:color w:val="000000"/>
              </w:rPr>
            </w:pPr>
            <w:r w:rsidRPr="00D94F41">
              <w:t>6,902.06</w:t>
            </w:r>
          </w:p>
        </w:tc>
        <w:tc>
          <w:tcPr>
            <w:tcW w:w="1095" w:type="dxa"/>
            <w:vAlign w:val="center"/>
          </w:tcPr>
          <w:p w:rsidR="009D44C1" w:rsidRPr="00D94F41" w:rsidP="00C97F7C" w14:paraId="150C6659" w14:textId="24FC0615">
            <w:pPr>
              <w:pStyle w:val="TableParagraph"/>
              <w:spacing w:before="40" w:after="40"/>
              <w:jc w:val="right"/>
            </w:pPr>
            <w:r w:rsidRPr="00BA086A">
              <w:t>6,966.30</w:t>
            </w:r>
          </w:p>
        </w:tc>
        <w:tc>
          <w:tcPr>
            <w:tcW w:w="1095" w:type="dxa"/>
            <w:vAlign w:val="center"/>
          </w:tcPr>
          <w:p w:rsidR="009D44C1" w:rsidRPr="00BA086A" w:rsidP="00C97F7C" w14:paraId="094996D2" w14:textId="65B1E854">
            <w:pPr>
              <w:pStyle w:val="TableParagraph"/>
              <w:spacing w:before="40" w:after="40"/>
              <w:jc w:val="right"/>
            </w:pPr>
            <w:r w:rsidRPr="00E83DA5">
              <w:t>7,062.08</w:t>
            </w:r>
          </w:p>
        </w:tc>
      </w:tr>
      <w:tr w14:paraId="16E4D31E" w14:textId="672B9B3A" w:rsidTr="00B81F5A">
        <w:tblPrEx>
          <w:tblW w:w="5250" w:type="pct"/>
          <w:tblLayout w:type="fixed"/>
          <w:tblCellMar>
            <w:left w:w="58" w:type="dxa"/>
            <w:right w:w="58" w:type="dxa"/>
          </w:tblCellMar>
          <w:tblLook w:val="01E0"/>
        </w:tblPrEx>
        <w:trPr>
          <w:cantSplit/>
        </w:trPr>
        <w:tc>
          <w:tcPr>
            <w:tcW w:w="2155" w:type="dxa"/>
            <w:tcMar>
              <w:left w:w="43" w:type="dxa"/>
              <w:right w:w="43" w:type="dxa"/>
            </w:tcMar>
            <w:vAlign w:val="center"/>
          </w:tcPr>
          <w:p w:rsidR="009D44C1" w:rsidRPr="00D94F41" w:rsidP="00C97F7C" w14:paraId="6486DB24" w14:textId="23AD0CB2">
            <w:pPr>
              <w:pStyle w:val="TableParagraph"/>
              <w:spacing w:before="40" w:after="40"/>
              <w:jc w:val="right"/>
              <w:rPr>
                <w:b/>
                <w:bCs/>
              </w:rPr>
            </w:pPr>
            <w:r w:rsidRPr="00D94F41">
              <w:rPr>
                <w:b/>
                <w:bCs/>
              </w:rPr>
              <w:t>Total</w:t>
            </w:r>
            <w:r>
              <w:rPr>
                <w:b/>
                <w:bCs/>
              </w:rPr>
              <w:t xml:space="preserve"> (64 and under)</w:t>
            </w:r>
          </w:p>
        </w:tc>
        <w:tc>
          <w:tcPr>
            <w:tcW w:w="1094" w:type="dxa"/>
            <w:tcMar>
              <w:left w:w="43" w:type="dxa"/>
              <w:right w:w="43" w:type="dxa"/>
            </w:tcMar>
            <w:vAlign w:val="center"/>
          </w:tcPr>
          <w:p w:rsidR="009D44C1" w:rsidRPr="00D94F41" w:rsidP="00C97F7C" w14:paraId="088162F4" w14:textId="0CD2BACB">
            <w:pPr>
              <w:pStyle w:val="TableParagraph"/>
              <w:spacing w:before="40" w:after="40"/>
              <w:jc w:val="right"/>
            </w:pPr>
            <w:r w:rsidRPr="00D94F41">
              <w:t>8,918.72</w:t>
            </w:r>
          </w:p>
        </w:tc>
        <w:tc>
          <w:tcPr>
            <w:tcW w:w="1095" w:type="dxa"/>
            <w:tcMar>
              <w:left w:w="43" w:type="dxa"/>
              <w:right w:w="43" w:type="dxa"/>
            </w:tcMar>
            <w:vAlign w:val="center"/>
          </w:tcPr>
          <w:p w:rsidR="009D44C1" w:rsidRPr="00D94F41" w:rsidP="00C97F7C" w14:paraId="66BDD426" w14:textId="0B54A95C">
            <w:pPr>
              <w:pStyle w:val="TableParagraph"/>
              <w:spacing w:before="40" w:after="40"/>
              <w:jc w:val="right"/>
            </w:pPr>
            <w:r w:rsidRPr="00D94F41">
              <w:t>8,695.24</w:t>
            </w:r>
          </w:p>
        </w:tc>
        <w:tc>
          <w:tcPr>
            <w:tcW w:w="1095" w:type="dxa"/>
            <w:tcMar>
              <w:left w:w="43" w:type="dxa"/>
              <w:right w:w="43" w:type="dxa"/>
            </w:tcMar>
            <w:vAlign w:val="center"/>
          </w:tcPr>
          <w:p w:rsidR="009D44C1" w:rsidRPr="00D94F41" w:rsidP="00C97F7C" w14:paraId="1B80A7C6" w14:textId="49F1D6F5">
            <w:pPr>
              <w:pStyle w:val="TableParagraph"/>
              <w:spacing w:before="40" w:after="40"/>
              <w:jc w:val="right"/>
              <w:rPr>
                <w:color w:val="000000"/>
              </w:rPr>
            </w:pPr>
            <w:r w:rsidRPr="00D94F41">
              <w:rPr>
                <w:color w:val="000000"/>
              </w:rPr>
              <w:t>8,544.64</w:t>
            </w:r>
          </w:p>
        </w:tc>
        <w:tc>
          <w:tcPr>
            <w:tcW w:w="1094" w:type="dxa"/>
            <w:tcMar>
              <w:left w:w="43" w:type="dxa"/>
              <w:right w:w="43" w:type="dxa"/>
            </w:tcMar>
            <w:vAlign w:val="center"/>
          </w:tcPr>
          <w:p w:rsidR="009D44C1" w:rsidRPr="00D94F41" w:rsidP="00C97F7C" w14:paraId="31B114F9" w14:textId="5DD0591B">
            <w:pPr>
              <w:pStyle w:val="TableParagraph"/>
              <w:spacing w:before="40" w:after="40"/>
              <w:jc w:val="right"/>
            </w:pPr>
            <w:r w:rsidRPr="00D94F41">
              <w:t>8,386.12</w:t>
            </w:r>
          </w:p>
        </w:tc>
        <w:tc>
          <w:tcPr>
            <w:tcW w:w="1095" w:type="dxa"/>
            <w:tcMar>
              <w:left w:w="43" w:type="dxa"/>
              <w:right w:w="43" w:type="dxa"/>
            </w:tcMar>
            <w:vAlign w:val="center"/>
          </w:tcPr>
          <w:p w:rsidR="009D44C1" w:rsidRPr="00D94F41" w:rsidP="00C97F7C" w14:paraId="717E5737" w14:textId="1CF7546D">
            <w:pPr>
              <w:pStyle w:val="TableParagraph"/>
              <w:spacing w:before="40" w:after="40"/>
              <w:jc w:val="right"/>
            </w:pPr>
            <w:r w:rsidRPr="00D94F41">
              <w:t>8,127.32</w:t>
            </w:r>
          </w:p>
        </w:tc>
        <w:tc>
          <w:tcPr>
            <w:tcW w:w="1095" w:type="dxa"/>
            <w:vAlign w:val="center"/>
          </w:tcPr>
          <w:p w:rsidR="009D44C1" w:rsidRPr="00D94F41" w:rsidP="00C97F7C" w14:paraId="1B097A77" w14:textId="6398ABF4">
            <w:pPr>
              <w:pStyle w:val="TableParagraph"/>
              <w:spacing w:before="40" w:after="40"/>
              <w:jc w:val="right"/>
            </w:pPr>
            <w:r w:rsidRPr="00BA086A">
              <w:t>7,800.54</w:t>
            </w:r>
          </w:p>
        </w:tc>
        <w:tc>
          <w:tcPr>
            <w:tcW w:w="1095" w:type="dxa"/>
            <w:vAlign w:val="center"/>
          </w:tcPr>
          <w:p w:rsidR="009D44C1" w:rsidRPr="00BA086A" w:rsidP="00C97F7C" w14:paraId="0EEEEEF8" w14:textId="2B74617D">
            <w:pPr>
              <w:pStyle w:val="TableParagraph"/>
              <w:spacing w:before="40" w:after="40"/>
              <w:jc w:val="right"/>
            </w:pPr>
            <w:r w:rsidRPr="00966B4F">
              <w:t xml:space="preserve"> 7,482.80 </w:t>
            </w:r>
          </w:p>
        </w:tc>
      </w:tr>
      <w:tr w14:paraId="3AA41A45" w14:textId="7F524CF9" w:rsidTr="00B81F5A">
        <w:tblPrEx>
          <w:tblW w:w="5250" w:type="pct"/>
          <w:tblLayout w:type="fixed"/>
          <w:tblCellMar>
            <w:left w:w="58" w:type="dxa"/>
            <w:right w:w="58" w:type="dxa"/>
          </w:tblCellMar>
          <w:tblLook w:val="01E0"/>
        </w:tblPrEx>
        <w:trPr>
          <w:cantSplit/>
        </w:trPr>
        <w:tc>
          <w:tcPr>
            <w:tcW w:w="2155" w:type="dxa"/>
            <w:tcMar>
              <w:left w:w="43" w:type="dxa"/>
              <w:right w:w="43" w:type="dxa"/>
            </w:tcMar>
            <w:vAlign w:val="center"/>
          </w:tcPr>
          <w:p w:rsidR="009D44C1" w:rsidRPr="00D94F41" w:rsidP="00C97F7C" w14:paraId="369B6201" w14:textId="1503E2FA">
            <w:pPr>
              <w:pStyle w:val="TableParagraph"/>
              <w:spacing w:before="40" w:after="40"/>
              <w:jc w:val="right"/>
              <w:rPr>
                <w:b/>
                <w:bCs/>
              </w:rPr>
            </w:pPr>
            <w:r w:rsidRPr="00D94F41">
              <w:rPr>
                <w:b/>
                <w:bCs/>
              </w:rPr>
              <w:t>Total</w:t>
            </w:r>
            <w:r>
              <w:rPr>
                <w:b/>
                <w:bCs/>
              </w:rPr>
              <w:t xml:space="preserve"> (65 and over)</w:t>
            </w:r>
          </w:p>
        </w:tc>
        <w:tc>
          <w:tcPr>
            <w:tcW w:w="1094" w:type="dxa"/>
            <w:tcMar>
              <w:left w:w="43" w:type="dxa"/>
              <w:right w:w="43" w:type="dxa"/>
            </w:tcMar>
            <w:vAlign w:val="center"/>
          </w:tcPr>
          <w:p w:rsidR="009D44C1" w:rsidRPr="00D94F41" w:rsidP="00C97F7C" w14:paraId="32FB52E5" w14:textId="77777777">
            <w:pPr>
              <w:pStyle w:val="TableParagraph"/>
              <w:spacing w:before="40" w:after="40"/>
              <w:jc w:val="right"/>
            </w:pPr>
            <w:r w:rsidRPr="00D94F41">
              <w:t>51,087.90</w:t>
            </w:r>
          </w:p>
        </w:tc>
        <w:tc>
          <w:tcPr>
            <w:tcW w:w="1095" w:type="dxa"/>
            <w:tcMar>
              <w:left w:w="43" w:type="dxa"/>
              <w:right w:w="43" w:type="dxa"/>
            </w:tcMar>
            <w:vAlign w:val="center"/>
          </w:tcPr>
          <w:p w:rsidR="009D44C1" w:rsidRPr="00D94F41" w:rsidP="00C97F7C" w14:paraId="6EA7E90A" w14:textId="356C0860">
            <w:pPr>
              <w:pStyle w:val="TableParagraph"/>
              <w:spacing w:before="40" w:after="40"/>
              <w:jc w:val="right"/>
            </w:pPr>
            <w:r w:rsidRPr="00D94F41">
              <w:t>52,392.26</w:t>
            </w:r>
          </w:p>
        </w:tc>
        <w:tc>
          <w:tcPr>
            <w:tcW w:w="1095" w:type="dxa"/>
            <w:tcMar>
              <w:left w:w="43" w:type="dxa"/>
              <w:right w:w="43" w:type="dxa"/>
            </w:tcMar>
            <w:vAlign w:val="center"/>
          </w:tcPr>
          <w:p w:rsidR="009D44C1" w:rsidRPr="00D94F41" w:rsidP="00C97F7C" w14:paraId="692FC761" w14:textId="29513E02">
            <w:pPr>
              <w:pStyle w:val="TableParagraph"/>
              <w:spacing w:before="40" w:after="40"/>
              <w:jc w:val="right"/>
            </w:pPr>
            <w:r w:rsidRPr="00D94F41">
              <w:rPr>
                <w:color w:val="000000"/>
              </w:rPr>
              <w:t>54,006.46</w:t>
            </w:r>
          </w:p>
        </w:tc>
        <w:tc>
          <w:tcPr>
            <w:tcW w:w="1094" w:type="dxa"/>
            <w:tcMar>
              <w:left w:w="43" w:type="dxa"/>
              <w:right w:w="43" w:type="dxa"/>
            </w:tcMar>
            <w:vAlign w:val="center"/>
          </w:tcPr>
          <w:p w:rsidR="009D44C1" w:rsidRPr="00D94F41" w:rsidP="00C97F7C" w14:paraId="53A5D57F" w14:textId="3C5155E9">
            <w:pPr>
              <w:pStyle w:val="TableParagraph"/>
              <w:spacing w:before="40" w:after="40"/>
              <w:jc w:val="right"/>
            </w:pPr>
            <w:r w:rsidRPr="00D94F41">
              <w:t>55,690.44</w:t>
            </w:r>
          </w:p>
        </w:tc>
        <w:tc>
          <w:tcPr>
            <w:tcW w:w="1095" w:type="dxa"/>
            <w:tcMar>
              <w:left w:w="43" w:type="dxa"/>
              <w:right w:w="43" w:type="dxa"/>
            </w:tcMar>
            <w:vAlign w:val="center"/>
          </w:tcPr>
          <w:p w:rsidR="009D44C1" w:rsidRPr="00D94F41" w:rsidP="00C97F7C" w14:paraId="60C6BBA1" w14:textId="4BCBA1D0">
            <w:pPr>
              <w:pStyle w:val="TableParagraph"/>
              <w:spacing w:before="40" w:after="40"/>
              <w:jc w:val="right"/>
              <w:rPr>
                <w:color w:val="000000"/>
              </w:rPr>
            </w:pPr>
            <w:r w:rsidRPr="00D94F41">
              <w:t>56,308.20</w:t>
            </w:r>
          </w:p>
        </w:tc>
        <w:tc>
          <w:tcPr>
            <w:tcW w:w="1095" w:type="dxa"/>
            <w:vAlign w:val="center"/>
          </w:tcPr>
          <w:p w:rsidR="009D44C1" w:rsidRPr="00D94F41" w:rsidP="00C97F7C" w14:paraId="40141F58" w14:textId="540DD5C3">
            <w:pPr>
              <w:pStyle w:val="TableParagraph"/>
              <w:spacing w:before="40" w:after="40"/>
              <w:jc w:val="right"/>
            </w:pPr>
            <w:r w:rsidRPr="00BA086A">
              <w:t>57,788.56</w:t>
            </w:r>
          </w:p>
        </w:tc>
        <w:tc>
          <w:tcPr>
            <w:tcW w:w="1095" w:type="dxa"/>
            <w:vAlign w:val="center"/>
          </w:tcPr>
          <w:p w:rsidR="009D44C1" w:rsidRPr="00BA086A" w:rsidP="009D44C1" w14:paraId="135FE518" w14:textId="0879A64F">
            <w:pPr>
              <w:pStyle w:val="TableParagraph"/>
              <w:spacing w:before="40" w:after="40"/>
              <w:jc w:val="center"/>
            </w:pPr>
            <w:r w:rsidRPr="00966B4F">
              <w:t xml:space="preserve">59,468.76 </w:t>
            </w:r>
          </w:p>
        </w:tc>
      </w:tr>
      <w:tr w14:paraId="3A0DEAF2" w14:textId="60E48E47" w:rsidTr="00B81F5A">
        <w:tblPrEx>
          <w:tblW w:w="5250" w:type="pct"/>
          <w:tblLayout w:type="fixed"/>
          <w:tblCellMar>
            <w:left w:w="58" w:type="dxa"/>
            <w:right w:w="58" w:type="dxa"/>
          </w:tblCellMar>
          <w:tblLook w:val="01E0"/>
        </w:tblPrEx>
        <w:trPr>
          <w:cantSplit/>
        </w:trPr>
        <w:tc>
          <w:tcPr>
            <w:tcW w:w="2155" w:type="dxa"/>
            <w:tcMar>
              <w:left w:w="43" w:type="dxa"/>
              <w:right w:w="43" w:type="dxa"/>
            </w:tcMar>
            <w:vAlign w:val="center"/>
          </w:tcPr>
          <w:p w:rsidR="009D44C1" w:rsidRPr="00316E8E" w:rsidP="00C97F7C" w14:paraId="4490A9CD" w14:textId="3240BDDC">
            <w:pPr>
              <w:pStyle w:val="TableParagraph"/>
              <w:spacing w:before="40" w:after="40"/>
              <w:jc w:val="right"/>
              <w:rPr>
                <w:b/>
                <w:bCs/>
                <w:color w:val="FFFFFF" w:themeColor="background1"/>
              </w:rPr>
            </w:pPr>
            <w:r w:rsidRPr="00D94F41">
              <w:rPr>
                <w:b/>
                <w:bCs/>
              </w:rPr>
              <w:t>Total</w:t>
            </w:r>
            <w:r>
              <w:rPr>
                <w:b/>
                <w:bCs/>
              </w:rPr>
              <w:t xml:space="preserve"> (All)</w:t>
            </w:r>
          </w:p>
        </w:tc>
        <w:tc>
          <w:tcPr>
            <w:tcW w:w="1094" w:type="dxa"/>
            <w:tcMar>
              <w:left w:w="43" w:type="dxa"/>
              <w:right w:w="43" w:type="dxa"/>
            </w:tcMar>
            <w:vAlign w:val="center"/>
          </w:tcPr>
          <w:p w:rsidR="009D44C1" w:rsidRPr="00D94F41" w:rsidP="00C97F7C" w14:paraId="239B9B13" w14:textId="77777777">
            <w:pPr>
              <w:pStyle w:val="TableParagraph"/>
              <w:spacing w:before="40" w:after="40"/>
              <w:jc w:val="right"/>
            </w:pPr>
            <w:r w:rsidRPr="00D94F41">
              <w:t>60,006.62</w:t>
            </w:r>
          </w:p>
        </w:tc>
        <w:tc>
          <w:tcPr>
            <w:tcW w:w="1095" w:type="dxa"/>
            <w:tcMar>
              <w:left w:w="43" w:type="dxa"/>
              <w:right w:w="43" w:type="dxa"/>
            </w:tcMar>
            <w:vAlign w:val="center"/>
          </w:tcPr>
          <w:p w:rsidR="009D44C1" w:rsidRPr="00D94F41" w:rsidP="00C97F7C" w14:paraId="2398DAC8" w14:textId="29817FBC">
            <w:pPr>
              <w:pStyle w:val="TableParagraph"/>
              <w:spacing w:before="40" w:after="40"/>
              <w:jc w:val="right"/>
            </w:pPr>
            <w:r w:rsidRPr="00D94F41">
              <w:t>61,087.50</w:t>
            </w:r>
          </w:p>
        </w:tc>
        <w:tc>
          <w:tcPr>
            <w:tcW w:w="1095" w:type="dxa"/>
            <w:tcMar>
              <w:left w:w="43" w:type="dxa"/>
              <w:right w:w="43" w:type="dxa"/>
            </w:tcMar>
            <w:vAlign w:val="center"/>
          </w:tcPr>
          <w:p w:rsidR="009D44C1" w:rsidRPr="00D94F41" w:rsidP="00C97F7C" w14:paraId="5E16D96A" w14:textId="2CC49E68">
            <w:pPr>
              <w:pStyle w:val="TableParagraph"/>
              <w:spacing w:before="40" w:after="40"/>
              <w:jc w:val="right"/>
            </w:pPr>
            <w:r w:rsidRPr="00D94F41">
              <w:rPr>
                <w:color w:val="000000"/>
              </w:rPr>
              <w:t>62,551.10</w:t>
            </w:r>
          </w:p>
        </w:tc>
        <w:tc>
          <w:tcPr>
            <w:tcW w:w="1094" w:type="dxa"/>
            <w:tcMar>
              <w:left w:w="43" w:type="dxa"/>
              <w:right w:w="43" w:type="dxa"/>
            </w:tcMar>
            <w:vAlign w:val="center"/>
          </w:tcPr>
          <w:p w:rsidR="009D44C1" w:rsidRPr="00D94F41" w:rsidP="00C97F7C" w14:paraId="3862D9D4" w14:textId="17599D65">
            <w:pPr>
              <w:pStyle w:val="TableParagraph"/>
              <w:spacing w:before="40" w:after="40"/>
              <w:jc w:val="right"/>
            </w:pPr>
            <w:r w:rsidRPr="00D94F41">
              <w:t>64,076.56</w:t>
            </w:r>
          </w:p>
        </w:tc>
        <w:tc>
          <w:tcPr>
            <w:tcW w:w="1095" w:type="dxa"/>
            <w:tcMar>
              <w:left w:w="43" w:type="dxa"/>
              <w:right w:w="43" w:type="dxa"/>
            </w:tcMar>
            <w:vAlign w:val="center"/>
          </w:tcPr>
          <w:p w:rsidR="009D44C1" w:rsidRPr="00D94F41" w:rsidP="00C97F7C" w14:paraId="3028F141" w14:textId="28F89C75">
            <w:pPr>
              <w:pStyle w:val="TableParagraph"/>
              <w:spacing w:before="40" w:after="40"/>
              <w:jc w:val="right"/>
              <w:rPr>
                <w:color w:val="000000"/>
              </w:rPr>
            </w:pPr>
            <w:r w:rsidRPr="00D94F41">
              <w:t>64,435.52</w:t>
            </w:r>
          </w:p>
        </w:tc>
        <w:tc>
          <w:tcPr>
            <w:tcW w:w="1095" w:type="dxa"/>
            <w:vAlign w:val="center"/>
          </w:tcPr>
          <w:p w:rsidR="009D44C1" w:rsidRPr="00D94F41" w:rsidP="00C97F7C" w14:paraId="1CC051B6" w14:textId="5ADF0D5C">
            <w:pPr>
              <w:pStyle w:val="TableParagraph"/>
              <w:spacing w:before="40" w:after="40"/>
              <w:jc w:val="right"/>
            </w:pPr>
            <w:r w:rsidRPr="00BA086A">
              <w:t>65,589.10</w:t>
            </w:r>
          </w:p>
        </w:tc>
        <w:tc>
          <w:tcPr>
            <w:tcW w:w="1095" w:type="dxa"/>
            <w:vAlign w:val="center"/>
          </w:tcPr>
          <w:p w:rsidR="009D44C1" w:rsidRPr="00BA086A" w:rsidP="00C97F7C" w14:paraId="3B331B5A" w14:textId="5FC1D79C">
            <w:pPr>
              <w:pStyle w:val="TableParagraph"/>
              <w:spacing w:before="40" w:after="40"/>
              <w:jc w:val="right"/>
            </w:pPr>
            <w:r w:rsidRPr="00966B4F">
              <w:t xml:space="preserve">66,951.56 </w:t>
            </w:r>
          </w:p>
        </w:tc>
      </w:tr>
    </w:tbl>
    <w:p w:rsidR="0088452B" w:rsidRPr="003E486D" w:rsidP="003E486D" w14:paraId="361DCAE0" w14:textId="060430CC">
      <w:pPr>
        <w:pStyle w:val="Note"/>
      </w:pPr>
      <w:r w:rsidRPr="003E486D">
        <w:rPr>
          <w:b/>
          <w:bCs/>
        </w:rPr>
        <w:t>Source:</w:t>
      </w:r>
      <w:r w:rsidRPr="003E486D">
        <w:t xml:space="preserve"> </w:t>
      </w:r>
      <w:r w:rsidRPr="003E486D" w:rsidR="00C00C81">
        <w:t>Universe</w:t>
      </w:r>
      <w:r w:rsidRPr="003E486D">
        <w:t xml:space="preserve"> counts are based on a 5-percent extract of the Medicare administrative records and are computed as 20 times the extract</w:t>
      </w:r>
      <w:r w:rsidRPr="003E486D" w:rsidR="00D03F5A">
        <w:t xml:space="preserve"> </w:t>
      </w:r>
      <w:r w:rsidRPr="003E486D">
        <w:t>counts.</w:t>
      </w:r>
    </w:p>
    <w:p w:rsidR="0088452B" w:rsidRPr="003E486D" w:rsidP="003E486D" w14:paraId="2FFCB4F0" w14:textId="371EE402">
      <w:pPr>
        <w:pStyle w:val="Note"/>
      </w:pPr>
      <w:r w:rsidRPr="003E486D">
        <w:rPr>
          <w:b/>
          <w:bCs/>
        </w:rPr>
        <w:t>Notes:</w:t>
      </w:r>
      <w:r w:rsidRPr="003E486D">
        <w:t xml:space="preserve"> Puerto Rico beneficiaries are excluded from</w:t>
      </w:r>
      <w:r w:rsidRPr="003E486D" w:rsidR="00B9296F">
        <w:t xml:space="preserve"> </w:t>
      </w:r>
      <w:r w:rsidRPr="003E486D">
        <w:t>counts</w:t>
      </w:r>
      <w:r w:rsidRPr="003E486D" w:rsidR="00B9296F">
        <w:t xml:space="preserve"> </w:t>
      </w:r>
      <w:r w:rsidRPr="003E486D" w:rsidR="00EB5306">
        <w:t>beginning in</w:t>
      </w:r>
      <w:r w:rsidRPr="003E486D" w:rsidR="00B9296F">
        <w:t xml:space="preserve"> 2017</w:t>
      </w:r>
      <w:r w:rsidRPr="003E486D">
        <w:t xml:space="preserve"> by sample design. </w:t>
      </w:r>
    </w:p>
    <w:p w:rsidR="0088452B" w:rsidRPr="003E486D" w:rsidP="003E486D" w14:paraId="0CB6328F" w14:textId="77777777">
      <w:pPr>
        <w:pStyle w:val="Note"/>
      </w:pPr>
      <w:r w:rsidRPr="003E486D">
        <w:t>Totals do not necessarily equal the sum of rounded components.</w:t>
      </w:r>
    </w:p>
    <w:p w:rsidR="0088452B" w:rsidRPr="00D94F41" w:rsidP="003E486D" w14:paraId="522FB3FA" w14:textId="4C62D5FE">
      <w:pPr>
        <w:pStyle w:val="BodyText"/>
        <w:spacing w:before="240"/>
      </w:pPr>
      <w:r w:rsidRPr="00D94F41">
        <w:t xml:space="preserve">The target sample size of the MCBS </w:t>
      </w:r>
      <w:r w:rsidR="00F11CA0">
        <w:t xml:space="preserve">varies slightly each year. Most recently, it </w:t>
      </w:r>
      <w:r w:rsidRPr="00D94F41">
        <w:t xml:space="preserve">has been designed to yield </w:t>
      </w:r>
      <w:r w:rsidR="00193901">
        <w:t>8,218</w:t>
      </w:r>
      <w:r w:rsidRPr="00D94F41">
        <w:rPr>
          <w:sz w:val="16"/>
        </w:rPr>
        <w:t xml:space="preserve"> </w:t>
      </w:r>
      <w:r w:rsidRPr="00D94F41">
        <w:t xml:space="preserve">completed cases providing Cost Supplement data per year (approximately </w:t>
      </w:r>
      <w:r w:rsidR="00193901">
        <w:t>6</w:t>
      </w:r>
      <w:r w:rsidRPr="00D94F41">
        <w:t>00-</w:t>
      </w:r>
      <w:r w:rsidR="00193901">
        <w:t>7</w:t>
      </w:r>
      <w:r w:rsidRPr="00D94F41">
        <w:t>00 disabled enrollees under the age of 65 in each of two age strata, and 1,</w:t>
      </w:r>
      <w:r w:rsidR="00193901">
        <w:t>3</w:t>
      </w:r>
      <w:r w:rsidRPr="00D94F41">
        <w:t>00-</w:t>
      </w:r>
      <w:r w:rsidRPr="00D94F41" w:rsidR="00C27049">
        <w:t>1</w:t>
      </w:r>
      <w:r w:rsidRPr="00D94F41">
        <w:t>,</w:t>
      </w:r>
      <w:r w:rsidR="00193901">
        <w:t>5</w:t>
      </w:r>
      <w:r w:rsidRPr="00D94F41">
        <w:t>00 enrollees in each of five age strata for enrollees 65 and over)</w:t>
      </w:r>
      <w:r w:rsidRPr="00D94F41" w:rsidR="00184C23">
        <w:t xml:space="preserve"> from 2023 onwards</w:t>
      </w:r>
      <w:r w:rsidRPr="00D94F41">
        <w:t>.</w:t>
      </w:r>
    </w:p>
    <w:p w:rsidR="0088452B" w:rsidRPr="00D94F41" w:rsidP="004D6EBE" w14:paraId="0B18660D" w14:textId="4B8BBAE1">
      <w:pPr>
        <w:pStyle w:val="BodyText"/>
      </w:pPr>
      <w:r w:rsidRPr="00D94F41">
        <w:t xml:space="preserve">To achieve the desired number of completed cases, the MCBS selects new sample beneficiaries each year (referred to as the </w:t>
      </w:r>
      <w:r w:rsidRPr="00D94F41" w:rsidR="00505BED">
        <w:t>I</w:t>
      </w:r>
      <w:r w:rsidRPr="00D94F41">
        <w:t xml:space="preserve">ncoming </w:t>
      </w:r>
      <w:r w:rsidRPr="00D94F41" w:rsidR="00505BED">
        <w:t>P</w:t>
      </w:r>
      <w:r w:rsidRPr="00D94F41">
        <w:t xml:space="preserve">anel) to compensate for nonresponse, attrition, and retirement of sampled beneficiaries in the oldest panel (referred to as the exit panel) and to include the </w:t>
      </w:r>
      <w:r w:rsidRPr="00D94F41" w:rsidR="00BC219E">
        <w:t>current-year enrollees</w:t>
      </w:r>
      <w:r w:rsidRPr="00D94F41">
        <w:t xml:space="preserve">, while continuing to interview the non-retired portion of the continuing sample. The </w:t>
      </w:r>
      <w:r w:rsidRPr="00D94F41" w:rsidR="00505BED">
        <w:t>I</w:t>
      </w:r>
      <w:r w:rsidRPr="00D94F41">
        <w:t xml:space="preserve">ncoming </w:t>
      </w:r>
      <w:r w:rsidRPr="00D94F41" w:rsidR="00505BED">
        <w:t>P</w:t>
      </w:r>
      <w:r w:rsidRPr="00D94F41">
        <w:t xml:space="preserve">anel is always added in the Fall round (also referred to as the </w:t>
      </w:r>
      <w:r w:rsidRPr="00D94F41" w:rsidR="000A248B">
        <w:t>B</w:t>
      </w:r>
      <w:r w:rsidRPr="00D94F41">
        <w:t xml:space="preserve">aseline interview); the retiring or exit panel occurs in the </w:t>
      </w:r>
      <w:r w:rsidRPr="00D94F41" w:rsidR="00505BED">
        <w:t>W</w:t>
      </w:r>
      <w:r w:rsidRPr="00D94F41">
        <w:t xml:space="preserve">inter round (and is the </w:t>
      </w:r>
      <w:r w:rsidR="00A5794F">
        <w:t>11</w:t>
      </w:r>
      <w:r w:rsidRPr="009008A5" w:rsidR="00A5794F">
        <w:rPr>
          <w:vertAlign w:val="superscript"/>
        </w:rPr>
        <w:t>th</w:t>
      </w:r>
      <w:r w:rsidR="00A5794F">
        <w:t xml:space="preserve"> </w:t>
      </w:r>
      <w:r w:rsidRPr="00D94F41">
        <w:t>and final interview for all respondents).</w:t>
      </w:r>
    </w:p>
    <w:p w:rsidR="0088452B" w:rsidRPr="00632E4F" w:rsidP="004D6EBE" w14:paraId="420FA73C" w14:textId="7AAB379E">
      <w:pPr>
        <w:pStyle w:val="BodyText"/>
        <w:rPr>
          <w:spacing w:val="-2"/>
        </w:rPr>
      </w:pPr>
      <w:r w:rsidRPr="00632E4F">
        <w:rPr>
          <w:spacing w:val="-2"/>
        </w:rPr>
        <w:t xml:space="preserve">Each year, an analysis of non-response and attrition is conducted to determine the optimal sample size for the </w:t>
      </w:r>
      <w:r w:rsidRPr="00632E4F" w:rsidR="00505BED">
        <w:rPr>
          <w:spacing w:val="-2"/>
        </w:rPr>
        <w:t>F</w:t>
      </w:r>
      <w:r w:rsidRPr="00632E4F">
        <w:rPr>
          <w:spacing w:val="-2"/>
        </w:rPr>
        <w:t xml:space="preserve">all round </w:t>
      </w:r>
      <w:r w:rsidRPr="00632E4F" w:rsidR="00505BED">
        <w:rPr>
          <w:spacing w:val="-2"/>
        </w:rPr>
        <w:t>I</w:t>
      </w:r>
      <w:r w:rsidRPr="00632E4F">
        <w:rPr>
          <w:spacing w:val="-2"/>
        </w:rPr>
        <w:t xml:space="preserve">ncoming </w:t>
      </w:r>
      <w:r w:rsidRPr="00632E4F" w:rsidR="00505BED">
        <w:rPr>
          <w:spacing w:val="-2"/>
        </w:rPr>
        <w:t>P</w:t>
      </w:r>
      <w:r w:rsidRPr="00632E4F">
        <w:rPr>
          <w:spacing w:val="-2"/>
        </w:rPr>
        <w:t xml:space="preserve">anel. Through 2009, approximately 6,500 beneficiaries were added to the sample in the </w:t>
      </w:r>
      <w:r w:rsidRPr="00632E4F" w:rsidR="00505BED">
        <w:rPr>
          <w:spacing w:val="-2"/>
        </w:rPr>
        <w:t>F</w:t>
      </w:r>
      <w:r w:rsidRPr="00632E4F">
        <w:rPr>
          <w:spacing w:val="-2"/>
        </w:rPr>
        <w:t xml:space="preserve">all (September – December) round each year to replace the </w:t>
      </w:r>
      <w:r w:rsidRPr="00632E4F">
        <w:rPr>
          <w:spacing w:val="-2"/>
        </w:rPr>
        <w:t>exiting</w:t>
      </w:r>
      <w:r w:rsidRPr="00632E4F">
        <w:rPr>
          <w:spacing w:val="-2"/>
        </w:rPr>
        <w:t xml:space="preserve"> panel and to offset sample losses due to non-response and attrition. Beginning in the </w:t>
      </w:r>
      <w:r w:rsidRPr="00632E4F" w:rsidR="00505BED">
        <w:rPr>
          <w:spacing w:val="-2"/>
        </w:rPr>
        <w:t>F</w:t>
      </w:r>
      <w:r w:rsidRPr="00632E4F">
        <w:rPr>
          <w:spacing w:val="-2"/>
        </w:rPr>
        <w:t>all round of 2010</w:t>
      </w:r>
      <w:r w:rsidRPr="00632E4F" w:rsidR="001F4EC1">
        <w:rPr>
          <w:spacing w:val="-2"/>
        </w:rPr>
        <w:t xml:space="preserve"> and continuing through the decade</w:t>
      </w:r>
      <w:r w:rsidRPr="00632E4F">
        <w:rPr>
          <w:spacing w:val="-2"/>
        </w:rPr>
        <w:t xml:space="preserve">, the number of beneficiaries included in the </w:t>
      </w:r>
      <w:r w:rsidRPr="00632E4F" w:rsidR="00505BED">
        <w:rPr>
          <w:spacing w:val="-2"/>
        </w:rPr>
        <w:t>Incoming Panel</w:t>
      </w:r>
      <w:r w:rsidRPr="00632E4F">
        <w:rPr>
          <w:spacing w:val="-2"/>
        </w:rPr>
        <w:t xml:space="preserve"> </w:t>
      </w:r>
      <w:r w:rsidRPr="00632E4F" w:rsidR="001F4EC1">
        <w:rPr>
          <w:spacing w:val="-2"/>
        </w:rPr>
        <w:t xml:space="preserve">sample release </w:t>
      </w:r>
      <w:r w:rsidRPr="00632E4F">
        <w:rPr>
          <w:spacing w:val="-2"/>
        </w:rPr>
        <w:t xml:space="preserve">was </w:t>
      </w:r>
      <w:r w:rsidRPr="00632E4F" w:rsidR="001F4EC1">
        <w:rPr>
          <w:spacing w:val="-2"/>
        </w:rPr>
        <w:t xml:space="preserve">gradually </w:t>
      </w:r>
      <w:r w:rsidRPr="00632E4F">
        <w:rPr>
          <w:spacing w:val="-2"/>
        </w:rPr>
        <w:t xml:space="preserve">increased to compensate for declining response rates. </w:t>
      </w:r>
      <w:r w:rsidRPr="00632E4F" w:rsidR="001F4EC1">
        <w:rPr>
          <w:spacing w:val="-2"/>
        </w:rPr>
        <w:t>B</w:t>
      </w:r>
      <w:r w:rsidRPr="00632E4F" w:rsidR="00DC250E">
        <w:rPr>
          <w:spacing w:val="-2"/>
        </w:rPr>
        <w:t xml:space="preserve">eginning in 2020 when interviewing shifted from in-person to telephone due to the COVID-19 pandemic, the </w:t>
      </w:r>
      <w:r w:rsidRPr="00632E4F" w:rsidR="00505BED">
        <w:rPr>
          <w:spacing w:val="-2"/>
        </w:rPr>
        <w:t>Incoming Panel</w:t>
      </w:r>
      <w:r w:rsidRPr="00632E4F" w:rsidR="00DC250E">
        <w:rPr>
          <w:spacing w:val="-2"/>
        </w:rPr>
        <w:t xml:space="preserve"> sample size </w:t>
      </w:r>
      <w:r w:rsidRPr="00632E4F" w:rsidR="001F4EC1">
        <w:rPr>
          <w:spacing w:val="-2"/>
        </w:rPr>
        <w:t>was</w:t>
      </w:r>
      <w:r w:rsidRPr="00632E4F" w:rsidR="00DC250E">
        <w:rPr>
          <w:spacing w:val="-2"/>
        </w:rPr>
        <w:t xml:space="preserve"> approximately 15,</w:t>
      </w:r>
      <w:r w:rsidR="00420B0B">
        <w:rPr>
          <w:spacing w:val="-2"/>
        </w:rPr>
        <w:t>1</w:t>
      </w:r>
      <w:r w:rsidRPr="00632E4F" w:rsidR="00DC250E">
        <w:rPr>
          <w:spacing w:val="-2"/>
        </w:rPr>
        <w:t xml:space="preserve">00. This increase </w:t>
      </w:r>
      <w:r w:rsidRPr="00632E4F" w:rsidR="00DC250E">
        <w:rPr>
          <w:spacing w:val="-2"/>
        </w:rPr>
        <w:t>is a reflection of</w:t>
      </w:r>
      <w:r w:rsidRPr="00632E4F" w:rsidR="00DC250E">
        <w:rPr>
          <w:spacing w:val="-2"/>
        </w:rPr>
        <w:t xml:space="preserve"> the </w:t>
      </w:r>
      <w:r w:rsidRPr="00632E4F" w:rsidR="001F4EC1">
        <w:rPr>
          <w:spacing w:val="-2"/>
        </w:rPr>
        <w:t xml:space="preserve">continued decline in response rates </w:t>
      </w:r>
      <w:r w:rsidRPr="00632E4F" w:rsidR="00DC250E">
        <w:rPr>
          <w:spacing w:val="-2"/>
        </w:rPr>
        <w:t xml:space="preserve">and </w:t>
      </w:r>
      <w:r w:rsidRPr="00632E4F" w:rsidR="00B1563D">
        <w:rPr>
          <w:spacing w:val="-2"/>
        </w:rPr>
        <w:t xml:space="preserve">the </w:t>
      </w:r>
      <w:r w:rsidRPr="00632E4F" w:rsidR="00DC250E">
        <w:rPr>
          <w:spacing w:val="-2"/>
        </w:rPr>
        <w:t xml:space="preserve">additional difficulty </w:t>
      </w:r>
      <w:r w:rsidRPr="00632E4F" w:rsidR="00B1563D">
        <w:rPr>
          <w:spacing w:val="-2"/>
        </w:rPr>
        <w:t xml:space="preserve">of </w:t>
      </w:r>
      <w:r w:rsidRPr="00632E4F" w:rsidR="00DC250E">
        <w:rPr>
          <w:spacing w:val="-2"/>
        </w:rPr>
        <w:t>locating respondents via telephone</w:t>
      </w:r>
      <w:r>
        <w:rPr>
          <w:rStyle w:val="FootnoteReference"/>
          <w:spacing w:val="-2"/>
        </w:rPr>
        <w:footnoteReference w:id="2"/>
      </w:r>
      <w:r w:rsidRPr="00632E4F" w:rsidR="00DC250E">
        <w:rPr>
          <w:spacing w:val="-2"/>
        </w:rPr>
        <w:t xml:space="preserve">. </w:t>
      </w:r>
      <w:r w:rsidRPr="00632E4F">
        <w:rPr>
          <w:spacing w:val="-2"/>
        </w:rPr>
        <w:t xml:space="preserve">The sample size results in </w:t>
      </w:r>
      <w:r w:rsidRPr="00632E4F" w:rsidR="00184C23">
        <w:rPr>
          <w:spacing w:val="-2"/>
        </w:rPr>
        <w:t xml:space="preserve">over </w:t>
      </w:r>
      <w:r w:rsidRPr="00632E4F" w:rsidR="00960270">
        <w:rPr>
          <w:spacing w:val="-2"/>
        </w:rPr>
        <w:t>3</w:t>
      </w:r>
      <w:r w:rsidR="00420B0B">
        <w:rPr>
          <w:spacing w:val="-2"/>
        </w:rPr>
        <w:t>4</w:t>
      </w:r>
      <w:r w:rsidRPr="00632E4F">
        <w:rPr>
          <w:spacing w:val="-2"/>
        </w:rPr>
        <w:t>,000 interviews completed per year.</w:t>
      </w:r>
    </w:p>
    <w:p w:rsidR="00267F93" w:rsidRPr="00D94F41" w14:paraId="258D3AB8" w14:textId="42F4E564">
      <w:pPr>
        <w:pStyle w:val="BodyText"/>
      </w:pPr>
      <w:bookmarkStart w:id="11" w:name="OLE_LINK12"/>
      <w:r w:rsidRPr="00D94F41">
        <w:t xml:space="preserve">The methodology for drawing the samples is described later in this document. The number of cases to be selected each year for the </w:t>
      </w:r>
      <w:r w:rsidRPr="00D94F41" w:rsidR="00505BED">
        <w:t>Incoming Panel</w:t>
      </w:r>
      <w:r w:rsidRPr="00D94F41">
        <w:t xml:space="preserve"> (designated sample sizes) are larger than the targeted number of completes to compensate for non-response, ineligibility, and attrition. </w:t>
      </w:r>
      <w:r w:rsidR="005045CE">
        <w:t xml:space="preserve">Beginning in 2020 and through 2022, </w:t>
      </w:r>
      <w:r w:rsidRPr="00D94F41" w:rsidR="00F15F4B">
        <w:t xml:space="preserve">more sample </w:t>
      </w:r>
      <w:r w:rsidR="005045CE">
        <w:t xml:space="preserve">was necessary </w:t>
      </w:r>
      <w:r w:rsidRPr="00D94F41" w:rsidR="00F15F4B">
        <w:t xml:space="preserve">to </w:t>
      </w:r>
      <w:r w:rsidRPr="00D94F41" w:rsidR="00EE460F">
        <w:t>compensate</w:t>
      </w:r>
      <w:r w:rsidRPr="00D94F41" w:rsidR="00F15F4B">
        <w:t xml:space="preserve"> for a switch from in-person interviewing to </w:t>
      </w:r>
      <w:r w:rsidR="005045CE">
        <w:t>telephone</w:t>
      </w:r>
      <w:r w:rsidR="00332765">
        <w:t xml:space="preserve"> interviewing</w:t>
      </w:r>
      <w:r w:rsidR="005045CE">
        <w:t xml:space="preserve"> and the expected lower response rates associated with that mode</w:t>
      </w:r>
      <w:r w:rsidRPr="00D94F41" w:rsidR="00F15F4B">
        <w:t>.</w:t>
      </w:r>
      <w:r w:rsidR="005045CE">
        <w:t xml:space="preserve"> With the reintroduction </w:t>
      </w:r>
      <w:r w:rsidR="00AF2D71">
        <w:t>of</w:t>
      </w:r>
      <w:r w:rsidR="005045CE">
        <w:t xml:space="preserve"> in-person interviewing</w:t>
      </w:r>
      <w:r w:rsidR="00AF2D71">
        <w:t xml:space="preserve"> in late 2021, and the shift to multimode data collection, these additional increases have no longer been needed.</w:t>
      </w:r>
      <w:r w:rsidR="005045CE">
        <w:t xml:space="preserve"> </w:t>
      </w:r>
      <w:r w:rsidRPr="00D94F41">
        <w:t xml:space="preserve">To see an illustration of the extent of the compensation necessary in </w:t>
      </w:r>
      <w:r w:rsidR="00AF2D71">
        <w:t xml:space="preserve">Fall 2021 Round 91 versus </w:t>
      </w:r>
      <w:r w:rsidRPr="00D94F41">
        <w:t>Fall 20</w:t>
      </w:r>
      <w:r w:rsidRPr="00D94F41" w:rsidR="00F15F4B">
        <w:t>2</w:t>
      </w:r>
      <w:r w:rsidR="00332765">
        <w:t>3</w:t>
      </w:r>
      <w:r w:rsidRPr="00D94F41">
        <w:t xml:space="preserve"> Round </w:t>
      </w:r>
      <w:r w:rsidR="00A05A57">
        <w:t>9</w:t>
      </w:r>
      <w:r w:rsidR="00332765">
        <w:t>7</w:t>
      </w:r>
      <w:r w:rsidRPr="00D94F41" w:rsidR="00A05A57">
        <w:t xml:space="preserve"> </w:t>
      </w:r>
      <w:r w:rsidRPr="00D94F41">
        <w:t>to achieve the desired number of cases providing annual data, see Table B.2.</w:t>
      </w:r>
    </w:p>
    <w:p w:rsidR="0088452B" w:rsidRPr="00D94F41" w:rsidP="004D6EBE" w14:paraId="28BDD6E5" w14:textId="4810F75B">
      <w:pPr>
        <w:pStyle w:val="BodyText"/>
      </w:pPr>
      <w:r w:rsidRPr="00D94F41">
        <w:t>Table B.2: Sample Size Needed to Compensate for Initial Non-Response and Ineligibility in the 20</w:t>
      </w:r>
      <w:r w:rsidRPr="00D94F41" w:rsidR="00F15F4B">
        <w:t>2</w:t>
      </w:r>
      <w:r w:rsidR="00A05A57">
        <w:t>1</w:t>
      </w:r>
      <w:r w:rsidRPr="00D94F41">
        <w:t xml:space="preserve"> </w:t>
      </w:r>
      <w:r w:rsidR="00AF2D71">
        <w:t xml:space="preserve">and 2023 </w:t>
      </w:r>
      <w:r w:rsidRPr="00D94F41">
        <w:t>Fall Round</w:t>
      </w:r>
      <w:r w:rsidR="00AF2D71">
        <w:t>s</w:t>
      </w:r>
      <w:r w:rsidR="0096357B">
        <w:t>.</w:t>
      </w:r>
    </w:p>
    <w:p w:rsidR="0088452B" w:rsidRPr="00D94F41" w:rsidP="00AE5C2C" w14:paraId="46B24B34" w14:textId="62B5BC1A">
      <w:pPr>
        <w:pStyle w:val="Caption"/>
        <w:tabs>
          <w:tab w:val="left" w:pos="1170"/>
        </w:tabs>
      </w:pPr>
      <w:bookmarkStart w:id="12" w:name="OLE_LINK19"/>
      <w:r w:rsidRPr="00D94F41">
        <w:t xml:space="preserve">Table B.2: </w:t>
      </w:r>
      <w:r w:rsidR="00632E4F">
        <w:tab/>
      </w:r>
      <w:r w:rsidRPr="00D94F41">
        <w:t>Sample Size Needed to Compensate for Initial Non-Response and Ineligibility</w:t>
      </w:r>
    </w:p>
    <w:tbl>
      <w:tblPr>
        <w:tblStyle w:val="GridTableLight"/>
        <w:tblCaption w:val="Table B.2 Sample size needed to compensate for initial nonresponse and ineligibility"/>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37"/>
        <w:gridCol w:w="2337"/>
        <w:gridCol w:w="2338"/>
        <w:gridCol w:w="2338"/>
      </w:tblGrid>
      <w:tr w14:paraId="519E9DBC" w14:textId="45D8F1A0" w:rsidTr="00AF2D71">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blHeader/>
        </w:trPr>
        <w:tc>
          <w:tcPr>
            <w:tcW w:w="1250" w:type="pct"/>
            <w:shd w:val="clear" w:color="auto" w:fill="D9D9D9"/>
          </w:tcPr>
          <w:p w:rsidR="00AF2D71" w:rsidRPr="00332765" w:rsidP="00AF2D71" w14:paraId="40FBE095" w14:textId="77777777">
            <w:pPr>
              <w:pStyle w:val="TableParagraph"/>
              <w:spacing w:before="40" w:after="40"/>
              <w:jc w:val="center"/>
              <w:rPr>
                <w:b/>
              </w:rPr>
            </w:pPr>
            <w:r w:rsidRPr="00332765">
              <w:rPr>
                <w:b/>
              </w:rPr>
              <w:t>Age on December 31 of reference year</w:t>
            </w:r>
          </w:p>
        </w:tc>
        <w:tc>
          <w:tcPr>
            <w:tcW w:w="1250" w:type="pct"/>
            <w:shd w:val="clear" w:color="auto" w:fill="D9D9D9"/>
          </w:tcPr>
          <w:p w:rsidR="00AF2D71" w:rsidRPr="00332765" w:rsidP="00AF2D71" w14:paraId="19E3940A" w14:textId="77777777">
            <w:pPr>
              <w:pStyle w:val="TableParagraph"/>
              <w:spacing w:before="40" w:after="40"/>
              <w:jc w:val="center"/>
              <w:rPr>
                <w:b/>
              </w:rPr>
            </w:pPr>
            <w:r w:rsidRPr="00332765">
              <w:rPr>
                <w:b/>
              </w:rPr>
              <w:t>Desired average number of cases providing annual data</w:t>
            </w:r>
          </w:p>
        </w:tc>
        <w:tc>
          <w:tcPr>
            <w:tcW w:w="1250" w:type="pct"/>
            <w:shd w:val="clear" w:color="auto" w:fill="D9D9D9"/>
          </w:tcPr>
          <w:p w:rsidR="00AF2D71" w:rsidRPr="00AF2D71" w:rsidP="00AF2D71" w14:paraId="37FA56CE" w14:textId="1744F46C">
            <w:pPr>
              <w:pStyle w:val="TableParagraph"/>
              <w:spacing w:before="40" w:after="40"/>
              <w:jc w:val="center"/>
              <w:rPr>
                <w:b/>
              </w:rPr>
            </w:pPr>
            <w:r w:rsidRPr="00AF2D71">
              <w:rPr>
                <w:b/>
              </w:rPr>
              <w:t>Number sampled at Fall 2021 Round 91</w:t>
            </w:r>
          </w:p>
        </w:tc>
        <w:tc>
          <w:tcPr>
            <w:tcW w:w="1250" w:type="pct"/>
            <w:shd w:val="clear" w:color="auto" w:fill="D9D9D9"/>
          </w:tcPr>
          <w:p w:rsidR="00AF2D71" w:rsidRPr="00332765" w:rsidP="00AF2D71" w14:paraId="4AB30A4A" w14:textId="46D6C2C2">
            <w:pPr>
              <w:pStyle w:val="TableParagraph"/>
              <w:spacing w:before="40" w:after="40"/>
              <w:jc w:val="center"/>
              <w:rPr>
                <w:b/>
              </w:rPr>
            </w:pPr>
            <w:bookmarkStart w:id="13" w:name="OLE_LINK17"/>
            <w:r w:rsidRPr="00332765">
              <w:rPr>
                <w:b/>
              </w:rPr>
              <w:t>Number sampled at Fall 202</w:t>
            </w:r>
            <w:r>
              <w:rPr>
                <w:b/>
              </w:rPr>
              <w:t>3</w:t>
            </w:r>
            <w:r w:rsidRPr="00332765">
              <w:rPr>
                <w:b/>
              </w:rPr>
              <w:t xml:space="preserve"> Round 9</w:t>
            </w:r>
            <w:r>
              <w:rPr>
                <w:b/>
              </w:rPr>
              <w:t>7</w:t>
            </w:r>
            <w:bookmarkEnd w:id="13"/>
          </w:p>
        </w:tc>
      </w:tr>
      <w:tr w14:paraId="69CE31F9" w14:textId="40040B72" w:rsidTr="00AF2D71">
        <w:tblPrEx>
          <w:tblW w:w="5000" w:type="pct"/>
          <w:tblLook w:val="01E0"/>
        </w:tblPrEx>
        <w:trPr>
          <w:cantSplit/>
        </w:trPr>
        <w:tc>
          <w:tcPr>
            <w:tcW w:w="1250" w:type="pct"/>
          </w:tcPr>
          <w:p w:rsidR="00AF2D71" w:rsidRPr="00D94F41" w:rsidP="00AF2D71" w14:paraId="4D1621DE" w14:textId="77777777">
            <w:pPr>
              <w:pStyle w:val="TableParagraph"/>
              <w:spacing w:before="40" w:after="40"/>
              <w:jc w:val="center"/>
            </w:pPr>
            <w:r w:rsidRPr="00D94F41">
              <w:t>18-44</w:t>
            </w:r>
          </w:p>
        </w:tc>
        <w:tc>
          <w:tcPr>
            <w:tcW w:w="1250" w:type="pct"/>
          </w:tcPr>
          <w:p w:rsidR="00AF2D71" w:rsidRPr="00D94F41" w:rsidP="00AF2D71" w14:paraId="651E230E" w14:textId="2274739A">
            <w:pPr>
              <w:pStyle w:val="TableParagraph"/>
              <w:spacing w:before="40" w:after="40"/>
              <w:jc w:val="center"/>
            </w:pPr>
            <w:r w:rsidRPr="00D94F41">
              <w:t xml:space="preserve">343  </w:t>
            </w:r>
          </w:p>
        </w:tc>
        <w:tc>
          <w:tcPr>
            <w:tcW w:w="1250" w:type="pct"/>
          </w:tcPr>
          <w:p w:rsidR="00AF2D71" w:rsidRPr="00FC7E00" w:rsidP="00AF2D71" w14:paraId="6778101A" w14:textId="4B61837D">
            <w:pPr>
              <w:pStyle w:val="TableParagraph"/>
              <w:spacing w:before="40" w:after="40"/>
              <w:jc w:val="center"/>
            </w:pPr>
            <w:r>
              <w:t xml:space="preserve"> 1,258 </w:t>
            </w:r>
          </w:p>
        </w:tc>
        <w:tc>
          <w:tcPr>
            <w:tcW w:w="1250" w:type="pct"/>
          </w:tcPr>
          <w:p w:rsidR="00AF2D71" w:rsidRPr="00D94F41" w:rsidP="00AF2D71" w14:paraId="5033AF05" w14:textId="19E0FDDF">
            <w:pPr>
              <w:pStyle w:val="TableParagraph"/>
              <w:spacing w:before="40" w:after="40"/>
              <w:jc w:val="center"/>
            </w:pPr>
            <w:r w:rsidRPr="00FC7E00">
              <w:t xml:space="preserve"> 1,</w:t>
            </w:r>
            <w:r>
              <w:t>186</w:t>
            </w:r>
            <w:r w:rsidRPr="00FC7E00">
              <w:t xml:space="preserve"> </w:t>
            </w:r>
          </w:p>
        </w:tc>
      </w:tr>
      <w:tr w14:paraId="753A170D" w14:textId="591B3809" w:rsidTr="00AF2D71">
        <w:tblPrEx>
          <w:tblW w:w="5000" w:type="pct"/>
          <w:tblLook w:val="01E0"/>
        </w:tblPrEx>
        <w:trPr>
          <w:cantSplit/>
        </w:trPr>
        <w:tc>
          <w:tcPr>
            <w:tcW w:w="1250" w:type="pct"/>
          </w:tcPr>
          <w:p w:rsidR="00AF2D71" w:rsidRPr="00D94F41" w:rsidP="00AF2D71" w14:paraId="26601186" w14:textId="77777777">
            <w:pPr>
              <w:pStyle w:val="TableParagraph"/>
              <w:spacing w:before="40" w:after="40"/>
              <w:jc w:val="center"/>
            </w:pPr>
            <w:r w:rsidRPr="00D94F41">
              <w:t>45-64</w:t>
            </w:r>
          </w:p>
        </w:tc>
        <w:tc>
          <w:tcPr>
            <w:tcW w:w="1250" w:type="pct"/>
          </w:tcPr>
          <w:p w:rsidR="00AF2D71" w:rsidRPr="00D94F41" w:rsidP="00AF2D71" w14:paraId="4E8D0304" w14:textId="1A071664">
            <w:pPr>
              <w:pStyle w:val="TableParagraph"/>
              <w:spacing w:before="40" w:after="40"/>
              <w:jc w:val="center"/>
            </w:pPr>
            <w:r w:rsidRPr="00D94F41">
              <w:t xml:space="preserve">332  </w:t>
            </w:r>
          </w:p>
        </w:tc>
        <w:tc>
          <w:tcPr>
            <w:tcW w:w="1250" w:type="pct"/>
          </w:tcPr>
          <w:p w:rsidR="00AF2D71" w:rsidRPr="00FC7E00" w:rsidP="00AF2D71" w14:paraId="417E4872" w14:textId="76FE2B59">
            <w:pPr>
              <w:pStyle w:val="TableParagraph"/>
              <w:spacing w:before="40" w:after="40"/>
              <w:jc w:val="center"/>
            </w:pPr>
            <w:r>
              <w:t xml:space="preserve"> 1,602 </w:t>
            </w:r>
          </w:p>
        </w:tc>
        <w:tc>
          <w:tcPr>
            <w:tcW w:w="1250" w:type="pct"/>
          </w:tcPr>
          <w:p w:rsidR="00AF2D71" w:rsidRPr="00D94F41" w:rsidP="00AF2D71" w14:paraId="12B99948" w14:textId="040EA937">
            <w:pPr>
              <w:pStyle w:val="TableParagraph"/>
              <w:spacing w:before="40" w:after="40"/>
              <w:jc w:val="center"/>
            </w:pPr>
            <w:r w:rsidRPr="00FC7E00">
              <w:t xml:space="preserve"> 1,</w:t>
            </w:r>
            <w:r>
              <w:t>266</w:t>
            </w:r>
          </w:p>
        </w:tc>
      </w:tr>
      <w:tr w14:paraId="7CD4BF9D" w14:textId="64C41D56" w:rsidTr="00AF2D71">
        <w:tblPrEx>
          <w:tblW w:w="5000" w:type="pct"/>
          <w:tblLook w:val="01E0"/>
        </w:tblPrEx>
        <w:trPr>
          <w:cantSplit/>
        </w:trPr>
        <w:tc>
          <w:tcPr>
            <w:tcW w:w="1250" w:type="pct"/>
          </w:tcPr>
          <w:p w:rsidR="00AF2D71" w:rsidRPr="00D94F41" w:rsidP="00AF2D71" w14:paraId="50933AE4" w14:textId="77777777">
            <w:pPr>
              <w:pStyle w:val="TableParagraph"/>
              <w:spacing w:before="40" w:after="40"/>
              <w:jc w:val="center"/>
            </w:pPr>
            <w:r w:rsidRPr="00D94F41">
              <w:t>65-69</w:t>
            </w:r>
          </w:p>
        </w:tc>
        <w:tc>
          <w:tcPr>
            <w:tcW w:w="1250" w:type="pct"/>
          </w:tcPr>
          <w:p w:rsidR="00AF2D71" w:rsidRPr="00D94F41" w:rsidP="00AF2D71" w14:paraId="3B472FB2" w14:textId="77D3DCE1">
            <w:pPr>
              <w:pStyle w:val="TableParagraph"/>
              <w:spacing w:before="40" w:after="40"/>
              <w:jc w:val="center"/>
            </w:pPr>
            <w:r w:rsidRPr="00D94F41">
              <w:t xml:space="preserve">687  </w:t>
            </w:r>
          </w:p>
        </w:tc>
        <w:tc>
          <w:tcPr>
            <w:tcW w:w="1250" w:type="pct"/>
          </w:tcPr>
          <w:p w:rsidR="00AF2D71" w:rsidRPr="00FC7E00" w:rsidP="00AF2D71" w14:paraId="44B6762F" w14:textId="0FD1E67A">
            <w:pPr>
              <w:pStyle w:val="TableParagraph"/>
              <w:spacing w:before="40" w:after="40"/>
              <w:jc w:val="center"/>
            </w:pPr>
            <w:r>
              <w:t xml:space="preserve"> 3,082 </w:t>
            </w:r>
          </w:p>
        </w:tc>
        <w:tc>
          <w:tcPr>
            <w:tcW w:w="1250" w:type="pct"/>
          </w:tcPr>
          <w:p w:rsidR="00AF2D71" w:rsidRPr="00D94F41" w:rsidP="00AF2D71" w14:paraId="34FD8499" w14:textId="24AE105D">
            <w:pPr>
              <w:pStyle w:val="TableParagraph"/>
              <w:spacing w:before="40" w:after="40"/>
              <w:jc w:val="center"/>
            </w:pPr>
            <w:r w:rsidRPr="00FC7E00">
              <w:t xml:space="preserve"> </w:t>
            </w:r>
            <w:r>
              <w:t>2,967</w:t>
            </w:r>
            <w:r w:rsidRPr="00FC7E00">
              <w:t xml:space="preserve"> </w:t>
            </w:r>
          </w:p>
        </w:tc>
      </w:tr>
      <w:tr w14:paraId="34A5B677" w14:textId="54A9ADF3" w:rsidTr="00AF2D71">
        <w:tblPrEx>
          <w:tblW w:w="5000" w:type="pct"/>
          <w:tblLook w:val="01E0"/>
        </w:tblPrEx>
        <w:trPr>
          <w:cantSplit/>
        </w:trPr>
        <w:tc>
          <w:tcPr>
            <w:tcW w:w="1250" w:type="pct"/>
          </w:tcPr>
          <w:p w:rsidR="00AF2D71" w:rsidRPr="00D94F41" w:rsidP="00AF2D71" w14:paraId="08C7E8AB" w14:textId="77777777">
            <w:pPr>
              <w:pStyle w:val="TableParagraph"/>
              <w:spacing w:before="40" w:after="40"/>
              <w:jc w:val="center"/>
            </w:pPr>
            <w:r w:rsidRPr="00D94F41">
              <w:t>70-74</w:t>
            </w:r>
          </w:p>
        </w:tc>
        <w:tc>
          <w:tcPr>
            <w:tcW w:w="1250" w:type="pct"/>
          </w:tcPr>
          <w:p w:rsidR="00AF2D71" w:rsidRPr="00D94F41" w:rsidP="00AF2D71" w14:paraId="78359AB2" w14:textId="0BAFD68B">
            <w:pPr>
              <w:pStyle w:val="TableParagraph"/>
              <w:spacing w:before="40" w:after="40"/>
              <w:jc w:val="center"/>
            </w:pPr>
            <w:r w:rsidRPr="00D94F41">
              <w:t xml:space="preserve">600  </w:t>
            </w:r>
          </w:p>
        </w:tc>
        <w:tc>
          <w:tcPr>
            <w:tcW w:w="1250" w:type="pct"/>
          </w:tcPr>
          <w:p w:rsidR="00AF2D71" w:rsidRPr="00FC7E00" w:rsidP="00AF2D71" w14:paraId="16E4A538" w14:textId="02839497">
            <w:pPr>
              <w:pStyle w:val="TableParagraph"/>
              <w:spacing w:before="40" w:after="40"/>
              <w:jc w:val="center"/>
            </w:pPr>
            <w:r>
              <w:t xml:space="preserve"> 2,314 </w:t>
            </w:r>
          </w:p>
        </w:tc>
        <w:tc>
          <w:tcPr>
            <w:tcW w:w="1250" w:type="pct"/>
          </w:tcPr>
          <w:p w:rsidR="00AF2D71" w:rsidRPr="00D94F41" w:rsidP="00AF2D71" w14:paraId="3B7C8FCE" w14:textId="26E0BDF8">
            <w:pPr>
              <w:pStyle w:val="TableParagraph"/>
              <w:spacing w:before="40" w:after="40"/>
              <w:jc w:val="center"/>
            </w:pPr>
            <w:r w:rsidRPr="00FC7E00">
              <w:t xml:space="preserve"> 2,</w:t>
            </w:r>
            <w:r>
              <w:t>189</w:t>
            </w:r>
            <w:r w:rsidRPr="00FC7E00">
              <w:t xml:space="preserve"> </w:t>
            </w:r>
          </w:p>
        </w:tc>
      </w:tr>
      <w:tr w14:paraId="02413713" w14:textId="1D1218CC" w:rsidTr="00AF2D71">
        <w:tblPrEx>
          <w:tblW w:w="5000" w:type="pct"/>
          <w:tblLook w:val="01E0"/>
        </w:tblPrEx>
        <w:trPr>
          <w:cantSplit/>
        </w:trPr>
        <w:tc>
          <w:tcPr>
            <w:tcW w:w="1250" w:type="pct"/>
          </w:tcPr>
          <w:p w:rsidR="00AF2D71" w:rsidRPr="00D94F41" w:rsidP="00AF2D71" w14:paraId="5455CAE5" w14:textId="77777777">
            <w:pPr>
              <w:pStyle w:val="TableParagraph"/>
              <w:spacing w:before="40" w:after="40"/>
              <w:jc w:val="center"/>
            </w:pPr>
            <w:r w:rsidRPr="00D94F41">
              <w:t>75-79</w:t>
            </w:r>
          </w:p>
        </w:tc>
        <w:tc>
          <w:tcPr>
            <w:tcW w:w="1250" w:type="pct"/>
          </w:tcPr>
          <w:p w:rsidR="00AF2D71" w:rsidRPr="00D94F41" w:rsidP="00AF2D71" w14:paraId="7A55A0F5" w14:textId="13000600">
            <w:pPr>
              <w:pStyle w:val="TableParagraph"/>
              <w:spacing w:before="40" w:after="40"/>
              <w:jc w:val="center"/>
            </w:pPr>
            <w:r w:rsidRPr="00D94F41">
              <w:t xml:space="preserve">603  </w:t>
            </w:r>
          </w:p>
        </w:tc>
        <w:tc>
          <w:tcPr>
            <w:tcW w:w="1250" w:type="pct"/>
          </w:tcPr>
          <w:p w:rsidR="00AF2D71" w:rsidRPr="00FC7E00" w:rsidP="00AF2D71" w14:paraId="76092CC9" w14:textId="0CE81629">
            <w:pPr>
              <w:pStyle w:val="TableParagraph"/>
              <w:spacing w:before="40" w:after="40"/>
              <w:jc w:val="center"/>
            </w:pPr>
            <w:r>
              <w:t xml:space="preserve"> 2,402 </w:t>
            </w:r>
          </w:p>
        </w:tc>
        <w:tc>
          <w:tcPr>
            <w:tcW w:w="1250" w:type="pct"/>
          </w:tcPr>
          <w:p w:rsidR="00AF2D71" w:rsidRPr="00D94F41" w:rsidP="00AF2D71" w14:paraId="420CDB2D" w14:textId="5CA30BD1">
            <w:pPr>
              <w:pStyle w:val="TableParagraph"/>
              <w:spacing w:before="40" w:after="40"/>
              <w:jc w:val="center"/>
            </w:pPr>
            <w:r w:rsidRPr="00FC7E00">
              <w:t xml:space="preserve"> 2,</w:t>
            </w:r>
            <w:r>
              <w:t>297</w:t>
            </w:r>
            <w:r w:rsidRPr="00FC7E00">
              <w:t xml:space="preserve"> </w:t>
            </w:r>
          </w:p>
        </w:tc>
      </w:tr>
      <w:tr w14:paraId="2CEE6F69" w14:textId="7F001E66" w:rsidTr="00AF2D71">
        <w:tblPrEx>
          <w:tblW w:w="5000" w:type="pct"/>
          <w:tblLook w:val="01E0"/>
        </w:tblPrEx>
        <w:trPr>
          <w:cantSplit/>
        </w:trPr>
        <w:tc>
          <w:tcPr>
            <w:tcW w:w="1250" w:type="pct"/>
          </w:tcPr>
          <w:p w:rsidR="00AF2D71" w:rsidRPr="00D94F41" w:rsidP="00AF2D71" w14:paraId="1AEA92B2" w14:textId="77777777">
            <w:pPr>
              <w:pStyle w:val="TableParagraph"/>
              <w:spacing w:before="40" w:after="40"/>
              <w:jc w:val="center"/>
            </w:pPr>
            <w:r w:rsidRPr="00D94F41">
              <w:t>80-84</w:t>
            </w:r>
          </w:p>
        </w:tc>
        <w:tc>
          <w:tcPr>
            <w:tcW w:w="1250" w:type="pct"/>
          </w:tcPr>
          <w:p w:rsidR="00AF2D71" w:rsidRPr="00D94F41" w:rsidP="00AF2D71" w14:paraId="340A7263" w14:textId="3ED2B169">
            <w:pPr>
              <w:pStyle w:val="TableParagraph"/>
              <w:spacing w:before="40" w:after="40"/>
              <w:jc w:val="center"/>
            </w:pPr>
            <w:r w:rsidRPr="00D94F41">
              <w:t xml:space="preserve">620  </w:t>
            </w:r>
          </w:p>
        </w:tc>
        <w:tc>
          <w:tcPr>
            <w:tcW w:w="1250" w:type="pct"/>
          </w:tcPr>
          <w:p w:rsidR="00AF2D71" w:rsidRPr="00FC7E00" w:rsidP="00AF2D71" w14:paraId="2542FFE4" w14:textId="3EA6EA4E">
            <w:pPr>
              <w:pStyle w:val="TableParagraph"/>
              <w:spacing w:before="40" w:after="40"/>
              <w:jc w:val="center"/>
            </w:pPr>
            <w:r>
              <w:t xml:space="preserve"> 2,651 </w:t>
            </w:r>
          </w:p>
        </w:tc>
        <w:tc>
          <w:tcPr>
            <w:tcW w:w="1250" w:type="pct"/>
          </w:tcPr>
          <w:p w:rsidR="00AF2D71" w:rsidRPr="00D94F41" w:rsidP="00AF2D71" w14:paraId="0FD30188" w14:textId="59080F62">
            <w:pPr>
              <w:pStyle w:val="TableParagraph"/>
              <w:spacing w:before="40" w:after="40"/>
              <w:jc w:val="center"/>
            </w:pPr>
            <w:r w:rsidRPr="00FC7E00">
              <w:t xml:space="preserve"> 2,</w:t>
            </w:r>
            <w:r>
              <w:t>476</w:t>
            </w:r>
            <w:r w:rsidRPr="00FC7E00">
              <w:t xml:space="preserve"> </w:t>
            </w:r>
          </w:p>
        </w:tc>
      </w:tr>
      <w:tr w14:paraId="41557307" w14:textId="56E9834A" w:rsidTr="00AF2D71">
        <w:tblPrEx>
          <w:tblW w:w="5000" w:type="pct"/>
          <w:tblLook w:val="01E0"/>
        </w:tblPrEx>
        <w:trPr>
          <w:cantSplit/>
        </w:trPr>
        <w:tc>
          <w:tcPr>
            <w:tcW w:w="1250" w:type="pct"/>
          </w:tcPr>
          <w:p w:rsidR="00AF2D71" w:rsidRPr="00D94F41" w:rsidP="00AF2D71" w14:paraId="5234E10A" w14:textId="77777777">
            <w:pPr>
              <w:pStyle w:val="TableParagraph"/>
              <w:spacing w:before="40" w:after="40"/>
              <w:jc w:val="center"/>
            </w:pPr>
            <w:r w:rsidRPr="00D94F41">
              <w:t>85+</w:t>
            </w:r>
          </w:p>
        </w:tc>
        <w:tc>
          <w:tcPr>
            <w:tcW w:w="1250" w:type="pct"/>
          </w:tcPr>
          <w:p w:rsidR="00AF2D71" w:rsidRPr="00D94F41" w:rsidP="00AF2D71" w14:paraId="51AA2AED" w14:textId="21F20D8A">
            <w:pPr>
              <w:pStyle w:val="TableParagraph"/>
              <w:spacing w:before="40" w:after="40"/>
              <w:jc w:val="center"/>
            </w:pPr>
            <w:r w:rsidRPr="00D94F41">
              <w:t xml:space="preserve">648  </w:t>
            </w:r>
          </w:p>
        </w:tc>
        <w:tc>
          <w:tcPr>
            <w:tcW w:w="1250" w:type="pct"/>
          </w:tcPr>
          <w:p w:rsidR="00AF2D71" w:rsidRPr="00FC7E00" w:rsidP="00AF2D71" w14:paraId="69C23591" w14:textId="247780C7">
            <w:pPr>
              <w:pStyle w:val="TableParagraph"/>
              <w:spacing w:before="40" w:after="40"/>
              <w:jc w:val="center"/>
            </w:pPr>
            <w:r>
              <w:t xml:space="preserve"> 2,641 </w:t>
            </w:r>
          </w:p>
        </w:tc>
        <w:tc>
          <w:tcPr>
            <w:tcW w:w="1250" w:type="pct"/>
          </w:tcPr>
          <w:p w:rsidR="00AF2D71" w:rsidRPr="00D94F41" w:rsidP="00AF2D71" w14:paraId="083DAE54" w14:textId="165F86C7">
            <w:pPr>
              <w:pStyle w:val="TableParagraph"/>
              <w:spacing w:before="40" w:after="40"/>
              <w:jc w:val="center"/>
            </w:pPr>
            <w:r w:rsidRPr="00FC7E00">
              <w:t xml:space="preserve"> 2,</w:t>
            </w:r>
            <w:r>
              <w:t>714</w:t>
            </w:r>
            <w:r w:rsidRPr="00FC7E00">
              <w:t xml:space="preserve"> </w:t>
            </w:r>
          </w:p>
        </w:tc>
      </w:tr>
      <w:tr w14:paraId="31AF743B" w14:textId="64524A4B" w:rsidTr="00AF2D71">
        <w:tblPrEx>
          <w:tblW w:w="5000" w:type="pct"/>
          <w:tblLook w:val="01E0"/>
        </w:tblPrEx>
        <w:trPr>
          <w:cantSplit/>
        </w:trPr>
        <w:tc>
          <w:tcPr>
            <w:tcW w:w="1250" w:type="pct"/>
          </w:tcPr>
          <w:p w:rsidR="00AF2D71" w:rsidRPr="00D94F41" w:rsidP="00AF2D71" w14:paraId="062ABB53" w14:textId="77777777">
            <w:pPr>
              <w:pStyle w:val="TableParagraph"/>
              <w:spacing w:before="40" w:after="40"/>
              <w:jc w:val="center"/>
            </w:pPr>
            <w:r w:rsidRPr="00D94F41">
              <w:t>Total</w:t>
            </w:r>
          </w:p>
        </w:tc>
        <w:tc>
          <w:tcPr>
            <w:tcW w:w="1250" w:type="pct"/>
          </w:tcPr>
          <w:p w:rsidR="00AF2D71" w:rsidRPr="00D94F41" w:rsidP="00AF2D71" w14:paraId="30610238" w14:textId="7BB69D28">
            <w:pPr>
              <w:pStyle w:val="TableParagraph"/>
              <w:spacing w:before="40" w:after="40"/>
              <w:jc w:val="center"/>
            </w:pPr>
            <w:r w:rsidRPr="00D94F41">
              <w:t xml:space="preserve">3,833  </w:t>
            </w:r>
          </w:p>
        </w:tc>
        <w:tc>
          <w:tcPr>
            <w:tcW w:w="1250" w:type="pct"/>
          </w:tcPr>
          <w:p w:rsidR="00AF2D71" w:rsidRPr="00D94F41" w:rsidP="00AF2D71" w14:paraId="0F1C90EE" w14:textId="179423AB">
            <w:pPr>
              <w:pStyle w:val="TableParagraph"/>
              <w:tabs>
                <w:tab w:val="center" w:pos="1450"/>
                <w:tab w:val="right" w:pos="2901"/>
              </w:tabs>
              <w:spacing w:before="40" w:after="40"/>
              <w:jc w:val="center"/>
            </w:pPr>
            <w:r>
              <w:t>15,950</w:t>
            </w:r>
          </w:p>
        </w:tc>
        <w:tc>
          <w:tcPr>
            <w:tcW w:w="1250" w:type="pct"/>
          </w:tcPr>
          <w:p w:rsidR="00AF2D71" w:rsidRPr="00D94F41" w:rsidP="00AF2D71" w14:paraId="149EF87C" w14:textId="5A8DDB22">
            <w:pPr>
              <w:pStyle w:val="TableParagraph"/>
              <w:tabs>
                <w:tab w:val="center" w:pos="1450"/>
                <w:tab w:val="right" w:pos="2901"/>
              </w:tabs>
              <w:spacing w:before="40" w:after="40"/>
              <w:jc w:val="center"/>
            </w:pPr>
            <w:r w:rsidRPr="00D94F41">
              <w:t>15,</w:t>
            </w:r>
            <w:r>
              <w:t>095</w:t>
            </w:r>
          </w:p>
        </w:tc>
      </w:tr>
    </w:tbl>
    <w:bookmarkEnd w:id="11"/>
    <w:bookmarkEnd w:id="12"/>
    <w:p w:rsidR="00853A05" w:rsidP="00AA0354" w14:paraId="2A8B08CF" w14:textId="0396E96B">
      <w:pPr>
        <w:pStyle w:val="BodyText"/>
        <w:spacing w:before="180"/>
      </w:pPr>
      <w:r>
        <w:t xml:space="preserve">Proxy interviews are attempted for deceased sample persons. If data are collected through the date of death, then these cases are counted as completed interviews. Sampled beneficiaries remain in the survey when they are unavailable for an interview </w:t>
      </w:r>
      <w:r>
        <w:t>in a given</w:t>
      </w:r>
      <w:r>
        <w:t xml:space="preserve"> round; that is, they are carried forward into the next round. For these individuals, the reference period for their next interview is longer as it covers the period since their last interview. This ensures that there will not be a gap in coverage of utilization and expenditure data. If a sampled beneficiary is not interviewed for two consecutive rounds, they are not scheduled for any further interviews and are removed from case management. Such cases are treated as nonresponding cases.</w:t>
      </w:r>
    </w:p>
    <w:p w:rsidR="003614E7" w:rsidRPr="00D94F41" w:rsidP="003614E7" w14:paraId="3D3AA433" w14:textId="2E9FD45D">
      <w:pPr>
        <w:pStyle w:val="BodyText"/>
        <w:spacing w:before="120"/>
      </w:pPr>
      <w:r w:rsidRPr="00D94F41">
        <w:rPr>
          <w:b/>
        </w:rPr>
        <w:t xml:space="preserve">Cross-sectional sample sizes for other domains. </w:t>
      </w:r>
      <w:r w:rsidRPr="00D94F41">
        <w:t>There are multiple domains of interest in the MCBS, (for example, respondents with end-stage renal disease, persons residing in nursing homes, managed care enrollees, beneficiaries of various race and ethnic backgrounds, Medicaid recipients</w:t>
      </w:r>
      <w:r w:rsidRPr="00D94F41">
        <w:t xml:space="preserve">, and beneficiaries </w:t>
      </w:r>
      <w:r w:rsidRPr="00D94F41" w:rsidR="0099595E">
        <w:t xml:space="preserve">aligned to a provider </w:t>
      </w:r>
      <w:r w:rsidRPr="00D94F41">
        <w:t>participating in accountable care organizations</w:t>
      </w:r>
      <w:r w:rsidRPr="00D94F41">
        <w:t>). The MCBS will continue to maintain a minimum target of</w:t>
      </w:r>
      <w:r w:rsidRPr="00D94F41" w:rsidR="002C2466">
        <w:t xml:space="preserve"> </w:t>
      </w:r>
      <w:r w:rsidR="0096357B">
        <w:t xml:space="preserve">8,000 to </w:t>
      </w:r>
      <w:r w:rsidRPr="00D94F41" w:rsidR="002C2466">
        <w:t>9,000</w:t>
      </w:r>
      <w:r w:rsidRPr="00D94F41" w:rsidR="00796917">
        <w:t xml:space="preserve"> </w:t>
      </w:r>
      <w:r w:rsidRPr="00D94F41">
        <w:t>completed responses in the annual Cost Supplement file to ensure that analysis can be performed on MCBS data for many domains of interest.</w:t>
      </w:r>
    </w:p>
    <w:p w:rsidR="0088452B" w:rsidRPr="00D94F41" w:rsidP="00995E09" w14:paraId="73554824" w14:textId="189BE74B">
      <w:pPr>
        <w:pStyle w:val="BodyText"/>
      </w:pPr>
      <w:r w:rsidRPr="00D94F41">
        <w:rPr>
          <w:b/>
        </w:rPr>
        <w:t>Sample sizes for longitudinal analyses</w:t>
      </w:r>
      <w:r w:rsidRPr="00D94F41">
        <w:t xml:space="preserve">. Beginning in 2018, under the rotating panel design specified for the MCBS, respondents remain in the sample for up to eleven rounds of data collection over a </w:t>
      </w:r>
      <w:r w:rsidRPr="00D94F41" w:rsidR="00261F87">
        <w:t>four-year</w:t>
      </w:r>
      <w:r w:rsidRPr="00D94F41">
        <w:t xml:space="preserve"> period; prior to 2018, respondents remained in the sample for up to twelve rounds of data collection</w:t>
      </w:r>
      <w:r w:rsidRPr="00D94F41" w:rsidR="002C2466">
        <w:t>.</w:t>
      </w:r>
      <w:r w:rsidRPr="00D94F41">
        <w:t xml:space="preserve"> The historical response rates and attrition rates observed in the MCBS are used to determine the rotational sample size and configuration of each new </w:t>
      </w:r>
      <w:r w:rsidRPr="00D94F41" w:rsidR="00505BED">
        <w:t>Incoming Panel</w:t>
      </w:r>
      <w:r w:rsidRPr="00D94F41">
        <w:t>. The rotational sample design attempts to achieve consistency in subgroup sample sizes across all panels comprising a particular calendar year.</w:t>
      </w:r>
    </w:p>
    <w:p w:rsidR="0088452B" w:rsidRPr="00D94F41" w:rsidP="00995E09" w14:paraId="644FBE07" w14:textId="55552648">
      <w:pPr>
        <w:pStyle w:val="BodyText"/>
      </w:pPr>
      <w:r w:rsidRPr="00D94F41">
        <w:t xml:space="preserve">Table B.3 (in section B2 below) presents the round-by-round conditional and unconditional response rates as of Round </w:t>
      </w:r>
      <w:r w:rsidR="00360F12">
        <w:t>91</w:t>
      </w:r>
      <w:r w:rsidRPr="00D94F41">
        <w:t xml:space="preserve"> (Fall round of 20</w:t>
      </w:r>
      <w:r w:rsidR="00FD7D3A">
        <w:t>2</w:t>
      </w:r>
      <w:r w:rsidR="00360F12">
        <w:t>1</w:t>
      </w:r>
      <w:r w:rsidRPr="00D94F41">
        <w:t>) for the samples (referred to in the table as “panels”) selected in 20</w:t>
      </w:r>
      <w:r w:rsidRPr="00D94F41" w:rsidR="00C00C81">
        <w:t>1</w:t>
      </w:r>
      <w:r w:rsidR="007030AC">
        <w:t>5</w:t>
      </w:r>
      <w:r w:rsidRPr="00D94F41">
        <w:t xml:space="preserve"> through 20</w:t>
      </w:r>
      <w:r w:rsidR="00FD7D3A">
        <w:t>2</w:t>
      </w:r>
      <w:r w:rsidR="00360F12">
        <w:t>1</w:t>
      </w:r>
      <w:r w:rsidRPr="00D94F41">
        <w:t xml:space="preserve">. For example, from the bottom part of the table, it can be seen that by the 10th round of data collection for the </w:t>
      </w:r>
      <w:r w:rsidRPr="00D94F41" w:rsidR="00A672EA">
        <w:t>201</w:t>
      </w:r>
      <w:r w:rsidR="00360F12">
        <w:t>8</w:t>
      </w:r>
      <w:r w:rsidRPr="00D94F41" w:rsidR="00A672EA">
        <w:t xml:space="preserve"> </w:t>
      </w:r>
      <w:r w:rsidRPr="00D94F41">
        <w:t xml:space="preserve">panel, </w:t>
      </w:r>
      <w:r w:rsidR="007030AC">
        <w:t>19.0</w:t>
      </w:r>
      <w:r w:rsidRPr="00D94F41">
        <w:t xml:space="preserve"> percent of the </w:t>
      </w:r>
      <w:r w:rsidRPr="00D94F41" w:rsidR="00A672EA">
        <w:t>201</w:t>
      </w:r>
      <w:r w:rsidR="00360F12">
        <w:t>8</w:t>
      </w:r>
      <w:r w:rsidRPr="00D94F41" w:rsidR="00A672EA">
        <w:t xml:space="preserve"> </w:t>
      </w:r>
      <w:r w:rsidRPr="00D94F41">
        <w:t xml:space="preserve">panel were still in a formal responding status (that is, either the sampled beneficiary was alive and still participating in the study or had died but a cooperative proxy was found for the collection of data on the last months of life) or had participated in the survey until death, leaving enough data to estimate the last months of life. For the </w:t>
      </w:r>
      <w:r w:rsidRPr="00D94F41" w:rsidR="00A672EA">
        <w:t>201</w:t>
      </w:r>
      <w:r w:rsidR="00360F12">
        <w:t>9</w:t>
      </w:r>
      <w:r w:rsidRPr="00D94F41" w:rsidR="00A672EA">
        <w:t xml:space="preserve"> </w:t>
      </w:r>
      <w:r w:rsidRPr="00D94F41">
        <w:t xml:space="preserve">and </w:t>
      </w:r>
      <w:r w:rsidRPr="00D94F41" w:rsidR="00A672EA">
        <w:t>20</w:t>
      </w:r>
      <w:r w:rsidR="00360F12">
        <w:t>20</w:t>
      </w:r>
      <w:r w:rsidRPr="00D94F41" w:rsidR="00A672EA">
        <w:t xml:space="preserve"> </w:t>
      </w:r>
      <w:r w:rsidRPr="00D94F41">
        <w:t xml:space="preserve">panels, the unconditional response rates as of Round </w:t>
      </w:r>
      <w:r w:rsidR="00360F12">
        <w:t>91</w:t>
      </w:r>
      <w:r w:rsidRPr="00D94F41" w:rsidR="00A672EA">
        <w:t xml:space="preserve"> </w:t>
      </w:r>
      <w:r w:rsidRPr="00D94F41">
        <w:t xml:space="preserve">were </w:t>
      </w:r>
      <w:r w:rsidR="00255E53">
        <w:t>2</w:t>
      </w:r>
      <w:r w:rsidR="007030AC">
        <w:t>1</w:t>
      </w:r>
      <w:r w:rsidR="00255E53">
        <w:t>.</w:t>
      </w:r>
      <w:r w:rsidR="007030AC">
        <w:t>9</w:t>
      </w:r>
      <w:r w:rsidRPr="00D94F41">
        <w:t xml:space="preserve"> percent (through the 7th round of data collection) and </w:t>
      </w:r>
      <w:r w:rsidR="007030AC">
        <w:t>2</w:t>
      </w:r>
      <w:r w:rsidR="00255E53">
        <w:t>2.</w:t>
      </w:r>
      <w:r w:rsidR="007030AC">
        <w:t>8</w:t>
      </w:r>
      <w:r w:rsidRPr="00D94F41">
        <w:t xml:space="preserve"> percent (through the 4th round of data collection), respectively. The </w:t>
      </w:r>
      <w:r w:rsidR="00255E53">
        <w:t>202</w:t>
      </w:r>
      <w:r w:rsidR="00360F12">
        <w:t>1</w:t>
      </w:r>
      <w:r w:rsidRPr="00D94F41" w:rsidR="00255E53">
        <w:t xml:space="preserve"> </w:t>
      </w:r>
      <w:r w:rsidRPr="00D94F41">
        <w:t xml:space="preserve">panel (the new </w:t>
      </w:r>
      <w:r w:rsidRPr="00D94F41">
        <w:t>panel selected in Round</w:t>
      </w:r>
      <w:r w:rsidRPr="00D94F41" w:rsidR="004D6EBE">
        <w:t xml:space="preserve"> </w:t>
      </w:r>
      <w:r w:rsidR="00AE2936">
        <w:t>91</w:t>
      </w:r>
      <w:r w:rsidRPr="00D94F41">
        <w:t xml:space="preserve">) had an initial response rate of </w:t>
      </w:r>
      <w:r w:rsidR="007030AC">
        <w:t>38.1</w:t>
      </w:r>
      <w:r w:rsidRPr="00D94F41" w:rsidR="00A672EA">
        <w:t xml:space="preserve"> </w:t>
      </w:r>
      <w:r w:rsidRPr="00D94F41">
        <w:t>percent in its first round of data collection.</w:t>
      </w:r>
    </w:p>
    <w:p w:rsidR="0088452B" w:rsidRPr="00D94F41" w:rsidP="00267F93" w14:paraId="4C6D6757" w14:textId="1996AE94">
      <w:pPr>
        <w:pStyle w:val="BodyText"/>
        <w:keepLines/>
      </w:pPr>
      <w:r w:rsidRPr="00D94F41">
        <w:t xml:space="preserve">Round </w:t>
      </w:r>
      <w:r w:rsidR="007030AC">
        <w:t>91</w:t>
      </w:r>
      <w:r w:rsidRPr="00D94F41" w:rsidR="002229E3">
        <w:t xml:space="preserve"> </w:t>
      </w:r>
      <w:r w:rsidRPr="00D94F41">
        <w:t xml:space="preserve">(Fall </w:t>
      </w:r>
      <w:r w:rsidRPr="00D94F41" w:rsidR="00207FA8">
        <w:t>20</w:t>
      </w:r>
      <w:r w:rsidR="00FD7D3A">
        <w:t>2</w:t>
      </w:r>
      <w:r w:rsidR="007030AC">
        <w:t>1</w:t>
      </w:r>
      <w:r w:rsidRPr="00D94F41">
        <w:t xml:space="preserve">) is the latest round for which MCBS data have been fully processed. There were </w:t>
      </w:r>
      <w:r w:rsidR="005628E5">
        <w:t>2,068</w:t>
      </w:r>
      <w:r w:rsidRPr="00D94F41" w:rsidR="00CD209E">
        <w:t xml:space="preserve"> </w:t>
      </w:r>
      <w:r w:rsidRPr="00D94F41">
        <w:t xml:space="preserve">interviews successfully completed at Round </w:t>
      </w:r>
      <w:r w:rsidR="007030AC">
        <w:t>91</w:t>
      </w:r>
      <w:r w:rsidRPr="00D94F41" w:rsidR="002229E3">
        <w:t xml:space="preserve"> </w:t>
      </w:r>
      <w:r w:rsidRPr="00D94F41">
        <w:t xml:space="preserve">with still-living members of </w:t>
      </w:r>
      <w:r w:rsidRPr="00D94F41" w:rsidR="00CB0CCE">
        <w:t>the 201</w:t>
      </w:r>
      <w:r w:rsidR="007030AC">
        <w:t>8</w:t>
      </w:r>
      <w:r w:rsidRPr="00D94F41" w:rsidR="00A53717">
        <w:t xml:space="preserve"> </w:t>
      </w:r>
      <w:r w:rsidRPr="00D94F41">
        <w:t xml:space="preserve">panel. For brevity, we refer to these </w:t>
      </w:r>
      <w:r w:rsidR="005628E5">
        <w:t>2,068</w:t>
      </w:r>
      <w:r w:rsidRPr="00D94F41" w:rsidR="00B1062F">
        <w:t xml:space="preserve"> </w:t>
      </w:r>
      <w:r w:rsidRPr="00D94F41">
        <w:t xml:space="preserve">interviews as “live completes.” For the </w:t>
      </w:r>
      <w:r w:rsidRPr="00D94F41" w:rsidR="00207FA8">
        <w:t>201</w:t>
      </w:r>
      <w:r w:rsidR="007030AC">
        <w:t>9</w:t>
      </w:r>
      <w:r w:rsidRPr="00D94F41" w:rsidR="00207FA8">
        <w:t xml:space="preserve"> </w:t>
      </w:r>
      <w:bookmarkStart w:id="14" w:name="B2._Procedures_for_Collecting_Informatio"/>
      <w:bookmarkEnd w:id="14"/>
      <w:r w:rsidRPr="00D94F41" w:rsidR="000101BD">
        <w:t>and 20</w:t>
      </w:r>
      <w:r w:rsidR="007030AC">
        <w:t>20</w:t>
      </w:r>
      <w:r w:rsidRPr="00D94F41" w:rsidR="00207FA8">
        <w:t xml:space="preserve"> </w:t>
      </w:r>
      <w:r w:rsidRPr="00D94F41">
        <w:t xml:space="preserve">panels there were </w:t>
      </w:r>
      <w:r w:rsidR="005628E5">
        <w:t>2,404</w:t>
      </w:r>
      <w:r w:rsidRPr="00D94F41" w:rsidR="000101BD">
        <w:t xml:space="preserve"> and </w:t>
      </w:r>
      <w:r w:rsidR="005628E5">
        <w:t>3,412</w:t>
      </w:r>
      <w:r w:rsidR="00CD209E">
        <w:t xml:space="preserve"> </w:t>
      </w:r>
      <w:r w:rsidRPr="00D94F41">
        <w:t xml:space="preserve">live Round </w:t>
      </w:r>
      <w:r w:rsidR="007030AC">
        <w:t>91</w:t>
      </w:r>
      <w:r w:rsidRPr="00D94F41" w:rsidR="002229E3">
        <w:t xml:space="preserve"> </w:t>
      </w:r>
      <w:r w:rsidRPr="00D94F41">
        <w:t xml:space="preserve">completes, respectively. For the first round of data collection for the </w:t>
      </w:r>
      <w:r w:rsidRPr="00D94F41" w:rsidR="00207FA8">
        <w:t>20</w:t>
      </w:r>
      <w:r w:rsidR="00CD209E">
        <w:t>2</w:t>
      </w:r>
      <w:r w:rsidR="007030AC">
        <w:t>1</w:t>
      </w:r>
      <w:r w:rsidRPr="00D94F41" w:rsidR="00207FA8">
        <w:t xml:space="preserve"> </w:t>
      </w:r>
      <w:r w:rsidRPr="00D94F41">
        <w:t xml:space="preserve">panel, there were </w:t>
      </w:r>
      <w:r w:rsidR="005628E5">
        <w:t>5,789</w:t>
      </w:r>
      <w:r w:rsidRPr="00D94F41">
        <w:t xml:space="preserve"> completes at Round </w:t>
      </w:r>
      <w:r w:rsidR="005628E5">
        <w:t>91</w:t>
      </w:r>
      <w:r w:rsidRPr="00D94F41">
        <w:t>.</w:t>
      </w:r>
    </w:p>
    <w:p w:rsidR="0088452B" w:rsidRPr="00D94F41" w:rsidP="004D6EBE" w14:paraId="6D27E610" w14:textId="19F63E49">
      <w:pPr>
        <w:pStyle w:val="BodyText"/>
      </w:pPr>
      <w:r w:rsidRPr="00D94F41">
        <w:t>The MCBS has used a variety of techniques to maintain respondents in the survey and reduce attrition. These will be continued and adapted to comply with the time frames for initiating and implementing the continuing sample.</w:t>
      </w:r>
    </w:p>
    <w:p w:rsidR="0088452B" w:rsidRPr="00D94F41" w:rsidP="00CF2B93" w14:paraId="2EB1EEEC" w14:textId="3F4C0CE6">
      <w:pPr>
        <w:pStyle w:val="Heading3"/>
        <w:tabs>
          <w:tab w:val="left" w:pos="450"/>
        </w:tabs>
      </w:pPr>
      <w:bookmarkStart w:id="15" w:name="_Toc91154936"/>
      <w:bookmarkStart w:id="16" w:name="_Toc170735985"/>
      <w:r w:rsidRPr="00D94F41">
        <w:t>B2.</w:t>
      </w:r>
      <w:r w:rsidRPr="00D94F41" w:rsidR="00BB2D9F">
        <w:tab/>
      </w:r>
      <w:r w:rsidRPr="00D94F41">
        <w:t>Procedures for Collecting Information</w:t>
      </w:r>
      <w:bookmarkEnd w:id="15"/>
      <w:bookmarkEnd w:id="16"/>
    </w:p>
    <w:p w:rsidR="0088452B" w:rsidRPr="00D94F41" w:rsidP="004D6EBE" w14:paraId="7B2797FE" w14:textId="77777777">
      <w:pPr>
        <w:pStyle w:val="BodyText"/>
      </w:pPr>
      <w:r w:rsidRPr="00D94F41">
        <w:t>This section describes the procedures used to select the samples for the national survey. It includes a general discussion of the statistical methodology for stratification and rotational panel selection, estimation procedures, and the degree of accuracy needed. This is followed by a presentation of how instrument sections are used to enhance the analytic potential of the MCBS data. Finally, there is a discussion of rules for allowing proxy response.</w:t>
      </w:r>
    </w:p>
    <w:p w:rsidR="0088452B" w:rsidRPr="00D94F41" w:rsidP="00F53796" w14:paraId="38FED752" w14:textId="1BAB0123">
      <w:pPr>
        <w:pStyle w:val="Heading4"/>
      </w:pPr>
      <w:r w:rsidRPr="00D94F41">
        <w:t>Statistical Methodology for Stratification and Sample Selection</w:t>
      </w:r>
    </w:p>
    <w:p w:rsidR="0088452B" w:rsidRPr="00D94F41" w:rsidP="00BB2D9F" w14:paraId="23973BEF" w14:textId="58BB7C54">
      <w:pPr>
        <w:pStyle w:val="BodyText"/>
      </w:pPr>
      <w:r w:rsidRPr="00D94F41">
        <w:t>This section opens with a description of the MCBS sample design. This is followed by a general discussion of the selection of the or</w:t>
      </w:r>
      <w:r w:rsidRPr="00D94F41" w:rsidR="005770A6">
        <w:t xml:space="preserve">iginal and annual new incoming </w:t>
      </w:r>
      <w:r w:rsidRPr="00D94F41">
        <w:t>samples and the use of Medicare administrative enrollment data each year to reduce problems associated with duplication of samples across the years.</w:t>
      </w:r>
    </w:p>
    <w:p w:rsidR="0088452B" w:rsidRPr="00D94F41" w:rsidP="004E1371" w14:paraId="7BE2FCD0" w14:textId="76AB6B5C">
      <w:pPr>
        <w:pStyle w:val="ListNumber"/>
      </w:pPr>
      <w:r w:rsidRPr="00D94F41">
        <w:rPr>
          <w:u w:val="single"/>
        </w:rPr>
        <w:t>PSU and Census tract clustering</w:t>
      </w:r>
      <w:r w:rsidRPr="00D94F41">
        <w:t>. The MCBS employs a complex multistage probability sample design. At the first stage of selection, the sample consists of 10</w:t>
      </w:r>
      <w:r w:rsidRPr="00D94F41" w:rsidR="00531702">
        <w:t>4</w:t>
      </w:r>
      <w:r>
        <w:rPr>
          <w:rStyle w:val="FootnoteReference"/>
          <w:szCs w:val="24"/>
        </w:rPr>
        <w:footnoteReference w:id="3"/>
      </w:r>
      <w:r w:rsidRPr="00D94F41">
        <w:t xml:space="preserve"> primary sampling units (PSUs) defined to be metropolitan areas and clusters of nonmetropolitan counties. At the second stage of selection, samples of Census tracts are selected within the sampled PSUs. At the third and final stage of selection, stratified samples of beneficiaries within the selected Census tracts are sampled at rates that depend on age group and ethnicity. </w:t>
      </w:r>
    </w:p>
    <w:p w:rsidR="0088452B" w:rsidRPr="00D94F41" w:rsidP="004E1371" w14:paraId="4E09B238" w14:textId="23F8A351">
      <w:pPr>
        <w:pStyle w:val="ListContinue"/>
      </w:pPr>
      <w:r w:rsidRPr="00D94F41">
        <w:t>Th</w:t>
      </w:r>
      <w:r w:rsidRPr="00D94F41" w:rsidR="004112E2">
        <w:t>e strata used for selection of the PSUs cover</w:t>
      </w:r>
      <w:r w:rsidRPr="00D94F41">
        <w:t>s</w:t>
      </w:r>
      <w:r w:rsidRPr="00D94F41" w:rsidR="004112E2">
        <w:t xml:space="preserve"> the 50 states and the District of Columbia. Since PSUs were selected randomly with probabilities proportionate to size, there are some states without any sample PSUs within their boundaries. Within major strata defined by region and metropolitan status, PSUs were sorted by percent of beneficiaries enrolled in HMOs and/or percent of beneficiaries who are minorities based on data in CMS administrative files. Substrata of roughly equal size were created from the ordered list for sample selection.</w:t>
      </w:r>
    </w:p>
    <w:p w:rsidR="0088452B" w:rsidRPr="00D94F41" w:rsidP="00FD4AC6" w14:paraId="6506F585" w14:textId="1F7CB724">
      <w:pPr>
        <w:pStyle w:val="ListContinue"/>
        <w:tabs>
          <w:tab w:val="left" w:pos="1350"/>
        </w:tabs>
      </w:pPr>
      <w:r w:rsidRPr="00D94F41">
        <w:t xml:space="preserve">In 2014, within the PSUs, a sample of 703 second-stage units (SSUs) consisting of Census tracts or clusters of adjacent tracts was selected. There were several steps in the SSU sampling process. First, an extract of the entire Medicare administrative enrollment data was obtained, and all beneficiaries’ addresses were geocoded to the tract level. A minimum measure of size was used to determine whether a Census tract was large enough (i.e., had enough Medicare beneficiaries) to stand on its own as an SSU or would need to be combined with one or more adjacent tracts. A frame of 24,212 SSUs was then constructed, and a </w:t>
      </w:r>
      <w:r w:rsidRPr="00D94F41">
        <w:t>sample of 703 SSUs was selected using systematic probability proportional to size. These SSUs have been used for sampling MCBS beneficiaries since 2014</w:t>
      </w:r>
      <w:r>
        <w:rPr>
          <w:rStyle w:val="FootnoteReference"/>
        </w:rPr>
        <w:footnoteReference w:id="4"/>
      </w:r>
      <w:r w:rsidRPr="00D94F41">
        <w:t xml:space="preserve"> and were sized to be used for up to 20 years. An additional sample of 339 reserve SSUs was also selected to support an expansion of the sample or the study of special rare populations in future years. To date, these reserve SSUs have not yet been used for sampling for the MCBS.</w:t>
      </w:r>
    </w:p>
    <w:p w:rsidR="0088452B" w:rsidRPr="00D94F41" w:rsidP="00AE5C2C" w14:paraId="1281409D" w14:textId="44B42C25">
      <w:pPr>
        <w:pStyle w:val="Caption"/>
        <w:tabs>
          <w:tab w:val="left" w:pos="1170"/>
          <w:tab w:val="left" w:pos="1260"/>
        </w:tabs>
        <w:spacing w:before="180"/>
      </w:pPr>
      <w:r w:rsidRPr="00D94F41">
        <w:t xml:space="preserve">Table B.3: </w:t>
      </w:r>
      <w:r w:rsidR="00632E4F">
        <w:tab/>
      </w:r>
      <w:r w:rsidRPr="00D94F41">
        <w:t xml:space="preserve">Conditional and Unconditional Response Rates as of the </w:t>
      </w:r>
      <w:r w:rsidR="00255E53">
        <w:t>202</w:t>
      </w:r>
      <w:r w:rsidR="000461B1">
        <w:t>1</w:t>
      </w:r>
      <w:r w:rsidRPr="00D94F41" w:rsidR="00255E53">
        <w:t xml:space="preserve"> </w:t>
      </w:r>
      <w:r w:rsidRPr="00D94F41">
        <w:t>Panel for Medicare Current Beneficiary Survey by Interview Round</w:t>
      </w:r>
    </w:p>
    <w:p w:rsidR="00B3066E" w:rsidRPr="00D94F41" w:rsidP="00FD4AC6" w14:paraId="36244499" w14:textId="26132C49">
      <w:pPr>
        <w:pStyle w:val="TableParagraph"/>
        <w:spacing w:before="40" w:after="40"/>
        <w:rPr>
          <w:b/>
          <w:bCs/>
        </w:rPr>
      </w:pPr>
      <w:r w:rsidRPr="00D94F41">
        <w:rPr>
          <w:b/>
          <w:bCs/>
        </w:rPr>
        <w:t>Conditional Response Rates (%) for Medicare Current Beneficiary Survey by Interview Round</w:t>
      </w:r>
    </w:p>
    <w:tbl>
      <w:tblPr>
        <w:tblStyle w:val="GridTableLight"/>
        <w:tblCaption w:val="Table B.3 Conditional response rates for MCBS by interview"/>
        <w:tblW w:w="5026" w:type="pct"/>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1E0"/>
      </w:tblPr>
      <w:tblGrid>
        <w:gridCol w:w="1039"/>
        <w:gridCol w:w="1170"/>
        <w:gridCol w:w="1170"/>
        <w:gridCol w:w="1170"/>
        <w:gridCol w:w="1170"/>
        <w:gridCol w:w="1170"/>
        <w:gridCol w:w="1260"/>
        <w:gridCol w:w="1260"/>
      </w:tblGrid>
      <w:tr w14:paraId="62049016" w14:textId="2C423315" w:rsidTr="00C97F7C">
        <w:tblPrEx>
          <w:tblW w:w="5026" w:type="pct"/>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1E0"/>
        </w:tblPrEx>
        <w:trPr>
          <w:cantSplit/>
          <w:tblHeader/>
          <w:jc w:val="center"/>
        </w:trPr>
        <w:tc>
          <w:tcPr>
            <w:tcW w:w="1038" w:type="dxa"/>
            <w:tcBorders>
              <w:bottom w:val="single" w:sz="4" w:space="0" w:color="auto"/>
            </w:tcBorders>
            <w:tcMar>
              <w:left w:w="72" w:type="dxa"/>
              <w:right w:w="72" w:type="dxa"/>
            </w:tcMar>
            <w:vAlign w:val="bottom"/>
          </w:tcPr>
          <w:p w:rsidR="00172C65" w:rsidRPr="00D94F41" w:rsidP="002130FE" w14:paraId="2126949A" w14:textId="77777777">
            <w:pPr>
              <w:pStyle w:val="TableParagraph"/>
              <w:spacing w:before="40" w:after="40"/>
              <w:rPr>
                <w:b/>
                <w:bCs/>
              </w:rPr>
            </w:pPr>
            <w:bookmarkStart w:id="17" w:name="_Hlk123673385"/>
            <w:r w:rsidRPr="00D94F41">
              <w:rPr>
                <w:b/>
                <w:bCs/>
              </w:rPr>
              <w:t>Round</w:t>
            </w:r>
          </w:p>
        </w:tc>
        <w:tc>
          <w:tcPr>
            <w:tcW w:w="1170" w:type="dxa"/>
            <w:tcBorders>
              <w:bottom w:val="single" w:sz="4" w:space="0" w:color="auto"/>
            </w:tcBorders>
            <w:tcMar>
              <w:left w:w="72" w:type="dxa"/>
              <w:right w:w="72" w:type="dxa"/>
            </w:tcMar>
            <w:vAlign w:val="bottom"/>
          </w:tcPr>
          <w:p w:rsidR="00172C65" w:rsidRPr="00D94F41" w:rsidP="00FD4AC6" w14:paraId="670C7EAC" w14:textId="3E2F8DA8">
            <w:pPr>
              <w:pStyle w:val="TableParagraph"/>
              <w:spacing w:before="40"/>
              <w:jc w:val="center"/>
              <w:rPr>
                <w:b/>
                <w:bCs/>
              </w:rPr>
            </w:pPr>
            <w:r w:rsidRPr="00D94F41">
              <w:rPr>
                <w:b/>
                <w:bCs/>
                <w:color w:val="000000"/>
              </w:rPr>
              <w:t>2015 Panel</w:t>
            </w:r>
            <w:r>
              <w:rPr>
                <w:b/>
                <w:bCs/>
                <w:color w:val="000000"/>
              </w:rPr>
              <w:t xml:space="preserve"> </w:t>
            </w:r>
            <w:r>
              <w:rPr>
                <w:b/>
                <w:bCs/>
                <w:color w:val="000000"/>
              </w:rPr>
              <w:br/>
            </w:r>
            <w:r w:rsidRPr="00D94F41">
              <w:rPr>
                <w:b/>
                <w:bCs/>
                <w:color w:val="000000"/>
              </w:rPr>
              <w:t>(n at R73=</w:t>
            </w:r>
            <w:r>
              <w:rPr>
                <w:b/>
                <w:bCs/>
                <w:color w:val="000000"/>
              </w:rPr>
              <w:t xml:space="preserve"> </w:t>
            </w:r>
            <w:r>
              <w:rPr>
                <w:b/>
                <w:bCs/>
                <w:color w:val="000000"/>
              </w:rPr>
              <w:br/>
            </w:r>
            <w:r w:rsidRPr="00D94F41">
              <w:rPr>
                <w:b/>
                <w:bCs/>
                <w:color w:val="000000"/>
              </w:rPr>
              <w:t>8621)</w:t>
            </w:r>
          </w:p>
        </w:tc>
        <w:tc>
          <w:tcPr>
            <w:tcW w:w="1170" w:type="dxa"/>
            <w:tcBorders>
              <w:bottom w:val="single" w:sz="4" w:space="0" w:color="auto"/>
            </w:tcBorders>
            <w:tcMar>
              <w:left w:w="72" w:type="dxa"/>
              <w:right w:w="72" w:type="dxa"/>
            </w:tcMar>
            <w:vAlign w:val="bottom"/>
          </w:tcPr>
          <w:p w:rsidR="00172C65" w:rsidRPr="00D94F41" w:rsidP="00FD4AC6" w14:paraId="656488A3" w14:textId="2BA83112">
            <w:pPr>
              <w:pStyle w:val="TableParagraph"/>
              <w:spacing w:before="40"/>
              <w:jc w:val="center"/>
              <w:rPr>
                <w:b/>
                <w:bCs/>
              </w:rPr>
            </w:pPr>
            <w:r w:rsidRPr="00D94F41">
              <w:rPr>
                <w:b/>
                <w:bCs/>
                <w:color w:val="000000"/>
              </w:rPr>
              <w:t>2016 Panel</w:t>
            </w:r>
            <w:r>
              <w:rPr>
                <w:b/>
                <w:bCs/>
                <w:color w:val="000000"/>
              </w:rPr>
              <w:t xml:space="preserve"> </w:t>
            </w:r>
            <w:r>
              <w:rPr>
                <w:b/>
                <w:bCs/>
                <w:color w:val="000000"/>
              </w:rPr>
              <w:br/>
            </w:r>
            <w:r w:rsidRPr="00D94F41">
              <w:rPr>
                <w:b/>
                <w:bCs/>
                <w:color w:val="000000"/>
              </w:rPr>
              <w:t>(n at R76=</w:t>
            </w:r>
            <w:r>
              <w:rPr>
                <w:b/>
                <w:bCs/>
                <w:color w:val="000000"/>
              </w:rPr>
              <w:t xml:space="preserve"> </w:t>
            </w:r>
            <w:r>
              <w:rPr>
                <w:b/>
                <w:bCs/>
                <w:color w:val="000000"/>
              </w:rPr>
              <w:br/>
            </w:r>
            <w:r w:rsidRPr="00D94F41">
              <w:rPr>
                <w:b/>
                <w:bCs/>
                <w:color w:val="000000"/>
              </w:rPr>
              <w:t>12145)</w:t>
            </w:r>
          </w:p>
        </w:tc>
        <w:tc>
          <w:tcPr>
            <w:tcW w:w="1170" w:type="dxa"/>
            <w:tcBorders>
              <w:bottom w:val="single" w:sz="4" w:space="0" w:color="auto"/>
            </w:tcBorders>
            <w:tcMar>
              <w:left w:w="72" w:type="dxa"/>
              <w:right w:w="72" w:type="dxa"/>
            </w:tcMar>
            <w:vAlign w:val="bottom"/>
          </w:tcPr>
          <w:p w:rsidR="00172C65" w:rsidRPr="00D94F41" w:rsidP="00FD4AC6" w14:paraId="5CDAD497" w14:textId="125041FF">
            <w:pPr>
              <w:pStyle w:val="TableParagraph"/>
              <w:spacing w:before="40"/>
              <w:jc w:val="center"/>
              <w:rPr>
                <w:b/>
                <w:bCs/>
              </w:rPr>
            </w:pPr>
            <w:r w:rsidRPr="00D94F41">
              <w:rPr>
                <w:b/>
                <w:bCs/>
                <w:color w:val="000000"/>
              </w:rPr>
              <w:t>2017 Panel</w:t>
            </w:r>
            <w:r>
              <w:rPr>
                <w:b/>
                <w:bCs/>
                <w:color w:val="000000"/>
              </w:rPr>
              <w:t xml:space="preserve"> </w:t>
            </w:r>
            <w:r>
              <w:rPr>
                <w:b/>
                <w:bCs/>
                <w:color w:val="000000"/>
              </w:rPr>
              <w:br/>
            </w:r>
            <w:r w:rsidRPr="00D94F41">
              <w:rPr>
                <w:b/>
                <w:bCs/>
                <w:color w:val="000000"/>
              </w:rPr>
              <w:t>(n at R79=</w:t>
            </w:r>
            <w:r>
              <w:rPr>
                <w:b/>
                <w:bCs/>
                <w:color w:val="000000"/>
              </w:rPr>
              <w:t xml:space="preserve"> </w:t>
            </w:r>
            <w:r>
              <w:rPr>
                <w:b/>
                <w:bCs/>
                <w:color w:val="000000"/>
              </w:rPr>
              <w:br/>
            </w:r>
            <w:r w:rsidRPr="00D94F41">
              <w:rPr>
                <w:b/>
                <w:bCs/>
                <w:color w:val="000000"/>
              </w:rPr>
              <w:t>11623)</w:t>
            </w:r>
          </w:p>
        </w:tc>
        <w:tc>
          <w:tcPr>
            <w:tcW w:w="1170" w:type="dxa"/>
            <w:tcBorders>
              <w:bottom w:val="single" w:sz="4" w:space="0" w:color="auto"/>
            </w:tcBorders>
            <w:tcMar>
              <w:left w:w="72" w:type="dxa"/>
              <w:right w:w="72" w:type="dxa"/>
            </w:tcMar>
            <w:vAlign w:val="bottom"/>
          </w:tcPr>
          <w:p w:rsidR="00172C65" w:rsidRPr="00D94F41" w:rsidP="00FD4AC6" w14:paraId="521A9CF7" w14:textId="2934988C">
            <w:pPr>
              <w:pStyle w:val="TableParagraph"/>
              <w:spacing w:before="40"/>
              <w:jc w:val="center"/>
              <w:rPr>
                <w:b/>
                <w:bCs/>
              </w:rPr>
            </w:pPr>
            <w:r w:rsidRPr="00D94F41">
              <w:rPr>
                <w:b/>
                <w:bCs/>
                <w:color w:val="000000"/>
              </w:rPr>
              <w:t>2018 Panel</w:t>
            </w:r>
            <w:r>
              <w:rPr>
                <w:b/>
                <w:bCs/>
                <w:color w:val="000000"/>
              </w:rPr>
              <w:t xml:space="preserve"> </w:t>
            </w:r>
            <w:r>
              <w:rPr>
                <w:b/>
                <w:bCs/>
                <w:color w:val="000000"/>
              </w:rPr>
              <w:br/>
            </w:r>
            <w:r w:rsidRPr="00D94F41">
              <w:rPr>
                <w:b/>
                <w:bCs/>
                <w:color w:val="000000"/>
              </w:rPr>
              <w:t>(n at R82=</w:t>
            </w:r>
            <w:r>
              <w:rPr>
                <w:b/>
                <w:bCs/>
                <w:color w:val="000000"/>
              </w:rPr>
              <w:t xml:space="preserve"> </w:t>
            </w:r>
            <w:r>
              <w:rPr>
                <w:b/>
                <w:bCs/>
                <w:color w:val="000000"/>
              </w:rPr>
              <w:br/>
            </w:r>
            <w:r w:rsidRPr="00D94F41">
              <w:rPr>
                <w:b/>
                <w:bCs/>
                <w:color w:val="000000"/>
              </w:rPr>
              <w:t>11523)</w:t>
            </w:r>
          </w:p>
        </w:tc>
        <w:tc>
          <w:tcPr>
            <w:tcW w:w="1170" w:type="dxa"/>
            <w:tcBorders>
              <w:bottom w:val="single" w:sz="4" w:space="0" w:color="auto"/>
            </w:tcBorders>
            <w:tcMar>
              <w:left w:w="72" w:type="dxa"/>
              <w:right w:w="72" w:type="dxa"/>
            </w:tcMar>
            <w:vAlign w:val="bottom"/>
          </w:tcPr>
          <w:p w:rsidR="00172C65" w:rsidRPr="00D94F41" w:rsidP="00FD4AC6" w14:paraId="28FF95DE" w14:textId="7ABFB156">
            <w:pPr>
              <w:pStyle w:val="TableParagraph"/>
              <w:spacing w:before="40"/>
              <w:jc w:val="center"/>
              <w:rPr>
                <w:b/>
                <w:bCs/>
                <w:color w:val="000000"/>
              </w:rPr>
            </w:pPr>
            <w:r w:rsidRPr="00D94F41">
              <w:rPr>
                <w:b/>
                <w:bCs/>
                <w:color w:val="000000"/>
              </w:rPr>
              <w:t>2019 Panel</w:t>
            </w:r>
            <w:r>
              <w:rPr>
                <w:b/>
                <w:bCs/>
                <w:color w:val="000000"/>
              </w:rPr>
              <w:t xml:space="preserve"> </w:t>
            </w:r>
            <w:r>
              <w:rPr>
                <w:b/>
                <w:bCs/>
                <w:color w:val="000000"/>
              </w:rPr>
              <w:br/>
            </w:r>
            <w:r w:rsidRPr="00D94F41">
              <w:rPr>
                <w:b/>
                <w:bCs/>
                <w:color w:val="000000"/>
              </w:rPr>
              <w:t>(n at R85=</w:t>
            </w:r>
            <w:r>
              <w:rPr>
                <w:b/>
                <w:bCs/>
                <w:color w:val="000000"/>
              </w:rPr>
              <w:t xml:space="preserve"> </w:t>
            </w:r>
            <w:r>
              <w:rPr>
                <w:b/>
                <w:bCs/>
                <w:color w:val="000000"/>
              </w:rPr>
              <w:br/>
            </w:r>
            <w:r w:rsidRPr="00D94F41">
              <w:rPr>
                <w:b/>
                <w:bCs/>
                <w:color w:val="000000"/>
              </w:rPr>
              <w:t>11615)</w:t>
            </w:r>
          </w:p>
        </w:tc>
        <w:tc>
          <w:tcPr>
            <w:tcW w:w="1260" w:type="dxa"/>
            <w:tcBorders>
              <w:bottom w:val="single" w:sz="4" w:space="0" w:color="auto"/>
            </w:tcBorders>
          </w:tcPr>
          <w:p w:rsidR="00172C65" w:rsidRPr="00D94F41" w:rsidP="00702F01" w14:paraId="43D65055" w14:textId="27033445">
            <w:pPr>
              <w:pStyle w:val="TableParagraph"/>
              <w:spacing w:before="40"/>
              <w:jc w:val="center"/>
              <w:rPr>
                <w:b/>
                <w:bCs/>
                <w:color w:val="000000"/>
              </w:rPr>
            </w:pPr>
            <w:r>
              <w:rPr>
                <w:b/>
                <w:bCs/>
                <w:color w:val="000000"/>
              </w:rPr>
              <w:t xml:space="preserve">2020 Panel </w:t>
            </w:r>
            <w:r>
              <w:rPr>
                <w:b/>
                <w:bCs/>
                <w:color w:val="000000"/>
              </w:rPr>
              <w:br/>
              <w:t xml:space="preserve">(n at R88= </w:t>
            </w:r>
            <w:r>
              <w:rPr>
                <w:b/>
                <w:bCs/>
                <w:color w:val="000000"/>
              </w:rPr>
              <w:br/>
              <w:t>15952)</w:t>
            </w:r>
          </w:p>
        </w:tc>
        <w:tc>
          <w:tcPr>
            <w:tcW w:w="1260" w:type="dxa"/>
            <w:tcBorders>
              <w:bottom w:val="single" w:sz="4" w:space="0" w:color="auto"/>
            </w:tcBorders>
          </w:tcPr>
          <w:p w:rsidR="00172C65" w:rsidRPr="00172C65" w:rsidP="00702F01" w14:paraId="02AE8160" w14:textId="0FDA441C">
            <w:pPr>
              <w:pStyle w:val="TableParagraph"/>
              <w:spacing w:before="40"/>
              <w:jc w:val="center"/>
              <w:rPr>
                <w:b/>
                <w:bCs/>
                <w:color w:val="000000"/>
              </w:rPr>
            </w:pPr>
            <w:r w:rsidRPr="00F60718">
              <w:rPr>
                <w:b/>
                <w:bCs/>
                <w:color w:val="000000"/>
              </w:rPr>
              <w:t>2021 Panel (n at R91=</w:t>
            </w:r>
            <w:r w:rsidRPr="00F60718">
              <w:rPr>
                <w:b/>
                <w:bCs/>
                <w:color w:val="000000"/>
              </w:rPr>
              <w:br/>
              <w:t>15950)</w:t>
            </w:r>
          </w:p>
        </w:tc>
      </w:tr>
      <w:bookmarkEnd w:id="17"/>
      <w:tr w14:paraId="3E3E4CFF" w14:textId="7BA6040E" w:rsidTr="00C97F7C">
        <w:tblPrEx>
          <w:tblW w:w="5026" w:type="pct"/>
          <w:jc w:val="center"/>
          <w:tblLayout w:type="fixed"/>
          <w:tblLook w:val="01E0"/>
        </w:tblPrEx>
        <w:trPr>
          <w:cantSplit/>
          <w:jc w:val="center"/>
        </w:trPr>
        <w:tc>
          <w:tcPr>
            <w:tcW w:w="1038" w:type="dxa"/>
            <w:tcBorders>
              <w:bottom w:val="nil"/>
            </w:tcBorders>
            <w:tcMar>
              <w:left w:w="72" w:type="dxa"/>
              <w:right w:w="72" w:type="dxa"/>
            </w:tcMar>
          </w:tcPr>
          <w:p w:rsidR="00172C65" w:rsidRPr="00D94F41" w:rsidP="00172C65" w14:paraId="64188C75" w14:textId="724EE370">
            <w:pPr>
              <w:pStyle w:val="TableParagraph"/>
              <w:spacing w:before="40" w:after="40"/>
            </w:pPr>
            <w:r w:rsidRPr="00D94F41">
              <w:t>Round 1</w:t>
            </w:r>
          </w:p>
        </w:tc>
        <w:tc>
          <w:tcPr>
            <w:tcW w:w="1170" w:type="dxa"/>
            <w:tcBorders>
              <w:bottom w:val="nil"/>
            </w:tcBorders>
            <w:tcMar>
              <w:left w:w="72" w:type="dxa"/>
              <w:right w:w="72" w:type="dxa"/>
            </w:tcMar>
            <w:vAlign w:val="bottom"/>
          </w:tcPr>
          <w:p w:rsidR="00172C65" w:rsidRPr="00D94F41" w:rsidP="00172C65" w14:paraId="12F264F2" w14:textId="44AA9DC4">
            <w:pPr>
              <w:pStyle w:val="TableParagraph"/>
              <w:spacing w:before="40" w:after="40"/>
              <w:ind w:right="288"/>
              <w:jc w:val="right"/>
            </w:pPr>
            <w:r>
              <w:rPr>
                <w:color w:val="000000"/>
              </w:rPr>
              <w:t>53.3</w:t>
            </w:r>
          </w:p>
        </w:tc>
        <w:tc>
          <w:tcPr>
            <w:tcW w:w="1170" w:type="dxa"/>
            <w:tcBorders>
              <w:bottom w:val="nil"/>
            </w:tcBorders>
            <w:tcMar>
              <w:left w:w="72" w:type="dxa"/>
              <w:right w:w="72" w:type="dxa"/>
            </w:tcMar>
          </w:tcPr>
          <w:p w:rsidR="00172C65" w:rsidRPr="00D94F41" w:rsidP="00172C65" w14:paraId="781748B0" w14:textId="607330E2">
            <w:pPr>
              <w:pStyle w:val="TableParagraph"/>
              <w:spacing w:before="40" w:after="40"/>
              <w:ind w:right="288"/>
              <w:jc w:val="right"/>
            </w:pPr>
            <w:r>
              <w:t>54.7</w:t>
            </w:r>
          </w:p>
        </w:tc>
        <w:tc>
          <w:tcPr>
            <w:tcW w:w="1170" w:type="dxa"/>
            <w:tcBorders>
              <w:bottom w:val="nil"/>
            </w:tcBorders>
            <w:tcMar>
              <w:left w:w="72" w:type="dxa"/>
              <w:right w:w="72" w:type="dxa"/>
            </w:tcMar>
          </w:tcPr>
          <w:p w:rsidR="00172C65" w:rsidRPr="00D94F41" w:rsidP="00172C65" w14:paraId="304C91A8" w14:textId="3E272F49">
            <w:pPr>
              <w:pStyle w:val="TableParagraph"/>
              <w:spacing w:before="40" w:after="40"/>
              <w:ind w:right="288"/>
              <w:jc w:val="right"/>
            </w:pPr>
            <w:r>
              <w:t>55.3</w:t>
            </w:r>
          </w:p>
        </w:tc>
        <w:tc>
          <w:tcPr>
            <w:tcW w:w="1170" w:type="dxa"/>
            <w:tcBorders>
              <w:bottom w:val="nil"/>
            </w:tcBorders>
            <w:tcMar>
              <w:left w:w="72" w:type="dxa"/>
              <w:right w:w="72" w:type="dxa"/>
            </w:tcMar>
          </w:tcPr>
          <w:p w:rsidR="00172C65" w:rsidRPr="00D94F41" w:rsidP="00172C65" w14:paraId="047CAE7B" w14:textId="004DCD8E">
            <w:pPr>
              <w:pStyle w:val="TableParagraph"/>
              <w:spacing w:before="40" w:after="40"/>
              <w:ind w:right="288"/>
              <w:jc w:val="right"/>
            </w:pPr>
            <w:r>
              <w:t>55.9</w:t>
            </w:r>
          </w:p>
        </w:tc>
        <w:tc>
          <w:tcPr>
            <w:tcW w:w="1170" w:type="dxa"/>
            <w:tcBorders>
              <w:bottom w:val="nil"/>
            </w:tcBorders>
            <w:tcMar>
              <w:left w:w="72" w:type="dxa"/>
              <w:right w:w="72" w:type="dxa"/>
            </w:tcMar>
          </w:tcPr>
          <w:p w:rsidR="00172C65" w:rsidRPr="00D94F41" w:rsidP="00172C65" w14:paraId="5E1E85CF" w14:textId="43D35F62">
            <w:pPr>
              <w:pStyle w:val="TableParagraph"/>
              <w:spacing w:before="40" w:after="40"/>
              <w:ind w:right="288"/>
              <w:jc w:val="right"/>
              <w:rPr>
                <w:color w:val="000000"/>
              </w:rPr>
            </w:pPr>
            <w:r>
              <w:t>55.1</w:t>
            </w:r>
          </w:p>
        </w:tc>
        <w:tc>
          <w:tcPr>
            <w:tcW w:w="1260" w:type="dxa"/>
            <w:tcBorders>
              <w:bottom w:val="nil"/>
            </w:tcBorders>
          </w:tcPr>
          <w:p w:rsidR="00172C65" w:rsidRPr="00D94F41" w:rsidP="00172C65" w14:paraId="6ABC61A5" w14:textId="1EFEFF2F">
            <w:pPr>
              <w:pStyle w:val="TableParagraph"/>
              <w:spacing w:before="40" w:after="40"/>
              <w:ind w:right="288"/>
              <w:jc w:val="right"/>
            </w:pPr>
            <w:r>
              <w:t>41.9</w:t>
            </w:r>
          </w:p>
        </w:tc>
        <w:tc>
          <w:tcPr>
            <w:tcW w:w="1260" w:type="dxa"/>
            <w:tcBorders>
              <w:bottom w:val="nil"/>
            </w:tcBorders>
          </w:tcPr>
          <w:p w:rsidR="00172C65" w:rsidRPr="009229FE" w:rsidP="00172C65" w14:paraId="2AF69888" w14:textId="6FCAC491">
            <w:pPr>
              <w:pStyle w:val="TableParagraph"/>
              <w:spacing w:before="40" w:after="40"/>
              <w:ind w:right="288"/>
              <w:jc w:val="right"/>
            </w:pPr>
            <w:r>
              <w:t>38.1</w:t>
            </w:r>
          </w:p>
        </w:tc>
      </w:tr>
      <w:tr w14:paraId="7FBEB6F4" w14:textId="51466528" w:rsidTr="00C97F7C">
        <w:tblPrEx>
          <w:tblW w:w="5026" w:type="pct"/>
          <w:jc w:val="center"/>
          <w:tblLayout w:type="fixed"/>
          <w:tblLook w:val="01E0"/>
        </w:tblPrEx>
        <w:trPr>
          <w:cantSplit/>
          <w:jc w:val="center"/>
        </w:trPr>
        <w:tc>
          <w:tcPr>
            <w:tcW w:w="1038" w:type="dxa"/>
            <w:tcBorders>
              <w:top w:val="nil"/>
              <w:bottom w:val="nil"/>
            </w:tcBorders>
            <w:tcMar>
              <w:left w:w="72" w:type="dxa"/>
              <w:right w:w="72" w:type="dxa"/>
            </w:tcMar>
          </w:tcPr>
          <w:p w:rsidR="00172C65" w:rsidRPr="00D94F41" w:rsidP="00172C65" w14:paraId="771CA1D5" w14:textId="77777777">
            <w:pPr>
              <w:pStyle w:val="TableParagraph"/>
              <w:spacing w:before="40" w:after="40"/>
            </w:pPr>
            <w:r w:rsidRPr="00D94F41">
              <w:t>Round 2</w:t>
            </w:r>
          </w:p>
        </w:tc>
        <w:tc>
          <w:tcPr>
            <w:tcW w:w="1170" w:type="dxa"/>
            <w:tcBorders>
              <w:top w:val="nil"/>
              <w:bottom w:val="nil"/>
            </w:tcBorders>
            <w:tcMar>
              <w:left w:w="72" w:type="dxa"/>
              <w:right w:w="72" w:type="dxa"/>
            </w:tcMar>
          </w:tcPr>
          <w:p w:rsidR="00172C65" w:rsidRPr="00D94F41" w:rsidP="00172C65" w14:paraId="3DC9DCFA" w14:textId="37906200">
            <w:pPr>
              <w:pStyle w:val="TableParagraph"/>
              <w:spacing w:before="40" w:after="40"/>
              <w:ind w:right="288"/>
              <w:jc w:val="right"/>
            </w:pPr>
            <w:r>
              <w:t>83.2</w:t>
            </w:r>
          </w:p>
        </w:tc>
        <w:tc>
          <w:tcPr>
            <w:tcW w:w="1170" w:type="dxa"/>
            <w:tcBorders>
              <w:top w:val="nil"/>
              <w:bottom w:val="nil"/>
            </w:tcBorders>
            <w:tcMar>
              <w:left w:w="72" w:type="dxa"/>
              <w:right w:w="72" w:type="dxa"/>
            </w:tcMar>
          </w:tcPr>
          <w:p w:rsidR="00172C65" w:rsidRPr="00D94F41" w:rsidP="00172C65" w14:paraId="042F3E29" w14:textId="390C6F1F">
            <w:pPr>
              <w:pStyle w:val="TableParagraph"/>
              <w:spacing w:before="40" w:after="40"/>
              <w:ind w:right="288"/>
              <w:jc w:val="right"/>
            </w:pPr>
            <w:r>
              <w:t>81.4</w:t>
            </w:r>
          </w:p>
        </w:tc>
        <w:tc>
          <w:tcPr>
            <w:tcW w:w="1170" w:type="dxa"/>
            <w:tcBorders>
              <w:top w:val="nil"/>
              <w:bottom w:val="nil"/>
            </w:tcBorders>
            <w:tcMar>
              <w:left w:w="72" w:type="dxa"/>
              <w:right w:w="72" w:type="dxa"/>
            </w:tcMar>
          </w:tcPr>
          <w:p w:rsidR="00172C65" w:rsidRPr="00D94F41" w:rsidP="00172C65" w14:paraId="23706E7B" w14:textId="2D0FB8ED">
            <w:pPr>
              <w:pStyle w:val="TableParagraph"/>
              <w:spacing w:before="40" w:after="40"/>
              <w:ind w:right="288"/>
              <w:jc w:val="right"/>
            </w:pPr>
            <w:r>
              <w:t>79.9</w:t>
            </w:r>
          </w:p>
        </w:tc>
        <w:tc>
          <w:tcPr>
            <w:tcW w:w="1170" w:type="dxa"/>
            <w:tcBorders>
              <w:top w:val="nil"/>
              <w:bottom w:val="nil"/>
            </w:tcBorders>
            <w:tcMar>
              <w:left w:w="72" w:type="dxa"/>
              <w:right w:w="72" w:type="dxa"/>
            </w:tcMar>
          </w:tcPr>
          <w:p w:rsidR="00172C65" w:rsidRPr="00D94F41" w:rsidP="00172C65" w14:paraId="2B4B3861" w14:textId="4F362C92">
            <w:pPr>
              <w:pStyle w:val="TableParagraph"/>
              <w:spacing w:before="40" w:after="40"/>
              <w:ind w:right="288"/>
              <w:jc w:val="right"/>
            </w:pPr>
            <w:r>
              <w:t>80.9</w:t>
            </w:r>
          </w:p>
        </w:tc>
        <w:tc>
          <w:tcPr>
            <w:tcW w:w="1170" w:type="dxa"/>
            <w:tcBorders>
              <w:top w:val="nil"/>
              <w:bottom w:val="nil"/>
            </w:tcBorders>
            <w:tcMar>
              <w:left w:w="72" w:type="dxa"/>
              <w:right w:w="72" w:type="dxa"/>
            </w:tcMar>
          </w:tcPr>
          <w:p w:rsidR="00172C65" w:rsidRPr="00D94F41" w:rsidP="00172C65" w14:paraId="26793EB8" w14:textId="6C58BA06">
            <w:pPr>
              <w:pStyle w:val="TableParagraph"/>
              <w:spacing w:before="40" w:after="40"/>
              <w:ind w:right="288"/>
              <w:jc w:val="right"/>
            </w:pPr>
            <w:r>
              <w:rPr>
                <w:color w:val="000000"/>
              </w:rPr>
              <w:t>73.4</w:t>
            </w:r>
          </w:p>
        </w:tc>
        <w:tc>
          <w:tcPr>
            <w:tcW w:w="1260" w:type="dxa"/>
            <w:tcBorders>
              <w:top w:val="nil"/>
              <w:bottom w:val="nil"/>
            </w:tcBorders>
          </w:tcPr>
          <w:p w:rsidR="00172C65" w:rsidRPr="00D94F41" w:rsidP="00172C65" w14:paraId="4F5B9578" w14:textId="412BE6EB">
            <w:pPr>
              <w:pStyle w:val="TableParagraph"/>
              <w:spacing w:before="40" w:after="40"/>
              <w:ind w:right="288"/>
              <w:jc w:val="right"/>
            </w:pPr>
            <w:r>
              <w:t xml:space="preserve"> 78.3 </w:t>
            </w:r>
          </w:p>
        </w:tc>
        <w:tc>
          <w:tcPr>
            <w:tcW w:w="1260" w:type="dxa"/>
            <w:tcBorders>
              <w:top w:val="nil"/>
              <w:bottom w:val="nil"/>
            </w:tcBorders>
          </w:tcPr>
          <w:p w:rsidR="00172C65" w:rsidRPr="00D94F41" w:rsidP="00172C65" w14:paraId="14A3A1E0" w14:textId="77777777">
            <w:pPr>
              <w:pStyle w:val="TableParagraph"/>
              <w:spacing w:before="40" w:after="40"/>
              <w:ind w:right="288"/>
              <w:jc w:val="right"/>
            </w:pPr>
          </w:p>
        </w:tc>
      </w:tr>
      <w:tr w14:paraId="59A6C880" w14:textId="6485C8E4" w:rsidTr="00C97F7C">
        <w:tblPrEx>
          <w:tblW w:w="5026" w:type="pct"/>
          <w:jc w:val="center"/>
          <w:tblLayout w:type="fixed"/>
          <w:tblLook w:val="01E0"/>
        </w:tblPrEx>
        <w:trPr>
          <w:cantSplit/>
          <w:jc w:val="center"/>
        </w:trPr>
        <w:tc>
          <w:tcPr>
            <w:tcW w:w="1038" w:type="dxa"/>
            <w:tcBorders>
              <w:top w:val="nil"/>
              <w:bottom w:val="nil"/>
            </w:tcBorders>
            <w:tcMar>
              <w:left w:w="72" w:type="dxa"/>
              <w:right w:w="72" w:type="dxa"/>
            </w:tcMar>
          </w:tcPr>
          <w:p w:rsidR="00172C65" w:rsidRPr="00D94F41" w:rsidP="00172C65" w14:paraId="527DA70D" w14:textId="1A17FEAD">
            <w:pPr>
              <w:pStyle w:val="TableParagraph"/>
              <w:spacing w:before="40" w:after="40"/>
            </w:pPr>
            <w:r w:rsidRPr="00D94F41">
              <w:t>Round 3</w:t>
            </w:r>
          </w:p>
        </w:tc>
        <w:tc>
          <w:tcPr>
            <w:tcW w:w="1170" w:type="dxa"/>
            <w:tcBorders>
              <w:top w:val="nil"/>
              <w:bottom w:val="nil"/>
            </w:tcBorders>
            <w:tcMar>
              <w:left w:w="72" w:type="dxa"/>
              <w:right w:w="72" w:type="dxa"/>
            </w:tcMar>
          </w:tcPr>
          <w:p w:rsidR="00172C65" w:rsidRPr="00D94F41" w:rsidP="00172C65" w14:paraId="54031C12" w14:textId="22E561FB">
            <w:pPr>
              <w:pStyle w:val="TableParagraph"/>
              <w:spacing w:before="40" w:after="40"/>
              <w:ind w:right="288"/>
              <w:jc w:val="right"/>
            </w:pPr>
            <w:r>
              <w:t>82.7</w:t>
            </w:r>
          </w:p>
        </w:tc>
        <w:tc>
          <w:tcPr>
            <w:tcW w:w="1170" w:type="dxa"/>
            <w:tcBorders>
              <w:top w:val="nil"/>
              <w:bottom w:val="nil"/>
            </w:tcBorders>
            <w:tcMar>
              <w:left w:w="72" w:type="dxa"/>
              <w:right w:w="72" w:type="dxa"/>
            </w:tcMar>
          </w:tcPr>
          <w:p w:rsidR="00172C65" w:rsidRPr="00D94F41" w:rsidP="00172C65" w14:paraId="1658CE2F" w14:textId="54EC9FF1">
            <w:pPr>
              <w:pStyle w:val="TableParagraph"/>
              <w:spacing w:before="40" w:after="40"/>
              <w:ind w:right="288"/>
              <w:jc w:val="right"/>
            </w:pPr>
            <w:r>
              <w:t>83.9</w:t>
            </w:r>
          </w:p>
        </w:tc>
        <w:tc>
          <w:tcPr>
            <w:tcW w:w="1170" w:type="dxa"/>
            <w:tcBorders>
              <w:top w:val="nil"/>
              <w:bottom w:val="nil"/>
            </w:tcBorders>
            <w:tcMar>
              <w:left w:w="72" w:type="dxa"/>
              <w:right w:w="72" w:type="dxa"/>
            </w:tcMar>
          </w:tcPr>
          <w:p w:rsidR="00172C65" w:rsidRPr="00D94F41" w:rsidP="00172C65" w14:paraId="67EAAD46" w14:textId="14C0BE84">
            <w:pPr>
              <w:pStyle w:val="TableParagraph"/>
              <w:spacing w:before="40" w:after="40"/>
              <w:ind w:right="288"/>
              <w:jc w:val="right"/>
            </w:pPr>
            <w:r>
              <w:t>83.1</w:t>
            </w:r>
          </w:p>
        </w:tc>
        <w:tc>
          <w:tcPr>
            <w:tcW w:w="1170" w:type="dxa"/>
            <w:tcBorders>
              <w:top w:val="nil"/>
              <w:bottom w:val="nil"/>
            </w:tcBorders>
            <w:tcMar>
              <w:left w:w="72" w:type="dxa"/>
              <w:right w:w="72" w:type="dxa"/>
            </w:tcMar>
          </w:tcPr>
          <w:p w:rsidR="00172C65" w:rsidRPr="00D94F41" w:rsidP="00172C65" w14:paraId="31064C38" w14:textId="415978E3">
            <w:pPr>
              <w:pStyle w:val="TableParagraph"/>
              <w:spacing w:before="40" w:after="40"/>
              <w:ind w:right="288"/>
              <w:jc w:val="right"/>
            </w:pPr>
            <w:r>
              <w:t>82.2</w:t>
            </w:r>
          </w:p>
        </w:tc>
        <w:tc>
          <w:tcPr>
            <w:tcW w:w="1170" w:type="dxa"/>
            <w:tcBorders>
              <w:top w:val="nil"/>
              <w:bottom w:val="nil"/>
            </w:tcBorders>
            <w:tcMar>
              <w:left w:w="72" w:type="dxa"/>
              <w:right w:w="72" w:type="dxa"/>
            </w:tcMar>
          </w:tcPr>
          <w:p w:rsidR="00172C65" w:rsidRPr="00D94F41" w:rsidP="00172C65" w14:paraId="71EA3FD9" w14:textId="207F7961">
            <w:pPr>
              <w:pStyle w:val="TableParagraph"/>
              <w:spacing w:before="40" w:after="40"/>
              <w:ind w:right="288"/>
              <w:jc w:val="right"/>
            </w:pPr>
            <w:r>
              <w:rPr>
                <w:color w:val="000000"/>
              </w:rPr>
              <w:t>83.5</w:t>
            </w:r>
          </w:p>
        </w:tc>
        <w:tc>
          <w:tcPr>
            <w:tcW w:w="1260" w:type="dxa"/>
            <w:tcBorders>
              <w:top w:val="nil"/>
              <w:bottom w:val="nil"/>
            </w:tcBorders>
          </w:tcPr>
          <w:p w:rsidR="00172C65" w:rsidRPr="00D94F41" w:rsidP="00172C65" w14:paraId="21FCD94C" w14:textId="545A3013">
            <w:pPr>
              <w:pStyle w:val="TableParagraph"/>
              <w:spacing w:before="40" w:after="40"/>
              <w:ind w:right="288"/>
              <w:jc w:val="right"/>
            </w:pPr>
            <w:r>
              <w:t xml:space="preserve"> 82.2 </w:t>
            </w:r>
          </w:p>
        </w:tc>
        <w:tc>
          <w:tcPr>
            <w:tcW w:w="1260" w:type="dxa"/>
            <w:tcBorders>
              <w:top w:val="nil"/>
              <w:bottom w:val="nil"/>
            </w:tcBorders>
          </w:tcPr>
          <w:p w:rsidR="00172C65" w:rsidRPr="00D94F41" w:rsidP="00172C65" w14:paraId="7B78CDB5" w14:textId="77777777">
            <w:pPr>
              <w:pStyle w:val="TableParagraph"/>
              <w:spacing w:before="40" w:after="40"/>
              <w:ind w:right="288"/>
              <w:jc w:val="right"/>
            </w:pPr>
          </w:p>
        </w:tc>
      </w:tr>
      <w:tr w14:paraId="134A07A7" w14:textId="647894C2" w:rsidTr="00C97F7C">
        <w:tblPrEx>
          <w:tblW w:w="5026" w:type="pct"/>
          <w:jc w:val="center"/>
          <w:tblLayout w:type="fixed"/>
          <w:tblLook w:val="01E0"/>
        </w:tblPrEx>
        <w:trPr>
          <w:cantSplit/>
          <w:jc w:val="center"/>
        </w:trPr>
        <w:tc>
          <w:tcPr>
            <w:tcW w:w="1038" w:type="dxa"/>
            <w:tcBorders>
              <w:top w:val="nil"/>
              <w:bottom w:val="nil"/>
            </w:tcBorders>
            <w:tcMar>
              <w:left w:w="72" w:type="dxa"/>
              <w:right w:w="72" w:type="dxa"/>
            </w:tcMar>
          </w:tcPr>
          <w:p w:rsidR="00172C65" w:rsidRPr="00D94F41" w:rsidP="00172C65" w14:paraId="6E66AD44" w14:textId="77777777">
            <w:pPr>
              <w:pStyle w:val="TableParagraph"/>
              <w:spacing w:before="40" w:after="40"/>
            </w:pPr>
            <w:r w:rsidRPr="00D94F41">
              <w:t>Round 4</w:t>
            </w:r>
          </w:p>
        </w:tc>
        <w:tc>
          <w:tcPr>
            <w:tcW w:w="1170" w:type="dxa"/>
            <w:tcBorders>
              <w:top w:val="nil"/>
              <w:bottom w:val="nil"/>
            </w:tcBorders>
            <w:tcMar>
              <w:left w:w="72" w:type="dxa"/>
              <w:right w:w="72" w:type="dxa"/>
            </w:tcMar>
          </w:tcPr>
          <w:p w:rsidR="00172C65" w:rsidRPr="00D94F41" w:rsidP="00172C65" w14:paraId="4743FC59" w14:textId="55603AB4">
            <w:pPr>
              <w:pStyle w:val="TableParagraph"/>
              <w:spacing w:before="40" w:after="40"/>
              <w:ind w:right="288"/>
              <w:jc w:val="right"/>
            </w:pPr>
            <w:r>
              <w:t>80.0</w:t>
            </w:r>
          </w:p>
        </w:tc>
        <w:tc>
          <w:tcPr>
            <w:tcW w:w="1170" w:type="dxa"/>
            <w:tcBorders>
              <w:top w:val="nil"/>
              <w:bottom w:val="nil"/>
            </w:tcBorders>
            <w:tcMar>
              <w:left w:w="72" w:type="dxa"/>
              <w:right w:w="72" w:type="dxa"/>
            </w:tcMar>
          </w:tcPr>
          <w:p w:rsidR="00172C65" w:rsidRPr="00D94F41" w:rsidP="00172C65" w14:paraId="1634BBE0" w14:textId="67B8FBA2">
            <w:pPr>
              <w:pStyle w:val="TableParagraph"/>
              <w:spacing w:before="40" w:after="40"/>
              <w:ind w:right="288"/>
              <w:jc w:val="right"/>
            </w:pPr>
            <w:r>
              <w:t>84.2</w:t>
            </w:r>
          </w:p>
        </w:tc>
        <w:tc>
          <w:tcPr>
            <w:tcW w:w="1170" w:type="dxa"/>
            <w:tcBorders>
              <w:top w:val="nil"/>
              <w:bottom w:val="nil"/>
            </w:tcBorders>
            <w:tcMar>
              <w:left w:w="72" w:type="dxa"/>
              <w:right w:w="72" w:type="dxa"/>
            </w:tcMar>
          </w:tcPr>
          <w:p w:rsidR="00172C65" w:rsidRPr="00D94F41" w:rsidP="00172C65" w14:paraId="0018362E" w14:textId="3E9A5370">
            <w:pPr>
              <w:pStyle w:val="TableParagraph"/>
              <w:spacing w:before="40" w:after="40"/>
              <w:ind w:right="288"/>
              <w:jc w:val="right"/>
            </w:pPr>
            <w:r>
              <w:t>85.1</w:t>
            </w:r>
          </w:p>
        </w:tc>
        <w:tc>
          <w:tcPr>
            <w:tcW w:w="1170" w:type="dxa"/>
            <w:tcBorders>
              <w:top w:val="nil"/>
              <w:bottom w:val="nil"/>
            </w:tcBorders>
            <w:tcMar>
              <w:left w:w="72" w:type="dxa"/>
              <w:right w:w="72" w:type="dxa"/>
            </w:tcMar>
          </w:tcPr>
          <w:p w:rsidR="00172C65" w:rsidRPr="00D94F41" w:rsidP="00172C65" w14:paraId="3BE31FDC" w14:textId="417FC482">
            <w:pPr>
              <w:pStyle w:val="TableParagraph"/>
              <w:spacing w:before="40" w:after="40"/>
              <w:ind w:right="288"/>
              <w:jc w:val="right"/>
            </w:pPr>
            <w:r>
              <w:t>84.7</w:t>
            </w:r>
          </w:p>
        </w:tc>
        <w:tc>
          <w:tcPr>
            <w:tcW w:w="1170" w:type="dxa"/>
            <w:tcBorders>
              <w:top w:val="nil"/>
              <w:bottom w:val="nil"/>
            </w:tcBorders>
            <w:tcMar>
              <w:left w:w="72" w:type="dxa"/>
              <w:right w:w="72" w:type="dxa"/>
            </w:tcMar>
          </w:tcPr>
          <w:p w:rsidR="00172C65" w:rsidRPr="00D94F41" w:rsidP="00172C65" w14:paraId="1D990078" w14:textId="5DA27A61">
            <w:pPr>
              <w:pStyle w:val="TableParagraph"/>
              <w:spacing w:before="40" w:after="40"/>
              <w:ind w:right="288"/>
              <w:jc w:val="right"/>
            </w:pPr>
            <w:r>
              <w:rPr>
                <w:color w:val="000000"/>
              </w:rPr>
              <w:t>83.9</w:t>
            </w:r>
          </w:p>
        </w:tc>
        <w:tc>
          <w:tcPr>
            <w:tcW w:w="1260" w:type="dxa"/>
            <w:tcBorders>
              <w:top w:val="nil"/>
              <w:bottom w:val="nil"/>
            </w:tcBorders>
          </w:tcPr>
          <w:p w:rsidR="00172C65" w:rsidRPr="00D94F41" w:rsidP="00172C65" w14:paraId="4BAA9A7F" w14:textId="676BF984">
            <w:pPr>
              <w:pStyle w:val="TableParagraph"/>
              <w:spacing w:before="40" w:after="40"/>
              <w:ind w:right="288"/>
              <w:jc w:val="right"/>
            </w:pPr>
            <w:r>
              <w:t xml:space="preserve"> 81.9 </w:t>
            </w:r>
          </w:p>
        </w:tc>
        <w:tc>
          <w:tcPr>
            <w:tcW w:w="1260" w:type="dxa"/>
            <w:tcBorders>
              <w:top w:val="nil"/>
              <w:bottom w:val="nil"/>
            </w:tcBorders>
          </w:tcPr>
          <w:p w:rsidR="00172C65" w:rsidRPr="00D94F41" w:rsidP="00172C65" w14:paraId="00EFC7FF" w14:textId="77777777">
            <w:pPr>
              <w:pStyle w:val="TableParagraph"/>
              <w:spacing w:before="40" w:after="40"/>
              <w:ind w:right="288"/>
              <w:jc w:val="right"/>
            </w:pPr>
          </w:p>
        </w:tc>
      </w:tr>
      <w:tr w14:paraId="1A17543B" w14:textId="09D83C3C" w:rsidTr="00C97F7C">
        <w:tblPrEx>
          <w:tblW w:w="5026" w:type="pct"/>
          <w:jc w:val="center"/>
          <w:tblLayout w:type="fixed"/>
          <w:tblLook w:val="01E0"/>
        </w:tblPrEx>
        <w:trPr>
          <w:cantSplit/>
          <w:jc w:val="center"/>
        </w:trPr>
        <w:tc>
          <w:tcPr>
            <w:tcW w:w="1038" w:type="dxa"/>
            <w:tcBorders>
              <w:top w:val="nil"/>
              <w:bottom w:val="nil"/>
            </w:tcBorders>
            <w:tcMar>
              <w:left w:w="72" w:type="dxa"/>
              <w:right w:w="72" w:type="dxa"/>
            </w:tcMar>
          </w:tcPr>
          <w:p w:rsidR="00172C65" w:rsidRPr="00D94F41" w:rsidP="00172C65" w14:paraId="1A1452C9" w14:textId="77777777">
            <w:pPr>
              <w:pStyle w:val="TableParagraph"/>
              <w:spacing w:before="40" w:after="40"/>
            </w:pPr>
            <w:r w:rsidRPr="00D94F41">
              <w:t>Round 5</w:t>
            </w:r>
          </w:p>
        </w:tc>
        <w:tc>
          <w:tcPr>
            <w:tcW w:w="1170" w:type="dxa"/>
            <w:tcBorders>
              <w:top w:val="nil"/>
              <w:bottom w:val="nil"/>
            </w:tcBorders>
            <w:tcMar>
              <w:left w:w="72" w:type="dxa"/>
              <w:right w:w="72" w:type="dxa"/>
            </w:tcMar>
            <w:vAlign w:val="bottom"/>
          </w:tcPr>
          <w:p w:rsidR="00172C65" w:rsidRPr="00D94F41" w:rsidP="00172C65" w14:paraId="41C674F9" w14:textId="3D3DBC32">
            <w:pPr>
              <w:pStyle w:val="TableParagraph"/>
              <w:spacing w:before="40" w:after="40"/>
              <w:ind w:right="288"/>
              <w:jc w:val="right"/>
            </w:pPr>
            <w:r>
              <w:rPr>
                <w:color w:val="000000"/>
              </w:rPr>
              <w:t>88.3</w:t>
            </w:r>
          </w:p>
        </w:tc>
        <w:tc>
          <w:tcPr>
            <w:tcW w:w="1170" w:type="dxa"/>
            <w:tcBorders>
              <w:top w:val="nil"/>
              <w:bottom w:val="nil"/>
            </w:tcBorders>
            <w:tcMar>
              <w:left w:w="72" w:type="dxa"/>
              <w:right w:w="72" w:type="dxa"/>
            </w:tcMar>
          </w:tcPr>
          <w:p w:rsidR="00172C65" w:rsidRPr="00D94F41" w:rsidP="00172C65" w14:paraId="758248E6" w14:textId="0469A5A8">
            <w:pPr>
              <w:pStyle w:val="TableParagraph"/>
              <w:spacing w:before="40" w:after="40"/>
              <w:ind w:right="288"/>
              <w:jc w:val="right"/>
            </w:pPr>
            <w:r>
              <w:t>87.9</w:t>
            </w:r>
          </w:p>
        </w:tc>
        <w:tc>
          <w:tcPr>
            <w:tcW w:w="1170" w:type="dxa"/>
            <w:tcBorders>
              <w:top w:val="nil"/>
              <w:bottom w:val="nil"/>
            </w:tcBorders>
            <w:tcMar>
              <w:left w:w="72" w:type="dxa"/>
              <w:right w:w="72" w:type="dxa"/>
            </w:tcMar>
          </w:tcPr>
          <w:p w:rsidR="00172C65" w:rsidRPr="00D94F41" w:rsidP="00172C65" w14:paraId="22339498" w14:textId="6404C930">
            <w:pPr>
              <w:pStyle w:val="TableParagraph"/>
              <w:spacing w:before="40" w:after="40"/>
              <w:ind w:right="288"/>
              <w:jc w:val="right"/>
            </w:pPr>
            <w:r>
              <w:t>88.1</w:t>
            </w:r>
          </w:p>
        </w:tc>
        <w:tc>
          <w:tcPr>
            <w:tcW w:w="1170" w:type="dxa"/>
            <w:tcBorders>
              <w:top w:val="nil"/>
              <w:bottom w:val="nil"/>
            </w:tcBorders>
            <w:tcMar>
              <w:left w:w="72" w:type="dxa"/>
              <w:right w:w="72" w:type="dxa"/>
            </w:tcMar>
          </w:tcPr>
          <w:p w:rsidR="00172C65" w:rsidRPr="00D94F41" w:rsidP="00172C65" w14:paraId="2FD85A92" w14:textId="26A72841">
            <w:pPr>
              <w:pStyle w:val="TableParagraph"/>
              <w:spacing w:before="40" w:after="40"/>
              <w:ind w:right="288"/>
              <w:jc w:val="right"/>
            </w:pPr>
            <w:r>
              <w:rPr>
                <w:color w:val="000000"/>
              </w:rPr>
              <w:t>74.9</w:t>
            </w:r>
          </w:p>
        </w:tc>
        <w:tc>
          <w:tcPr>
            <w:tcW w:w="1170" w:type="dxa"/>
            <w:tcBorders>
              <w:top w:val="nil"/>
              <w:bottom w:val="nil"/>
            </w:tcBorders>
            <w:tcMar>
              <w:left w:w="72" w:type="dxa"/>
              <w:right w:w="72" w:type="dxa"/>
            </w:tcMar>
          </w:tcPr>
          <w:p w:rsidR="00172C65" w:rsidRPr="00D94F41" w:rsidP="00172C65" w14:paraId="37472094" w14:textId="16B9067C">
            <w:pPr>
              <w:pStyle w:val="TableParagraph"/>
              <w:spacing w:before="40" w:after="40"/>
              <w:ind w:right="288"/>
              <w:jc w:val="right"/>
            </w:pPr>
            <w:r>
              <w:t xml:space="preserve"> 84.4 </w:t>
            </w:r>
          </w:p>
        </w:tc>
        <w:tc>
          <w:tcPr>
            <w:tcW w:w="1260" w:type="dxa"/>
            <w:tcBorders>
              <w:top w:val="nil"/>
              <w:bottom w:val="nil"/>
            </w:tcBorders>
          </w:tcPr>
          <w:p w:rsidR="00172C65" w:rsidRPr="00D94F41" w:rsidP="00172C65" w14:paraId="746768C4" w14:textId="77777777">
            <w:pPr>
              <w:pStyle w:val="TableParagraph"/>
              <w:spacing w:before="40" w:after="40"/>
              <w:ind w:right="288"/>
              <w:jc w:val="right"/>
            </w:pPr>
          </w:p>
        </w:tc>
        <w:tc>
          <w:tcPr>
            <w:tcW w:w="1260" w:type="dxa"/>
            <w:tcBorders>
              <w:top w:val="nil"/>
              <w:bottom w:val="nil"/>
            </w:tcBorders>
          </w:tcPr>
          <w:p w:rsidR="00172C65" w:rsidRPr="00D94F41" w:rsidP="00172C65" w14:paraId="478B7EEC" w14:textId="77777777">
            <w:pPr>
              <w:pStyle w:val="TableParagraph"/>
              <w:spacing w:before="40" w:after="40"/>
              <w:ind w:right="288"/>
              <w:jc w:val="right"/>
            </w:pPr>
          </w:p>
        </w:tc>
      </w:tr>
      <w:tr w14:paraId="6ED3FA78" w14:textId="4D9100C2" w:rsidTr="00C97F7C">
        <w:tblPrEx>
          <w:tblW w:w="5026" w:type="pct"/>
          <w:jc w:val="center"/>
          <w:tblLayout w:type="fixed"/>
          <w:tblLook w:val="01E0"/>
        </w:tblPrEx>
        <w:trPr>
          <w:cantSplit/>
          <w:jc w:val="center"/>
        </w:trPr>
        <w:tc>
          <w:tcPr>
            <w:tcW w:w="1038" w:type="dxa"/>
            <w:tcBorders>
              <w:top w:val="nil"/>
              <w:bottom w:val="nil"/>
            </w:tcBorders>
            <w:tcMar>
              <w:left w:w="72" w:type="dxa"/>
              <w:right w:w="72" w:type="dxa"/>
            </w:tcMar>
          </w:tcPr>
          <w:p w:rsidR="00172C65" w:rsidRPr="00D94F41" w:rsidP="00172C65" w14:paraId="0C070FF6" w14:textId="77777777">
            <w:pPr>
              <w:pStyle w:val="TableParagraph"/>
              <w:spacing w:before="40" w:after="40"/>
            </w:pPr>
            <w:r w:rsidRPr="00D94F41">
              <w:t>Round 6</w:t>
            </w:r>
          </w:p>
        </w:tc>
        <w:tc>
          <w:tcPr>
            <w:tcW w:w="1170" w:type="dxa"/>
            <w:tcBorders>
              <w:top w:val="nil"/>
              <w:bottom w:val="nil"/>
            </w:tcBorders>
            <w:tcMar>
              <w:left w:w="72" w:type="dxa"/>
              <w:right w:w="72" w:type="dxa"/>
            </w:tcMar>
            <w:vAlign w:val="bottom"/>
          </w:tcPr>
          <w:p w:rsidR="00172C65" w:rsidRPr="00D94F41" w:rsidP="00172C65" w14:paraId="6FCD8779" w14:textId="75C01C14">
            <w:pPr>
              <w:pStyle w:val="TableParagraph"/>
              <w:spacing w:before="40" w:after="40"/>
              <w:ind w:right="288"/>
              <w:jc w:val="right"/>
            </w:pPr>
            <w:r>
              <w:rPr>
                <w:color w:val="000000"/>
              </w:rPr>
              <w:t>88.0</w:t>
            </w:r>
          </w:p>
        </w:tc>
        <w:tc>
          <w:tcPr>
            <w:tcW w:w="1170" w:type="dxa"/>
            <w:tcBorders>
              <w:top w:val="nil"/>
              <w:bottom w:val="nil"/>
            </w:tcBorders>
            <w:tcMar>
              <w:left w:w="72" w:type="dxa"/>
              <w:right w:w="72" w:type="dxa"/>
            </w:tcMar>
          </w:tcPr>
          <w:p w:rsidR="00172C65" w:rsidRPr="00D94F41" w:rsidP="00172C65" w14:paraId="3AD32F08" w14:textId="66021CA1">
            <w:pPr>
              <w:pStyle w:val="TableParagraph"/>
              <w:spacing w:before="40" w:after="40"/>
              <w:ind w:right="288"/>
              <w:jc w:val="right"/>
            </w:pPr>
            <w:r>
              <w:t>87.7</w:t>
            </w:r>
          </w:p>
        </w:tc>
        <w:tc>
          <w:tcPr>
            <w:tcW w:w="1170" w:type="dxa"/>
            <w:tcBorders>
              <w:top w:val="nil"/>
              <w:bottom w:val="nil"/>
            </w:tcBorders>
            <w:tcMar>
              <w:left w:w="72" w:type="dxa"/>
              <w:right w:w="72" w:type="dxa"/>
            </w:tcMar>
          </w:tcPr>
          <w:p w:rsidR="00172C65" w:rsidRPr="00D94F41" w:rsidP="00172C65" w14:paraId="52C02C55" w14:textId="7A1145F2">
            <w:pPr>
              <w:pStyle w:val="TableParagraph"/>
              <w:spacing w:before="40" w:after="40"/>
              <w:ind w:right="288"/>
              <w:jc w:val="right"/>
            </w:pPr>
            <w:r>
              <w:t>85.7</w:t>
            </w:r>
          </w:p>
        </w:tc>
        <w:tc>
          <w:tcPr>
            <w:tcW w:w="1170" w:type="dxa"/>
            <w:tcBorders>
              <w:top w:val="nil"/>
              <w:bottom w:val="nil"/>
            </w:tcBorders>
            <w:tcMar>
              <w:left w:w="72" w:type="dxa"/>
              <w:right w:w="72" w:type="dxa"/>
            </w:tcMar>
          </w:tcPr>
          <w:p w:rsidR="00172C65" w:rsidRPr="00D94F41" w:rsidP="00172C65" w14:paraId="31719E55" w14:textId="03B53F9E">
            <w:pPr>
              <w:pStyle w:val="TableParagraph"/>
              <w:spacing w:before="40" w:after="40"/>
              <w:ind w:right="288"/>
              <w:jc w:val="right"/>
            </w:pPr>
            <w:r>
              <w:rPr>
                <w:color w:val="000000"/>
              </w:rPr>
              <w:t>89.3</w:t>
            </w:r>
          </w:p>
        </w:tc>
        <w:tc>
          <w:tcPr>
            <w:tcW w:w="1170" w:type="dxa"/>
            <w:tcBorders>
              <w:top w:val="nil"/>
              <w:bottom w:val="nil"/>
            </w:tcBorders>
            <w:tcMar>
              <w:left w:w="72" w:type="dxa"/>
              <w:right w:w="72" w:type="dxa"/>
            </w:tcMar>
          </w:tcPr>
          <w:p w:rsidR="00172C65" w:rsidRPr="00D94F41" w:rsidP="00172C65" w14:paraId="74768A6F" w14:textId="71647719">
            <w:pPr>
              <w:pStyle w:val="TableParagraph"/>
              <w:spacing w:before="40" w:after="40"/>
              <w:ind w:right="288"/>
              <w:jc w:val="right"/>
            </w:pPr>
            <w:r>
              <w:t xml:space="preserve"> 89.1 </w:t>
            </w:r>
          </w:p>
        </w:tc>
        <w:tc>
          <w:tcPr>
            <w:tcW w:w="1260" w:type="dxa"/>
            <w:tcBorders>
              <w:top w:val="nil"/>
              <w:bottom w:val="nil"/>
            </w:tcBorders>
          </w:tcPr>
          <w:p w:rsidR="00172C65" w:rsidRPr="00D94F41" w:rsidP="00172C65" w14:paraId="1529B9D9" w14:textId="77777777">
            <w:pPr>
              <w:pStyle w:val="TableParagraph"/>
              <w:spacing w:before="40" w:after="40"/>
              <w:ind w:right="288"/>
              <w:jc w:val="right"/>
            </w:pPr>
          </w:p>
        </w:tc>
        <w:tc>
          <w:tcPr>
            <w:tcW w:w="1260" w:type="dxa"/>
            <w:tcBorders>
              <w:top w:val="nil"/>
              <w:bottom w:val="nil"/>
            </w:tcBorders>
          </w:tcPr>
          <w:p w:rsidR="00172C65" w:rsidRPr="00D94F41" w:rsidP="00172C65" w14:paraId="4ED6EC8A" w14:textId="77777777">
            <w:pPr>
              <w:pStyle w:val="TableParagraph"/>
              <w:spacing w:before="40" w:after="40"/>
              <w:ind w:right="288"/>
              <w:jc w:val="right"/>
            </w:pPr>
          </w:p>
        </w:tc>
      </w:tr>
      <w:tr w14:paraId="07B42C20" w14:textId="263D50B6" w:rsidTr="00C97F7C">
        <w:tblPrEx>
          <w:tblW w:w="5026" w:type="pct"/>
          <w:jc w:val="center"/>
          <w:tblLayout w:type="fixed"/>
          <w:tblLook w:val="01E0"/>
        </w:tblPrEx>
        <w:trPr>
          <w:cantSplit/>
          <w:jc w:val="center"/>
        </w:trPr>
        <w:tc>
          <w:tcPr>
            <w:tcW w:w="1038" w:type="dxa"/>
            <w:tcBorders>
              <w:top w:val="nil"/>
              <w:bottom w:val="nil"/>
            </w:tcBorders>
            <w:tcMar>
              <w:left w:w="72" w:type="dxa"/>
              <w:right w:w="72" w:type="dxa"/>
            </w:tcMar>
          </w:tcPr>
          <w:p w:rsidR="00172C65" w:rsidRPr="00D94F41" w:rsidP="00172C65" w14:paraId="553CB465" w14:textId="77777777">
            <w:pPr>
              <w:pStyle w:val="TableParagraph"/>
              <w:spacing w:before="40" w:after="40"/>
            </w:pPr>
            <w:r w:rsidRPr="00D94F41">
              <w:t>Round 7</w:t>
            </w:r>
          </w:p>
        </w:tc>
        <w:tc>
          <w:tcPr>
            <w:tcW w:w="1170" w:type="dxa"/>
            <w:tcBorders>
              <w:top w:val="nil"/>
              <w:bottom w:val="nil"/>
            </w:tcBorders>
            <w:tcMar>
              <w:left w:w="72" w:type="dxa"/>
              <w:right w:w="72" w:type="dxa"/>
            </w:tcMar>
            <w:vAlign w:val="bottom"/>
          </w:tcPr>
          <w:p w:rsidR="00172C65" w:rsidRPr="00D94F41" w:rsidP="00172C65" w14:paraId="3B05B195" w14:textId="5B5636AF">
            <w:pPr>
              <w:pStyle w:val="TableParagraph"/>
              <w:spacing w:before="40" w:after="40"/>
              <w:ind w:right="288"/>
              <w:jc w:val="right"/>
            </w:pPr>
            <w:r>
              <w:rPr>
                <w:color w:val="000000"/>
              </w:rPr>
              <w:t>87.7</w:t>
            </w:r>
          </w:p>
        </w:tc>
        <w:tc>
          <w:tcPr>
            <w:tcW w:w="1170" w:type="dxa"/>
            <w:tcBorders>
              <w:top w:val="nil"/>
              <w:bottom w:val="nil"/>
            </w:tcBorders>
            <w:tcMar>
              <w:left w:w="72" w:type="dxa"/>
              <w:right w:w="72" w:type="dxa"/>
            </w:tcMar>
          </w:tcPr>
          <w:p w:rsidR="00172C65" w:rsidRPr="00D94F41" w:rsidP="00172C65" w14:paraId="647A6CCE" w14:textId="157CD0D0">
            <w:pPr>
              <w:pStyle w:val="TableParagraph"/>
              <w:spacing w:before="40" w:after="40"/>
              <w:ind w:right="288"/>
              <w:jc w:val="right"/>
            </w:pPr>
            <w:r>
              <w:t>88.1</w:t>
            </w:r>
          </w:p>
        </w:tc>
        <w:tc>
          <w:tcPr>
            <w:tcW w:w="1170" w:type="dxa"/>
            <w:tcBorders>
              <w:top w:val="nil"/>
              <w:bottom w:val="nil"/>
            </w:tcBorders>
            <w:tcMar>
              <w:left w:w="72" w:type="dxa"/>
              <w:right w:w="72" w:type="dxa"/>
            </w:tcMar>
          </w:tcPr>
          <w:p w:rsidR="00172C65" w:rsidRPr="00D94F41" w:rsidP="00172C65" w14:paraId="47AD0635" w14:textId="70636AFD">
            <w:pPr>
              <w:pStyle w:val="TableParagraph"/>
              <w:spacing w:before="40" w:after="40"/>
              <w:ind w:right="288"/>
              <w:jc w:val="right"/>
            </w:pPr>
            <w:r>
              <w:t>89.4</w:t>
            </w:r>
          </w:p>
        </w:tc>
        <w:tc>
          <w:tcPr>
            <w:tcW w:w="1170" w:type="dxa"/>
            <w:tcBorders>
              <w:top w:val="nil"/>
              <w:bottom w:val="nil"/>
            </w:tcBorders>
            <w:tcMar>
              <w:left w:w="72" w:type="dxa"/>
              <w:right w:w="72" w:type="dxa"/>
            </w:tcMar>
          </w:tcPr>
          <w:p w:rsidR="00172C65" w:rsidRPr="00D94F41" w:rsidP="00172C65" w14:paraId="53D40442" w14:textId="310C6B4A">
            <w:pPr>
              <w:pStyle w:val="TableParagraph"/>
              <w:spacing w:before="40" w:after="40"/>
              <w:ind w:right="288"/>
              <w:jc w:val="right"/>
            </w:pPr>
            <w:r>
              <w:rPr>
                <w:color w:val="000000"/>
              </w:rPr>
              <w:t>88.9</w:t>
            </w:r>
          </w:p>
        </w:tc>
        <w:tc>
          <w:tcPr>
            <w:tcW w:w="1170" w:type="dxa"/>
            <w:tcBorders>
              <w:top w:val="nil"/>
              <w:bottom w:val="nil"/>
            </w:tcBorders>
            <w:tcMar>
              <w:left w:w="72" w:type="dxa"/>
              <w:right w:w="72" w:type="dxa"/>
            </w:tcMar>
          </w:tcPr>
          <w:p w:rsidR="00172C65" w:rsidRPr="00D94F41" w:rsidP="00172C65" w14:paraId="4369FD72" w14:textId="0448920C">
            <w:pPr>
              <w:pStyle w:val="TableParagraph"/>
              <w:spacing w:before="40" w:after="40"/>
              <w:ind w:right="288"/>
              <w:jc w:val="right"/>
            </w:pPr>
            <w:r>
              <w:t xml:space="preserve"> 86.1 </w:t>
            </w:r>
          </w:p>
        </w:tc>
        <w:tc>
          <w:tcPr>
            <w:tcW w:w="1260" w:type="dxa"/>
            <w:tcBorders>
              <w:top w:val="nil"/>
              <w:bottom w:val="nil"/>
            </w:tcBorders>
          </w:tcPr>
          <w:p w:rsidR="00172C65" w:rsidRPr="00D94F41" w:rsidP="00172C65" w14:paraId="222D6CE2" w14:textId="77777777">
            <w:pPr>
              <w:pStyle w:val="TableParagraph"/>
              <w:spacing w:before="40" w:after="40"/>
              <w:ind w:right="288"/>
              <w:jc w:val="right"/>
            </w:pPr>
          </w:p>
        </w:tc>
        <w:tc>
          <w:tcPr>
            <w:tcW w:w="1260" w:type="dxa"/>
            <w:tcBorders>
              <w:top w:val="nil"/>
              <w:bottom w:val="nil"/>
            </w:tcBorders>
          </w:tcPr>
          <w:p w:rsidR="00172C65" w:rsidRPr="00D94F41" w:rsidP="00172C65" w14:paraId="194E2325" w14:textId="77777777">
            <w:pPr>
              <w:pStyle w:val="TableParagraph"/>
              <w:spacing w:before="40" w:after="40"/>
              <w:ind w:right="288"/>
              <w:jc w:val="right"/>
            </w:pPr>
          </w:p>
        </w:tc>
      </w:tr>
      <w:tr w14:paraId="68AEB017" w14:textId="65A711CA" w:rsidTr="00C97F7C">
        <w:tblPrEx>
          <w:tblW w:w="5026" w:type="pct"/>
          <w:jc w:val="center"/>
          <w:tblLayout w:type="fixed"/>
          <w:tblLook w:val="01E0"/>
        </w:tblPrEx>
        <w:trPr>
          <w:cantSplit/>
          <w:jc w:val="center"/>
        </w:trPr>
        <w:tc>
          <w:tcPr>
            <w:tcW w:w="1038" w:type="dxa"/>
            <w:tcBorders>
              <w:top w:val="nil"/>
              <w:bottom w:val="nil"/>
            </w:tcBorders>
            <w:tcMar>
              <w:left w:w="72" w:type="dxa"/>
              <w:right w:w="72" w:type="dxa"/>
            </w:tcMar>
          </w:tcPr>
          <w:p w:rsidR="00172C65" w:rsidRPr="00D94F41" w:rsidP="00172C65" w14:paraId="260D7A6E" w14:textId="77777777">
            <w:pPr>
              <w:pStyle w:val="TableParagraph"/>
              <w:spacing w:before="40" w:after="40"/>
            </w:pPr>
            <w:r w:rsidRPr="00D94F41">
              <w:t>Round 8</w:t>
            </w:r>
          </w:p>
        </w:tc>
        <w:tc>
          <w:tcPr>
            <w:tcW w:w="1170" w:type="dxa"/>
            <w:tcBorders>
              <w:top w:val="nil"/>
              <w:bottom w:val="nil"/>
            </w:tcBorders>
            <w:tcMar>
              <w:left w:w="72" w:type="dxa"/>
              <w:right w:w="72" w:type="dxa"/>
            </w:tcMar>
          </w:tcPr>
          <w:p w:rsidR="00172C65" w:rsidRPr="00D94F41" w:rsidP="00172C65" w14:paraId="3851A9EB" w14:textId="447CC7A1">
            <w:pPr>
              <w:pStyle w:val="TableParagraph"/>
              <w:spacing w:before="40" w:after="40"/>
              <w:ind w:right="288"/>
              <w:jc w:val="right"/>
            </w:pPr>
            <w:r>
              <w:t xml:space="preserve"> 91.5 </w:t>
            </w:r>
          </w:p>
        </w:tc>
        <w:tc>
          <w:tcPr>
            <w:tcW w:w="1170" w:type="dxa"/>
            <w:tcBorders>
              <w:top w:val="nil"/>
              <w:bottom w:val="nil"/>
            </w:tcBorders>
            <w:tcMar>
              <w:left w:w="72" w:type="dxa"/>
              <w:right w:w="72" w:type="dxa"/>
            </w:tcMar>
          </w:tcPr>
          <w:p w:rsidR="00172C65" w:rsidRPr="00D94F41" w:rsidP="00172C65" w14:paraId="2FF06C65" w14:textId="02034BDA">
            <w:pPr>
              <w:pStyle w:val="TableParagraph"/>
              <w:spacing w:before="40" w:after="40"/>
              <w:ind w:right="288"/>
              <w:jc w:val="right"/>
            </w:pPr>
            <w:r>
              <w:t>90.9</w:t>
            </w:r>
          </w:p>
        </w:tc>
        <w:tc>
          <w:tcPr>
            <w:tcW w:w="1170" w:type="dxa"/>
            <w:tcBorders>
              <w:top w:val="nil"/>
              <w:bottom w:val="nil"/>
            </w:tcBorders>
            <w:tcMar>
              <w:left w:w="72" w:type="dxa"/>
              <w:right w:w="72" w:type="dxa"/>
            </w:tcMar>
          </w:tcPr>
          <w:p w:rsidR="00172C65" w:rsidRPr="00D94F41" w:rsidP="00172C65" w14:paraId="357B383B" w14:textId="53818DEF">
            <w:pPr>
              <w:pStyle w:val="TableParagraph"/>
              <w:spacing w:before="40" w:after="40"/>
              <w:ind w:right="288"/>
              <w:jc w:val="right"/>
            </w:pPr>
            <w:r>
              <w:rPr>
                <w:color w:val="000000"/>
              </w:rPr>
              <w:t>80.3</w:t>
            </w:r>
          </w:p>
        </w:tc>
        <w:tc>
          <w:tcPr>
            <w:tcW w:w="1170" w:type="dxa"/>
            <w:tcBorders>
              <w:top w:val="nil"/>
              <w:bottom w:val="nil"/>
            </w:tcBorders>
            <w:tcMar>
              <w:left w:w="72" w:type="dxa"/>
              <w:right w:w="72" w:type="dxa"/>
            </w:tcMar>
          </w:tcPr>
          <w:p w:rsidR="00172C65" w:rsidRPr="00D94F41" w:rsidP="00172C65" w14:paraId="53290B98" w14:textId="6D656C91">
            <w:pPr>
              <w:pStyle w:val="TableParagraph"/>
              <w:spacing w:before="40" w:after="40"/>
              <w:ind w:right="288"/>
              <w:jc w:val="right"/>
            </w:pPr>
            <w:r>
              <w:t xml:space="preserve"> 89.9 </w:t>
            </w:r>
          </w:p>
        </w:tc>
        <w:tc>
          <w:tcPr>
            <w:tcW w:w="1170" w:type="dxa"/>
            <w:tcBorders>
              <w:top w:val="nil"/>
              <w:bottom w:val="nil"/>
            </w:tcBorders>
            <w:tcMar>
              <w:left w:w="72" w:type="dxa"/>
              <w:right w:w="72" w:type="dxa"/>
            </w:tcMar>
          </w:tcPr>
          <w:p w:rsidR="00172C65" w:rsidRPr="00D94F41" w:rsidP="00172C65" w14:paraId="57F83835" w14:textId="20210472">
            <w:pPr>
              <w:pStyle w:val="TableParagraph"/>
              <w:spacing w:before="40" w:after="40"/>
              <w:ind w:right="288"/>
              <w:jc w:val="right"/>
            </w:pPr>
          </w:p>
        </w:tc>
        <w:tc>
          <w:tcPr>
            <w:tcW w:w="1260" w:type="dxa"/>
            <w:tcBorders>
              <w:top w:val="nil"/>
              <w:bottom w:val="nil"/>
            </w:tcBorders>
          </w:tcPr>
          <w:p w:rsidR="00172C65" w:rsidRPr="00D94F41" w:rsidP="00172C65" w14:paraId="5A2413F7" w14:textId="77777777">
            <w:pPr>
              <w:pStyle w:val="TableParagraph"/>
              <w:spacing w:before="40" w:after="40"/>
              <w:ind w:right="288"/>
              <w:jc w:val="right"/>
            </w:pPr>
          </w:p>
        </w:tc>
        <w:tc>
          <w:tcPr>
            <w:tcW w:w="1260" w:type="dxa"/>
            <w:tcBorders>
              <w:top w:val="nil"/>
              <w:bottom w:val="nil"/>
            </w:tcBorders>
          </w:tcPr>
          <w:p w:rsidR="00172C65" w:rsidRPr="00D94F41" w:rsidP="00172C65" w14:paraId="556259EF" w14:textId="77777777">
            <w:pPr>
              <w:pStyle w:val="TableParagraph"/>
              <w:spacing w:before="40" w:after="40"/>
              <w:ind w:right="288"/>
              <w:jc w:val="right"/>
            </w:pPr>
          </w:p>
        </w:tc>
      </w:tr>
      <w:tr w14:paraId="1505A0D8" w14:textId="392100B7" w:rsidTr="00C97F7C">
        <w:tblPrEx>
          <w:tblW w:w="5026" w:type="pct"/>
          <w:jc w:val="center"/>
          <w:tblLayout w:type="fixed"/>
          <w:tblLook w:val="01E0"/>
        </w:tblPrEx>
        <w:trPr>
          <w:cantSplit/>
          <w:jc w:val="center"/>
        </w:trPr>
        <w:tc>
          <w:tcPr>
            <w:tcW w:w="1038" w:type="dxa"/>
            <w:tcBorders>
              <w:top w:val="nil"/>
              <w:bottom w:val="nil"/>
            </w:tcBorders>
            <w:tcMar>
              <w:left w:w="72" w:type="dxa"/>
              <w:right w:w="72" w:type="dxa"/>
            </w:tcMar>
          </w:tcPr>
          <w:p w:rsidR="00172C65" w:rsidRPr="00D94F41" w:rsidP="00172C65" w14:paraId="10A65573" w14:textId="77777777">
            <w:pPr>
              <w:pStyle w:val="TableParagraph"/>
              <w:spacing w:before="40" w:after="40"/>
            </w:pPr>
            <w:r w:rsidRPr="00D94F41">
              <w:t>Round 9</w:t>
            </w:r>
          </w:p>
        </w:tc>
        <w:tc>
          <w:tcPr>
            <w:tcW w:w="1170" w:type="dxa"/>
            <w:tcBorders>
              <w:top w:val="nil"/>
              <w:bottom w:val="nil"/>
            </w:tcBorders>
            <w:tcMar>
              <w:left w:w="72" w:type="dxa"/>
              <w:right w:w="72" w:type="dxa"/>
            </w:tcMar>
          </w:tcPr>
          <w:p w:rsidR="00172C65" w:rsidRPr="00D94F41" w:rsidP="00172C65" w14:paraId="46107AC4" w14:textId="2C2EFC52">
            <w:pPr>
              <w:pStyle w:val="TableParagraph"/>
              <w:spacing w:before="40" w:after="40"/>
              <w:ind w:right="288"/>
              <w:jc w:val="right"/>
            </w:pPr>
            <w:r>
              <w:t xml:space="preserve"> 92.0 </w:t>
            </w:r>
          </w:p>
        </w:tc>
        <w:tc>
          <w:tcPr>
            <w:tcW w:w="1170" w:type="dxa"/>
            <w:tcBorders>
              <w:top w:val="nil"/>
              <w:bottom w:val="nil"/>
            </w:tcBorders>
            <w:tcMar>
              <w:left w:w="72" w:type="dxa"/>
              <w:right w:w="72" w:type="dxa"/>
            </w:tcMar>
          </w:tcPr>
          <w:p w:rsidR="00172C65" w:rsidRPr="00D94F41" w:rsidP="00172C65" w14:paraId="01427D2F" w14:textId="21928EE3">
            <w:pPr>
              <w:pStyle w:val="TableParagraph"/>
              <w:spacing w:before="40" w:after="40"/>
              <w:ind w:right="288"/>
              <w:jc w:val="right"/>
            </w:pPr>
            <w:r>
              <w:t>89.2</w:t>
            </w:r>
          </w:p>
        </w:tc>
        <w:tc>
          <w:tcPr>
            <w:tcW w:w="1170" w:type="dxa"/>
            <w:tcBorders>
              <w:top w:val="nil"/>
              <w:bottom w:val="nil"/>
            </w:tcBorders>
            <w:tcMar>
              <w:left w:w="72" w:type="dxa"/>
              <w:right w:w="72" w:type="dxa"/>
            </w:tcMar>
          </w:tcPr>
          <w:p w:rsidR="00172C65" w:rsidRPr="00D94F41" w:rsidP="00172C65" w14:paraId="6EC92E97" w14:textId="0E805DAE">
            <w:pPr>
              <w:pStyle w:val="TableParagraph"/>
              <w:spacing w:before="40" w:after="40"/>
              <w:ind w:right="288"/>
              <w:jc w:val="right"/>
            </w:pPr>
            <w:r>
              <w:rPr>
                <w:color w:val="000000"/>
              </w:rPr>
              <w:t>92.7</w:t>
            </w:r>
          </w:p>
        </w:tc>
        <w:tc>
          <w:tcPr>
            <w:tcW w:w="1170" w:type="dxa"/>
            <w:tcBorders>
              <w:top w:val="nil"/>
              <w:bottom w:val="nil"/>
            </w:tcBorders>
            <w:tcMar>
              <w:left w:w="72" w:type="dxa"/>
              <w:right w:w="72" w:type="dxa"/>
            </w:tcMar>
          </w:tcPr>
          <w:p w:rsidR="00172C65" w:rsidRPr="00D94F41" w:rsidP="00172C65" w14:paraId="370D51BD" w14:textId="27C5C8DE">
            <w:pPr>
              <w:pStyle w:val="TableParagraph"/>
              <w:spacing w:before="40" w:after="40"/>
              <w:ind w:right="288"/>
              <w:jc w:val="right"/>
            </w:pPr>
            <w:r>
              <w:t xml:space="preserve"> 92.4 </w:t>
            </w:r>
          </w:p>
        </w:tc>
        <w:tc>
          <w:tcPr>
            <w:tcW w:w="1170" w:type="dxa"/>
            <w:tcBorders>
              <w:top w:val="nil"/>
              <w:bottom w:val="nil"/>
            </w:tcBorders>
            <w:tcMar>
              <w:left w:w="72" w:type="dxa"/>
              <w:right w:w="72" w:type="dxa"/>
            </w:tcMar>
          </w:tcPr>
          <w:p w:rsidR="00172C65" w:rsidRPr="00D94F41" w:rsidP="00172C65" w14:paraId="2706F2D6" w14:textId="1BEC1EEA">
            <w:pPr>
              <w:pStyle w:val="TableParagraph"/>
              <w:spacing w:before="40" w:after="40"/>
              <w:ind w:right="288"/>
              <w:jc w:val="right"/>
            </w:pPr>
          </w:p>
        </w:tc>
        <w:tc>
          <w:tcPr>
            <w:tcW w:w="1260" w:type="dxa"/>
            <w:tcBorders>
              <w:top w:val="nil"/>
              <w:bottom w:val="nil"/>
            </w:tcBorders>
          </w:tcPr>
          <w:p w:rsidR="00172C65" w:rsidRPr="00D94F41" w:rsidP="00172C65" w14:paraId="7C6738AB" w14:textId="77777777">
            <w:pPr>
              <w:pStyle w:val="TableParagraph"/>
              <w:spacing w:before="40" w:after="40"/>
              <w:ind w:right="288"/>
              <w:jc w:val="right"/>
            </w:pPr>
          </w:p>
        </w:tc>
        <w:tc>
          <w:tcPr>
            <w:tcW w:w="1260" w:type="dxa"/>
            <w:tcBorders>
              <w:top w:val="nil"/>
              <w:bottom w:val="nil"/>
            </w:tcBorders>
          </w:tcPr>
          <w:p w:rsidR="00172C65" w:rsidRPr="00D94F41" w:rsidP="00172C65" w14:paraId="42252C9F" w14:textId="77777777">
            <w:pPr>
              <w:pStyle w:val="TableParagraph"/>
              <w:spacing w:before="40" w:after="40"/>
              <w:ind w:right="288"/>
              <w:jc w:val="right"/>
            </w:pPr>
          </w:p>
        </w:tc>
      </w:tr>
      <w:tr w14:paraId="75982323" w14:textId="272D95D2" w:rsidTr="00C97F7C">
        <w:tblPrEx>
          <w:tblW w:w="5026" w:type="pct"/>
          <w:jc w:val="center"/>
          <w:tblLayout w:type="fixed"/>
          <w:tblLook w:val="01E0"/>
        </w:tblPrEx>
        <w:trPr>
          <w:cantSplit/>
          <w:jc w:val="center"/>
        </w:trPr>
        <w:tc>
          <w:tcPr>
            <w:tcW w:w="1038" w:type="dxa"/>
            <w:tcBorders>
              <w:top w:val="nil"/>
              <w:bottom w:val="nil"/>
            </w:tcBorders>
            <w:tcMar>
              <w:left w:w="72" w:type="dxa"/>
              <w:right w:w="72" w:type="dxa"/>
            </w:tcMar>
          </w:tcPr>
          <w:p w:rsidR="00172C65" w:rsidRPr="00D94F41" w:rsidP="00172C65" w14:paraId="13F84880" w14:textId="77777777">
            <w:pPr>
              <w:pStyle w:val="TableParagraph"/>
              <w:spacing w:before="40" w:after="40"/>
            </w:pPr>
            <w:r w:rsidRPr="00D94F41">
              <w:t>Round 10</w:t>
            </w:r>
          </w:p>
        </w:tc>
        <w:tc>
          <w:tcPr>
            <w:tcW w:w="1170" w:type="dxa"/>
            <w:tcBorders>
              <w:top w:val="nil"/>
              <w:bottom w:val="nil"/>
            </w:tcBorders>
            <w:tcMar>
              <w:left w:w="72" w:type="dxa"/>
              <w:right w:w="72" w:type="dxa"/>
            </w:tcMar>
          </w:tcPr>
          <w:p w:rsidR="00172C65" w:rsidRPr="00D94F41" w:rsidP="00172C65" w14:paraId="238894E2" w14:textId="6D968D10">
            <w:pPr>
              <w:pStyle w:val="TableParagraph"/>
              <w:spacing w:before="40" w:after="40"/>
              <w:ind w:right="288"/>
              <w:jc w:val="right"/>
            </w:pPr>
            <w:r>
              <w:t xml:space="preserve"> 91.9 </w:t>
            </w:r>
          </w:p>
        </w:tc>
        <w:tc>
          <w:tcPr>
            <w:tcW w:w="1170" w:type="dxa"/>
            <w:tcBorders>
              <w:top w:val="nil"/>
              <w:bottom w:val="nil"/>
            </w:tcBorders>
            <w:tcMar>
              <w:left w:w="72" w:type="dxa"/>
              <w:right w:w="72" w:type="dxa"/>
            </w:tcMar>
          </w:tcPr>
          <w:p w:rsidR="00172C65" w:rsidRPr="00D94F41" w:rsidP="00172C65" w14:paraId="49C47772" w14:textId="43AE8923">
            <w:pPr>
              <w:pStyle w:val="TableParagraph"/>
              <w:spacing w:before="40" w:after="40"/>
              <w:ind w:right="288"/>
              <w:jc w:val="right"/>
            </w:pPr>
            <w:r>
              <w:t>93.2</w:t>
            </w:r>
          </w:p>
        </w:tc>
        <w:tc>
          <w:tcPr>
            <w:tcW w:w="1170" w:type="dxa"/>
            <w:tcBorders>
              <w:top w:val="nil"/>
              <w:bottom w:val="nil"/>
            </w:tcBorders>
            <w:tcMar>
              <w:left w:w="72" w:type="dxa"/>
              <w:right w:w="72" w:type="dxa"/>
            </w:tcMar>
          </w:tcPr>
          <w:p w:rsidR="00172C65" w:rsidRPr="00D94F41" w:rsidP="00172C65" w14:paraId="112725FC" w14:textId="19CFD3F7">
            <w:pPr>
              <w:pStyle w:val="TableParagraph"/>
              <w:spacing w:before="40" w:after="40"/>
              <w:ind w:right="288"/>
              <w:jc w:val="right"/>
            </w:pPr>
            <w:r>
              <w:rPr>
                <w:color w:val="000000"/>
              </w:rPr>
              <w:t>91.4</w:t>
            </w:r>
          </w:p>
        </w:tc>
        <w:tc>
          <w:tcPr>
            <w:tcW w:w="1170" w:type="dxa"/>
            <w:tcBorders>
              <w:top w:val="nil"/>
              <w:bottom w:val="nil"/>
            </w:tcBorders>
            <w:tcMar>
              <w:left w:w="72" w:type="dxa"/>
              <w:right w:w="72" w:type="dxa"/>
            </w:tcMar>
          </w:tcPr>
          <w:p w:rsidR="00172C65" w:rsidRPr="00D94F41" w:rsidP="00172C65" w14:paraId="25E8F8A9" w14:textId="34C91085">
            <w:pPr>
              <w:pStyle w:val="TableParagraph"/>
              <w:spacing w:before="40" w:after="40"/>
              <w:ind w:right="288"/>
              <w:jc w:val="right"/>
            </w:pPr>
            <w:r>
              <w:t xml:space="preserve"> 89.7 </w:t>
            </w:r>
          </w:p>
        </w:tc>
        <w:tc>
          <w:tcPr>
            <w:tcW w:w="1170" w:type="dxa"/>
            <w:tcBorders>
              <w:top w:val="nil"/>
              <w:bottom w:val="nil"/>
            </w:tcBorders>
            <w:tcMar>
              <w:left w:w="72" w:type="dxa"/>
              <w:right w:w="72" w:type="dxa"/>
            </w:tcMar>
          </w:tcPr>
          <w:p w:rsidR="00172C65" w:rsidRPr="00D94F41" w:rsidP="00172C65" w14:paraId="74867410" w14:textId="7E34F7EE">
            <w:pPr>
              <w:pStyle w:val="TableParagraph"/>
              <w:spacing w:before="40" w:after="40"/>
              <w:ind w:right="288"/>
              <w:jc w:val="right"/>
            </w:pPr>
          </w:p>
        </w:tc>
        <w:tc>
          <w:tcPr>
            <w:tcW w:w="1260" w:type="dxa"/>
            <w:tcBorders>
              <w:top w:val="nil"/>
              <w:bottom w:val="nil"/>
            </w:tcBorders>
          </w:tcPr>
          <w:p w:rsidR="00172C65" w:rsidRPr="00D94F41" w:rsidP="00172C65" w14:paraId="5BCEAAB6" w14:textId="77777777">
            <w:pPr>
              <w:pStyle w:val="TableParagraph"/>
              <w:spacing w:before="40" w:after="40"/>
              <w:ind w:right="288"/>
              <w:jc w:val="right"/>
            </w:pPr>
          </w:p>
        </w:tc>
        <w:tc>
          <w:tcPr>
            <w:tcW w:w="1260" w:type="dxa"/>
            <w:tcBorders>
              <w:top w:val="nil"/>
              <w:bottom w:val="nil"/>
            </w:tcBorders>
          </w:tcPr>
          <w:p w:rsidR="00172C65" w:rsidRPr="00D94F41" w:rsidP="00172C65" w14:paraId="1AD96CC3" w14:textId="77777777">
            <w:pPr>
              <w:pStyle w:val="TableParagraph"/>
              <w:spacing w:before="40" w:after="40"/>
              <w:ind w:right="288"/>
              <w:jc w:val="right"/>
            </w:pPr>
          </w:p>
        </w:tc>
      </w:tr>
      <w:tr w14:paraId="6A162C3A" w14:textId="222E35A8" w:rsidTr="00C97F7C">
        <w:tblPrEx>
          <w:tblW w:w="5026" w:type="pct"/>
          <w:jc w:val="center"/>
          <w:tblLayout w:type="fixed"/>
          <w:tblLook w:val="01E0"/>
        </w:tblPrEx>
        <w:trPr>
          <w:cantSplit/>
          <w:jc w:val="center"/>
        </w:trPr>
        <w:tc>
          <w:tcPr>
            <w:tcW w:w="1038" w:type="dxa"/>
            <w:tcBorders>
              <w:top w:val="nil"/>
              <w:bottom w:val="single" w:sz="4" w:space="0" w:color="auto"/>
            </w:tcBorders>
            <w:tcMar>
              <w:left w:w="72" w:type="dxa"/>
              <w:right w:w="72" w:type="dxa"/>
            </w:tcMar>
          </w:tcPr>
          <w:p w:rsidR="00172C65" w:rsidRPr="00D94F41" w:rsidP="00172C65" w14:paraId="6888FB4F" w14:textId="77777777">
            <w:pPr>
              <w:pStyle w:val="TableParagraph"/>
              <w:spacing w:before="40" w:after="40"/>
            </w:pPr>
            <w:r w:rsidRPr="00D94F41">
              <w:t>Round 11</w:t>
            </w:r>
          </w:p>
        </w:tc>
        <w:tc>
          <w:tcPr>
            <w:tcW w:w="1170" w:type="dxa"/>
            <w:tcBorders>
              <w:top w:val="nil"/>
              <w:bottom w:val="single" w:sz="4" w:space="0" w:color="auto"/>
            </w:tcBorders>
            <w:tcMar>
              <w:left w:w="72" w:type="dxa"/>
              <w:right w:w="72" w:type="dxa"/>
            </w:tcMar>
          </w:tcPr>
          <w:p w:rsidR="00172C65" w:rsidRPr="00D94F41" w:rsidP="00172C65" w14:paraId="6CDDDC32" w14:textId="550372CF">
            <w:pPr>
              <w:pStyle w:val="TableParagraph"/>
              <w:spacing w:before="40" w:after="40"/>
              <w:ind w:right="288"/>
              <w:jc w:val="right"/>
            </w:pPr>
            <w:r>
              <w:rPr>
                <w:color w:val="000000"/>
              </w:rPr>
              <w:t>96.8</w:t>
            </w:r>
          </w:p>
        </w:tc>
        <w:tc>
          <w:tcPr>
            <w:tcW w:w="1170" w:type="dxa"/>
            <w:tcBorders>
              <w:top w:val="nil"/>
              <w:bottom w:val="single" w:sz="4" w:space="0" w:color="auto"/>
            </w:tcBorders>
            <w:tcMar>
              <w:left w:w="72" w:type="dxa"/>
              <w:right w:w="72" w:type="dxa"/>
            </w:tcMar>
          </w:tcPr>
          <w:p w:rsidR="00172C65" w:rsidRPr="00D94F41" w:rsidP="00172C65" w14:paraId="16554A3A" w14:textId="0058655E">
            <w:pPr>
              <w:pStyle w:val="TableParagraph"/>
              <w:spacing w:before="40" w:after="40"/>
              <w:ind w:right="288"/>
              <w:jc w:val="right"/>
            </w:pPr>
            <w:r>
              <w:rPr>
                <w:color w:val="000000"/>
              </w:rPr>
              <w:t>91.4</w:t>
            </w:r>
          </w:p>
        </w:tc>
        <w:tc>
          <w:tcPr>
            <w:tcW w:w="1170" w:type="dxa"/>
            <w:tcBorders>
              <w:top w:val="nil"/>
              <w:bottom w:val="single" w:sz="4" w:space="0" w:color="auto"/>
            </w:tcBorders>
            <w:tcMar>
              <w:left w:w="72" w:type="dxa"/>
              <w:right w:w="72" w:type="dxa"/>
            </w:tcMar>
          </w:tcPr>
          <w:p w:rsidR="00172C65" w:rsidRPr="00D94F41" w:rsidP="00172C65" w14:paraId="610D4173" w14:textId="4ED74F25">
            <w:pPr>
              <w:pStyle w:val="TableParagraph"/>
              <w:spacing w:before="40" w:after="40"/>
              <w:ind w:right="288"/>
              <w:jc w:val="right"/>
            </w:pPr>
            <w:r>
              <w:rPr>
                <w:color w:val="000000"/>
              </w:rPr>
              <w:t>95.7</w:t>
            </w:r>
          </w:p>
        </w:tc>
        <w:tc>
          <w:tcPr>
            <w:tcW w:w="1170" w:type="dxa"/>
            <w:tcBorders>
              <w:top w:val="nil"/>
              <w:bottom w:val="single" w:sz="4" w:space="0" w:color="auto"/>
            </w:tcBorders>
            <w:tcMar>
              <w:left w:w="72" w:type="dxa"/>
              <w:right w:w="72" w:type="dxa"/>
            </w:tcMar>
          </w:tcPr>
          <w:p w:rsidR="00172C65" w:rsidRPr="00D94F41" w:rsidP="00172C65" w14:paraId="5494C353" w14:textId="6A92E3A9">
            <w:pPr>
              <w:pStyle w:val="TableParagraph"/>
              <w:spacing w:before="40" w:after="40"/>
              <w:ind w:right="288"/>
              <w:jc w:val="right"/>
            </w:pPr>
          </w:p>
        </w:tc>
        <w:tc>
          <w:tcPr>
            <w:tcW w:w="1170" w:type="dxa"/>
            <w:tcBorders>
              <w:top w:val="nil"/>
              <w:bottom w:val="single" w:sz="4" w:space="0" w:color="auto"/>
            </w:tcBorders>
            <w:tcMar>
              <w:left w:w="72" w:type="dxa"/>
              <w:right w:w="72" w:type="dxa"/>
            </w:tcMar>
          </w:tcPr>
          <w:p w:rsidR="00172C65" w:rsidRPr="00D94F41" w:rsidP="00172C65" w14:paraId="039D289F" w14:textId="2034AC8E">
            <w:pPr>
              <w:pStyle w:val="TableParagraph"/>
              <w:spacing w:before="40" w:after="40"/>
              <w:ind w:right="288"/>
              <w:jc w:val="right"/>
            </w:pPr>
          </w:p>
        </w:tc>
        <w:tc>
          <w:tcPr>
            <w:tcW w:w="1260" w:type="dxa"/>
            <w:tcBorders>
              <w:top w:val="nil"/>
              <w:bottom w:val="single" w:sz="4" w:space="0" w:color="auto"/>
            </w:tcBorders>
          </w:tcPr>
          <w:p w:rsidR="00172C65" w:rsidRPr="00D94F41" w:rsidP="00172C65" w14:paraId="6CEA9CC0" w14:textId="77777777">
            <w:pPr>
              <w:pStyle w:val="TableParagraph"/>
              <w:spacing w:before="40" w:after="40"/>
              <w:ind w:right="288"/>
              <w:jc w:val="right"/>
            </w:pPr>
          </w:p>
        </w:tc>
        <w:tc>
          <w:tcPr>
            <w:tcW w:w="1260" w:type="dxa"/>
            <w:tcBorders>
              <w:top w:val="nil"/>
              <w:bottom w:val="single" w:sz="4" w:space="0" w:color="auto"/>
            </w:tcBorders>
          </w:tcPr>
          <w:p w:rsidR="00172C65" w:rsidRPr="00D94F41" w:rsidP="00172C65" w14:paraId="61CD2613" w14:textId="77777777">
            <w:pPr>
              <w:pStyle w:val="TableParagraph"/>
              <w:spacing w:before="40" w:after="40"/>
              <w:ind w:right="288"/>
              <w:jc w:val="right"/>
            </w:pPr>
          </w:p>
        </w:tc>
      </w:tr>
    </w:tbl>
    <w:p w:rsidR="00B3066E" w:rsidRPr="00D94F41" w:rsidP="00FD4AC6" w14:paraId="3A9BE935" w14:textId="69FC3AB8">
      <w:pPr>
        <w:pStyle w:val="TableParagraph"/>
        <w:spacing w:before="40" w:after="40"/>
        <w:rPr>
          <w:b/>
          <w:bCs/>
        </w:rPr>
      </w:pPr>
      <w:bookmarkStart w:id="18" w:name="_Hlk87358300"/>
      <w:r w:rsidRPr="00D94F41">
        <w:rPr>
          <w:b/>
          <w:bCs/>
        </w:rPr>
        <w:t>Unconditional Response Rates (%) for Medicare Current Beneficiary Survey by Interview Round</w:t>
      </w:r>
    </w:p>
    <w:tbl>
      <w:tblPr>
        <w:tblStyle w:val="GridTableLight"/>
        <w:tblCaption w:val="Conditional response rates for MCBS by interview"/>
        <w:tblW w:w="5042"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1E0"/>
      </w:tblPr>
      <w:tblGrid>
        <w:gridCol w:w="1081"/>
        <w:gridCol w:w="1172"/>
        <w:gridCol w:w="1172"/>
        <w:gridCol w:w="1172"/>
        <w:gridCol w:w="1172"/>
        <w:gridCol w:w="1172"/>
        <w:gridCol w:w="1249"/>
        <w:gridCol w:w="1249"/>
      </w:tblGrid>
      <w:tr w14:paraId="23C05909" w14:textId="779FD91E" w:rsidTr="00C97F7C">
        <w:tblPrEx>
          <w:tblW w:w="5042"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1E0"/>
        </w:tblPrEx>
        <w:trPr>
          <w:cantSplit/>
          <w:tblHeader/>
        </w:trPr>
        <w:tc>
          <w:tcPr>
            <w:tcW w:w="1080" w:type="dxa"/>
            <w:tcBorders>
              <w:top w:val="single" w:sz="4" w:space="0" w:color="auto"/>
              <w:bottom w:val="single" w:sz="4" w:space="0" w:color="auto"/>
            </w:tcBorders>
            <w:tcMar>
              <w:left w:w="72" w:type="dxa"/>
              <w:right w:w="14" w:type="dxa"/>
            </w:tcMar>
            <w:vAlign w:val="bottom"/>
          </w:tcPr>
          <w:p w:rsidR="00172C65" w:rsidRPr="00D94F41" w:rsidP="00702F01" w14:paraId="769DF89C" w14:textId="3C05BD47">
            <w:pPr>
              <w:pStyle w:val="TableParagraph"/>
              <w:spacing w:before="40" w:after="40"/>
              <w:rPr>
                <w:b/>
                <w:bCs/>
              </w:rPr>
            </w:pPr>
            <w:r w:rsidRPr="00D94F41">
              <w:rPr>
                <w:b/>
                <w:bCs/>
              </w:rPr>
              <w:t>Round</w:t>
            </w:r>
          </w:p>
        </w:tc>
        <w:tc>
          <w:tcPr>
            <w:tcW w:w="1172" w:type="dxa"/>
            <w:tcBorders>
              <w:top w:val="single" w:sz="4" w:space="0" w:color="auto"/>
              <w:bottom w:val="single" w:sz="4" w:space="0" w:color="auto"/>
            </w:tcBorders>
            <w:tcMar>
              <w:left w:w="72" w:type="dxa"/>
              <w:right w:w="72" w:type="dxa"/>
            </w:tcMar>
            <w:vAlign w:val="bottom"/>
          </w:tcPr>
          <w:p w:rsidR="00172C65" w:rsidRPr="00D94F41" w:rsidP="00FD4AC6" w14:paraId="4D07D2E6" w14:textId="30A7BE7E">
            <w:pPr>
              <w:pStyle w:val="TableParagraph"/>
              <w:spacing w:before="40"/>
              <w:jc w:val="center"/>
              <w:rPr>
                <w:b/>
                <w:bCs/>
                <w:color w:val="000000"/>
              </w:rPr>
            </w:pPr>
            <w:r w:rsidRPr="00D94F41">
              <w:rPr>
                <w:b/>
                <w:bCs/>
                <w:color w:val="000000"/>
              </w:rPr>
              <w:t>2015 Panel</w:t>
            </w:r>
            <w:r>
              <w:rPr>
                <w:b/>
                <w:bCs/>
                <w:color w:val="000000"/>
              </w:rPr>
              <w:t xml:space="preserve"> </w:t>
            </w:r>
            <w:r>
              <w:rPr>
                <w:b/>
                <w:bCs/>
                <w:color w:val="000000"/>
              </w:rPr>
              <w:br/>
            </w:r>
            <w:r w:rsidRPr="00D94F41">
              <w:rPr>
                <w:b/>
                <w:bCs/>
                <w:color w:val="000000"/>
              </w:rPr>
              <w:t>(n at R73=</w:t>
            </w:r>
            <w:r>
              <w:rPr>
                <w:b/>
                <w:bCs/>
                <w:color w:val="000000"/>
              </w:rPr>
              <w:br/>
            </w:r>
            <w:r w:rsidRPr="00D94F41">
              <w:rPr>
                <w:b/>
                <w:bCs/>
                <w:color w:val="000000"/>
              </w:rPr>
              <w:t>8621)</w:t>
            </w:r>
          </w:p>
        </w:tc>
        <w:tc>
          <w:tcPr>
            <w:tcW w:w="1172" w:type="dxa"/>
            <w:tcBorders>
              <w:top w:val="single" w:sz="4" w:space="0" w:color="auto"/>
              <w:bottom w:val="single" w:sz="4" w:space="0" w:color="auto"/>
            </w:tcBorders>
            <w:tcMar>
              <w:left w:w="72" w:type="dxa"/>
              <w:right w:w="72" w:type="dxa"/>
            </w:tcMar>
            <w:vAlign w:val="bottom"/>
          </w:tcPr>
          <w:p w:rsidR="00172C65" w:rsidRPr="00D94F41" w:rsidP="00FD4AC6" w14:paraId="40328ECE" w14:textId="0CDA85CD">
            <w:pPr>
              <w:pStyle w:val="TableParagraph"/>
              <w:spacing w:before="40"/>
              <w:jc w:val="center"/>
              <w:rPr>
                <w:b/>
                <w:bCs/>
                <w:color w:val="000000"/>
              </w:rPr>
            </w:pPr>
            <w:r w:rsidRPr="00D94F41">
              <w:rPr>
                <w:b/>
                <w:bCs/>
                <w:color w:val="000000"/>
              </w:rPr>
              <w:t>2016 Panel</w:t>
            </w:r>
            <w:r>
              <w:rPr>
                <w:b/>
                <w:bCs/>
                <w:color w:val="000000"/>
              </w:rPr>
              <w:t xml:space="preserve"> </w:t>
            </w:r>
            <w:r>
              <w:rPr>
                <w:b/>
                <w:bCs/>
                <w:color w:val="000000"/>
              </w:rPr>
              <w:br/>
            </w:r>
            <w:r w:rsidRPr="00D94F41">
              <w:rPr>
                <w:b/>
                <w:bCs/>
                <w:color w:val="000000"/>
              </w:rPr>
              <w:t>(n at R76=</w:t>
            </w:r>
            <w:r>
              <w:rPr>
                <w:b/>
                <w:bCs/>
                <w:color w:val="000000"/>
              </w:rPr>
              <w:br/>
            </w:r>
            <w:r w:rsidRPr="00D94F41">
              <w:rPr>
                <w:b/>
                <w:bCs/>
                <w:color w:val="000000"/>
              </w:rPr>
              <w:t>12145)</w:t>
            </w:r>
          </w:p>
        </w:tc>
        <w:tc>
          <w:tcPr>
            <w:tcW w:w="1172" w:type="dxa"/>
            <w:tcBorders>
              <w:top w:val="single" w:sz="4" w:space="0" w:color="auto"/>
              <w:bottom w:val="single" w:sz="4" w:space="0" w:color="auto"/>
            </w:tcBorders>
            <w:tcMar>
              <w:left w:w="72" w:type="dxa"/>
              <w:right w:w="72" w:type="dxa"/>
            </w:tcMar>
            <w:vAlign w:val="bottom"/>
          </w:tcPr>
          <w:p w:rsidR="00172C65" w:rsidRPr="00D94F41" w:rsidP="00FD4AC6" w14:paraId="6E9D5916" w14:textId="0C4B9DCC">
            <w:pPr>
              <w:pStyle w:val="TableParagraph"/>
              <w:spacing w:before="40"/>
              <w:jc w:val="center"/>
              <w:rPr>
                <w:b/>
                <w:bCs/>
                <w:color w:val="000000"/>
              </w:rPr>
            </w:pPr>
            <w:r w:rsidRPr="00D94F41">
              <w:rPr>
                <w:b/>
                <w:bCs/>
                <w:color w:val="000000"/>
              </w:rPr>
              <w:t>2017 Panel</w:t>
            </w:r>
            <w:r>
              <w:rPr>
                <w:b/>
                <w:bCs/>
                <w:color w:val="000000"/>
              </w:rPr>
              <w:t xml:space="preserve"> </w:t>
            </w:r>
            <w:r>
              <w:rPr>
                <w:b/>
                <w:bCs/>
                <w:color w:val="000000"/>
              </w:rPr>
              <w:br/>
            </w:r>
            <w:r w:rsidRPr="00D94F41">
              <w:rPr>
                <w:b/>
                <w:bCs/>
                <w:color w:val="000000"/>
              </w:rPr>
              <w:t>(n at R79=</w:t>
            </w:r>
            <w:r>
              <w:rPr>
                <w:b/>
                <w:bCs/>
                <w:color w:val="000000"/>
              </w:rPr>
              <w:br/>
            </w:r>
            <w:r w:rsidRPr="00D94F41">
              <w:rPr>
                <w:b/>
                <w:bCs/>
                <w:color w:val="000000"/>
              </w:rPr>
              <w:t>11623)</w:t>
            </w:r>
          </w:p>
        </w:tc>
        <w:tc>
          <w:tcPr>
            <w:tcW w:w="1172" w:type="dxa"/>
            <w:tcBorders>
              <w:top w:val="single" w:sz="4" w:space="0" w:color="auto"/>
              <w:bottom w:val="single" w:sz="4" w:space="0" w:color="auto"/>
            </w:tcBorders>
            <w:tcMar>
              <w:left w:w="72" w:type="dxa"/>
              <w:right w:w="72" w:type="dxa"/>
            </w:tcMar>
            <w:vAlign w:val="bottom"/>
          </w:tcPr>
          <w:p w:rsidR="00172C65" w:rsidRPr="00D94F41" w:rsidP="00FD4AC6" w14:paraId="256FA28C" w14:textId="23986D39">
            <w:pPr>
              <w:pStyle w:val="TableParagraph"/>
              <w:spacing w:before="40"/>
              <w:jc w:val="center"/>
              <w:rPr>
                <w:b/>
                <w:bCs/>
                <w:color w:val="000000"/>
              </w:rPr>
            </w:pPr>
            <w:r w:rsidRPr="00D94F41">
              <w:rPr>
                <w:b/>
                <w:bCs/>
                <w:color w:val="000000"/>
              </w:rPr>
              <w:t>2018 Panel</w:t>
            </w:r>
            <w:r>
              <w:rPr>
                <w:b/>
                <w:bCs/>
                <w:color w:val="000000"/>
              </w:rPr>
              <w:t xml:space="preserve"> </w:t>
            </w:r>
            <w:r>
              <w:rPr>
                <w:b/>
                <w:bCs/>
                <w:color w:val="000000"/>
              </w:rPr>
              <w:br/>
            </w:r>
            <w:r w:rsidRPr="00D94F41">
              <w:rPr>
                <w:b/>
                <w:bCs/>
                <w:color w:val="000000"/>
              </w:rPr>
              <w:t>(n at R82=</w:t>
            </w:r>
            <w:r>
              <w:rPr>
                <w:b/>
                <w:bCs/>
                <w:color w:val="000000"/>
              </w:rPr>
              <w:br/>
            </w:r>
            <w:r w:rsidRPr="00D94F41">
              <w:rPr>
                <w:b/>
                <w:bCs/>
                <w:color w:val="000000"/>
              </w:rPr>
              <w:t>11523)</w:t>
            </w:r>
          </w:p>
        </w:tc>
        <w:tc>
          <w:tcPr>
            <w:tcW w:w="1172" w:type="dxa"/>
            <w:tcBorders>
              <w:top w:val="single" w:sz="4" w:space="0" w:color="auto"/>
              <w:bottom w:val="single" w:sz="4" w:space="0" w:color="auto"/>
            </w:tcBorders>
            <w:tcMar>
              <w:left w:w="72" w:type="dxa"/>
              <w:right w:w="72" w:type="dxa"/>
            </w:tcMar>
            <w:vAlign w:val="bottom"/>
          </w:tcPr>
          <w:p w:rsidR="00172C65" w:rsidRPr="00D94F41" w:rsidP="00FD4AC6" w14:paraId="46BB8A95" w14:textId="5EEE47ED">
            <w:pPr>
              <w:pStyle w:val="TableParagraph"/>
              <w:spacing w:before="40"/>
              <w:jc w:val="center"/>
              <w:rPr>
                <w:b/>
                <w:bCs/>
                <w:color w:val="000000"/>
              </w:rPr>
            </w:pPr>
            <w:r w:rsidRPr="00D94F41">
              <w:rPr>
                <w:b/>
                <w:bCs/>
                <w:color w:val="000000"/>
              </w:rPr>
              <w:t>2019 Panel</w:t>
            </w:r>
            <w:r>
              <w:rPr>
                <w:b/>
                <w:bCs/>
                <w:color w:val="000000"/>
              </w:rPr>
              <w:t xml:space="preserve"> </w:t>
            </w:r>
            <w:r>
              <w:rPr>
                <w:b/>
                <w:bCs/>
                <w:color w:val="000000"/>
              </w:rPr>
              <w:br/>
            </w:r>
            <w:r w:rsidRPr="00D94F41">
              <w:rPr>
                <w:b/>
                <w:bCs/>
                <w:color w:val="000000"/>
              </w:rPr>
              <w:t>(n at R85=</w:t>
            </w:r>
            <w:r>
              <w:rPr>
                <w:b/>
                <w:bCs/>
                <w:color w:val="000000"/>
              </w:rPr>
              <w:br/>
            </w:r>
            <w:r w:rsidRPr="00D94F41">
              <w:rPr>
                <w:b/>
                <w:bCs/>
                <w:color w:val="000000"/>
              </w:rPr>
              <w:t>11615)</w:t>
            </w:r>
          </w:p>
        </w:tc>
        <w:tc>
          <w:tcPr>
            <w:tcW w:w="1249" w:type="dxa"/>
            <w:tcBorders>
              <w:top w:val="single" w:sz="4" w:space="0" w:color="auto"/>
              <w:bottom w:val="single" w:sz="4" w:space="0" w:color="auto"/>
            </w:tcBorders>
          </w:tcPr>
          <w:p w:rsidR="00172C65" w:rsidRPr="00D94F41" w:rsidP="00255E53" w14:paraId="20058562" w14:textId="4868CC4B">
            <w:pPr>
              <w:pStyle w:val="TableParagraph"/>
              <w:spacing w:before="40"/>
              <w:jc w:val="center"/>
              <w:rPr>
                <w:b/>
                <w:bCs/>
                <w:color w:val="000000"/>
              </w:rPr>
            </w:pPr>
            <w:r>
              <w:rPr>
                <w:b/>
                <w:bCs/>
                <w:color w:val="000000"/>
              </w:rPr>
              <w:t xml:space="preserve">2020 Panel </w:t>
            </w:r>
            <w:r>
              <w:rPr>
                <w:b/>
                <w:bCs/>
                <w:color w:val="000000"/>
              </w:rPr>
              <w:br/>
              <w:t>(n at R88=</w:t>
            </w:r>
            <w:r>
              <w:rPr>
                <w:b/>
                <w:bCs/>
                <w:color w:val="000000"/>
              </w:rPr>
              <w:br/>
              <w:t>15952)</w:t>
            </w:r>
          </w:p>
        </w:tc>
        <w:tc>
          <w:tcPr>
            <w:tcW w:w="1249" w:type="dxa"/>
            <w:tcBorders>
              <w:top w:val="single" w:sz="4" w:space="0" w:color="auto"/>
              <w:bottom w:val="single" w:sz="4" w:space="0" w:color="auto"/>
            </w:tcBorders>
          </w:tcPr>
          <w:p w:rsidR="00172C65" w:rsidRPr="00172C65" w:rsidP="00C97F7C" w14:paraId="4A595932" w14:textId="2B6FC58C">
            <w:pPr>
              <w:spacing w:line="256" w:lineRule="auto"/>
              <w:jc w:val="center"/>
              <w:rPr>
                <w:b/>
                <w:bCs/>
                <w:color w:val="000000"/>
              </w:rPr>
            </w:pPr>
            <w:r w:rsidRPr="00C97F7C">
              <w:rPr>
                <w:b/>
                <w:bCs/>
                <w:color w:val="000000"/>
              </w:rPr>
              <w:t>2021 Panel (n at R91=</w:t>
            </w:r>
            <w:r w:rsidRPr="00C97F7C">
              <w:rPr>
                <w:b/>
                <w:bCs/>
                <w:color w:val="000000"/>
              </w:rPr>
              <w:br/>
              <w:t>15950)</w:t>
            </w:r>
          </w:p>
        </w:tc>
      </w:tr>
      <w:tr w14:paraId="4723C93C" w14:textId="60BFB265" w:rsidTr="00C97F7C">
        <w:tblPrEx>
          <w:tblW w:w="5042" w:type="pct"/>
          <w:tblLayout w:type="fixed"/>
          <w:tblLook w:val="01E0"/>
        </w:tblPrEx>
        <w:trPr>
          <w:cantSplit/>
        </w:trPr>
        <w:tc>
          <w:tcPr>
            <w:tcW w:w="1080" w:type="dxa"/>
            <w:tcBorders>
              <w:top w:val="single" w:sz="4" w:space="0" w:color="auto"/>
            </w:tcBorders>
            <w:tcMar>
              <w:left w:w="72" w:type="dxa"/>
              <w:right w:w="14" w:type="dxa"/>
            </w:tcMar>
          </w:tcPr>
          <w:p w:rsidR="00172C65" w:rsidRPr="00D94F41" w:rsidP="00172C65" w14:paraId="4D1529D8" w14:textId="77777777">
            <w:pPr>
              <w:pStyle w:val="TableParagraph"/>
              <w:spacing w:before="40" w:after="40"/>
            </w:pPr>
            <w:r w:rsidRPr="00D94F41">
              <w:t>Round 1</w:t>
            </w:r>
          </w:p>
        </w:tc>
        <w:tc>
          <w:tcPr>
            <w:tcW w:w="1172" w:type="dxa"/>
            <w:tcBorders>
              <w:top w:val="single" w:sz="4" w:space="0" w:color="auto"/>
            </w:tcBorders>
            <w:tcMar>
              <w:left w:w="72" w:type="dxa"/>
              <w:right w:w="72" w:type="dxa"/>
            </w:tcMar>
          </w:tcPr>
          <w:p w:rsidR="00172C65" w:rsidRPr="00D94F41" w:rsidP="00172C65" w14:paraId="7823683E" w14:textId="5213CCA8">
            <w:pPr>
              <w:pStyle w:val="TableParagraph"/>
              <w:spacing w:before="40" w:after="40"/>
              <w:ind w:right="288"/>
              <w:jc w:val="right"/>
            </w:pPr>
            <w:r>
              <w:rPr>
                <w:color w:val="000000"/>
              </w:rPr>
              <w:t>53.3</w:t>
            </w:r>
          </w:p>
        </w:tc>
        <w:tc>
          <w:tcPr>
            <w:tcW w:w="1172" w:type="dxa"/>
            <w:tcBorders>
              <w:top w:val="single" w:sz="4" w:space="0" w:color="auto"/>
            </w:tcBorders>
            <w:tcMar>
              <w:left w:w="72" w:type="dxa"/>
              <w:right w:w="72" w:type="dxa"/>
            </w:tcMar>
          </w:tcPr>
          <w:p w:rsidR="00172C65" w:rsidRPr="00D94F41" w:rsidP="00172C65" w14:paraId="01630146" w14:textId="5C9F1B14">
            <w:pPr>
              <w:pStyle w:val="TableParagraph"/>
              <w:spacing w:before="40" w:after="40"/>
              <w:ind w:right="288"/>
              <w:jc w:val="right"/>
            </w:pPr>
            <w:r>
              <w:t>54.7</w:t>
            </w:r>
          </w:p>
        </w:tc>
        <w:tc>
          <w:tcPr>
            <w:tcW w:w="1172" w:type="dxa"/>
            <w:tcBorders>
              <w:top w:val="single" w:sz="4" w:space="0" w:color="auto"/>
            </w:tcBorders>
            <w:tcMar>
              <w:left w:w="72" w:type="dxa"/>
              <w:right w:w="72" w:type="dxa"/>
            </w:tcMar>
          </w:tcPr>
          <w:p w:rsidR="00172C65" w:rsidRPr="00D94F41" w:rsidP="00172C65" w14:paraId="4E347986" w14:textId="5EDEA422">
            <w:pPr>
              <w:pStyle w:val="TableParagraph"/>
              <w:spacing w:before="40" w:after="40"/>
              <w:ind w:right="288"/>
              <w:jc w:val="right"/>
            </w:pPr>
            <w:r>
              <w:t>55.3</w:t>
            </w:r>
          </w:p>
        </w:tc>
        <w:tc>
          <w:tcPr>
            <w:tcW w:w="1172" w:type="dxa"/>
            <w:tcBorders>
              <w:top w:val="single" w:sz="4" w:space="0" w:color="auto"/>
            </w:tcBorders>
            <w:tcMar>
              <w:left w:w="72" w:type="dxa"/>
              <w:right w:w="72" w:type="dxa"/>
            </w:tcMar>
          </w:tcPr>
          <w:p w:rsidR="00172C65" w:rsidRPr="00D94F41" w:rsidP="00172C65" w14:paraId="4E26F221" w14:textId="1E4B8C56">
            <w:pPr>
              <w:pStyle w:val="TableParagraph"/>
              <w:spacing w:before="40" w:after="40"/>
              <w:ind w:right="288"/>
              <w:jc w:val="right"/>
            </w:pPr>
            <w:r>
              <w:t>55.9</w:t>
            </w:r>
          </w:p>
        </w:tc>
        <w:tc>
          <w:tcPr>
            <w:tcW w:w="1172" w:type="dxa"/>
            <w:tcBorders>
              <w:top w:val="single" w:sz="4" w:space="0" w:color="auto"/>
            </w:tcBorders>
            <w:tcMar>
              <w:left w:w="72" w:type="dxa"/>
              <w:right w:w="72" w:type="dxa"/>
            </w:tcMar>
          </w:tcPr>
          <w:p w:rsidR="00172C65" w:rsidRPr="00D94F41" w:rsidP="00172C65" w14:paraId="59374830" w14:textId="53538CDE">
            <w:pPr>
              <w:pStyle w:val="TableParagraph"/>
              <w:spacing w:before="40" w:after="40"/>
              <w:ind w:right="288"/>
              <w:jc w:val="right"/>
              <w:rPr>
                <w:color w:val="000000"/>
              </w:rPr>
            </w:pPr>
            <w:r>
              <w:t>55.1</w:t>
            </w:r>
          </w:p>
        </w:tc>
        <w:tc>
          <w:tcPr>
            <w:tcW w:w="1249" w:type="dxa"/>
            <w:tcBorders>
              <w:top w:val="single" w:sz="4" w:space="0" w:color="auto"/>
            </w:tcBorders>
          </w:tcPr>
          <w:p w:rsidR="00172C65" w:rsidRPr="00D94F41" w:rsidP="00172C65" w14:paraId="7B2F0769" w14:textId="47500161">
            <w:pPr>
              <w:pStyle w:val="TableParagraph"/>
              <w:spacing w:before="40" w:after="40"/>
              <w:ind w:right="288"/>
              <w:jc w:val="right"/>
            </w:pPr>
            <w:r>
              <w:t>41.9</w:t>
            </w:r>
          </w:p>
        </w:tc>
        <w:tc>
          <w:tcPr>
            <w:tcW w:w="1249" w:type="dxa"/>
            <w:tcBorders>
              <w:top w:val="single" w:sz="4" w:space="0" w:color="auto"/>
            </w:tcBorders>
          </w:tcPr>
          <w:p w:rsidR="00172C65" w:rsidRPr="003A5669" w:rsidP="00172C65" w14:paraId="352BC7BA" w14:textId="5536CECF">
            <w:pPr>
              <w:pStyle w:val="TableParagraph"/>
              <w:spacing w:before="40" w:after="40"/>
              <w:ind w:right="288"/>
              <w:jc w:val="right"/>
            </w:pPr>
            <w:r>
              <w:t>38.1</w:t>
            </w:r>
          </w:p>
        </w:tc>
      </w:tr>
      <w:tr w14:paraId="15C8E78A" w14:textId="6B99E7C9" w:rsidTr="00C97F7C">
        <w:tblPrEx>
          <w:tblW w:w="5042" w:type="pct"/>
          <w:tblLayout w:type="fixed"/>
          <w:tblLook w:val="01E0"/>
        </w:tblPrEx>
        <w:trPr>
          <w:cantSplit/>
        </w:trPr>
        <w:tc>
          <w:tcPr>
            <w:tcW w:w="1080" w:type="dxa"/>
            <w:tcMar>
              <w:left w:w="72" w:type="dxa"/>
              <w:right w:w="14" w:type="dxa"/>
            </w:tcMar>
          </w:tcPr>
          <w:p w:rsidR="00172C65" w:rsidRPr="00D94F41" w:rsidP="00172C65" w14:paraId="42EBD631" w14:textId="77777777">
            <w:pPr>
              <w:pStyle w:val="TableParagraph"/>
              <w:spacing w:before="40" w:after="40"/>
            </w:pPr>
            <w:r w:rsidRPr="00D94F41">
              <w:t>Round 2</w:t>
            </w:r>
          </w:p>
        </w:tc>
        <w:tc>
          <w:tcPr>
            <w:tcW w:w="1172" w:type="dxa"/>
            <w:tcMar>
              <w:left w:w="72" w:type="dxa"/>
              <w:right w:w="72" w:type="dxa"/>
            </w:tcMar>
          </w:tcPr>
          <w:p w:rsidR="00172C65" w:rsidRPr="00D94F41" w:rsidP="00172C65" w14:paraId="7D74DBD7" w14:textId="6351D32F">
            <w:pPr>
              <w:pStyle w:val="TableParagraph"/>
              <w:spacing w:before="40" w:after="40"/>
              <w:ind w:right="288"/>
              <w:jc w:val="right"/>
            </w:pPr>
            <w:r>
              <w:t>44.2</w:t>
            </w:r>
          </w:p>
        </w:tc>
        <w:tc>
          <w:tcPr>
            <w:tcW w:w="1172" w:type="dxa"/>
            <w:tcMar>
              <w:left w:w="72" w:type="dxa"/>
              <w:right w:w="72" w:type="dxa"/>
            </w:tcMar>
          </w:tcPr>
          <w:p w:rsidR="00172C65" w:rsidRPr="00D94F41" w:rsidP="00172C65" w14:paraId="0722C716" w14:textId="551F8FF5">
            <w:pPr>
              <w:pStyle w:val="TableParagraph"/>
              <w:spacing w:before="40" w:after="40"/>
              <w:ind w:right="288"/>
              <w:jc w:val="right"/>
            </w:pPr>
            <w:r>
              <w:t>44.3</w:t>
            </w:r>
          </w:p>
        </w:tc>
        <w:tc>
          <w:tcPr>
            <w:tcW w:w="1172" w:type="dxa"/>
            <w:tcMar>
              <w:left w:w="72" w:type="dxa"/>
              <w:right w:w="72" w:type="dxa"/>
            </w:tcMar>
          </w:tcPr>
          <w:p w:rsidR="00172C65" w:rsidRPr="00D94F41" w:rsidP="00172C65" w14:paraId="5C3C53C2" w14:textId="36E29AB2">
            <w:pPr>
              <w:pStyle w:val="TableParagraph"/>
              <w:spacing w:before="40" w:after="40"/>
              <w:ind w:right="288"/>
              <w:jc w:val="right"/>
            </w:pPr>
            <w:r>
              <w:t>43.7</w:t>
            </w:r>
          </w:p>
        </w:tc>
        <w:tc>
          <w:tcPr>
            <w:tcW w:w="1172" w:type="dxa"/>
            <w:tcMar>
              <w:left w:w="72" w:type="dxa"/>
              <w:right w:w="72" w:type="dxa"/>
            </w:tcMar>
          </w:tcPr>
          <w:p w:rsidR="00172C65" w:rsidRPr="00D94F41" w:rsidP="00172C65" w14:paraId="11661F3B" w14:textId="2E557FB3">
            <w:pPr>
              <w:pStyle w:val="TableParagraph"/>
              <w:spacing w:before="40" w:after="40"/>
              <w:ind w:right="288"/>
              <w:jc w:val="right"/>
            </w:pPr>
            <w:r>
              <w:t>44.8</w:t>
            </w:r>
          </w:p>
        </w:tc>
        <w:tc>
          <w:tcPr>
            <w:tcW w:w="1172" w:type="dxa"/>
            <w:tcMar>
              <w:left w:w="72" w:type="dxa"/>
              <w:right w:w="72" w:type="dxa"/>
            </w:tcMar>
          </w:tcPr>
          <w:p w:rsidR="00172C65" w:rsidRPr="00D94F41" w:rsidP="00172C65" w14:paraId="03FD8984" w14:textId="2110B21F">
            <w:pPr>
              <w:pStyle w:val="TableParagraph"/>
              <w:spacing w:before="40" w:after="40"/>
              <w:ind w:right="288"/>
              <w:jc w:val="right"/>
            </w:pPr>
            <w:r>
              <w:t>40.2</w:t>
            </w:r>
          </w:p>
        </w:tc>
        <w:tc>
          <w:tcPr>
            <w:tcW w:w="1249" w:type="dxa"/>
          </w:tcPr>
          <w:p w:rsidR="00172C65" w:rsidRPr="00D94F41" w:rsidP="00172C65" w14:paraId="628CA770" w14:textId="60035078">
            <w:pPr>
              <w:pStyle w:val="TableParagraph"/>
              <w:spacing w:before="40" w:after="40"/>
              <w:ind w:right="288"/>
              <w:jc w:val="right"/>
            </w:pPr>
            <w:r>
              <w:t xml:space="preserve"> 32.5 </w:t>
            </w:r>
          </w:p>
        </w:tc>
        <w:tc>
          <w:tcPr>
            <w:tcW w:w="1249" w:type="dxa"/>
          </w:tcPr>
          <w:p w:rsidR="00172C65" w:rsidRPr="00D94F41" w:rsidP="00172C65" w14:paraId="0A5DF339" w14:textId="77777777">
            <w:pPr>
              <w:pStyle w:val="TableParagraph"/>
              <w:spacing w:before="40" w:after="40"/>
              <w:ind w:right="288"/>
              <w:jc w:val="right"/>
            </w:pPr>
          </w:p>
        </w:tc>
      </w:tr>
      <w:tr w14:paraId="1764D282" w14:textId="51488615" w:rsidTr="00C97F7C">
        <w:tblPrEx>
          <w:tblW w:w="5042" w:type="pct"/>
          <w:tblLayout w:type="fixed"/>
          <w:tblLook w:val="01E0"/>
        </w:tblPrEx>
        <w:trPr>
          <w:cantSplit/>
        </w:trPr>
        <w:tc>
          <w:tcPr>
            <w:tcW w:w="1080" w:type="dxa"/>
            <w:tcMar>
              <w:left w:w="72" w:type="dxa"/>
              <w:right w:w="14" w:type="dxa"/>
            </w:tcMar>
          </w:tcPr>
          <w:p w:rsidR="00172C65" w:rsidRPr="00D94F41" w:rsidP="00172C65" w14:paraId="57674916" w14:textId="77777777">
            <w:pPr>
              <w:pStyle w:val="TableParagraph"/>
              <w:spacing w:before="40" w:after="40"/>
            </w:pPr>
            <w:r w:rsidRPr="00D94F41">
              <w:t>Round 3</w:t>
            </w:r>
          </w:p>
        </w:tc>
        <w:tc>
          <w:tcPr>
            <w:tcW w:w="1172" w:type="dxa"/>
            <w:tcMar>
              <w:left w:w="72" w:type="dxa"/>
              <w:right w:w="72" w:type="dxa"/>
            </w:tcMar>
          </w:tcPr>
          <w:p w:rsidR="00172C65" w:rsidRPr="00D94F41" w:rsidP="00172C65" w14:paraId="078228D4" w14:textId="1EEE7196">
            <w:pPr>
              <w:pStyle w:val="TableParagraph"/>
              <w:spacing w:before="40" w:after="40"/>
              <w:ind w:right="288"/>
              <w:jc w:val="right"/>
            </w:pPr>
            <w:r>
              <w:t>31.7</w:t>
            </w:r>
          </w:p>
        </w:tc>
        <w:tc>
          <w:tcPr>
            <w:tcW w:w="1172" w:type="dxa"/>
            <w:tcMar>
              <w:left w:w="72" w:type="dxa"/>
              <w:right w:w="72" w:type="dxa"/>
            </w:tcMar>
          </w:tcPr>
          <w:p w:rsidR="00172C65" w:rsidRPr="00D94F41" w:rsidP="00172C65" w14:paraId="2764FC39" w14:textId="3C885A70">
            <w:pPr>
              <w:pStyle w:val="TableParagraph"/>
              <w:spacing w:before="40" w:after="40"/>
              <w:ind w:right="288"/>
              <w:jc w:val="right"/>
            </w:pPr>
            <w:r>
              <w:t>38.1</w:t>
            </w:r>
          </w:p>
        </w:tc>
        <w:tc>
          <w:tcPr>
            <w:tcW w:w="1172" w:type="dxa"/>
            <w:tcMar>
              <w:left w:w="72" w:type="dxa"/>
              <w:right w:w="72" w:type="dxa"/>
            </w:tcMar>
          </w:tcPr>
          <w:p w:rsidR="00172C65" w:rsidRPr="00D94F41" w:rsidP="00172C65" w14:paraId="682CDAD1" w14:textId="56025773">
            <w:pPr>
              <w:pStyle w:val="TableParagraph"/>
              <w:spacing w:before="40" w:after="40"/>
              <w:ind w:right="288"/>
              <w:jc w:val="right"/>
            </w:pPr>
            <w:r>
              <w:t>37.7</w:t>
            </w:r>
          </w:p>
        </w:tc>
        <w:tc>
          <w:tcPr>
            <w:tcW w:w="1172" w:type="dxa"/>
            <w:tcMar>
              <w:left w:w="72" w:type="dxa"/>
              <w:right w:w="72" w:type="dxa"/>
            </w:tcMar>
          </w:tcPr>
          <w:p w:rsidR="00172C65" w:rsidRPr="00D94F41" w:rsidP="00172C65" w14:paraId="1BD3620A" w14:textId="32E1ABAC">
            <w:pPr>
              <w:pStyle w:val="TableParagraph"/>
              <w:spacing w:before="40" w:after="40"/>
              <w:ind w:right="288"/>
              <w:jc w:val="right"/>
            </w:pPr>
            <w:r>
              <w:t>37.6</w:t>
            </w:r>
          </w:p>
        </w:tc>
        <w:tc>
          <w:tcPr>
            <w:tcW w:w="1172" w:type="dxa"/>
            <w:tcMar>
              <w:left w:w="72" w:type="dxa"/>
              <w:right w:w="72" w:type="dxa"/>
            </w:tcMar>
          </w:tcPr>
          <w:p w:rsidR="00172C65" w:rsidRPr="00D94F41" w:rsidP="00172C65" w14:paraId="4D7323E0" w14:textId="1683B79C">
            <w:pPr>
              <w:pStyle w:val="TableParagraph"/>
              <w:spacing w:before="40" w:after="40"/>
              <w:ind w:right="288"/>
              <w:jc w:val="right"/>
            </w:pPr>
            <w:r>
              <w:t>37.9</w:t>
            </w:r>
          </w:p>
        </w:tc>
        <w:tc>
          <w:tcPr>
            <w:tcW w:w="1249" w:type="dxa"/>
          </w:tcPr>
          <w:p w:rsidR="00172C65" w:rsidRPr="00D94F41" w:rsidP="00172C65" w14:paraId="2E8DC47B" w14:textId="011F388E">
            <w:pPr>
              <w:pStyle w:val="TableParagraph"/>
              <w:spacing w:before="40" w:after="40"/>
              <w:ind w:right="288"/>
              <w:jc w:val="right"/>
            </w:pPr>
            <w:r>
              <w:t xml:space="preserve"> 27.2 </w:t>
            </w:r>
          </w:p>
        </w:tc>
        <w:tc>
          <w:tcPr>
            <w:tcW w:w="1249" w:type="dxa"/>
          </w:tcPr>
          <w:p w:rsidR="00172C65" w:rsidRPr="00D94F41" w:rsidP="00172C65" w14:paraId="664CAC31" w14:textId="77777777">
            <w:pPr>
              <w:pStyle w:val="TableParagraph"/>
              <w:spacing w:before="40" w:after="40"/>
              <w:ind w:right="288"/>
              <w:jc w:val="right"/>
            </w:pPr>
          </w:p>
        </w:tc>
      </w:tr>
      <w:tr w14:paraId="074C06B5" w14:textId="2676C877" w:rsidTr="00C97F7C">
        <w:tblPrEx>
          <w:tblW w:w="5042" w:type="pct"/>
          <w:tblLayout w:type="fixed"/>
          <w:tblLook w:val="01E0"/>
        </w:tblPrEx>
        <w:trPr>
          <w:cantSplit/>
        </w:trPr>
        <w:tc>
          <w:tcPr>
            <w:tcW w:w="1080" w:type="dxa"/>
            <w:tcMar>
              <w:left w:w="72" w:type="dxa"/>
              <w:right w:w="14" w:type="dxa"/>
            </w:tcMar>
          </w:tcPr>
          <w:p w:rsidR="00172C65" w:rsidRPr="00D94F41" w:rsidP="00172C65" w14:paraId="11EC7389" w14:textId="77777777">
            <w:pPr>
              <w:pStyle w:val="TableParagraph"/>
              <w:spacing w:before="40" w:after="40"/>
            </w:pPr>
            <w:r w:rsidRPr="00D94F41">
              <w:t>Round 4</w:t>
            </w:r>
          </w:p>
        </w:tc>
        <w:tc>
          <w:tcPr>
            <w:tcW w:w="1172" w:type="dxa"/>
            <w:tcMar>
              <w:left w:w="72" w:type="dxa"/>
              <w:right w:w="72" w:type="dxa"/>
            </w:tcMar>
          </w:tcPr>
          <w:p w:rsidR="00172C65" w:rsidRPr="00D94F41" w:rsidP="00172C65" w14:paraId="58B3DB40" w14:textId="56279225">
            <w:pPr>
              <w:pStyle w:val="TableParagraph"/>
              <w:spacing w:before="40" w:after="40"/>
              <w:ind w:right="288"/>
              <w:jc w:val="right"/>
            </w:pPr>
            <w:r>
              <w:t>32.9</w:t>
            </w:r>
          </w:p>
        </w:tc>
        <w:tc>
          <w:tcPr>
            <w:tcW w:w="1172" w:type="dxa"/>
            <w:tcMar>
              <w:left w:w="72" w:type="dxa"/>
              <w:right w:w="72" w:type="dxa"/>
            </w:tcMar>
          </w:tcPr>
          <w:p w:rsidR="00172C65" w:rsidRPr="00D94F41" w:rsidP="00172C65" w14:paraId="06EF06FC" w14:textId="471E714E">
            <w:pPr>
              <w:pStyle w:val="TableParagraph"/>
              <w:spacing w:before="40" w:after="40"/>
              <w:ind w:right="288"/>
              <w:jc w:val="right"/>
            </w:pPr>
            <w:r>
              <w:t>33.3</w:t>
            </w:r>
          </w:p>
        </w:tc>
        <w:tc>
          <w:tcPr>
            <w:tcW w:w="1172" w:type="dxa"/>
            <w:tcMar>
              <w:left w:w="72" w:type="dxa"/>
              <w:right w:w="72" w:type="dxa"/>
            </w:tcMar>
          </w:tcPr>
          <w:p w:rsidR="00172C65" w:rsidRPr="00D94F41" w:rsidP="00172C65" w14:paraId="1AEBB822" w14:textId="75ED8B55">
            <w:pPr>
              <w:pStyle w:val="TableParagraph"/>
              <w:spacing w:before="40" w:after="40"/>
              <w:ind w:right="288"/>
              <w:jc w:val="right"/>
            </w:pPr>
            <w:r>
              <w:t>33.7</w:t>
            </w:r>
          </w:p>
        </w:tc>
        <w:tc>
          <w:tcPr>
            <w:tcW w:w="1172" w:type="dxa"/>
            <w:tcMar>
              <w:left w:w="72" w:type="dxa"/>
              <w:right w:w="72" w:type="dxa"/>
            </w:tcMar>
          </w:tcPr>
          <w:p w:rsidR="00172C65" w:rsidRPr="00D94F41" w:rsidP="00172C65" w14:paraId="6003A7DF" w14:textId="35073F74">
            <w:pPr>
              <w:pStyle w:val="TableParagraph"/>
              <w:spacing w:before="40" w:after="40"/>
              <w:ind w:right="288"/>
              <w:jc w:val="right"/>
            </w:pPr>
            <w:r>
              <w:t>34.3</w:t>
            </w:r>
          </w:p>
        </w:tc>
        <w:tc>
          <w:tcPr>
            <w:tcW w:w="1172" w:type="dxa"/>
            <w:tcMar>
              <w:left w:w="72" w:type="dxa"/>
              <w:right w:w="72" w:type="dxa"/>
            </w:tcMar>
          </w:tcPr>
          <w:p w:rsidR="00172C65" w:rsidRPr="00D94F41" w:rsidP="00172C65" w14:paraId="4EBD8ADF" w14:textId="721A1D7A">
            <w:pPr>
              <w:pStyle w:val="TableParagraph"/>
              <w:spacing w:before="40" w:after="40"/>
              <w:ind w:right="288"/>
              <w:jc w:val="right"/>
            </w:pPr>
            <w:r>
              <w:t>32.1</w:t>
            </w:r>
          </w:p>
        </w:tc>
        <w:tc>
          <w:tcPr>
            <w:tcW w:w="1249" w:type="dxa"/>
          </w:tcPr>
          <w:p w:rsidR="00172C65" w:rsidRPr="00D94F41" w:rsidP="00172C65" w14:paraId="09A1BB5A" w14:textId="17D4AD3C">
            <w:pPr>
              <w:pStyle w:val="TableParagraph"/>
              <w:spacing w:before="40" w:after="40"/>
              <w:ind w:right="288"/>
              <w:jc w:val="right"/>
            </w:pPr>
            <w:r>
              <w:t xml:space="preserve"> 22.8 </w:t>
            </w:r>
          </w:p>
        </w:tc>
        <w:tc>
          <w:tcPr>
            <w:tcW w:w="1249" w:type="dxa"/>
          </w:tcPr>
          <w:p w:rsidR="00172C65" w:rsidRPr="00D94F41" w:rsidP="00172C65" w14:paraId="35F54FF4" w14:textId="77777777">
            <w:pPr>
              <w:pStyle w:val="TableParagraph"/>
              <w:spacing w:before="40" w:after="40"/>
              <w:ind w:right="288"/>
              <w:jc w:val="right"/>
            </w:pPr>
          </w:p>
        </w:tc>
      </w:tr>
      <w:tr w14:paraId="6311A41F" w14:textId="1F090B80" w:rsidTr="00C97F7C">
        <w:tblPrEx>
          <w:tblW w:w="5042" w:type="pct"/>
          <w:tblLayout w:type="fixed"/>
          <w:tblLook w:val="01E0"/>
        </w:tblPrEx>
        <w:trPr>
          <w:cantSplit/>
        </w:trPr>
        <w:tc>
          <w:tcPr>
            <w:tcW w:w="1080" w:type="dxa"/>
            <w:tcMar>
              <w:left w:w="72" w:type="dxa"/>
              <w:right w:w="14" w:type="dxa"/>
            </w:tcMar>
          </w:tcPr>
          <w:p w:rsidR="00172C65" w:rsidRPr="00D94F41" w:rsidP="00172C65" w14:paraId="0AAA086D" w14:textId="77777777">
            <w:pPr>
              <w:pStyle w:val="TableParagraph"/>
              <w:spacing w:before="40" w:after="40"/>
            </w:pPr>
            <w:r w:rsidRPr="00D94F41">
              <w:t>Round 5</w:t>
            </w:r>
          </w:p>
        </w:tc>
        <w:tc>
          <w:tcPr>
            <w:tcW w:w="1172" w:type="dxa"/>
            <w:tcMar>
              <w:left w:w="72" w:type="dxa"/>
              <w:right w:w="72" w:type="dxa"/>
            </w:tcMar>
          </w:tcPr>
          <w:p w:rsidR="00172C65" w:rsidRPr="00D94F41" w:rsidP="00172C65" w14:paraId="0D1983A6" w14:textId="6EE9D770">
            <w:pPr>
              <w:pStyle w:val="TableParagraph"/>
              <w:spacing w:before="40" w:after="40"/>
              <w:ind w:right="288"/>
              <w:jc w:val="right"/>
            </w:pPr>
            <w:r>
              <w:t>31.3</w:t>
            </w:r>
          </w:p>
        </w:tc>
        <w:tc>
          <w:tcPr>
            <w:tcW w:w="1172" w:type="dxa"/>
            <w:tcMar>
              <w:left w:w="72" w:type="dxa"/>
              <w:right w:w="72" w:type="dxa"/>
            </w:tcMar>
          </w:tcPr>
          <w:p w:rsidR="00172C65" w:rsidRPr="00D94F41" w:rsidP="00172C65" w14:paraId="26DC25D6" w14:textId="03D46A44">
            <w:pPr>
              <w:pStyle w:val="TableParagraph"/>
              <w:spacing w:before="40" w:after="40"/>
              <w:ind w:right="288"/>
              <w:jc w:val="right"/>
            </w:pPr>
            <w:r>
              <w:t>29.0</w:t>
            </w:r>
          </w:p>
        </w:tc>
        <w:tc>
          <w:tcPr>
            <w:tcW w:w="1172" w:type="dxa"/>
            <w:tcMar>
              <w:left w:w="72" w:type="dxa"/>
              <w:right w:w="72" w:type="dxa"/>
            </w:tcMar>
          </w:tcPr>
          <w:p w:rsidR="00172C65" w:rsidRPr="00D94F41" w:rsidP="00172C65" w14:paraId="66A454DD" w14:textId="44C6C78B">
            <w:pPr>
              <w:pStyle w:val="TableParagraph"/>
              <w:spacing w:before="40" w:after="40"/>
              <w:ind w:right="288"/>
              <w:jc w:val="right"/>
            </w:pPr>
            <w:r>
              <w:t>28.2</w:t>
            </w:r>
          </w:p>
        </w:tc>
        <w:tc>
          <w:tcPr>
            <w:tcW w:w="1172" w:type="dxa"/>
            <w:tcMar>
              <w:left w:w="72" w:type="dxa"/>
              <w:right w:w="72" w:type="dxa"/>
            </w:tcMar>
          </w:tcPr>
          <w:p w:rsidR="00172C65" w:rsidRPr="00D94F41" w:rsidP="00172C65" w14:paraId="49587F1F" w14:textId="18E1FA9D">
            <w:pPr>
              <w:pStyle w:val="TableParagraph"/>
              <w:spacing w:before="40" w:after="40"/>
              <w:ind w:right="288"/>
              <w:jc w:val="right"/>
            </w:pPr>
            <w:r>
              <w:t>26.7</w:t>
            </w:r>
          </w:p>
        </w:tc>
        <w:tc>
          <w:tcPr>
            <w:tcW w:w="1172" w:type="dxa"/>
            <w:tcMar>
              <w:left w:w="72" w:type="dxa"/>
              <w:right w:w="72" w:type="dxa"/>
            </w:tcMar>
          </w:tcPr>
          <w:p w:rsidR="00172C65" w:rsidRPr="00D94F41" w:rsidP="00172C65" w14:paraId="13346EF0" w14:textId="40987365">
            <w:pPr>
              <w:pStyle w:val="TableParagraph"/>
              <w:spacing w:before="40" w:after="40"/>
              <w:ind w:right="288"/>
              <w:jc w:val="right"/>
            </w:pPr>
            <w:r>
              <w:t xml:space="preserve"> 28.0 </w:t>
            </w:r>
          </w:p>
        </w:tc>
        <w:tc>
          <w:tcPr>
            <w:tcW w:w="1249" w:type="dxa"/>
          </w:tcPr>
          <w:p w:rsidR="00172C65" w:rsidRPr="00D94F41" w:rsidP="00172C65" w14:paraId="52FE09F1" w14:textId="77777777">
            <w:pPr>
              <w:pStyle w:val="TableParagraph"/>
              <w:spacing w:before="40" w:after="40"/>
              <w:ind w:right="288"/>
              <w:jc w:val="right"/>
            </w:pPr>
          </w:p>
        </w:tc>
        <w:tc>
          <w:tcPr>
            <w:tcW w:w="1249" w:type="dxa"/>
          </w:tcPr>
          <w:p w:rsidR="00172C65" w:rsidRPr="00D94F41" w:rsidP="00172C65" w14:paraId="390AE865" w14:textId="77777777">
            <w:pPr>
              <w:pStyle w:val="TableParagraph"/>
              <w:spacing w:before="40" w:after="40"/>
              <w:ind w:right="288"/>
              <w:jc w:val="right"/>
            </w:pPr>
          </w:p>
        </w:tc>
      </w:tr>
      <w:tr w14:paraId="3397D8AB" w14:textId="72823BB0" w:rsidTr="00C97F7C">
        <w:tblPrEx>
          <w:tblW w:w="5042" w:type="pct"/>
          <w:tblLayout w:type="fixed"/>
          <w:tblLook w:val="01E0"/>
        </w:tblPrEx>
        <w:trPr>
          <w:cantSplit/>
        </w:trPr>
        <w:tc>
          <w:tcPr>
            <w:tcW w:w="1080" w:type="dxa"/>
            <w:tcMar>
              <w:left w:w="72" w:type="dxa"/>
              <w:right w:w="14" w:type="dxa"/>
            </w:tcMar>
          </w:tcPr>
          <w:p w:rsidR="00172C65" w:rsidRPr="00D94F41" w:rsidP="00172C65" w14:paraId="36D22DA0" w14:textId="77777777">
            <w:pPr>
              <w:pStyle w:val="TableParagraph"/>
              <w:spacing w:before="40" w:after="40"/>
            </w:pPr>
            <w:r w:rsidRPr="00D94F41">
              <w:t>Round 6</w:t>
            </w:r>
          </w:p>
        </w:tc>
        <w:tc>
          <w:tcPr>
            <w:tcW w:w="1172" w:type="dxa"/>
            <w:tcMar>
              <w:left w:w="72" w:type="dxa"/>
              <w:right w:w="72" w:type="dxa"/>
            </w:tcMar>
          </w:tcPr>
          <w:p w:rsidR="00172C65" w:rsidRPr="00D94F41" w:rsidP="00172C65" w14:paraId="16F340F5" w14:textId="305807B7">
            <w:pPr>
              <w:pStyle w:val="TableParagraph"/>
              <w:spacing w:before="40" w:after="40"/>
              <w:ind w:right="288"/>
              <w:jc w:val="right"/>
            </w:pPr>
            <w:r>
              <w:t>28.1</w:t>
            </w:r>
          </w:p>
        </w:tc>
        <w:tc>
          <w:tcPr>
            <w:tcW w:w="1172" w:type="dxa"/>
            <w:tcMar>
              <w:left w:w="72" w:type="dxa"/>
              <w:right w:w="72" w:type="dxa"/>
            </w:tcMar>
          </w:tcPr>
          <w:p w:rsidR="00172C65" w:rsidRPr="00D94F41" w:rsidP="00172C65" w14:paraId="0D0FBC77" w14:textId="3C2CD78A">
            <w:pPr>
              <w:pStyle w:val="TableParagraph"/>
              <w:spacing w:before="40" w:after="40"/>
              <w:ind w:right="288"/>
              <w:jc w:val="right"/>
            </w:pPr>
            <w:r>
              <w:t>27.5</w:t>
            </w:r>
          </w:p>
        </w:tc>
        <w:tc>
          <w:tcPr>
            <w:tcW w:w="1172" w:type="dxa"/>
            <w:tcMar>
              <w:left w:w="72" w:type="dxa"/>
              <w:right w:w="72" w:type="dxa"/>
            </w:tcMar>
          </w:tcPr>
          <w:p w:rsidR="00172C65" w:rsidRPr="00D94F41" w:rsidP="00172C65" w14:paraId="2FBDE352" w14:textId="1F559DBB">
            <w:pPr>
              <w:pStyle w:val="TableParagraph"/>
              <w:spacing w:before="40" w:after="40"/>
              <w:ind w:right="288"/>
              <w:jc w:val="right"/>
            </w:pPr>
            <w:r>
              <w:t>27.3</w:t>
            </w:r>
          </w:p>
        </w:tc>
        <w:tc>
          <w:tcPr>
            <w:tcW w:w="1172" w:type="dxa"/>
            <w:tcMar>
              <w:left w:w="72" w:type="dxa"/>
              <w:right w:w="72" w:type="dxa"/>
            </w:tcMar>
          </w:tcPr>
          <w:p w:rsidR="00172C65" w:rsidRPr="00D94F41" w:rsidP="00172C65" w14:paraId="22C67C36" w14:textId="3290C52F">
            <w:pPr>
              <w:pStyle w:val="TableParagraph"/>
              <w:spacing w:before="40" w:after="40"/>
              <w:ind w:right="288"/>
              <w:jc w:val="right"/>
            </w:pPr>
            <w:r>
              <w:t>27.6</w:t>
            </w:r>
          </w:p>
        </w:tc>
        <w:tc>
          <w:tcPr>
            <w:tcW w:w="1172" w:type="dxa"/>
            <w:tcMar>
              <w:left w:w="72" w:type="dxa"/>
              <w:right w:w="72" w:type="dxa"/>
            </w:tcMar>
          </w:tcPr>
          <w:p w:rsidR="00172C65" w:rsidRPr="00D94F41" w:rsidP="00172C65" w14:paraId="0F3439A9" w14:textId="540EBB9E">
            <w:pPr>
              <w:pStyle w:val="TableParagraph"/>
              <w:spacing w:before="40" w:after="40"/>
              <w:ind w:right="288"/>
              <w:jc w:val="right"/>
            </w:pPr>
            <w:r>
              <w:t xml:space="preserve"> 25.2 </w:t>
            </w:r>
          </w:p>
        </w:tc>
        <w:tc>
          <w:tcPr>
            <w:tcW w:w="1249" w:type="dxa"/>
          </w:tcPr>
          <w:p w:rsidR="00172C65" w:rsidRPr="00D94F41" w:rsidP="00172C65" w14:paraId="2C1FCBB8" w14:textId="77777777">
            <w:pPr>
              <w:pStyle w:val="TableParagraph"/>
              <w:spacing w:before="40" w:after="40"/>
              <w:ind w:right="288"/>
              <w:jc w:val="right"/>
            </w:pPr>
          </w:p>
        </w:tc>
        <w:tc>
          <w:tcPr>
            <w:tcW w:w="1249" w:type="dxa"/>
          </w:tcPr>
          <w:p w:rsidR="00172C65" w:rsidRPr="00D94F41" w:rsidP="00172C65" w14:paraId="0938B658" w14:textId="77777777">
            <w:pPr>
              <w:pStyle w:val="TableParagraph"/>
              <w:spacing w:before="40" w:after="40"/>
              <w:ind w:right="288"/>
              <w:jc w:val="right"/>
            </w:pPr>
          </w:p>
        </w:tc>
      </w:tr>
      <w:tr w14:paraId="142E3B22" w14:textId="5FB7F48E" w:rsidTr="00C97F7C">
        <w:tblPrEx>
          <w:tblW w:w="5042" w:type="pct"/>
          <w:tblLayout w:type="fixed"/>
          <w:tblLook w:val="01E0"/>
        </w:tblPrEx>
        <w:trPr>
          <w:cantSplit/>
        </w:trPr>
        <w:tc>
          <w:tcPr>
            <w:tcW w:w="1080" w:type="dxa"/>
            <w:tcMar>
              <w:left w:w="72" w:type="dxa"/>
              <w:right w:w="14" w:type="dxa"/>
            </w:tcMar>
          </w:tcPr>
          <w:p w:rsidR="00172C65" w:rsidRPr="00D94F41" w:rsidP="00172C65" w14:paraId="635FE2AC" w14:textId="77777777">
            <w:pPr>
              <w:pStyle w:val="TableParagraph"/>
              <w:spacing w:before="40" w:after="40"/>
            </w:pPr>
            <w:r w:rsidRPr="00D94F41">
              <w:t>Round 7</w:t>
            </w:r>
          </w:p>
        </w:tc>
        <w:tc>
          <w:tcPr>
            <w:tcW w:w="1172" w:type="dxa"/>
            <w:tcMar>
              <w:left w:w="72" w:type="dxa"/>
              <w:right w:w="72" w:type="dxa"/>
            </w:tcMar>
          </w:tcPr>
          <w:p w:rsidR="00172C65" w:rsidRPr="00D94F41" w:rsidP="00172C65" w14:paraId="7ADCB6B8" w14:textId="76E96307">
            <w:pPr>
              <w:pStyle w:val="TableParagraph"/>
              <w:spacing w:before="40" w:after="40"/>
              <w:ind w:right="288"/>
              <w:jc w:val="right"/>
            </w:pPr>
            <w:r>
              <w:t>25.6</w:t>
            </w:r>
          </w:p>
        </w:tc>
        <w:tc>
          <w:tcPr>
            <w:tcW w:w="1172" w:type="dxa"/>
            <w:tcMar>
              <w:left w:w="72" w:type="dxa"/>
              <w:right w:w="72" w:type="dxa"/>
            </w:tcMar>
          </w:tcPr>
          <w:p w:rsidR="00172C65" w:rsidRPr="00D94F41" w:rsidP="00172C65" w14:paraId="005AB9F7" w14:textId="72890444">
            <w:pPr>
              <w:pStyle w:val="TableParagraph"/>
              <w:spacing w:before="40" w:after="40"/>
              <w:ind w:right="288"/>
              <w:jc w:val="right"/>
            </w:pPr>
            <w:r>
              <w:t>25.5</w:t>
            </w:r>
          </w:p>
        </w:tc>
        <w:tc>
          <w:tcPr>
            <w:tcW w:w="1172" w:type="dxa"/>
            <w:tcMar>
              <w:left w:w="72" w:type="dxa"/>
              <w:right w:w="72" w:type="dxa"/>
            </w:tcMar>
          </w:tcPr>
          <w:p w:rsidR="00172C65" w:rsidRPr="00D94F41" w:rsidP="00172C65" w14:paraId="339CFBCB" w14:textId="0D75A74E">
            <w:pPr>
              <w:pStyle w:val="TableParagraph"/>
              <w:spacing w:before="40" w:after="40"/>
              <w:ind w:right="288"/>
              <w:jc w:val="right"/>
            </w:pPr>
            <w:r>
              <w:t>26.2</w:t>
            </w:r>
          </w:p>
        </w:tc>
        <w:tc>
          <w:tcPr>
            <w:tcW w:w="1172" w:type="dxa"/>
            <w:tcMar>
              <w:left w:w="72" w:type="dxa"/>
              <w:right w:w="72" w:type="dxa"/>
            </w:tcMar>
          </w:tcPr>
          <w:p w:rsidR="00172C65" w:rsidRPr="00D94F41" w:rsidP="00172C65" w14:paraId="28746407" w14:textId="75A025E3">
            <w:pPr>
              <w:pStyle w:val="TableParagraph"/>
              <w:spacing w:before="40" w:after="40"/>
              <w:ind w:right="288"/>
              <w:jc w:val="right"/>
            </w:pPr>
            <w:r>
              <w:t>24.5</w:t>
            </w:r>
          </w:p>
        </w:tc>
        <w:tc>
          <w:tcPr>
            <w:tcW w:w="1172" w:type="dxa"/>
            <w:tcMar>
              <w:left w:w="72" w:type="dxa"/>
              <w:right w:w="72" w:type="dxa"/>
            </w:tcMar>
          </w:tcPr>
          <w:p w:rsidR="00172C65" w:rsidRPr="00D94F41" w:rsidP="00172C65" w14:paraId="20D8B89E" w14:textId="51890701">
            <w:pPr>
              <w:pStyle w:val="TableParagraph"/>
              <w:spacing w:before="40" w:after="40"/>
              <w:ind w:right="288"/>
              <w:jc w:val="right"/>
            </w:pPr>
            <w:r>
              <w:t xml:space="preserve"> 21.9 </w:t>
            </w:r>
          </w:p>
        </w:tc>
        <w:tc>
          <w:tcPr>
            <w:tcW w:w="1249" w:type="dxa"/>
          </w:tcPr>
          <w:p w:rsidR="00172C65" w:rsidRPr="00D94F41" w:rsidP="00172C65" w14:paraId="0A047DA6" w14:textId="77777777">
            <w:pPr>
              <w:pStyle w:val="TableParagraph"/>
              <w:spacing w:before="40" w:after="40"/>
              <w:ind w:right="288"/>
              <w:jc w:val="right"/>
            </w:pPr>
          </w:p>
        </w:tc>
        <w:tc>
          <w:tcPr>
            <w:tcW w:w="1249" w:type="dxa"/>
          </w:tcPr>
          <w:p w:rsidR="00172C65" w:rsidRPr="00D94F41" w:rsidP="00172C65" w14:paraId="2F2DDA55" w14:textId="77777777">
            <w:pPr>
              <w:pStyle w:val="TableParagraph"/>
              <w:spacing w:before="40" w:after="40"/>
              <w:ind w:right="288"/>
              <w:jc w:val="right"/>
            </w:pPr>
          </w:p>
        </w:tc>
      </w:tr>
      <w:tr w14:paraId="21C290E0" w14:textId="0D1DB431" w:rsidTr="00C97F7C">
        <w:tblPrEx>
          <w:tblW w:w="5042" w:type="pct"/>
          <w:tblLayout w:type="fixed"/>
          <w:tblLook w:val="01E0"/>
        </w:tblPrEx>
        <w:trPr>
          <w:cantSplit/>
        </w:trPr>
        <w:tc>
          <w:tcPr>
            <w:tcW w:w="1080" w:type="dxa"/>
            <w:tcMar>
              <w:left w:w="72" w:type="dxa"/>
              <w:right w:w="14" w:type="dxa"/>
            </w:tcMar>
          </w:tcPr>
          <w:p w:rsidR="00172C65" w:rsidRPr="00D94F41" w:rsidP="00172C65" w14:paraId="4C9F51FB" w14:textId="77777777">
            <w:pPr>
              <w:pStyle w:val="TableParagraph"/>
              <w:spacing w:before="40" w:after="40"/>
            </w:pPr>
            <w:r w:rsidRPr="00D94F41">
              <w:t>Round 8</w:t>
            </w:r>
          </w:p>
        </w:tc>
        <w:tc>
          <w:tcPr>
            <w:tcW w:w="1172" w:type="dxa"/>
            <w:tcMar>
              <w:left w:w="72" w:type="dxa"/>
              <w:right w:w="72" w:type="dxa"/>
            </w:tcMar>
          </w:tcPr>
          <w:p w:rsidR="00172C65" w:rsidRPr="00D94F41" w:rsidP="00172C65" w14:paraId="6F7FDD5C" w14:textId="255724AA">
            <w:pPr>
              <w:pStyle w:val="TableParagraph"/>
              <w:spacing w:before="40" w:after="40"/>
              <w:ind w:right="288"/>
              <w:jc w:val="right"/>
            </w:pPr>
            <w:r>
              <w:t>23.0</w:t>
            </w:r>
          </w:p>
        </w:tc>
        <w:tc>
          <w:tcPr>
            <w:tcW w:w="1172" w:type="dxa"/>
            <w:tcMar>
              <w:left w:w="72" w:type="dxa"/>
              <w:right w:w="72" w:type="dxa"/>
            </w:tcMar>
          </w:tcPr>
          <w:p w:rsidR="00172C65" w:rsidRPr="00D94F41" w:rsidP="00172C65" w14:paraId="175BF6AE" w14:textId="260607F2">
            <w:pPr>
              <w:pStyle w:val="TableParagraph"/>
              <w:spacing w:before="40" w:after="40"/>
              <w:ind w:right="288"/>
              <w:jc w:val="right"/>
            </w:pPr>
            <w:r>
              <w:t>21.9</w:t>
            </w:r>
          </w:p>
        </w:tc>
        <w:tc>
          <w:tcPr>
            <w:tcW w:w="1172" w:type="dxa"/>
            <w:tcMar>
              <w:left w:w="72" w:type="dxa"/>
              <w:right w:w="72" w:type="dxa"/>
            </w:tcMar>
          </w:tcPr>
          <w:p w:rsidR="00172C65" w:rsidRPr="00D94F41" w:rsidP="00172C65" w14:paraId="3E132630" w14:textId="506B8B28">
            <w:pPr>
              <w:pStyle w:val="TableParagraph"/>
              <w:spacing w:before="40" w:after="40"/>
              <w:ind w:right="288"/>
              <w:jc w:val="right"/>
            </w:pPr>
            <w:r>
              <w:t>21.6</w:t>
            </w:r>
          </w:p>
        </w:tc>
        <w:tc>
          <w:tcPr>
            <w:tcW w:w="1172" w:type="dxa"/>
            <w:tcMar>
              <w:left w:w="72" w:type="dxa"/>
              <w:right w:w="72" w:type="dxa"/>
            </w:tcMar>
          </w:tcPr>
          <w:p w:rsidR="00172C65" w:rsidRPr="00D94F41" w:rsidP="00172C65" w14:paraId="7FACC305" w14:textId="3C33271F">
            <w:pPr>
              <w:pStyle w:val="TableParagraph"/>
              <w:spacing w:before="40" w:after="40"/>
              <w:ind w:right="288"/>
              <w:jc w:val="right"/>
            </w:pPr>
            <w:r>
              <w:t xml:space="preserve"> 22.5 </w:t>
            </w:r>
          </w:p>
        </w:tc>
        <w:tc>
          <w:tcPr>
            <w:tcW w:w="1172" w:type="dxa"/>
            <w:tcMar>
              <w:left w:w="72" w:type="dxa"/>
              <w:right w:w="72" w:type="dxa"/>
            </w:tcMar>
          </w:tcPr>
          <w:p w:rsidR="00172C65" w:rsidRPr="00D94F41" w:rsidP="00172C65" w14:paraId="73D8CAAD" w14:textId="25B7593A">
            <w:pPr>
              <w:pStyle w:val="TableParagraph"/>
              <w:spacing w:before="40" w:after="40"/>
              <w:ind w:right="288"/>
              <w:jc w:val="right"/>
            </w:pPr>
          </w:p>
        </w:tc>
        <w:tc>
          <w:tcPr>
            <w:tcW w:w="1249" w:type="dxa"/>
          </w:tcPr>
          <w:p w:rsidR="00172C65" w:rsidRPr="00D94F41" w:rsidP="00172C65" w14:paraId="7D07CF9A" w14:textId="77777777">
            <w:pPr>
              <w:pStyle w:val="TableParagraph"/>
              <w:spacing w:before="40" w:after="40"/>
              <w:ind w:right="288"/>
              <w:jc w:val="right"/>
            </w:pPr>
          </w:p>
        </w:tc>
        <w:tc>
          <w:tcPr>
            <w:tcW w:w="1249" w:type="dxa"/>
          </w:tcPr>
          <w:p w:rsidR="00172C65" w:rsidRPr="00D94F41" w:rsidP="00172C65" w14:paraId="47966FF3" w14:textId="77777777">
            <w:pPr>
              <w:pStyle w:val="TableParagraph"/>
              <w:spacing w:before="40" w:after="40"/>
              <w:ind w:right="288"/>
              <w:jc w:val="right"/>
            </w:pPr>
          </w:p>
        </w:tc>
      </w:tr>
      <w:tr w14:paraId="3945E4F6" w14:textId="7151A74C" w:rsidTr="00C97F7C">
        <w:tblPrEx>
          <w:tblW w:w="5042" w:type="pct"/>
          <w:tblLayout w:type="fixed"/>
          <w:tblLook w:val="01E0"/>
        </w:tblPrEx>
        <w:trPr>
          <w:cantSplit/>
        </w:trPr>
        <w:tc>
          <w:tcPr>
            <w:tcW w:w="1080" w:type="dxa"/>
            <w:tcMar>
              <w:left w:w="72" w:type="dxa"/>
              <w:right w:w="14" w:type="dxa"/>
            </w:tcMar>
          </w:tcPr>
          <w:p w:rsidR="00172C65" w:rsidRPr="00D94F41" w:rsidP="00172C65" w14:paraId="403CB72B" w14:textId="77777777">
            <w:pPr>
              <w:pStyle w:val="TableParagraph"/>
              <w:spacing w:before="40" w:after="40"/>
            </w:pPr>
            <w:r w:rsidRPr="00D94F41">
              <w:t>Round 9</w:t>
            </w:r>
          </w:p>
        </w:tc>
        <w:tc>
          <w:tcPr>
            <w:tcW w:w="1172" w:type="dxa"/>
            <w:tcMar>
              <w:left w:w="72" w:type="dxa"/>
              <w:right w:w="72" w:type="dxa"/>
            </w:tcMar>
          </w:tcPr>
          <w:p w:rsidR="00172C65" w:rsidRPr="00D94F41" w:rsidP="00172C65" w14:paraId="4E27F7DD" w14:textId="48C658DE">
            <w:pPr>
              <w:pStyle w:val="TableParagraph"/>
              <w:spacing w:before="40" w:after="40"/>
              <w:ind w:right="288"/>
              <w:jc w:val="right"/>
            </w:pPr>
            <w:r>
              <w:t>22.7</w:t>
            </w:r>
          </w:p>
        </w:tc>
        <w:tc>
          <w:tcPr>
            <w:tcW w:w="1172" w:type="dxa"/>
            <w:tcMar>
              <w:left w:w="72" w:type="dxa"/>
              <w:right w:w="72" w:type="dxa"/>
            </w:tcMar>
          </w:tcPr>
          <w:p w:rsidR="00172C65" w:rsidRPr="00D94F41" w:rsidP="00172C65" w14:paraId="6E5CC87A" w14:textId="7C4C2698">
            <w:pPr>
              <w:pStyle w:val="TableParagraph"/>
              <w:spacing w:before="40" w:after="40"/>
              <w:ind w:right="288"/>
              <w:jc w:val="right"/>
            </w:pPr>
            <w:r>
              <w:t>22.1</w:t>
            </w:r>
          </w:p>
        </w:tc>
        <w:tc>
          <w:tcPr>
            <w:tcW w:w="1172" w:type="dxa"/>
            <w:tcMar>
              <w:left w:w="72" w:type="dxa"/>
              <w:right w:w="72" w:type="dxa"/>
            </w:tcMar>
          </w:tcPr>
          <w:p w:rsidR="00172C65" w:rsidRPr="00D94F41" w:rsidP="00172C65" w14:paraId="7883DF70" w14:textId="10718F48">
            <w:pPr>
              <w:pStyle w:val="TableParagraph"/>
              <w:spacing w:before="40" w:after="40"/>
              <w:ind w:right="288"/>
              <w:jc w:val="right"/>
            </w:pPr>
            <w:r>
              <w:t>22.7</w:t>
            </w:r>
          </w:p>
        </w:tc>
        <w:tc>
          <w:tcPr>
            <w:tcW w:w="1172" w:type="dxa"/>
            <w:tcMar>
              <w:left w:w="72" w:type="dxa"/>
              <w:right w:w="72" w:type="dxa"/>
            </w:tcMar>
          </w:tcPr>
          <w:p w:rsidR="00172C65" w:rsidRPr="00D94F41" w:rsidP="00172C65" w14:paraId="761FB3E9" w14:textId="6DAAE163">
            <w:pPr>
              <w:pStyle w:val="TableParagraph"/>
              <w:spacing w:before="40" w:after="40"/>
              <w:ind w:right="288"/>
              <w:jc w:val="right"/>
            </w:pPr>
            <w:r>
              <w:t xml:space="preserve"> 21.0 </w:t>
            </w:r>
          </w:p>
        </w:tc>
        <w:tc>
          <w:tcPr>
            <w:tcW w:w="1172" w:type="dxa"/>
            <w:tcMar>
              <w:left w:w="72" w:type="dxa"/>
              <w:right w:w="72" w:type="dxa"/>
            </w:tcMar>
          </w:tcPr>
          <w:p w:rsidR="00172C65" w:rsidRPr="00D94F41" w:rsidP="00172C65" w14:paraId="76A583E2" w14:textId="5432B027">
            <w:pPr>
              <w:pStyle w:val="TableParagraph"/>
              <w:spacing w:before="40" w:after="40"/>
              <w:ind w:right="288"/>
              <w:jc w:val="right"/>
            </w:pPr>
          </w:p>
        </w:tc>
        <w:tc>
          <w:tcPr>
            <w:tcW w:w="1249" w:type="dxa"/>
          </w:tcPr>
          <w:p w:rsidR="00172C65" w:rsidRPr="00D94F41" w:rsidP="00172C65" w14:paraId="2EAAB620" w14:textId="77777777">
            <w:pPr>
              <w:pStyle w:val="TableParagraph"/>
              <w:spacing w:before="40" w:after="40"/>
              <w:ind w:right="288"/>
              <w:jc w:val="right"/>
            </w:pPr>
          </w:p>
        </w:tc>
        <w:tc>
          <w:tcPr>
            <w:tcW w:w="1249" w:type="dxa"/>
          </w:tcPr>
          <w:p w:rsidR="00172C65" w:rsidRPr="00D94F41" w:rsidP="00172C65" w14:paraId="648C0FA2" w14:textId="77777777">
            <w:pPr>
              <w:pStyle w:val="TableParagraph"/>
              <w:spacing w:before="40" w:after="40"/>
              <w:ind w:right="288"/>
              <w:jc w:val="right"/>
            </w:pPr>
          </w:p>
        </w:tc>
      </w:tr>
      <w:tr w14:paraId="44187742" w14:textId="6C40B1F6" w:rsidTr="00C97F7C">
        <w:tblPrEx>
          <w:tblW w:w="5042" w:type="pct"/>
          <w:tblLayout w:type="fixed"/>
          <w:tblLook w:val="01E0"/>
        </w:tblPrEx>
        <w:trPr>
          <w:cantSplit/>
        </w:trPr>
        <w:tc>
          <w:tcPr>
            <w:tcW w:w="1080" w:type="dxa"/>
            <w:tcMar>
              <w:left w:w="72" w:type="dxa"/>
              <w:right w:w="14" w:type="dxa"/>
            </w:tcMar>
          </w:tcPr>
          <w:p w:rsidR="00172C65" w:rsidRPr="00D94F41" w:rsidP="00172C65" w14:paraId="496D79D3" w14:textId="77777777">
            <w:pPr>
              <w:pStyle w:val="TableParagraph"/>
              <w:spacing w:before="40" w:after="40"/>
            </w:pPr>
            <w:r w:rsidRPr="00D94F41">
              <w:t>Round 10</w:t>
            </w:r>
          </w:p>
        </w:tc>
        <w:tc>
          <w:tcPr>
            <w:tcW w:w="1172" w:type="dxa"/>
            <w:tcMar>
              <w:left w:w="72" w:type="dxa"/>
              <w:right w:w="72" w:type="dxa"/>
            </w:tcMar>
          </w:tcPr>
          <w:p w:rsidR="00172C65" w:rsidRPr="00D94F41" w:rsidP="00172C65" w14:paraId="405A1EC7" w14:textId="6F926C95">
            <w:pPr>
              <w:pStyle w:val="TableParagraph"/>
              <w:spacing w:before="40" w:after="40"/>
              <w:ind w:right="288"/>
              <w:jc w:val="right"/>
            </w:pPr>
            <w:r>
              <w:t>21.7</w:t>
            </w:r>
          </w:p>
        </w:tc>
        <w:tc>
          <w:tcPr>
            <w:tcW w:w="1172" w:type="dxa"/>
            <w:tcMar>
              <w:left w:w="72" w:type="dxa"/>
              <w:right w:w="72" w:type="dxa"/>
            </w:tcMar>
          </w:tcPr>
          <w:p w:rsidR="00172C65" w:rsidRPr="00D94F41" w:rsidP="00172C65" w14:paraId="5C5B8C96" w14:textId="5F5C8F81">
            <w:pPr>
              <w:pStyle w:val="TableParagraph"/>
              <w:spacing w:before="40" w:after="40"/>
              <w:ind w:right="288"/>
              <w:jc w:val="right"/>
            </w:pPr>
            <w:r>
              <w:t>21.8</w:t>
            </w:r>
          </w:p>
        </w:tc>
        <w:tc>
          <w:tcPr>
            <w:tcW w:w="1172" w:type="dxa"/>
            <w:tcMar>
              <w:left w:w="72" w:type="dxa"/>
              <w:right w:w="72" w:type="dxa"/>
            </w:tcMar>
          </w:tcPr>
          <w:p w:rsidR="00172C65" w:rsidRPr="00D94F41" w:rsidP="00172C65" w14:paraId="3F2D3D98" w14:textId="7CFA3FF8">
            <w:pPr>
              <w:pStyle w:val="TableParagraph"/>
              <w:spacing w:before="40" w:after="40"/>
              <w:ind w:right="288"/>
              <w:jc w:val="right"/>
            </w:pPr>
            <w:r>
              <w:t>20.7</w:t>
            </w:r>
          </w:p>
        </w:tc>
        <w:tc>
          <w:tcPr>
            <w:tcW w:w="1172" w:type="dxa"/>
            <w:tcMar>
              <w:left w:w="72" w:type="dxa"/>
              <w:right w:w="72" w:type="dxa"/>
            </w:tcMar>
          </w:tcPr>
          <w:p w:rsidR="00172C65" w:rsidRPr="00D94F41" w:rsidP="00172C65" w14:paraId="45A0C7A9" w14:textId="080A2BD4">
            <w:pPr>
              <w:pStyle w:val="TableParagraph"/>
              <w:spacing w:before="40" w:after="40"/>
              <w:ind w:right="288"/>
              <w:jc w:val="right"/>
            </w:pPr>
            <w:r>
              <w:t xml:space="preserve"> 19.0 </w:t>
            </w:r>
          </w:p>
        </w:tc>
        <w:tc>
          <w:tcPr>
            <w:tcW w:w="1172" w:type="dxa"/>
            <w:tcMar>
              <w:left w:w="72" w:type="dxa"/>
              <w:right w:w="72" w:type="dxa"/>
            </w:tcMar>
          </w:tcPr>
          <w:p w:rsidR="00172C65" w:rsidRPr="00D94F41" w:rsidP="00172C65" w14:paraId="03C4456F" w14:textId="31B98B27">
            <w:pPr>
              <w:pStyle w:val="TableParagraph"/>
              <w:spacing w:before="40" w:after="40"/>
              <w:ind w:right="288"/>
              <w:jc w:val="right"/>
            </w:pPr>
          </w:p>
        </w:tc>
        <w:tc>
          <w:tcPr>
            <w:tcW w:w="1249" w:type="dxa"/>
          </w:tcPr>
          <w:p w:rsidR="00172C65" w:rsidRPr="00D94F41" w:rsidP="00172C65" w14:paraId="05A8DB31" w14:textId="77777777">
            <w:pPr>
              <w:pStyle w:val="TableParagraph"/>
              <w:spacing w:before="40" w:after="40"/>
              <w:ind w:right="288"/>
              <w:jc w:val="right"/>
            </w:pPr>
          </w:p>
        </w:tc>
        <w:tc>
          <w:tcPr>
            <w:tcW w:w="1249" w:type="dxa"/>
          </w:tcPr>
          <w:p w:rsidR="00172C65" w:rsidRPr="00D94F41" w:rsidP="00172C65" w14:paraId="08F80ABB" w14:textId="77777777">
            <w:pPr>
              <w:pStyle w:val="TableParagraph"/>
              <w:spacing w:before="40" w:after="40"/>
              <w:ind w:right="288"/>
              <w:jc w:val="right"/>
            </w:pPr>
          </w:p>
        </w:tc>
      </w:tr>
      <w:tr w14:paraId="382EA2D5" w14:textId="2EC04BD3" w:rsidTr="00C97F7C">
        <w:tblPrEx>
          <w:tblW w:w="5042" w:type="pct"/>
          <w:tblLayout w:type="fixed"/>
          <w:tblLook w:val="01E0"/>
        </w:tblPrEx>
        <w:trPr>
          <w:cantSplit/>
        </w:trPr>
        <w:tc>
          <w:tcPr>
            <w:tcW w:w="1080" w:type="dxa"/>
            <w:tcMar>
              <w:left w:w="72" w:type="dxa"/>
              <w:right w:w="14" w:type="dxa"/>
            </w:tcMar>
          </w:tcPr>
          <w:p w:rsidR="00172C65" w:rsidRPr="00D94F41" w:rsidP="00172C65" w14:paraId="79A40926" w14:textId="77777777">
            <w:pPr>
              <w:pStyle w:val="TableParagraph"/>
              <w:spacing w:before="40" w:after="40"/>
            </w:pPr>
            <w:r w:rsidRPr="00D94F41">
              <w:t>Round 11</w:t>
            </w:r>
          </w:p>
        </w:tc>
        <w:tc>
          <w:tcPr>
            <w:tcW w:w="1172" w:type="dxa"/>
            <w:tcMar>
              <w:left w:w="72" w:type="dxa"/>
              <w:right w:w="72" w:type="dxa"/>
            </w:tcMar>
          </w:tcPr>
          <w:p w:rsidR="00172C65" w:rsidRPr="00D94F41" w:rsidP="00172C65" w14:paraId="3B05C419" w14:textId="277513D1">
            <w:pPr>
              <w:pStyle w:val="TableParagraph"/>
              <w:spacing w:before="40" w:after="40"/>
              <w:ind w:right="288"/>
              <w:jc w:val="right"/>
            </w:pPr>
            <w:r>
              <w:rPr>
                <w:color w:val="000000"/>
              </w:rPr>
              <w:t>21.7</w:t>
            </w:r>
          </w:p>
        </w:tc>
        <w:tc>
          <w:tcPr>
            <w:tcW w:w="1172" w:type="dxa"/>
            <w:tcMar>
              <w:left w:w="72" w:type="dxa"/>
              <w:right w:w="72" w:type="dxa"/>
            </w:tcMar>
          </w:tcPr>
          <w:p w:rsidR="00172C65" w:rsidRPr="00D94F41" w:rsidP="00172C65" w14:paraId="6740D426" w14:textId="5186032E">
            <w:pPr>
              <w:pStyle w:val="TableParagraph"/>
              <w:spacing w:before="40" w:after="40"/>
              <w:ind w:right="288"/>
              <w:jc w:val="right"/>
            </w:pPr>
            <w:r>
              <w:t>20.4</w:t>
            </w:r>
          </w:p>
        </w:tc>
        <w:tc>
          <w:tcPr>
            <w:tcW w:w="1172" w:type="dxa"/>
            <w:tcMar>
              <w:left w:w="72" w:type="dxa"/>
              <w:right w:w="72" w:type="dxa"/>
            </w:tcMar>
          </w:tcPr>
          <w:p w:rsidR="00172C65" w:rsidRPr="00D94F41" w:rsidP="00172C65" w14:paraId="3D17AEE4" w14:textId="48836011">
            <w:pPr>
              <w:pStyle w:val="TableParagraph"/>
              <w:spacing w:before="40" w:after="40"/>
              <w:ind w:right="288"/>
              <w:jc w:val="right"/>
            </w:pPr>
            <w:r>
              <w:rPr>
                <w:color w:val="000000"/>
              </w:rPr>
              <w:t>20.3</w:t>
            </w:r>
          </w:p>
        </w:tc>
        <w:tc>
          <w:tcPr>
            <w:tcW w:w="1172" w:type="dxa"/>
            <w:tcMar>
              <w:left w:w="72" w:type="dxa"/>
              <w:right w:w="72" w:type="dxa"/>
            </w:tcMar>
          </w:tcPr>
          <w:p w:rsidR="00172C65" w:rsidRPr="00D94F41" w:rsidP="00172C65" w14:paraId="509D28AF" w14:textId="3F73D882">
            <w:pPr>
              <w:pStyle w:val="TableParagraph"/>
              <w:spacing w:before="40" w:after="40"/>
              <w:ind w:right="288"/>
              <w:jc w:val="right"/>
            </w:pPr>
          </w:p>
        </w:tc>
        <w:tc>
          <w:tcPr>
            <w:tcW w:w="1172" w:type="dxa"/>
            <w:tcMar>
              <w:left w:w="72" w:type="dxa"/>
              <w:right w:w="72" w:type="dxa"/>
            </w:tcMar>
          </w:tcPr>
          <w:p w:rsidR="00172C65" w:rsidRPr="00D94F41" w:rsidP="00172C65" w14:paraId="2571442C" w14:textId="5A45CA4B">
            <w:pPr>
              <w:pStyle w:val="TableParagraph"/>
              <w:spacing w:before="40" w:after="40"/>
              <w:ind w:right="288"/>
              <w:jc w:val="right"/>
            </w:pPr>
          </w:p>
        </w:tc>
        <w:tc>
          <w:tcPr>
            <w:tcW w:w="1249" w:type="dxa"/>
          </w:tcPr>
          <w:p w:rsidR="00172C65" w:rsidRPr="00D94F41" w:rsidP="00172C65" w14:paraId="69BA992E" w14:textId="77777777">
            <w:pPr>
              <w:pStyle w:val="TableParagraph"/>
              <w:spacing w:before="40" w:after="40"/>
              <w:ind w:right="288"/>
              <w:jc w:val="right"/>
            </w:pPr>
          </w:p>
        </w:tc>
        <w:tc>
          <w:tcPr>
            <w:tcW w:w="1249" w:type="dxa"/>
          </w:tcPr>
          <w:p w:rsidR="00172C65" w:rsidRPr="00D94F41" w:rsidP="00172C65" w14:paraId="2229B7B8" w14:textId="77777777">
            <w:pPr>
              <w:pStyle w:val="TableParagraph"/>
              <w:spacing w:before="40" w:after="40"/>
              <w:ind w:right="288"/>
              <w:jc w:val="right"/>
            </w:pPr>
          </w:p>
        </w:tc>
      </w:tr>
    </w:tbl>
    <w:p w:rsidR="006938AE" w:rsidRPr="00D94F41" w:rsidP="004E1371" w14:paraId="2B276C5A" w14:textId="5D4D6D76">
      <w:pPr>
        <w:pStyle w:val="Note"/>
        <w:spacing w:after="180"/>
      </w:pPr>
      <w:bookmarkStart w:id="19" w:name="_Hlk87531193"/>
      <w:bookmarkEnd w:id="18"/>
      <w:r>
        <w:t xml:space="preserve">Note: </w:t>
      </w:r>
      <w:bookmarkEnd w:id="19"/>
      <w:r w:rsidRPr="00D94F41" w:rsidR="0077371E">
        <w:t xml:space="preserve">In rounds </w:t>
      </w:r>
      <w:r w:rsidRPr="00D94F41" w:rsidR="0077371E">
        <w:t>where</w:t>
      </w:r>
      <w:r w:rsidRPr="00D94F41" w:rsidR="0077371E">
        <w:t xml:space="preserve"> some cases are intentionally not fielded, unconditional response rates will be lower than they would have been if all eligible cases were fielded. For example, some cases were intentionally not fielded in Summer 2016 (Round 75) and Winter 2018 (Round 80). In Summer 2016 (Round 75), some cases were intentionally not fielded and instead were included in an early case release for Fall 2016 (Round 76). The resulting unconditional </w:t>
      </w:r>
      <w:r w:rsidRPr="00D94F41" w:rsidR="0077371E">
        <w:t xml:space="preserve">response rate for the 2015 panel in </w:t>
      </w:r>
      <w:r w:rsidR="00D465AB">
        <w:t>its</w:t>
      </w:r>
      <w:r w:rsidRPr="00D94F41" w:rsidR="0077371E">
        <w:t xml:space="preserve"> 3</w:t>
      </w:r>
      <w:r w:rsidRPr="00D94F41" w:rsidR="00231FE4">
        <w:rPr>
          <w:vertAlign w:val="superscript"/>
        </w:rPr>
        <w:t>rd</w:t>
      </w:r>
      <w:r w:rsidRPr="00D94F41" w:rsidR="0077371E">
        <w:t xml:space="preserve"> round w</w:t>
      </w:r>
      <w:r w:rsidR="00D465AB">
        <w:t>as</w:t>
      </w:r>
      <w:r w:rsidRPr="00D94F41" w:rsidR="0077371E">
        <w:t xml:space="preserve"> lower than </w:t>
      </w:r>
      <w:r w:rsidR="00D465AB">
        <w:t>it</w:t>
      </w:r>
      <w:r w:rsidRPr="00D94F41" w:rsidR="0077371E">
        <w:t xml:space="preserve"> would have been had the cases been </w:t>
      </w:r>
      <w:r w:rsidRPr="00D94F41" w:rsidR="0077371E">
        <w:t>fielded, but</w:t>
      </w:r>
      <w:r w:rsidRPr="00D94F41" w:rsidR="0077371E">
        <w:t xml:space="preserve"> increased again in the subsequent round. In Winter 2018 (Round 80), a group of 306 cases was intentionally not fielded as part of a strategic NIR experiment</w:t>
      </w:r>
      <w:r w:rsidRPr="00D94F41" w:rsidR="00231FE4">
        <w:t>, affecting the 2015 and 2016 panels in their 8</w:t>
      </w:r>
      <w:r w:rsidRPr="00D94F41" w:rsidR="00231FE4">
        <w:rPr>
          <w:vertAlign w:val="superscript"/>
        </w:rPr>
        <w:t>th</w:t>
      </w:r>
      <w:r w:rsidRPr="00D94F41" w:rsidR="00231FE4">
        <w:t xml:space="preserve"> and 5</w:t>
      </w:r>
      <w:r w:rsidRPr="00D94F41" w:rsidR="00231FE4">
        <w:rPr>
          <w:vertAlign w:val="superscript"/>
        </w:rPr>
        <w:t>th</w:t>
      </w:r>
      <w:r w:rsidRPr="00D94F41" w:rsidR="00231FE4">
        <w:t xml:space="preserve"> rounds, respectively</w:t>
      </w:r>
      <w:r w:rsidRPr="00D94F41" w:rsidR="0077371E">
        <w:t>.</w:t>
      </w:r>
      <w:r w:rsidRPr="00D94F41" w:rsidR="00231FE4">
        <w:t xml:space="preserve"> In Winter 2019 (Round 83), a group of 600 cases was intentionally not fielded as part of a strategic NIR experiment, affecting the 2016 and 2017 panels in their 8</w:t>
      </w:r>
      <w:r w:rsidRPr="00D94F41" w:rsidR="00231FE4">
        <w:rPr>
          <w:vertAlign w:val="superscript"/>
        </w:rPr>
        <w:t>th</w:t>
      </w:r>
      <w:r w:rsidRPr="00D94F41" w:rsidR="00231FE4">
        <w:t xml:space="preserve"> and 5</w:t>
      </w:r>
      <w:r w:rsidRPr="00D94F41" w:rsidR="00231FE4">
        <w:rPr>
          <w:vertAlign w:val="superscript"/>
        </w:rPr>
        <w:t>th</w:t>
      </w:r>
      <w:r w:rsidRPr="00D94F41" w:rsidR="00231FE4">
        <w:t xml:space="preserve"> rounds, respectively.</w:t>
      </w:r>
    </w:p>
    <w:p w:rsidR="0088452B" w:rsidRPr="00D94F41" w:rsidP="00E860DC" w14:paraId="302AFB74" w14:textId="7E6D254D">
      <w:pPr>
        <w:pStyle w:val="ListNumber"/>
      </w:pPr>
      <w:r w:rsidRPr="00D94F41">
        <w:rPr>
          <w:u w:val="single"/>
        </w:rPr>
        <w:t>Selection of beneficiaries</w:t>
      </w:r>
      <w:r w:rsidRPr="00D94F41">
        <w:t xml:space="preserve">. </w:t>
      </w:r>
      <w:bookmarkStart w:id="20" w:name="OLE_LINK9"/>
      <w:r w:rsidR="00F11CA0">
        <w:t>As described earl</w:t>
      </w:r>
      <w:r w:rsidR="00D465AB">
        <w:t>ier</w:t>
      </w:r>
      <w:r w:rsidR="00F11CA0">
        <w:t xml:space="preserve">, an annual </w:t>
      </w:r>
      <w:r w:rsidRPr="00D94F41" w:rsidR="00505BED">
        <w:t>Incoming Panel</w:t>
      </w:r>
      <w:r w:rsidRPr="00D94F41">
        <w:t xml:space="preserve"> sample of beneficiaries </w:t>
      </w:r>
      <w:r w:rsidR="00F11CA0">
        <w:t xml:space="preserve">is </w:t>
      </w:r>
      <w:r w:rsidRPr="00D94F41">
        <w:t>selected from the Medicare administrative enrollment data</w:t>
      </w:r>
      <w:bookmarkEnd w:id="20"/>
      <w:r>
        <w:rPr>
          <w:rStyle w:val="FootnoteReference"/>
          <w:szCs w:val="24"/>
        </w:rPr>
        <w:footnoteReference w:id="5"/>
      </w:r>
      <w:r w:rsidRPr="00D94F41">
        <w:t xml:space="preserve">. This sample </w:t>
      </w:r>
      <w:r w:rsidR="00D271BD">
        <w:t>is</w:t>
      </w:r>
      <w:r w:rsidRPr="00D94F41">
        <w:t xml:space="preserve"> clustered within the selected PSUs and SSUs and </w:t>
      </w:r>
      <w:r w:rsidR="00D271BD">
        <w:t>is</w:t>
      </w:r>
      <w:r w:rsidRPr="00D94F41">
        <w:t xml:space="preserve"> designed to achieve uniform sampling weights within each </w:t>
      </w:r>
      <w:r w:rsidRPr="00D94F41">
        <w:t>strata</w:t>
      </w:r>
      <w:r w:rsidRPr="00D94F41">
        <w:t xml:space="preserve">. Beginning in 2015, beneficiaries eligible </w:t>
      </w:r>
      <w:r w:rsidRPr="00D94F41">
        <w:rPr>
          <w:i/>
        </w:rPr>
        <w:t xml:space="preserve">anytime </w:t>
      </w:r>
      <w:r w:rsidRPr="00D94F41">
        <w:t>during the sampling year are also included in the Medicare administrative enrollment sampling frame (referred to as</w:t>
      </w:r>
      <w:r w:rsidRPr="00D94F41" w:rsidR="00D56C58">
        <w:t xml:space="preserve"> current-year enrollees</w:t>
      </w:r>
      <w:r w:rsidRPr="00D94F41">
        <w:t xml:space="preserve">). Also beginning in 2015, Hispanic beneficiaries living outside of Puerto Rico were oversampled. Nursing home residents are drawn into the sample in </w:t>
      </w:r>
      <w:r w:rsidRPr="00D94F41">
        <w:t>exactly the same</w:t>
      </w:r>
      <w:r w:rsidRPr="00D94F41">
        <w:t xml:space="preserve"> manner as other beneficiaries residing in the community.</w:t>
      </w:r>
    </w:p>
    <w:p w:rsidR="0088452B" w:rsidRPr="00D94F41" w:rsidP="002D43C0" w14:paraId="7BFD504D" w14:textId="77777777">
      <w:pPr>
        <w:pStyle w:val="Heading4"/>
      </w:pPr>
      <w:r w:rsidRPr="00D94F41">
        <w:t>Estimation Procedure</w:t>
      </w:r>
    </w:p>
    <w:p w:rsidR="0088452B" w:rsidRPr="00D94F41" w:rsidP="004D6EBE" w14:paraId="3FFE9EE5" w14:textId="0367D60C">
      <w:pPr>
        <w:pStyle w:val="BodyText"/>
      </w:pPr>
      <w:bookmarkStart w:id="21" w:name="OLE_LINK1"/>
      <w:r w:rsidRPr="00D94F41">
        <w:t xml:space="preserve">To date, sampling weights have been calculated for each Fall round (1, 4, 7…, and </w:t>
      </w:r>
      <w:r w:rsidR="00172C65">
        <w:t>91</w:t>
      </w:r>
      <w:r w:rsidRPr="00D94F41">
        <w:t xml:space="preserve">) in order to produce the Survey File limited data sets </w:t>
      </w:r>
      <w:bookmarkEnd w:id="21"/>
      <w:r w:rsidRPr="00D94F41">
        <w:t>(previously referred to as the Access to Care files)</w:t>
      </w:r>
      <w:r w:rsidRPr="00D94F41" w:rsidR="00A35F89">
        <w:t>, and for each calendar year in order to produce the Cost Supplement limited data sets (previously referred to as the Cost and Use files)</w:t>
      </w:r>
      <w:r w:rsidRPr="00D94F41" w:rsidR="00F8266B">
        <w:t>.</w:t>
      </w:r>
      <w:r w:rsidRPr="00D94F41">
        <w:t xml:space="preserve"> </w:t>
      </w:r>
      <w:r w:rsidRPr="00D94F41" w:rsidR="00A35F89">
        <w:t>In both cases</w:t>
      </w:r>
      <w:r w:rsidRPr="00D94F41" w:rsidR="0033227E">
        <w:t xml:space="preserve">, </w:t>
      </w:r>
      <w:r w:rsidRPr="00D94F41">
        <w:t xml:space="preserve">cross-sectional and longitudinal weights have been calculated. </w:t>
      </w:r>
      <w:r w:rsidRPr="00D94F41" w:rsidR="00A35F89">
        <w:t xml:space="preserve">Some questionnaire sections fielded in the Winter or Summer rounds have specific cross-sectional weights calculated for them as well. In all cases, </w:t>
      </w:r>
      <w:r w:rsidRPr="00D94F41">
        <w:t>weights reflect differential probabilities of selection</w:t>
      </w:r>
      <w:r w:rsidRPr="00D94F41" w:rsidR="00A35F89">
        <w:t xml:space="preserve"> and differential nonresponse,</w:t>
      </w:r>
      <w:r w:rsidRPr="00D94F41">
        <w:t xml:space="preserve"> and </w:t>
      </w:r>
      <w:r w:rsidRPr="00D94F41" w:rsidR="00A35F89">
        <w:t xml:space="preserve">are </w:t>
      </w:r>
      <w:r w:rsidRPr="00D94F41">
        <w:t xml:space="preserve">adjusted to account for overlapping coverage of the panels included in the </w:t>
      </w:r>
      <w:r w:rsidRPr="00D94F41" w:rsidR="00A35F89">
        <w:t>data files</w:t>
      </w:r>
      <w:r w:rsidRPr="00D94F41">
        <w:t>. Replicate weights were also calculated so that users can calculate standard errors using replication methods. In addition to the replicate weights, stratum and unit codes exist on each weight file for users who prefer to use Taylor Series methods to estimate variances.</w:t>
      </w:r>
    </w:p>
    <w:p w:rsidR="0088452B" w:rsidRPr="00D94F41" w:rsidP="004D6EBE" w14:paraId="26229A06" w14:textId="74DC6C3F">
      <w:pPr>
        <w:pStyle w:val="BodyText"/>
      </w:pPr>
      <w:r w:rsidRPr="00D94F41">
        <w:t xml:space="preserve">Besides standard weighting and replicate weighting, another part of the estimation program includes the full imputation of the data sets to compensate for item non-response. Imputation of charges for non-covered services and sources of payment for covered services in the Cost Supplement files have been developed. </w:t>
      </w:r>
      <w:r w:rsidRPr="00D94F41" w:rsidR="00AC08A6">
        <w:t>Beginning with the 2015 data, unit-level imputation was also instituted to compensate for missing initial</w:t>
      </w:r>
      <w:r w:rsidRPr="00D94F41" w:rsidR="00A35F89">
        <w:t>-</w:t>
      </w:r>
      <w:r w:rsidRPr="00D94F41" w:rsidR="00AC08A6">
        <w:t xml:space="preserve">round </w:t>
      </w:r>
      <w:r w:rsidRPr="00D94F41" w:rsidR="00A35F89">
        <w:t xml:space="preserve">utilization and cost </w:t>
      </w:r>
      <w:r w:rsidRPr="00D94F41" w:rsidR="00AC08A6">
        <w:t>data</w:t>
      </w:r>
      <w:r>
        <w:rPr>
          <w:rStyle w:val="FootnoteReference"/>
        </w:rPr>
        <w:footnoteReference w:id="6"/>
      </w:r>
      <w:r w:rsidRPr="00D94F41" w:rsidR="00AC08A6">
        <w:t xml:space="preserve"> for </w:t>
      </w:r>
      <w:r w:rsidRPr="00D94F41" w:rsidR="00D56C58">
        <w:t>current-year enrollees</w:t>
      </w:r>
      <w:r w:rsidRPr="00D94F41" w:rsidR="00AC08A6">
        <w:t xml:space="preserve">. </w:t>
      </w:r>
      <w:r w:rsidRPr="00D94F41">
        <w:t>The weighting and imputation of data continue each year.</w:t>
      </w:r>
    </w:p>
    <w:p w:rsidR="0088452B" w:rsidRPr="00D94F41" w:rsidP="002D43C0" w14:paraId="187BA210" w14:textId="77777777">
      <w:pPr>
        <w:pStyle w:val="Heading4"/>
      </w:pPr>
      <w:bookmarkStart w:id="22" w:name="OLE_LINK8"/>
      <w:r w:rsidRPr="00D94F41">
        <w:t>Degree of accuracy needed for the purpose described in the justification</w:t>
      </w:r>
    </w:p>
    <w:bookmarkEnd w:id="22"/>
    <w:p w:rsidR="0088452B" w:rsidRPr="00D94F41" w:rsidP="004D6EBE" w14:paraId="5A04F709" w14:textId="7494BA6D">
      <w:pPr>
        <w:pStyle w:val="BodyText"/>
      </w:pPr>
      <w:r w:rsidRPr="00D94F41">
        <w:t xml:space="preserve">A broad range of statistics are produced from the MCBS. There is no single attribute of beneficiaries and their medical expenses that stands out as the primary goal of the survey. Thus, there can be no simple criterion for the degree of reliability that statistics for each analytic domain should satisfy. Even with a </w:t>
      </w:r>
      <w:r w:rsidRPr="00D94F41" w:rsidR="002C2466">
        <w:t xml:space="preserve">larger </w:t>
      </w:r>
      <w:r w:rsidRPr="00D94F41">
        <w:t>sample size of 14,000 to 15,000 persons, there w</w:t>
      </w:r>
      <w:r w:rsidRPr="00D94F41" w:rsidR="002C2466">
        <w:t>ould</w:t>
      </w:r>
      <w:r w:rsidRPr="00D94F41">
        <w:t xml:space="preserve"> be many small domains of interest for which it </w:t>
      </w:r>
      <w:r w:rsidRPr="00D94F41" w:rsidR="000E343B">
        <w:t xml:space="preserve">would </w:t>
      </w:r>
      <w:r w:rsidRPr="00D94F41">
        <w:t>be necessary to use modeling techniques or to wait several years for sufficient data to accumulate.</w:t>
      </w:r>
    </w:p>
    <w:p w:rsidR="00E47D6C" w:rsidRPr="00D94F41" w:rsidP="00E47D6C" w14:paraId="41504854" w14:textId="418B4E05">
      <w:pPr>
        <w:pStyle w:val="BodyText"/>
      </w:pPr>
      <w:r w:rsidRPr="00D94F41">
        <w:t xml:space="preserve">The MCBS will maintain a stratified approach to the selection of the sample. The sample will continue to be clustered by PSU and Census tract-based SSU and stratified by age domain and race/ethnicity; the tract-based SSU approach was an innovation first begun in 2014 which has resulted in greater efficiencies and increased analytic opportunities. We anticipate maintaining a </w:t>
      </w:r>
      <w:r w:rsidRPr="00D94F41">
        <w:t xml:space="preserve">total of </w:t>
      </w:r>
      <w:r w:rsidR="005B29A6">
        <w:t>600-800</w:t>
      </w:r>
      <w:r w:rsidRPr="00D94F41">
        <w:t xml:space="preserve"> annual cases allocated to the two younger age categories for disabled beneficiaries who are not yet 65. The two age categories were selected because they indirectly reflect </w:t>
      </w:r>
      <w:r w:rsidRPr="00D94F41">
        <w:t>the means by which</w:t>
      </w:r>
      <w:r w:rsidRPr="00D94F41">
        <w:t xml:space="preserve"> the disabled person becomes eligible for Medicare. Since the number of disabled sample persons per PSU and Census tract will be small, the effects of clustering on</w:t>
      </w:r>
      <w:r w:rsidRPr="00D94F41" w:rsidR="00BB2D9F">
        <w:t xml:space="preserve"> statistical precision should be mild for this subgroup. For example, depending on the prevalence of the characteristic being estimated, the MCBS has achieved standard errors for estimates of percentages ranging from 2-3% or lower for subgroup estimates based on 1,000 respondents.</w:t>
      </w:r>
      <w:bookmarkStart w:id="23" w:name="_bookmark5"/>
      <w:bookmarkEnd w:id="23"/>
    </w:p>
    <w:p w:rsidR="0088452B" w:rsidRPr="00D94F41" w:rsidP="004D6EBE" w14:paraId="637A7231" w14:textId="77777777">
      <w:pPr>
        <w:pStyle w:val="BodyText"/>
      </w:pPr>
      <w:r w:rsidRPr="00D94F41">
        <w:t xml:space="preserve">Since many of the cost and reimbursement statistics derived from the MCBS may be heavily right-skewed (i.e., reflecting the higher end of the cost/reimbursement spectrum to a disproportionate degree), the accuracy may be lower in relative terms but still acceptable. </w:t>
      </w:r>
      <w:bookmarkStart w:id="24" w:name="OLE_LINK2"/>
      <w:r w:rsidRPr="00D94F41">
        <w:t>For example, the relative standard error of the mean total Medicare reimbursements derived from the MCBS has generally ranged from 2.0-2.5% for the total sample, and 4.0-8.0% for subgroups.</w:t>
      </w:r>
      <w:bookmarkEnd w:id="24"/>
    </w:p>
    <w:p w:rsidR="0088452B" w:rsidRPr="00D94F41" w:rsidP="00BB2D9F" w14:paraId="6B7BBEA1" w14:textId="76589C1C">
      <w:pPr>
        <w:pStyle w:val="BodyText"/>
      </w:pPr>
      <w:r w:rsidRPr="00D94F41">
        <w:t>Each of the age strata for the Medicare sample age 65 and over will be allocated 1,</w:t>
      </w:r>
      <w:r w:rsidR="005628E5">
        <w:t>3</w:t>
      </w:r>
      <w:r w:rsidRPr="00D94F41" w:rsidR="005628E5">
        <w:t>00</w:t>
      </w:r>
      <w:r w:rsidRPr="00D94F41">
        <w:t>-</w:t>
      </w:r>
      <w:r w:rsidR="005628E5">
        <w:t>1</w:t>
      </w:r>
      <w:r w:rsidRPr="00D94F41" w:rsidR="00C26C79">
        <w:t>,</w:t>
      </w:r>
      <w:r w:rsidR="005628E5">
        <w:t>7</w:t>
      </w:r>
      <w:r w:rsidRPr="00D94F41" w:rsidR="005628E5">
        <w:t xml:space="preserve">00 </w:t>
      </w:r>
      <w:r w:rsidRPr="00D94F41">
        <w:t>cases, with the oldest stratum (age 85 and over) being allocated about 1,</w:t>
      </w:r>
      <w:r w:rsidRPr="00D94F41" w:rsidR="00556D78">
        <w:t>9</w:t>
      </w:r>
      <w:r w:rsidRPr="00D94F41">
        <w:t>00 cases with oversampling. A major reason for oversampling the very old is to obtain an adequate sample of nursing home stays. Variations in sampling weights across the age strata and clustering within PSU and Census tract will inflate sampling errors, but the resulting effective sample sizes should be adequate for most analyses.</w:t>
      </w:r>
    </w:p>
    <w:p w:rsidR="0088452B" w:rsidRPr="00D94F41" w:rsidP="003E486D" w14:paraId="054D17DC" w14:textId="2FF6F3B6">
      <w:pPr>
        <w:pStyle w:val="Heading4"/>
        <w:tabs>
          <w:tab w:val="clear" w:pos="341"/>
        </w:tabs>
      </w:pPr>
      <w:r w:rsidRPr="00D94F41">
        <w:t>Review of i</w:t>
      </w:r>
      <w:r w:rsidRPr="00D94F41" w:rsidR="004112E2">
        <w:t>nterview content for periodic data collection cycles to reduce burden.</w:t>
      </w:r>
    </w:p>
    <w:p w:rsidR="0088452B" w:rsidRPr="00D94F41" w:rsidP="008437C5" w14:paraId="7998FFA7" w14:textId="77777777">
      <w:pPr>
        <w:pStyle w:val="ListNumber"/>
        <w:numPr>
          <w:ilvl w:val="0"/>
          <w:numId w:val="7"/>
        </w:numPr>
        <w:tabs>
          <w:tab w:val="clear" w:pos="360"/>
          <w:tab w:val="num" w:pos="720"/>
        </w:tabs>
        <w:rPr>
          <w:u w:val="single"/>
        </w:rPr>
      </w:pPr>
      <w:r w:rsidRPr="00D94F41">
        <w:rPr>
          <w:u w:val="single"/>
        </w:rPr>
        <w:t>Content and timing of instrument sections.</w:t>
      </w:r>
    </w:p>
    <w:p w:rsidR="0088452B" w:rsidRPr="00D94F41" w:rsidP="00E860DC" w14:paraId="7D94945D" w14:textId="2637C006">
      <w:pPr>
        <w:pStyle w:val="ListContinue"/>
      </w:pPr>
      <w:r w:rsidRPr="00D94F41">
        <w:t>The primary variables of interest for the MCBS are the use and cost of health care services and associated sources and amounts of payment. While Medicare claims files supply information on billed amounts and Medicare payments for covered services, the survey provides important self-reported information on use of services not covered by Medicare and on payment sources and amounts for costs not reimbursed by Medicare. For both the Community and Facility components, the primary focus of the data collection is on use of services (dental</w:t>
      </w:r>
      <w:r w:rsidRPr="00D94F41" w:rsidR="00F8266B">
        <w:t>, hearing and vision care</w:t>
      </w:r>
      <w:r w:rsidRPr="00D94F41">
        <w:t xml:space="preserve">, hospital, physician, medical providers, prescription medication and other medical services), sources and amounts of payment, and health insurance coverage. The MCBS interview collects continuous information on these items through thrice-yearly interviews; that is, once a new respondent completes their </w:t>
      </w:r>
      <w:r w:rsidRPr="00D94F41" w:rsidR="000A248B">
        <w:t>B</w:t>
      </w:r>
      <w:r w:rsidRPr="00D94F41">
        <w:t>aseline interview, they are asked utilization and cost questions each round.</w:t>
      </w:r>
    </w:p>
    <w:p w:rsidR="0088452B" w:rsidRPr="00D94F41" w:rsidP="00E860DC" w14:paraId="2867D96C" w14:textId="672587B5">
      <w:pPr>
        <w:pStyle w:val="ListContinue"/>
      </w:pPr>
      <w:r w:rsidRPr="00D94F41">
        <w:t xml:space="preserve">Continuous data on utilization and expenditures are required for </w:t>
      </w:r>
      <w:r w:rsidRPr="00D94F41">
        <w:t>a number of</w:t>
      </w:r>
      <w:r w:rsidRPr="00D94F41">
        <w:t xml:space="preserve"> reasons. First, several of the distinct expenditure categories involve relatively rare medical events (inpatient hospital stays, use of home health care, purchase of durable medical equipment, and so forth), so limiting the reference period would mean insufficient observations for annual estimates.</w:t>
      </w:r>
      <w:r w:rsidRPr="00D94F41" w:rsidR="000E343B">
        <w:t xml:space="preserve"> </w:t>
      </w:r>
      <w:r w:rsidRPr="00D94F41">
        <w:t>Second, episodes of medical care often consist of a series of services over weeks or months; data collected several times a year allow examination of the grouping of services and costs around particular episodes of care. Third, payment for medical services often occurs considerably later than the utilization, so collection of complete information about a particular event can often only be obtained sometime after the event occurs.</w:t>
      </w:r>
    </w:p>
    <w:p w:rsidR="0088452B" w:rsidRPr="00D94F41" w:rsidP="00E860DC" w14:paraId="330CBAA2" w14:textId="2D67875F">
      <w:pPr>
        <w:pStyle w:val="ListContinue"/>
      </w:pPr>
      <w:r w:rsidRPr="00D94F41">
        <w:t xml:space="preserve">The administration of the instruments will continue to follow the established pattern of data collection. Baseline </w:t>
      </w:r>
      <w:r w:rsidRPr="00D94F41" w:rsidR="000A248B">
        <w:t>interviews</w:t>
      </w:r>
      <w:r w:rsidRPr="00D94F41">
        <w:t xml:space="preserve"> will be co</w:t>
      </w:r>
      <w:r w:rsidRPr="00D94F41" w:rsidR="000A248B">
        <w:t>nducted</w:t>
      </w:r>
      <w:r w:rsidRPr="00D94F41">
        <w:t xml:space="preserve"> in the initial interview with new </w:t>
      </w:r>
      <w:r w:rsidRPr="00D94F41" w:rsidR="00505BED">
        <w:t>Incoming Panel</w:t>
      </w:r>
      <w:r w:rsidRPr="00D94F41">
        <w:t xml:space="preserve"> respondents. This will be followed with 10 interviews to collect utilization, </w:t>
      </w:r>
      <w:r w:rsidRPr="00D94F41">
        <w:t>cost</w:t>
      </w:r>
      <w:r w:rsidRPr="00D94F41">
        <w:t xml:space="preserve"> and other important topics</w:t>
      </w:r>
      <w:r w:rsidRPr="00D94F41" w:rsidR="000A248B">
        <w:t>, referred to a</w:t>
      </w:r>
      <w:r w:rsidRPr="00D94F41" w:rsidR="00C20992">
        <w:t>s</w:t>
      </w:r>
      <w:r w:rsidRPr="00D94F41" w:rsidR="000A248B">
        <w:t xml:space="preserve"> Continuing interviews</w:t>
      </w:r>
      <w:r w:rsidRPr="00D94F41">
        <w:t xml:space="preserve">. Since the </w:t>
      </w:r>
      <w:r w:rsidRPr="00D94F41" w:rsidR="000A248B">
        <w:t>Baseline</w:t>
      </w:r>
      <w:r w:rsidRPr="00D94F41">
        <w:t xml:space="preserve"> interview always occurs in the last four months of a calendar year, collection of utilization and </w:t>
      </w:r>
      <w:r w:rsidRPr="00D94F41">
        <w:t>expenditure data in the second interview means the reference period will always begin prior to January 1st. This creates use and expenditure estimates on a calendar year basis.</w:t>
      </w:r>
    </w:p>
    <w:p w:rsidR="0088452B" w:rsidRPr="00D94F41" w:rsidP="00E860DC" w14:paraId="38953A10" w14:textId="118D1603">
      <w:pPr>
        <w:pStyle w:val="ListContinue"/>
      </w:pPr>
      <w:r w:rsidRPr="00D94F41">
        <w:t xml:space="preserve">The literature (initially reported by </w:t>
      </w:r>
      <w:r w:rsidRPr="00D94F41">
        <w:t>Neter</w:t>
      </w:r>
      <w:r w:rsidRPr="00D94F41">
        <w:t xml:space="preserve"> and </w:t>
      </w:r>
      <w:r w:rsidRPr="00D94F41">
        <w:t>Waksberg</w:t>
      </w:r>
      <w:r w:rsidRPr="00D94F41">
        <w:t xml:space="preserve"> in 1964</w:t>
      </w:r>
      <w:r>
        <w:rPr>
          <w:rStyle w:val="FootnoteReference"/>
        </w:rPr>
        <w:footnoteReference w:id="7"/>
      </w:r>
      <w:r w:rsidRPr="00D94F41">
        <w:t xml:space="preserve"> and confirmed in</w:t>
      </w:r>
      <w:r w:rsidRPr="00D94F41" w:rsidR="005F5E74">
        <w:t xml:space="preserve"> </w:t>
      </w:r>
      <w:r w:rsidRPr="00D94F41">
        <w:t xml:space="preserve">subsequent research by other analysts) indicates that collection of behavioral information in an unbounded recall period can result in large recall errors. The </w:t>
      </w:r>
      <w:r w:rsidRPr="00D94F41" w:rsidR="00505BED">
        <w:t>Incoming Panel</w:t>
      </w:r>
      <w:r w:rsidRPr="00D94F41">
        <w:t xml:space="preserve"> interviews covered in this clearance request - Fall 202</w:t>
      </w:r>
      <w:r w:rsidR="00355E4B">
        <w:t>4</w:t>
      </w:r>
      <w:r w:rsidRPr="00D94F41" w:rsidR="005F5E74">
        <w:t xml:space="preserve"> (Round </w:t>
      </w:r>
      <w:r w:rsidR="00355E4B">
        <w:t>100</w:t>
      </w:r>
      <w:r w:rsidRPr="00D94F41">
        <w:t>), Fall 202</w:t>
      </w:r>
      <w:r w:rsidR="00355E4B">
        <w:t>5</w:t>
      </w:r>
      <w:r w:rsidRPr="00D94F41" w:rsidR="005F5E74">
        <w:t xml:space="preserve"> (Round </w:t>
      </w:r>
      <w:r w:rsidRPr="00D94F41" w:rsidR="00177230">
        <w:t>10</w:t>
      </w:r>
      <w:r w:rsidR="00355E4B">
        <w:t>3</w:t>
      </w:r>
      <w:r w:rsidRPr="00D94F41">
        <w:t>)</w:t>
      </w:r>
      <w:r w:rsidRPr="00D94F41" w:rsidR="0009032E">
        <w:t>, and Fall 202</w:t>
      </w:r>
      <w:r w:rsidR="00355E4B">
        <w:t>6</w:t>
      </w:r>
      <w:r w:rsidRPr="00D94F41" w:rsidR="0009032E">
        <w:t xml:space="preserve"> (Round </w:t>
      </w:r>
      <w:r w:rsidRPr="00D94F41" w:rsidR="00177230">
        <w:t>10</w:t>
      </w:r>
      <w:r w:rsidR="00355E4B">
        <w:t>6</w:t>
      </w:r>
      <w:r w:rsidRPr="00D94F41" w:rsidR="0009032E">
        <w:t>)</w:t>
      </w:r>
      <w:r w:rsidRPr="00D94F41">
        <w:t xml:space="preserve"> -prepares the respondent for the collection of utilization and expenditure information in subsequent rounds, thus “bounding” the recall period for the next interview. During the </w:t>
      </w:r>
      <w:r w:rsidRPr="00D94F41" w:rsidR="000A248B">
        <w:t>B</w:t>
      </w:r>
      <w:r w:rsidRPr="00D94F41">
        <w:t>aseline interview, the respondent is provided with a calendar and interviewers emphasize the importance of this tool for use in future interviews. This calendar marks the recall period for the respondent and serves as the means to record utilization as well as a prompt to retain statements and bills.</w:t>
      </w:r>
    </w:p>
    <w:p w:rsidR="0088452B" w:rsidRPr="00D94F41" w:rsidP="00E860DC" w14:paraId="4FE153AD" w14:textId="7DD1D651">
      <w:pPr>
        <w:pStyle w:val="ListNumber"/>
        <w:tabs>
          <w:tab w:val="clear" w:pos="360"/>
          <w:tab w:val="num" w:pos="630"/>
        </w:tabs>
        <w:rPr>
          <w:u w:val="single"/>
        </w:rPr>
      </w:pPr>
      <w:r w:rsidRPr="00D94F41">
        <w:rPr>
          <w:u w:val="single"/>
        </w:rPr>
        <w:t xml:space="preserve">Content of the instruments, Rounds </w:t>
      </w:r>
      <w:r w:rsidR="00355E4B">
        <w:rPr>
          <w:u w:val="single"/>
        </w:rPr>
        <w:t>101-109</w:t>
      </w:r>
      <w:r w:rsidRPr="00D94F41">
        <w:rPr>
          <w:u w:val="single"/>
        </w:rPr>
        <w:t>.</w:t>
      </w:r>
    </w:p>
    <w:p w:rsidR="0088452B" w:rsidRPr="00D94F41" w:rsidP="00E860DC" w14:paraId="1253E1DA" w14:textId="6AE5AEFB">
      <w:pPr>
        <w:pStyle w:val="ListContinue"/>
      </w:pPr>
      <w:r w:rsidRPr="00D94F41">
        <w:t xml:space="preserve">Nearly </w:t>
      </w:r>
      <w:r w:rsidRPr="00D94F41">
        <w:t>all of</w:t>
      </w:r>
      <w:r w:rsidRPr="00D94F41">
        <w:t xml:space="preserve"> the instrument sections as currently approved by OMB are unchanged. Table B.4 presents the core and topical sections that comprise the MCBS Community instrument. As shown in the table, the content and order of administration varies based on season of data collection (Fall, Winter, Summer) and the type of interview (Baseline, Continuing). Those sections with an asterisk (*) include a revision contained in this clearance request (either adding or deleting questions).</w:t>
      </w:r>
      <w:r w:rsidRPr="00D94F41" w:rsidR="00780CCA">
        <w:t xml:space="preserve"> Occasionally an item may be moved from one questionnaire section to </w:t>
      </w:r>
      <w:r w:rsidRPr="00D94F41" w:rsidR="00CE54E3">
        <w:t xml:space="preserve">another to </w:t>
      </w:r>
      <w:r w:rsidRPr="00D94F41" w:rsidR="00780CCA">
        <w:t>improve the flow and use of the data, or for other operational or analytic purposes.</w:t>
      </w:r>
    </w:p>
    <w:p w:rsidR="0088452B" w:rsidRPr="00D94F41" w:rsidP="00AE5C2C" w14:paraId="670FC156" w14:textId="78FFDBB1">
      <w:pPr>
        <w:pStyle w:val="Caption"/>
        <w:tabs>
          <w:tab w:val="left" w:pos="1170"/>
        </w:tabs>
      </w:pPr>
      <w:r w:rsidRPr="00D94F41">
        <w:t>Table B.4:</w:t>
      </w:r>
      <w:r w:rsidR="00110F11">
        <w:tab/>
      </w:r>
      <w:r w:rsidRPr="00D94F41">
        <w:t>Community Instrument Sections and Order of Administration</w:t>
      </w:r>
    </w:p>
    <w:tbl>
      <w:tblPr>
        <w:tblStyle w:val="GridTableLight"/>
        <w:tblCaption w:val="Table B.4: Community instrument sections and order of administration"/>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64"/>
        <w:gridCol w:w="1001"/>
        <w:gridCol w:w="3060"/>
        <w:gridCol w:w="1525"/>
      </w:tblGrid>
      <w:tr w14:paraId="29E4981C" w14:textId="77777777" w:rsidTr="00355E4B">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blHeader/>
        </w:trPr>
        <w:tc>
          <w:tcPr>
            <w:tcW w:w="3764" w:type="dxa"/>
            <w:shd w:val="clear" w:color="auto" w:fill="D9D9D9"/>
            <w:tcMar>
              <w:left w:w="86" w:type="dxa"/>
              <w:right w:w="86" w:type="dxa"/>
            </w:tcMar>
            <w:vAlign w:val="bottom"/>
          </w:tcPr>
          <w:p w:rsidR="0088452B" w:rsidRPr="00D94F41" w:rsidP="00110F11" w14:paraId="52363F15" w14:textId="77777777">
            <w:pPr>
              <w:pStyle w:val="TableParagraph"/>
              <w:spacing w:before="20" w:after="20"/>
              <w:jc w:val="center"/>
              <w:rPr>
                <w:b/>
              </w:rPr>
            </w:pPr>
            <w:r w:rsidRPr="00D94F41">
              <w:rPr>
                <w:b/>
              </w:rPr>
              <w:t>Section</w:t>
            </w:r>
          </w:p>
          <w:p w:rsidR="0088452B" w:rsidRPr="00D94F41" w:rsidP="00110F11" w14:paraId="061EF5BA" w14:textId="77777777">
            <w:pPr>
              <w:pStyle w:val="TableParagraph"/>
              <w:spacing w:before="20" w:after="20"/>
              <w:jc w:val="center"/>
            </w:pPr>
            <w:r w:rsidRPr="00D94F41">
              <w:t>Listed in the order in which the section is administered.</w:t>
            </w:r>
          </w:p>
        </w:tc>
        <w:tc>
          <w:tcPr>
            <w:tcW w:w="1001" w:type="dxa"/>
            <w:shd w:val="clear" w:color="auto" w:fill="D9D9D9"/>
            <w:tcMar>
              <w:left w:w="86" w:type="dxa"/>
              <w:right w:w="86" w:type="dxa"/>
            </w:tcMar>
            <w:vAlign w:val="bottom"/>
          </w:tcPr>
          <w:p w:rsidR="0088452B" w:rsidRPr="00D94F41" w:rsidP="00110F11" w14:paraId="6CC5A607" w14:textId="51BB2DDC">
            <w:pPr>
              <w:pStyle w:val="TableParagraph"/>
              <w:spacing w:before="20" w:after="20"/>
              <w:jc w:val="center"/>
            </w:pPr>
            <w:r w:rsidRPr="00D94F41">
              <w:rPr>
                <w:b/>
              </w:rPr>
              <w:t>Type</w:t>
            </w:r>
            <w:r w:rsidRPr="00D94F41" w:rsidR="00B41430">
              <w:rPr>
                <w:b/>
              </w:rPr>
              <w:t xml:space="preserve"> </w:t>
            </w:r>
            <w:r w:rsidRPr="00D94F41">
              <w:rPr>
                <w:b/>
              </w:rPr>
              <w:t xml:space="preserve">of Section </w:t>
            </w:r>
            <w:r w:rsidRPr="00D94F41">
              <w:t>(Core</w:t>
            </w:r>
            <w:r w:rsidRPr="00D94F41" w:rsidR="00861C1F">
              <w:t xml:space="preserve"> </w:t>
            </w:r>
            <w:r w:rsidRPr="00D94F41">
              <w:t>or Topica</w:t>
            </w:r>
            <w:r w:rsidRPr="00D94F41" w:rsidR="00861C1F">
              <w:t>l</w:t>
            </w:r>
            <w:r w:rsidRPr="00D94F41">
              <w:t>)</w:t>
            </w:r>
          </w:p>
        </w:tc>
        <w:tc>
          <w:tcPr>
            <w:tcW w:w="3060" w:type="dxa"/>
            <w:shd w:val="clear" w:color="auto" w:fill="D9D9D9"/>
            <w:tcMar>
              <w:left w:w="86" w:type="dxa"/>
              <w:right w:w="86" w:type="dxa"/>
            </w:tcMar>
            <w:vAlign w:val="bottom"/>
          </w:tcPr>
          <w:p w:rsidR="0088452B" w:rsidRPr="00D94F41" w:rsidP="00110F11" w14:paraId="2E39EC35" w14:textId="77777777">
            <w:pPr>
              <w:pStyle w:val="TableParagraph"/>
              <w:spacing w:before="20" w:after="20"/>
              <w:jc w:val="center"/>
              <w:rPr>
                <w:b/>
              </w:rPr>
            </w:pPr>
            <w:r w:rsidRPr="00D94F41">
              <w:rPr>
                <w:b/>
              </w:rPr>
              <w:t>Season of Administration</w:t>
            </w:r>
          </w:p>
          <w:p w:rsidR="0088452B" w:rsidRPr="00D94F41" w:rsidP="00110F11" w14:paraId="7F277050" w14:textId="77777777">
            <w:pPr>
              <w:pStyle w:val="TableParagraph"/>
              <w:spacing w:before="20" w:after="20"/>
              <w:jc w:val="center"/>
            </w:pPr>
            <w:r w:rsidRPr="00D94F41">
              <w:t>(Rounds Administered)</w:t>
            </w:r>
          </w:p>
        </w:tc>
        <w:tc>
          <w:tcPr>
            <w:tcW w:w="1525" w:type="dxa"/>
            <w:shd w:val="clear" w:color="auto" w:fill="D9D9D9"/>
            <w:tcMar>
              <w:left w:w="86" w:type="dxa"/>
              <w:right w:w="86" w:type="dxa"/>
            </w:tcMar>
            <w:vAlign w:val="bottom"/>
          </w:tcPr>
          <w:p w:rsidR="0088452B" w:rsidRPr="00D94F41" w:rsidP="00110F11" w14:paraId="270C9CB5" w14:textId="77777777">
            <w:pPr>
              <w:pStyle w:val="TableParagraph"/>
              <w:spacing w:before="20" w:after="20"/>
              <w:jc w:val="center"/>
            </w:pPr>
            <w:r w:rsidRPr="00D94F41">
              <w:rPr>
                <w:b/>
              </w:rPr>
              <w:t xml:space="preserve">Interview Type </w:t>
            </w:r>
            <w:r w:rsidRPr="00D94F41">
              <w:t>(Baseline, Continuing, Both)</w:t>
            </w:r>
          </w:p>
        </w:tc>
      </w:tr>
      <w:tr w14:paraId="4D0DD790" w14:textId="77777777" w:rsidTr="00355E4B">
        <w:tblPrEx>
          <w:tblW w:w="5000" w:type="pct"/>
          <w:tblLayout w:type="fixed"/>
          <w:tblLook w:val="01E0"/>
        </w:tblPrEx>
        <w:trPr>
          <w:cantSplit/>
        </w:trPr>
        <w:tc>
          <w:tcPr>
            <w:tcW w:w="3764" w:type="dxa"/>
            <w:tcMar>
              <w:left w:w="86" w:type="dxa"/>
              <w:right w:w="86" w:type="dxa"/>
            </w:tcMar>
          </w:tcPr>
          <w:p w:rsidR="0088452B" w:rsidRPr="00D94F41" w:rsidP="00110F11" w14:paraId="41AC212B" w14:textId="77777777">
            <w:pPr>
              <w:pStyle w:val="TableParagraph"/>
              <w:spacing w:before="20" w:after="20"/>
            </w:pPr>
            <w:r w:rsidRPr="00D94F41">
              <w:t>Introduction (INQ)</w:t>
            </w:r>
          </w:p>
        </w:tc>
        <w:tc>
          <w:tcPr>
            <w:tcW w:w="1001" w:type="dxa"/>
            <w:tcMar>
              <w:left w:w="86" w:type="dxa"/>
              <w:right w:w="86" w:type="dxa"/>
            </w:tcMar>
          </w:tcPr>
          <w:p w:rsidR="0088452B" w:rsidRPr="00D94F41" w:rsidP="00110F11" w14:paraId="038154E7" w14:textId="77777777">
            <w:pPr>
              <w:pStyle w:val="TableParagraph"/>
              <w:spacing w:before="20" w:after="20"/>
            </w:pPr>
            <w:r w:rsidRPr="00D94F41">
              <w:t>Core</w:t>
            </w:r>
          </w:p>
        </w:tc>
        <w:tc>
          <w:tcPr>
            <w:tcW w:w="3060" w:type="dxa"/>
            <w:tcMar>
              <w:left w:w="86" w:type="dxa"/>
              <w:right w:w="86" w:type="dxa"/>
            </w:tcMar>
          </w:tcPr>
          <w:p w:rsidR="0088452B" w:rsidRPr="00D94F41" w:rsidP="00110F11" w14:paraId="13A2D313" w14:textId="0EAA7E7B">
            <w:pPr>
              <w:pStyle w:val="TableParagraph"/>
              <w:spacing w:before="20" w:after="20"/>
            </w:pPr>
            <w:bookmarkStart w:id="25" w:name="OLE_LINK10"/>
            <w:r w:rsidRPr="00D94F41">
              <w:t xml:space="preserve">All (Round </w:t>
            </w:r>
            <w:bookmarkStart w:id="26" w:name="OLE_LINK80"/>
            <w:r w:rsidR="00355E4B">
              <w:t>101</w:t>
            </w:r>
            <w:r w:rsidRPr="00D94F41" w:rsidR="00177230">
              <w:t>-10</w:t>
            </w:r>
            <w:bookmarkEnd w:id="26"/>
            <w:r w:rsidR="00355E4B">
              <w:t>9</w:t>
            </w:r>
            <w:r w:rsidRPr="00D94F41">
              <w:t>)</w:t>
            </w:r>
            <w:bookmarkEnd w:id="25"/>
          </w:p>
        </w:tc>
        <w:tc>
          <w:tcPr>
            <w:tcW w:w="1525" w:type="dxa"/>
            <w:tcMar>
              <w:left w:w="86" w:type="dxa"/>
              <w:right w:w="86" w:type="dxa"/>
            </w:tcMar>
          </w:tcPr>
          <w:p w:rsidR="0088452B" w:rsidRPr="00D94F41" w:rsidP="00110F11" w14:paraId="6888395F" w14:textId="77777777">
            <w:pPr>
              <w:pStyle w:val="TableParagraph"/>
              <w:spacing w:before="20" w:after="20"/>
            </w:pPr>
            <w:r w:rsidRPr="00D94F41">
              <w:t>Both</w:t>
            </w:r>
          </w:p>
        </w:tc>
      </w:tr>
      <w:tr w14:paraId="7EBFE912" w14:textId="77777777" w:rsidTr="00355E4B">
        <w:tblPrEx>
          <w:tblW w:w="5000" w:type="pct"/>
          <w:tblLayout w:type="fixed"/>
          <w:tblLook w:val="01E0"/>
        </w:tblPrEx>
        <w:trPr>
          <w:cantSplit/>
        </w:trPr>
        <w:tc>
          <w:tcPr>
            <w:tcW w:w="3764" w:type="dxa"/>
            <w:tcMar>
              <w:left w:w="86" w:type="dxa"/>
              <w:right w:w="86" w:type="dxa"/>
            </w:tcMar>
          </w:tcPr>
          <w:p w:rsidR="0088452B" w:rsidRPr="00D94F41" w:rsidP="00110F11" w14:paraId="2713984A" w14:textId="77777777">
            <w:pPr>
              <w:pStyle w:val="TableParagraph"/>
              <w:spacing w:before="20" w:after="20"/>
            </w:pPr>
            <w:r w:rsidRPr="00D94F41">
              <w:t>Enumeration (ENS)</w:t>
            </w:r>
          </w:p>
        </w:tc>
        <w:tc>
          <w:tcPr>
            <w:tcW w:w="1001" w:type="dxa"/>
            <w:tcMar>
              <w:left w:w="86" w:type="dxa"/>
              <w:right w:w="86" w:type="dxa"/>
            </w:tcMar>
          </w:tcPr>
          <w:p w:rsidR="0088452B" w:rsidRPr="00D94F41" w:rsidP="00110F11" w14:paraId="35C614B8" w14:textId="77777777">
            <w:pPr>
              <w:pStyle w:val="TableParagraph"/>
              <w:spacing w:before="20" w:after="20"/>
            </w:pPr>
            <w:r w:rsidRPr="00D94F41">
              <w:t>Core</w:t>
            </w:r>
          </w:p>
        </w:tc>
        <w:tc>
          <w:tcPr>
            <w:tcW w:w="3060" w:type="dxa"/>
            <w:tcMar>
              <w:left w:w="86" w:type="dxa"/>
              <w:right w:w="86" w:type="dxa"/>
            </w:tcMar>
          </w:tcPr>
          <w:p w:rsidR="0088452B" w:rsidRPr="00D94F41" w:rsidP="00110F11" w14:paraId="0B15956A" w14:textId="7A14B5C5">
            <w:pPr>
              <w:pStyle w:val="TableParagraph"/>
              <w:spacing w:before="20" w:after="20"/>
            </w:pPr>
            <w:r>
              <w:t xml:space="preserve">All (Round </w:t>
            </w:r>
            <w:r w:rsidR="00355E4B">
              <w:t>101-109</w:t>
            </w:r>
            <w:r>
              <w:t>)</w:t>
            </w:r>
          </w:p>
        </w:tc>
        <w:tc>
          <w:tcPr>
            <w:tcW w:w="1525" w:type="dxa"/>
            <w:tcMar>
              <w:left w:w="86" w:type="dxa"/>
              <w:right w:w="86" w:type="dxa"/>
            </w:tcMar>
          </w:tcPr>
          <w:p w:rsidR="0088452B" w:rsidRPr="00D94F41" w:rsidP="00110F11" w14:paraId="5611AA52" w14:textId="77777777">
            <w:pPr>
              <w:pStyle w:val="TableParagraph"/>
              <w:spacing w:before="20" w:after="20"/>
            </w:pPr>
            <w:r w:rsidRPr="00D94F41">
              <w:t>Both</w:t>
            </w:r>
          </w:p>
        </w:tc>
      </w:tr>
      <w:tr w14:paraId="1873CCC1" w14:textId="77777777" w:rsidTr="00355E4B">
        <w:tblPrEx>
          <w:tblW w:w="5000" w:type="pct"/>
          <w:tblLayout w:type="fixed"/>
          <w:tblLook w:val="01E0"/>
        </w:tblPrEx>
        <w:trPr>
          <w:cantSplit/>
        </w:trPr>
        <w:tc>
          <w:tcPr>
            <w:tcW w:w="3764" w:type="dxa"/>
            <w:tcMar>
              <w:left w:w="86" w:type="dxa"/>
              <w:right w:w="86" w:type="dxa"/>
            </w:tcMar>
          </w:tcPr>
          <w:p w:rsidR="0088452B" w:rsidRPr="00D94F41" w:rsidP="00110F11" w14:paraId="235D5D37" w14:textId="7F86CDDB">
            <w:pPr>
              <w:pStyle w:val="TableParagraph"/>
              <w:spacing w:before="20" w:after="20"/>
            </w:pPr>
            <w:r w:rsidRPr="00D94F41">
              <w:t>Housing Characteristics (HAQ)</w:t>
            </w:r>
          </w:p>
        </w:tc>
        <w:tc>
          <w:tcPr>
            <w:tcW w:w="1001" w:type="dxa"/>
            <w:tcMar>
              <w:left w:w="86" w:type="dxa"/>
              <w:right w:w="86" w:type="dxa"/>
            </w:tcMar>
          </w:tcPr>
          <w:p w:rsidR="0088452B" w:rsidRPr="00D94F41" w:rsidP="00110F11" w14:paraId="4FCDBC41" w14:textId="77777777">
            <w:pPr>
              <w:pStyle w:val="TableParagraph"/>
              <w:spacing w:before="20" w:after="20"/>
            </w:pPr>
            <w:r w:rsidRPr="00D94F41">
              <w:t>Topical</w:t>
            </w:r>
          </w:p>
        </w:tc>
        <w:tc>
          <w:tcPr>
            <w:tcW w:w="3060" w:type="dxa"/>
            <w:tcMar>
              <w:left w:w="86" w:type="dxa"/>
              <w:right w:w="86" w:type="dxa"/>
            </w:tcMar>
          </w:tcPr>
          <w:p w:rsidR="0088452B" w:rsidRPr="00D94F41" w:rsidP="00110F11" w14:paraId="22BBE913" w14:textId="686C4D39">
            <w:pPr>
              <w:pStyle w:val="TableParagraph"/>
              <w:spacing w:before="20" w:after="20"/>
            </w:pPr>
            <w:bookmarkStart w:id="27" w:name="OLE_LINK11"/>
            <w:r w:rsidRPr="00D94F41">
              <w:t xml:space="preserve">Fall (Rounds </w:t>
            </w:r>
            <w:r w:rsidR="0015004D">
              <w:t>1</w:t>
            </w:r>
            <w:r w:rsidR="00355E4B">
              <w:t>03</w:t>
            </w:r>
            <w:r w:rsidRPr="00D94F41">
              <w:t xml:space="preserve">, </w:t>
            </w:r>
            <w:r w:rsidRPr="00D94F41" w:rsidR="00177230">
              <w:t>10</w:t>
            </w:r>
            <w:r w:rsidR="00355E4B">
              <w:t>6</w:t>
            </w:r>
            <w:r w:rsidRPr="00D94F41" w:rsidR="00A61638">
              <w:t xml:space="preserve">, </w:t>
            </w:r>
            <w:r w:rsidRPr="00D94F41" w:rsidR="00177230">
              <w:t>10</w:t>
            </w:r>
            <w:r w:rsidR="00355E4B">
              <w:t>9</w:t>
            </w:r>
            <w:r w:rsidRPr="00D94F41">
              <w:t>)</w:t>
            </w:r>
            <w:bookmarkEnd w:id="27"/>
          </w:p>
        </w:tc>
        <w:tc>
          <w:tcPr>
            <w:tcW w:w="1525" w:type="dxa"/>
            <w:tcMar>
              <w:left w:w="86" w:type="dxa"/>
              <w:right w:w="86" w:type="dxa"/>
            </w:tcMar>
          </w:tcPr>
          <w:p w:rsidR="0088452B" w:rsidRPr="00D94F41" w:rsidP="00110F11" w14:paraId="1DE9411E" w14:textId="77777777">
            <w:pPr>
              <w:pStyle w:val="TableParagraph"/>
              <w:spacing w:before="20" w:after="20"/>
            </w:pPr>
            <w:r w:rsidRPr="00D94F41">
              <w:t>Both</w:t>
            </w:r>
          </w:p>
        </w:tc>
      </w:tr>
      <w:tr w14:paraId="7A224B27" w14:textId="77777777" w:rsidTr="00355E4B">
        <w:tblPrEx>
          <w:tblW w:w="5000" w:type="pct"/>
          <w:tblLayout w:type="fixed"/>
          <w:tblLook w:val="01E0"/>
        </w:tblPrEx>
        <w:trPr>
          <w:cantSplit/>
        </w:trPr>
        <w:tc>
          <w:tcPr>
            <w:tcW w:w="3764" w:type="dxa"/>
            <w:tcMar>
              <w:left w:w="86" w:type="dxa"/>
              <w:right w:w="86" w:type="dxa"/>
            </w:tcMar>
          </w:tcPr>
          <w:p w:rsidR="0088452B" w:rsidRPr="00D94F41" w:rsidP="00110F11" w14:paraId="2D82CC13" w14:textId="4069CFEA">
            <w:pPr>
              <w:pStyle w:val="TableParagraph"/>
              <w:spacing w:before="20" w:after="20"/>
            </w:pPr>
            <w:r w:rsidRPr="00D94F41">
              <w:t>Health Insurance (HIQ)</w:t>
            </w:r>
          </w:p>
        </w:tc>
        <w:tc>
          <w:tcPr>
            <w:tcW w:w="1001" w:type="dxa"/>
            <w:tcMar>
              <w:left w:w="86" w:type="dxa"/>
              <w:right w:w="86" w:type="dxa"/>
            </w:tcMar>
          </w:tcPr>
          <w:p w:rsidR="0088452B" w:rsidRPr="00D94F41" w:rsidP="00110F11" w14:paraId="0DDBC514" w14:textId="77777777">
            <w:pPr>
              <w:pStyle w:val="TableParagraph"/>
              <w:spacing w:before="20" w:after="20"/>
            </w:pPr>
            <w:r w:rsidRPr="00D94F41">
              <w:t>Core</w:t>
            </w:r>
          </w:p>
        </w:tc>
        <w:tc>
          <w:tcPr>
            <w:tcW w:w="3060" w:type="dxa"/>
            <w:tcMar>
              <w:left w:w="86" w:type="dxa"/>
              <w:right w:w="86" w:type="dxa"/>
            </w:tcMar>
          </w:tcPr>
          <w:p w:rsidR="0088452B" w:rsidRPr="00D94F41" w:rsidP="00110F11" w14:paraId="43245161" w14:textId="64A12C80">
            <w:pPr>
              <w:pStyle w:val="TableParagraph"/>
              <w:spacing w:before="20" w:after="20"/>
            </w:pPr>
            <w:r>
              <w:t xml:space="preserve">All (Round </w:t>
            </w:r>
            <w:r w:rsidR="00355E4B">
              <w:t>101-109</w:t>
            </w:r>
            <w:r>
              <w:t>)</w:t>
            </w:r>
          </w:p>
        </w:tc>
        <w:tc>
          <w:tcPr>
            <w:tcW w:w="1525" w:type="dxa"/>
            <w:tcMar>
              <w:left w:w="86" w:type="dxa"/>
              <w:right w:w="86" w:type="dxa"/>
            </w:tcMar>
          </w:tcPr>
          <w:p w:rsidR="0088452B" w:rsidRPr="00D94F41" w:rsidP="00110F11" w14:paraId="6352CA28" w14:textId="77777777">
            <w:pPr>
              <w:pStyle w:val="TableParagraph"/>
              <w:spacing w:before="20" w:after="20"/>
            </w:pPr>
            <w:r w:rsidRPr="00D94F41">
              <w:t>Both</w:t>
            </w:r>
          </w:p>
        </w:tc>
      </w:tr>
      <w:tr w14:paraId="68B686ED" w14:textId="77777777" w:rsidTr="00355E4B">
        <w:tblPrEx>
          <w:tblW w:w="5000" w:type="pct"/>
          <w:tblLayout w:type="fixed"/>
          <w:tblLook w:val="01E0"/>
        </w:tblPrEx>
        <w:trPr>
          <w:cantSplit/>
        </w:trPr>
        <w:tc>
          <w:tcPr>
            <w:tcW w:w="3764" w:type="dxa"/>
            <w:tcMar>
              <w:left w:w="86" w:type="dxa"/>
              <w:right w:w="86" w:type="dxa"/>
            </w:tcMar>
          </w:tcPr>
          <w:p w:rsidR="00524E48" w:rsidRPr="00D94F41" w:rsidP="00110F11" w14:paraId="55213BDC" w14:textId="4E2F1951">
            <w:pPr>
              <w:pStyle w:val="TableParagraph"/>
              <w:spacing w:before="20" w:after="20"/>
            </w:pPr>
            <w:r w:rsidRPr="00D94F41">
              <w:t>Mobility of Beneficiaries (MBQ)</w:t>
            </w:r>
          </w:p>
        </w:tc>
        <w:tc>
          <w:tcPr>
            <w:tcW w:w="1001" w:type="dxa"/>
            <w:tcMar>
              <w:left w:w="86" w:type="dxa"/>
              <w:right w:w="86" w:type="dxa"/>
            </w:tcMar>
          </w:tcPr>
          <w:p w:rsidR="00524E48" w:rsidRPr="00D94F41" w:rsidP="00110F11" w14:paraId="77023AC3" w14:textId="7FEB1F4C">
            <w:pPr>
              <w:pStyle w:val="TableParagraph"/>
              <w:spacing w:before="20" w:after="20"/>
            </w:pPr>
            <w:r w:rsidRPr="00D94F41">
              <w:t>Topical</w:t>
            </w:r>
          </w:p>
        </w:tc>
        <w:tc>
          <w:tcPr>
            <w:tcW w:w="3060" w:type="dxa"/>
            <w:tcMar>
              <w:left w:w="86" w:type="dxa"/>
              <w:right w:w="86" w:type="dxa"/>
            </w:tcMar>
          </w:tcPr>
          <w:p w:rsidR="00524E48" w:rsidRPr="00D94F41" w:rsidP="00110F11" w14:paraId="2B9554DC" w14:textId="3E552811">
            <w:pPr>
              <w:pStyle w:val="TableParagraph"/>
              <w:spacing w:before="20" w:after="20"/>
            </w:pPr>
            <w:r>
              <w:t>Fall (Rounds 10</w:t>
            </w:r>
            <w:r w:rsidR="00355E4B">
              <w:t>3</w:t>
            </w:r>
            <w:r>
              <w:t>, 10</w:t>
            </w:r>
            <w:r w:rsidR="00355E4B">
              <w:t>6</w:t>
            </w:r>
            <w:r>
              <w:t>, 10</w:t>
            </w:r>
            <w:r w:rsidR="00355E4B">
              <w:t>9</w:t>
            </w:r>
            <w:r>
              <w:t>)</w:t>
            </w:r>
          </w:p>
        </w:tc>
        <w:tc>
          <w:tcPr>
            <w:tcW w:w="1525" w:type="dxa"/>
            <w:tcMar>
              <w:left w:w="86" w:type="dxa"/>
              <w:right w:w="86" w:type="dxa"/>
            </w:tcMar>
          </w:tcPr>
          <w:p w:rsidR="00524E48" w:rsidRPr="00D94F41" w:rsidP="00110F11" w14:paraId="1AE545E1" w14:textId="3A7A113E">
            <w:pPr>
              <w:pStyle w:val="TableParagraph"/>
              <w:spacing w:before="20" w:after="20"/>
            </w:pPr>
            <w:r w:rsidRPr="00D94F41">
              <w:t>Both</w:t>
            </w:r>
          </w:p>
        </w:tc>
      </w:tr>
      <w:tr w14:paraId="795113CC" w14:textId="77777777" w:rsidTr="00355E4B">
        <w:tblPrEx>
          <w:tblW w:w="5000" w:type="pct"/>
          <w:tblLayout w:type="fixed"/>
          <w:tblLook w:val="01E0"/>
        </w:tblPrEx>
        <w:trPr>
          <w:cantSplit/>
        </w:trPr>
        <w:tc>
          <w:tcPr>
            <w:tcW w:w="3764" w:type="dxa"/>
            <w:tcMar>
              <w:left w:w="86" w:type="dxa"/>
              <w:right w:w="86" w:type="dxa"/>
            </w:tcMar>
          </w:tcPr>
          <w:p w:rsidR="00524E48" w:rsidRPr="00D94F41" w:rsidP="00110F11" w14:paraId="5606E012" w14:textId="28E50060">
            <w:pPr>
              <w:pStyle w:val="TableParagraph"/>
              <w:spacing w:before="20" w:after="20"/>
            </w:pPr>
            <w:r w:rsidRPr="00D94F41">
              <w:t>Preventive Care (PVQ)</w:t>
            </w:r>
            <w:r w:rsidR="00355E4B">
              <w:t>*</w:t>
            </w:r>
          </w:p>
        </w:tc>
        <w:tc>
          <w:tcPr>
            <w:tcW w:w="1001" w:type="dxa"/>
            <w:tcMar>
              <w:left w:w="86" w:type="dxa"/>
              <w:right w:w="86" w:type="dxa"/>
            </w:tcMar>
          </w:tcPr>
          <w:p w:rsidR="00524E48" w:rsidRPr="00D94F41" w:rsidP="00110F11" w14:paraId="60CF04E1" w14:textId="6F6CD649">
            <w:pPr>
              <w:pStyle w:val="TableParagraph"/>
              <w:spacing w:before="20" w:after="20"/>
            </w:pPr>
            <w:r w:rsidRPr="00D94F41">
              <w:t>Topical</w:t>
            </w:r>
          </w:p>
        </w:tc>
        <w:tc>
          <w:tcPr>
            <w:tcW w:w="3060" w:type="dxa"/>
            <w:tcMar>
              <w:left w:w="86" w:type="dxa"/>
              <w:right w:w="86" w:type="dxa"/>
            </w:tcMar>
          </w:tcPr>
          <w:p w:rsidR="00524E48" w:rsidRPr="00D94F41" w:rsidP="00110F11" w14:paraId="00FB0CA0" w14:textId="48A9907E">
            <w:pPr>
              <w:pStyle w:val="TableParagraph"/>
              <w:spacing w:before="20" w:after="20"/>
            </w:pPr>
            <w:r>
              <w:t xml:space="preserve">All (Round </w:t>
            </w:r>
            <w:r w:rsidR="00355E4B">
              <w:t>101-109</w:t>
            </w:r>
            <w:r>
              <w:t>)</w:t>
            </w:r>
          </w:p>
        </w:tc>
        <w:tc>
          <w:tcPr>
            <w:tcW w:w="1525" w:type="dxa"/>
            <w:tcMar>
              <w:left w:w="86" w:type="dxa"/>
              <w:right w:w="86" w:type="dxa"/>
            </w:tcMar>
          </w:tcPr>
          <w:p w:rsidR="00524E48" w:rsidRPr="00D94F41" w:rsidP="00110F11" w14:paraId="3A200448" w14:textId="015FBBC9">
            <w:pPr>
              <w:pStyle w:val="TableParagraph"/>
              <w:spacing w:before="20" w:after="20"/>
            </w:pPr>
            <w:r w:rsidRPr="00D94F41">
              <w:t>Both</w:t>
            </w:r>
          </w:p>
        </w:tc>
      </w:tr>
      <w:tr w14:paraId="7BECF64B" w14:textId="77777777" w:rsidTr="00355E4B">
        <w:tblPrEx>
          <w:tblW w:w="5000" w:type="pct"/>
          <w:tblLayout w:type="fixed"/>
          <w:tblLook w:val="01E0"/>
        </w:tblPrEx>
        <w:trPr>
          <w:cantSplit/>
        </w:trPr>
        <w:tc>
          <w:tcPr>
            <w:tcW w:w="3764" w:type="dxa"/>
            <w:tcMar>
              <w:left w:w="86" w:type="dxa"/>
              <w:right w:w="86" w:type="dxa"/>
            </w:tcMar>
          </w:tcPr>
          <w:p w:rsidR="0015004D" w:rsidRPr="00D94F41" w:rsidP="00110F11" w14:paraId="3ACFBCE4" w14:textId="79EFA7BB">
            <w:pPr>
              <w:pStyle w:val="TableParagraph"/>
              <w:spacing w:before="20" w:after="20"/>
            </w:pPr>
            <w:r w:rsidRPr="00D94F41">
              <w:t>Health Status and Functioning (HFQ)</w:t>
            </w:r>
            <w:r w:rsidR="00F36FB5">
              <w:t>*</w:t>
            </w:r>
          </w:p>
        </w:tc>
        <w:tc>
          <w:tcPr>
            <w:tcW w:w="1001" w:type="dxa"/>
            <w:tcMar>
              <w:left w:w="86" w:type="dxa"/>
              <w:right w:w="86" w:type="dxa"/>
            </w:tcMar>
          </w:tcPr>
          <w:p w:rsidR="0015004D" w:rsidRPr="00D94F41" w:rsidP="00110F11" w14:paraId="4E8E449A" w14:textId="1A581F38">
            <w:pPr>
              <w:pStyle w:val="TableParagraph"/>
              <w:spacing w:before="20" w:after="20"/>
            </w:pPr>
            <w:r w:rsidRPr="00D94F41">
              <w:t>Core</w:t>
            </w:r>
          </w:p>
        </w:tc>
        <w:tc>
          <w:tcPr>
            <w:tcW w:w="3060" w:type="dxa"/>
            <w:tcMar>
              <w:left w:w="86" w:type="dxa"/>
              <w:right w:w="86" w:type="dxa"/>
            </w:tcMar>
          </w:tcPr>
          <w:p w:rsidR="0015004D" w:rsidRPr="00D94F41" w:rsidP="00110F11" w14:paraId="42EAB69D" w14:textId="5BF70179">
            <w:pPr>
              <w:pStyle w:val="TableParagraph"/>
              <w:spacing w:before="20" w:after="20"/>
            </w:pPr>
            <w:r>
              <w:t>Fall (Rounds 103, 106, 109)</w:t>
            </w:r>
          </w:p>
        </w:tc>
        <w:tc>
          <w:tcPr>
            <w:tcW w:w="1525" w:type="dxa"/>
            <w:tcMar>
              <w:left w:w="86" w:type="dxa"/>
              <w:right w:w="86" w:type="dxa"/>
            </w:tcMar>
          </w:tcPr>
          <w:p w:rsidR="0015004D" w:rsidRPr="00D94F41" w:rsidP="00110F11" w14:paraId="416C89BD" w14:textId="73DFAA1C">
            <w:pPr>
              <w:pStyle w:val="TableParagraph"/>
              <w:spacing w:before="20" w:after="20"/>
            </w:pPr>
            <w:r w:rsidRPr="00D94F41">
              <w:t>Both</w:t>
            </w:r>
          </w:p>
        </w:tc>
      </w:tr>
      <w:tr w14:paraId="10B00A6D" w14:textId="77777777" w:rsidTr="00355E4B">
        <w:tblPrEx>
          <w:tblW w:w="5000" w:type="pct"/>
          <w:tblLayout w:type="fixed"/>
          <w:tblLook w:val="01E0"/>
        </w:tblPrEx>
        <w:trPr>
          <w:cantSplit/>
        </w:trPr>
        <w:tc>
          <w:tcPr>
            <w:tcW w:w="3764" w:type="dxa"/>
            <w:tcMar>
              <w:left w:w="86" w:type="dxa"/>
              <w:right w:w="86" w:type="dxa"/>
            </w:tcMar>
          </w:tcPr>
          <w:p w:rsidR="0015004D" w:rsidRPr="00D94F41" w:rsidP="00110F11" w14:paraId="6F93F4E1" w14:textId="4707AB0A">
            <w:pPr>
              <w:pStyle w:val="TableParagraph"/>
              <w:spacing w:before="20" w:after="20"/>
            </w:pPr>
            <w:r w:rsidRPr="00D94F41">
              <w:t>Nicotine and Alcohol Use (NAQ)</w:t>
            </w:r>
          </w:p>
        </w:tc>
        <w:tc>
          <w:tcPr>
            <w:tcW w:w="1001" w:type="dxa"/>
            <w:tcMar>
              <w:left w:w="86" w:type="dxa"/>
              <w:right w:w="86" w:type="dxa"/>
            </w:tcMar>
          </w:tcPr>
          <w:p w:rsidR="0015004D" w:rsidRPr="00D94F41" w:rsidP="00110F11" w14:paraId="1A26543A" w14:textId="0C396A50">
            <w:pPr>
              <w:pStyle w:val="TableParagraph"/>
              <w:spacing w:before="20" w:after="20"/>
            </w:pPr>
            <w:r w:rsidRPr="00D94F41">
              <w:t>Topical</w:t>
            </w:r>
          </w:p>
        </w:tc>
        <w:tc>
          <w:tcPr>
            <w:tcW w:w="3060" w:type="dxa"/>
            <w:tcMar>
              <w:left w:w="86" w:type="dxa"/>
              <w:right w:w="86" w:type="dxa"/>
            </w:tcMar>
          </w:tcPr>
          <w:p w:rsidR="0015004D" w:rsidRPr="00D94F41" w:rsidP="00110F11" w14:paraId="4B79EB8B" w14:textId="2C6DE523">
            <w:pPr>
              <w:pStyle w:val="TableParagraph"/>
              <w:spacing w:before="20" w:after="20"/>
            </w:pPr>
            <w:r>
              <w:t>Fall (Rounds 103, 106, 109)</w:t>
            </w:r>
          </w:p>
        </w:tc>
        <w:tc>
          <w:tcPr>
            <w:tcW w:w="1525" w:type="dxa"/>
            <w:tcMar>
              <w:left w:w="86" w:type="dxa"/>
              <w:right w:w="86" w:type="dxa"/>
            </w:tcMar>
          </w:tcPr>
          <w:p w:rsidR="0015004D" w:rsidRPr="00D94F41" w:rsidP="00110F11" w14:paraId="1F4E0F5C" w14:textId="32304B8B">
            <w:pPr>
              <w:pStyle w:val="TableParagraph"/>
              <w:spacing w:before="20" w:after="20"/>
            </w:pPr>
            <w:r w:rsidRPr="00D94F41">
              <w:t>Both</w:t>
            </w:r>
          </w:p>
        </w:tc>
      </w:tr>
      <w:tr w14:paraId="1FC7B6D8" w14:textId="77777777" w:rsidTr="00355E4B">
        <w:tblPrEx>
          <w:tblW w:w="5000" w:type="pct"/>
          <w:tblLayout w:type="fixed"/>
          <w:tblLook w:val="01E0"/>
        </w:tblPrEx>
        <w:trPr>
          <w:cantSplit/>
        </w:trPr>
        <w:tc>
          <w:tcPr>
            <w:tcW w:w="3764" w:type="dxa"/>
            <w:tcMar>
              <w:left w:w="86" w:type="dxa"/>
              <w:right w:w="86" w:type="dxa"/>
            </w:tcMar>
          </w:tcPr>
          <w:p w:rsidR="0015004D" w:rsidRPr="00D94F41" w:rsidP="00110F11" w14:paraId="066C5558" w14:textId="2D6299B4">
            <w:pPr>
              <w:pStyle w:val="TableParagraph"/>
              <w:spacing w:before="20" w:after="20"/>
            </w:pPr>
            <w:r w:rsidRPr="00D94F41">
              <w:t>Satisfaction with Care (SCQ)</w:t>
            </w:r>
          </w:p>
        </w:tc>
        <w:tc>
          <w:tcPr>
            <w:tcW w:w="1001" w:type="dxa"/>
            <w:tcMar>
              <w:left w:w="86" w:type="dxa"/>
              <w:right w:w="86" w:type="dxa"/>
            </w:tcMar>
          </w:tcPr>
          <w:p w:rsidR="0015004D" w:rsidRPr="00D94F41" w:rsidP="00110F11" w14:paraId="0512B490" w14:textId="0DBC9805">
            <w:pPr>
              <w:pStyle w:val="TableParagraph"/>
              <w:spacing w:before="20" w:after="20"/>
            </w:pPr>
            <w:r w:rsidRPr="00D94F41">
              <w:t>Core</w:t>
            </w:r>
          </w:p>
        </w:tc>
        <w:tc>
          <w:tcPr>
            <w:tcW w:w="3060" w:type="dxa"/>
            <w:tcMar>
              <w:left w:w="86" w:type="dxa"/>
              <w:right w:w="86" w:type="dxa"/>
            </w:tcMar>
          </w:tcPr>
          <w:p w:rsidR="0015004D" w:rsidRPr="00D94F41" w:rsidP="00110F11" w14:paraId="39A5B681" w14:textId="1F15815C">
            <w:pPr>
              <w:pStyle w:val="TableParagraph"/>
              <w:spacing w:before="20" w:after="20"/>
            </w:pPr>
            <w:r>
              <w:t>Fall (Rounds 103, 106, 109)</w:t>
            </w:r>
          </w:p>
        </w:tc>
        <w:tc>
          <w:tcPr>
            <w:tcW w:w="1525" w:type="dxa"/>
            <w:tcMar>
              <w:left w:w="86" w:type="dxa"/>
              <w:right w:w="86" w:type="dxa"/>
            </w:tcMar>
          </w:tcPr>
          <w:p w:rsidR="0015004D" w:rsidRPr="00D94F41" w:rsidP="00110F11" w14:paraId="25574390" w14:textId="5AF39271">
            <w:pPr>
              <w:pStyle w:val="TableParagraph"/>
              <w:spacing w:before="20" w:after="20"/>
            </w:pPr>
            <w:r w:rsidRPr="00D94F41">
              <w:t>Both</w:t>
            </w:r>
          </w:p>
        </w:tc>
      </w:tr>
      <w:tr w14:paraId="35726B2F" w14:textId="77777777" w:rsidTr="00355E4B">
        <w:tblPrEx>
          <w:tblW w:w="5000" w:type="pct"/>
          <w:tblLayout w:type="fixed"/>
          <w:tblLook w:val="01E0"/>
        </w:tblPrEx>
        <w:trPr>
          <w:cantSplit/>
        </w:trPr>
        <w:tc>
          <w:tcPr>
            <w:tcW w:w="3764" w:type="dxa"/>
            <w:tcMar>
              <w:left w:w="86" w:type="dxa"/>
              <w:right w:w="86" w:type="dxa"/>
            </w:tcMar>
          </w:tcPr>
          <w:p w:rsidR="0015004D" w:rsidRPr="00D94F41" w:rsidP="00110F11" w14:paraId="1E6E58E9" w14:textId="107E56C0">
            <w:pPr>
              <w:pStyle w:val="TableParagraph"/>
              <w:spacing w:before="20" w:after="20"/>
            </w:pPr>
            <w:r w:rsidRPr="00D94F41">
              <w:t>Cognitive Measures (CMQ)</w:t>
            </w:r>
          </w:p>
        </w:tc>
        <w:tc>
          <w:tcPr>
            <w:tcW w:w="1001" w:type="dxa"/>
            <w:tcMar>
              <w:left w:w="86" w:type="dxa"/>
              <w:right w:w="86" w:type="dxa"/>
            </w:tcMar>
          </w:tcPr>
          <w:p w:rsidR="0015004D" w:rsidRPr="00D94F41" w:rsidP="00110F11" w14:paraId="0A55AB2E" w14:textId="59D2C8E8">
            <w:pPr>
              <w:pStyle w:val="TableParagraph"/>
              <w:spacing w:before="20" w:after="20"/>
            </w:pPr>
            <w:r w:rsidRPr="00D94F41">
              <w:t xml:space="preserve">Core </w:t>
            </w:r>
          </w:p>
        </w:tc>
        <w:tc>
          <w:tcPr>
            <w:tcW w:w="3060" w:type="dxa"/>
            <w:tcMar>
              <w:left w:w="86" w:type="dxa"/>
              <w:right w:w="86" w:type="dxa"/>
            </w:tcMar>
          </w:tcPr>
          <w:p w:rsidR="0015004D" w:rsidRPr="00D94F41" w:rsidP="00110F11" w14:paraId="1394B099" w14:textId="37434A8D">
            <w:pPr>
              <w:pStyle w:val="TableParagraph"/>
              <w:spacing w:before="20" w:after="20"/>
            </w:pPr>
            <w:r>
              <w:t>Fall (Rounds 103, 106, 109)</w:t>
            </w:r>
          </w:p>
        </w:tc>
        <w:tc>
          <w:tcPr>
            <w:tcW w:w="1525" w:type="dxa"/>
            <w:tcMar>
              <w:left w:w="86" w:type="dxa"/>
              <w:right w:w="86" w:type="dxa"/>
            </w:tcMar>
          </w:tcPr>
          <w:p w:rsidR="0015004D" w:rsidRPr="00D94F41" w:rsidP="00110F11" w14:paraId="4A47897D" w14:textId="6CBBD99B">
            <w:pPr>
              <w:pStyle w:val="TableParagraph"/>
              <w:spacing w:before="20" w:after="20"/>
            </w:pPr>
            <w:r w:rsidRPr="00D94F41">
              <w:t>Both</w:t>
            </w:r>
          </w:p>
        </w:tc>
      </w:tr>
      <w:tr w14:paraId="082BBF0D" w14:textId="77777777" w:rsidTr="00355E4B">
        <w:tblPrEx>
          <w:tblW w:w="5000" w:type="pct"/>
          <w:tblLayout w:type="fixed"/>
          <w:tblLook w:val="01E0"/>
        </w:tblPrEx>
        <w:trPr>
          <w:cantSplit/>
        </w:trPr>
        <w:tc>
          <w:tcPr>
            <w:tcW w:w="3764" w:type="dxa"/>
            <w:tcMar>
              <w:left w:w="86" w:type="dxa"/>
              <w:right w:w="86" w:type="dxa"/>
            </w:tcMar>
          </w:tcPr>
          <w:p w:rsidR="0015004D" w:rsidRPr="00D94F41" w:rsidP="00110F11" w14:paraId="1F4F3EBB" w14:textId="5694BD80">
            <w:pPr>
              <w:pStyle w:val="TableParagraph"/>
              <w:spacing w:before="20" w:after="20"/>
            </w:pPr>
            <w:r w:rsidRPr="00D94F41">
              <w:t>Demographics and Income (DIQ)</w:t>
            </w:r>
          </w:p>
        </w:tc>
        <w:tc>
          <w:tcPr>
            <w:tcW w:w="1001" w:type="dxa"/>
            <w:tcMar>
              <w:left w:w="86" w:type="dxa"/>
              <w:right w:w="86" w:type="dxa"/>
            </w:tcMar>
          </w:tcPr>
          <w:p w:rsidR="0015004D" w:rsidRPr="00D94F41" w:rsidP="00110F11" w14:paraId="3E2644BB" w14:textId="38460FD0">
            <w:pPr>
              <w:pStyle w:val="TableParagraph"/>
              <w:spacing w:before="20" w:after="20"/>
            </w:pPr>
            <w:r w:rsidRPr="00D94F41">
              <w:t>Core</w:t>
            </w:r>
          </w:p>
        </w:tc>
        <w:tc>
          <w:tcPr>
            <w:tcW w:w="3060" w:type="dxa"/>
            <w:tcMar>
              <w:left w:w="86" w:type="dxa"/>
              <w:right w:w="86" w:type="dxa"/>
            </w:tcMar>
          </w:tcPr>
          <w:p w:rsidR="0015004D" w:rsidRPr="00D94F41" w:rsidP="00110F11" w14:paraId="5D2787A2" w14:textId="30FEC5C6">
            <w:pPr>
              <w:pStyle w:val="TableParagraph"/>
              <w:spacing w:before="20" w:after="20"/>
            </w:pPr>
            <w:r>
              <w:t>Fall (Rounds 103, 106, 109)</w:t>
            </w:r>
          </w:p>
        </w:tc>
        <w:tc>
          <w:tcPr>
            <w:tcW w:w="1525" w:type="dxa"/>
            <w:tcMar>
              <w:left w:w="86" w:type="dxa"/>
              <w:right w:w="86" w:type="dxa"/>
            </w:tcMar>
          </w:tcPr>
          <w:p w:rsidR="0015004D" w:rsidRPr="00D94F41" w:rsidP="00110F11" w14:paraId="508B398D" w14:textId="4EF60B2D">
            <w:pPr>
              <w:pStyle w:val="TableParagraph"/>
              <w:spacing w:before="20" w:after="20"/>
            </w:pPr>
            <w:r>
              <w:t>Baseline</w:t>
            </w:r>
          </w:p>
        </w:tc>
      </w:tr>
      <w:tr w14:paraId="687A566D" w14:textId="77777777" w:rsidTr="00355E4B">
        <w:tblPrEx>
          <w:tblW w:w="5000" w:type="pct"/>
          <w:tblLayout w:type="fixed"/>
          <w:tblLook w:val="01E0"/>
        </w:tblPrEx>
        <w:trPr>
          <w:cantSplit/>
        </w:trPr>
        <w:tc>
          <w:tcPr>
            <w:tcW w:w="3764"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hideMark/>
          </w:tcPr>
          <w:p w:rsidR="00881E8D" w14:paraId="029301E0" w14:textId="069BFA7B">
            <w:pPr>
              <w:pStyle w:val="TableParagraph"/>
              <w:spacing w:before="20" w:after="20"/>
            </w:pPr>
            <w:bookmarkStart w:id="28" w:name="_Hlk161345881"/>
            <w:r>
              <w:t>COVID-19 (CVQ)</w:t>
            </w:r>
          </w:p>
        </w:tc>
        <w:tc>
          <w:tcPr>
            <w:tcW w:w="1001"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hideMark/>
          </w:tcPr>
          <w:p w:rsidR="00881E8D" w14:paraId="5CBB938A" w14:textId="77777777">
            <w:pPr>
              <w:pStyle w:val="TableParagraph"/>
              <w:spacing w:before="20" w:after="20"/>
            </w:pPr>
            <w:r>
              <w:t>Topical</w:t>
            </w:r>
          </w:p>
        </w:tc>
        <w:tc>
          <w:tcPr>
            <w:tcW w:w="306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hideMark/>
          </w:tcPr>
          <w:p w:rsidR="00881E8D" w14:paraId="2317F293" w14:textId="6112DDC9">
            <w:pPr>
              <w:pStyle w:val="TableParagraph"/>
              <w:spacing w:before="20" w:after="20"/>
            </w:pPr>
            <w:r>
              <w:t xml:space="preserve">Winter (Round </w:t>
            </w:r>
            <w:r w:rsidR="00355E4B">
              <w:t>101</w:t>
            </w:r>
            <w:r>
              <w:t>, 10</w:t>
            </w:r>
            <w:r w:rsidR="00355E4B">
              <w:t>4</w:t>
            </w:r>
            <w:r>
              <w:t>, 10</w:t>
            </w:r>
            <w:r w:rsidR="00355E4B">
              <w:t>7</w:t>
            </w:r>
            <w:r>
              <w:t>)</w:t>
            </w:r>
          </w:p>
        </w:tc>
        <w:tc>
          <w:tcPr>
            <w:tcW w:w="1525"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hideMark/>
          </w:tcPr>
          <w:p w:rsidR="00881E8D" w14:paraId="68C1A8EC" w14:textId="77777777">
            <w:pPr>
              <w:pStyle w:val="TableParagraph"/>
              <w:spacing w:before="20" w:after="20"/>
            </w:pPr>
            <w:r>
              <w:t>Continuing</w:t>
            </w:r>
          </w:p>
        </w:tc>
      </w:tr>
      <w:bookmarkEnd w:id="28"/>
      <w:tr w14:paraId="27F87A90" w14:textId="77777777" w:rsidTr="00355E4B">
        <w:tblPrEx>
          <w:tblW w:w="5000" w:type="pct"/>
          <w:tblLayout w:type="fixed"/>
          <w:tblLook w:val="01E0"/>
        </w:tblPrEx>
        <w:trPr>
          <w:cantSplit/>
        </w:trPr>
        <w:tc>
          <w:tcPr>
            <w:tcW w:w="3764"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hideMark/>
          </w:tcPr>
          <w:p w:rsidR="00881E8D" w14:paraId="385274A1" w14:textId="77777777">
            <w:pPr>
              <w:pStyle w:val="TableParagraph"/>
              <w:spacing w:before="20" w:after="20"/>
            </w:pPr>
            <w:r>
              <w:t>Immunization (IMQ)*</w:t>
            </w:r>
          </w:p>
        </w:tc>
        <w:tc>
          <w:tcPr>
            <w:tcW w:w="1001"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hideMark/>
          </w:tcPr>
          <w:p w:rsidR="00881E8D" w14:paraId="4E5126F2" w14:textId="77777777">
            <w:pPr>
              <w:pStyle w:val="TableParagraph"/>
              <w:spacing w:before="20" w:after="20"/>
            </w:pPr>
            <w:r>
              <w:t>Topical</w:t>
            </w:r>
          </w:p>
        </w:tc>
        <w:tc>
          <w:tcPr>
            <w:tcW w:w="306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hideMark/>
          </w:tcPr>
          <w:p w:rsidR="00881E8D" w14:paraId="1A4FDF51" w14:textId="1511DA43">
            <w:pPr>
              <w:pStyle w:val="TableParagraph"/>
              <w:spacing w:before="20" w:after="20"/>
            </w:pPr>
            <w:r>
              <w:t>Winter (Round 101, 104, 107)</w:t>
            </w:r>
          </w:p>
        </w:tc>
        <w:tc>
          <w:tcPr>
            <w:tcW w:w="1525"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hideMark/>
          </w:tcPr>
          <w:p w:rsidR="00881E8D" w14:paraId="0536F242" w14:textId="77777777">
            <w:pPr>
              <w:pStyle w:val="TableParagraph"/>
              <w:spacing w:before="20" w:after="20"/>
            </w:pPr>
            <w:r>
              <w:t>Continuing</w:t>
            </w:r>
          </w:p>
        </w:tc>
      </w:tr>
      <w:tr w14:paraId="6833D2C9" w14:textId="77777777" w:rsidTr="00355E4B">
        <w:tblPrEx>
          <w:tblW w:w="5000" w:type="pct"/>
          <w:tblLayout w:type="fixed"/>
          <w:tblLook w:val="01E0"/>
        </w:tblPrEx>
        <w:trPr>
          <w:cantSplit/>
        </w:trPr>
        <w:tc>
          <w:tcPr>
            <w:tcW w:w="3764" w:type="dxa"/>
            <w:tcMar>
              <w:left w:w="86" w:type="dxa"/>
              <w:right w:w="86" w:type="dxa"/>
            </w:tcMar>
          </w:tcPr>
          <w:p w:rsidR="00F70FE0" w:rsidRPr="00D94F41" w:rsidP="00110F11" w14:paraId="610234EA" w14:textId="64CF5DE5">
            <w:pPr>
              <w:pStyle w:val="TableParagraph"/>
              <w:spacing w:before="20" w:after="20"/>
            </w:pPr>
            <w:r w:rsidRPr="00D94F41">
              <w:t>Beneficiary Knowledge and Information Needs (KNQ)</w:t>
            </w:r>
            <w:r w:rsidR="00B02E2E">
              <w:t>*</w:t>
            </w:r>
          </w:p>
        </w:tc>
        <w:tc>
          <w:tcPr>
            <w:tcW w:w="1001" w:type="dxa"/>
            <w:tcMar>
              <w:left w:w="86" w:type="dxa"/>
              <w:right w:w="86" w:type="dxa"/>
            </w:tcMar>
          </w:tcPr>
          <w:p w:rsidR="00F70FE0" w:rsidRPr="00D94F41" w:rsidP="00110F11" w14:paraId="2CB4EB3F" w14:textId="0E3F1E51">
            <w:pPr>
              <w:pStyle w:val="TableParagraph"/>
              <w:spacing w:before="20" w:after="20"/>
            </w:pPr>
            <w:r w:rsidRPr="00D94F41">
              <w:t>Topical</w:t>
            </w:r>
          </w:p>
        </w:tc>
        <w:tc>
          <w:tcPr>
            <w:tcW w:w="3060" w:type="dxa"/>
            <w:tcMar>
              <w:left w:w="86" w:type="dxa"/>
              <w:right w:w="86" w:type="dxa"/>
            </w:tcMar>
          </w:tcPr>
          <w:p w:rsidR="00F70FE0" w:rsidRPr="00D94F41" w:rsidP="00110F11" w14:paraId="33B1A921" w14:textId="163954FC">
            <w:pPr>
              <w:pStyle w:val="TableParagraph"/>
              <w:spacing w:before="20" w:after="20"/>
            </w:pPr>
            <w:r>
              <w:t>Winter (Round 101, 104, 107)</w:t>
            </w:r>
          </w:p>
        </w:tc>
        <w:tc>
          <w:tcPr>
            <w:tcW w:w="1525" w:type="dxa"/>
            <w:tcMar>
              <w:left w:w="86" w:type="dxa"/>
              <w:right w:w="86" w:type="dxa"/>
            </w:tcMar>
          </w:tcPr>
          <w:p w:rsidR="00F70FE0" w:rsidRPr="00D94F41" w:rsidP="00110F11" w14:paraId="41B21747" w14:textId="4C0FCE36">
            <w:pPr>
              <w:pStyle w:val="TableParagraph"/>
              <w:spacing w:before="20" w:after="20"/>
            </w:pPr>
            <w:r w:rsidRPr="00D94F41">
              <w:t>Continuing</w:t>
            </w:r>
          </w:p>
        </w:tc>
      </w:tr>
      <w:tr w14:paraId="458CFEB2" w14:textId="77777777" w:rsidTr="00355E4B">
        <w:tblPrEx>
          <w:tblW w:w="5000" w:type="pct"/>
          <w:tblLayout w:type="fixed"/>
          <w:tblLook w:val="01E0"/>
        </w:tblPrEx>
        <w:trPr>
          <w:cantSplit/>
        </w:trPr>
        <w:tc>
          <w:tcPr>
            <w:tcW w:w="3764" w:type="dxa"/>
            <w:tcMar>
              <w:left w:w="86" w:type="dxa"/>
              <w:right w:w="86" w:type="dxa"/>
            </w:tcMar>
          </w:tcPr>
          <w:p w:rsidR="00F70FE0" w:rsidRPr="00D94F41" w:rsidP="00110F11" w14:paraId="39661848" w14:textId="1566D8FE">
            <w:pPr>
              <w:pStyle w:val="TableParagraph"/>
              <w:spacing w:before="20" w:after="20"/>
            </w:pPr>
            <w:r w:rsidRPr="00D94F41">
              <w:t>Usual Source of Care (USQ)</w:t>
            </w:r>
          </w:p>
        </w:tc>
        <w:tc>
          <w:tcPr>
            <w:tcW w:w="1001" w:type="dxa"/>
            <w:tcMar>
              <w:left w:w="86" w:type="dxa"/>
              <w:right w:w="86" w:type="dxa"/>
            </w:tcMar>
          </w:tcPr>
          <w:p w:rsidR="00F70FE0" w:rsidRPr="00D94F41" w:rsidP="00110F11" w14:paraId="1CBE4405" w14:textId="259F46EA">
            <w:pPr>
              <w:pStyle w:val="TableParagraph"/>
              <w:spacing w:before="20" w:after="20"/>
            </w:pPr>
            <w:r w:rsidRPr="00D94F41">
              <w:t>Core</w:t>
            </w:r>
          </w:p>
        </w:tc>
        <w:tc>
          <w:tcPr>
            <w:tcW w:w="3060" w:type="dxa"/>
            <w:tcMar>
              <w:left w:w="86" w:type="dxa"/>
              <w:right w:w="86" w:type="dxa"/>
            </w:tcMar>
          </w:tcPr>
          <w:p w:rsidR="00F70FE0" w:rsidRPr="00D94F41" w:rsidP="00110F11" w14:paraId="4A4440B1" w14:textId="19C8A6CD">
            <w:pPr>
              <w:pStyle w:val="TableParagraph"/>
              <w:spacing w:before="20" w:after="20"/>
            </w:pPr>
            <w:r>
              <w:t>Winter (Round 101, 104, 107)</w:t>
            </w:r>
          </w:p>
        </w:tc>
        <w:tc>
          <w:tcPr>
            <w:tcW w:w="1525" w:type="dxa"/>
            <w:tcMar>
              <w:left w:w="86" w:type="dxa"/>
              <w:right w:w="86" w:type="dxa"/>
            </w:tcMar>
          </w:tcPr>
          <w:p w:rsidR="00F70FE0" w:rsidRPr="00D94F41" w:rsidP="00110F11" w14:paraId="3772AE14" w14:textId="7232D854">
            <w:pPr>
              <w:pStyle w:val="TableParagraph"/>
              <w:spacing w:before="20" w:after="20"/>
            </w:pPr>
            <w:r w:rsidRPr="00D94F41">
              <w:t>Continuing</w:t>
            </w:r>
          </w:p>
        </w:tc>
      </w:tr>
      <w:tr w14:paraId="684F74CB" w14:textId="77777777" w:rsidTr="00355E4B">
        <w:tblPrEx>
          <w:tblW w:w="5000" w:type="pct"/>
          <w:tblLayout w:type="fixed"/>
          <w:tblLook w:val="01E0"/>
        </w:tblPrEx>
        <w:trPr>
          <w:cantSplit/>
        </w:trPr>
        <w:tc>
          <w:tcPr>
            <w:tcW w:w="3764" w:type="dxa"/>
            <w:tcMar>
              <w:left w:w="86" w:type="dxa"/>
              <w:right w:w="86" w:type="dxa"/>
            </w:tcMar>
          </w:tcPr>
          <w:p w:rsidR="00F70FE0" w:rsidRPr="00D94F41" w:rsidP="00110F11" w14:paraId="6C6ED50D" w14:textId="5C72237E">
            <w:pPr>
              <w:pStyle w:val="TableParagraph"/>
              <w:spacing w:before="20" w:after="20"/>
            </w:pPr>
            <w:r w:rsidRPr="00D94F41">
              <w:t>Telemedicine (TLQ)</w:t>
            </w:r>
          </w:p>
        </w:tc>
        <w:tc>
          <w:tcPr>
            <w:tcW w:w="1001" w:type="dxa"/>
            <w:tcMar>
              <w:left w:w="86" w:type="dxa"/>
              <w:right w:w="86" w:type="dxa"/>
            </w:tcMar>
          </w:tcPr>
          <w:p w:rsidR="00F70FE0" w:rsidRPr="00D94F41" w:rsidP="00110F11" w14:paraId="72F03B6C" w14:textId="1BFBB081">
            <w:pPr>
              <w:pStyle w:val="TableParagraph"/>
              <w:spacing w:before="20" w:after="20"/>
            </w:pPr>
            <w:r w:rsidRPr="00D94F41">
              <w:t>Topical</w:t>
            </w:r>
          </w:p>
        </w:tc>
        <w:tc>
          <w:tcPr>
            <w:tcW w:w="3060" w:type="dxa"/>
            <w:tcMar>
              <w:left w:w="86" w:type="dxa"/>
              <w:right w:w="86" w:type="dxa"/>
            </w:tcMar>
          </w:tcPr>
          <w:p w:rsidR="00F70FE0" w:rsidRPr="00D94F41" w:rsidP="00110F11" w14:paraId="05248710" w14:textId="4CBEEFB4">
            <w:pPr>
              <w:pStyle w:val="TableParagraph"/>
              <w:spacing w:before="20" w:after="20"/>
            </w:pPr>
            <w:r>
              <w:t>Winter (Round 101, 104, 107)</w:t>
            </w:r>
          </w:p>
        </w:tc>
        <w:tc>
          <w:tcPr>
            <w:tcW w:w="1525" w:type="dxa"/>
            <w:tcMar>
              <w:left w:w="86" w:type="dxa"/>
              <w:right w:w="86" w:type="dxa"/>
            </w:tcMar>
          </w:tcPr>
          <w:p w:rsidR="00F70FE0" w:rsidRPr="00D94F41" w:rsidP="00110F11" w14:paraId="655E28C8" w14:textId="55061EE6">
            <w:pPr>
              <w:pStyle w:val="TableParagraph"/>
              <w:spacing w:before="20" w:after="20"/>
            </w:pPr>
            <w:r w:rsidRPr="00D94F41">
              <w:t>Continuing</w:t>
            </w:r>
          </w:p>
        </w:tc>
      </w:tr>
      <w:tr w14:paraId="69F62CF7" w14:textId="77777777" w:rsidTr="00355E4B">
        <w:tblPrEx>
          <w:tblW w:w="5000" w:type="pct"/>
          <w:tblLayout w:type="fixed"/>
          <w:tblLook w:val="01E0"/>
        </w:tblPrEx>
        <w:trPr>
          <w:cantSplit/>
        </w:trPr>
        <w:tc>
          <w:tcPr>
            <w:tcW w:w="3764" w:type="dxa"/>
            <w:tcMar>
              <w:left w:w="86" w:type="dxa"/>
              <w:right w:w="86" w:type="dxa"/>
            </w:tcMar>
          </w:tcPr>
          <w:p w:rsidR="00F70FE0" w:rsidRPr="00D94F41" w:rsidP="00110F11" w14:paraId="6DCC5DB7" w14:textId="53FB4FBD">
            <w:pPr>
              <w:pStyle w:val="TableParagraph"/>
              <w:spacing w:before="20" w:after="20"/>
            </w:pPr>
            <w:r w:rsidRPr="00D94F41">
              <w:t>Chronic Pain (CPQ)</w:t>
            </w:r>
          </w:p>
        </w:tc>
        <w:tc>
          <w:tcPr>
            <w:tcW w:w="1001" w:type="dxa"/>
            <w:tcMar>
              <w:left w:w="86" w:type="dxa"/>
              <w:right w:w="86" w:type="dxa"/>
            </w:tcMar>
          </w:tcPr>
          <w:p w:rsidR="00F70FE0" w:rsidRPr="00D94F41" w:rsidP="00110F11" w14:paraId="54341850" w14:textId="046D2497">
            <w:pPr>
              <w:pStyle w:val="TableParagraph"/>
              <w:spacing w:before="20" w:after="20"/>
            </w:pPr>
            <w:r w:rsidRPr="00D94F41">
              <w:t>Topical</w:t>
            </w:r>
          </w:p>
        </w:tc>
        <w:tc>
          <w:tcPr>
            <w:tcW w:w="3060" w:type="dxa"/>
            <w:tcMar>
              <w:left w:w="86" w:type="dxa"/>
              <w:right w:w="86" w:type="dxa"/>
            </w:tcMar>
          </w:tcPr>
          <w:p w:rsidR="00F70FE0" w:rsidRPr="00D94F41" w:rsidP="00110F11" w14:paraId="6D9595F1" w14:textId="1F229AEB">
            <w:pPr>
              <w:pStyle w:val="TableParagraph"/>
              <w:spacing w:before="20" w:after="20"/>
            </w:pPr>
            <w:r w:rsidRPr="00D94F41">
              <w:t>Summer (Rounds 102</w:t>
            </w:r>
            <w:r w:rsidR="009D58E6">
              <w:t>, 105</w:t>
            </w:r>
            <w:r w:rsidR="00355E4B">
              <w:t>, 108</w:t>
            </w:r>
            <w:r w:rsidRPr="00D94F41">
              <w:t>)</w:t>
            </w:r>
          </w:p>
        </w:tc>
        <w:tc>
          <w:tcPr>
            <w:tcW w:w="1525" w:type="dxa"/>
            <w:tcMar>
              <w:left w:w="86" w:type="dxa"/>
              <w:right w:w="86" w:type="dxa"/>
            </w:tcMar>
          </w:tcPr>
          <w:p w:rsidR="00F70FE0" w:rsidRPr="00D94F41" w:rsidP="00110F11" w14:paraId="1EA6396F" w14:textId="1CB82D0E">
            <w:pPr>
              <w:pStyle w:val="TableParagraph"/>
              <w:spacing w:before="20" w:after="20"/>
            </w:pPr>
            <w:r w:rsidRPr="00D94F41">
              <w:t>Continuing</w:t>
            </w:r>
          </w:p>
        </w:tc>
      </w:tr>
      <w:tr w14:paraId="3009FCE8" w14:textId="77777777" w:rsidTr="00355E4B">
        <w:tblPrEx>
          <w:tblW w:w="5000" w:type="pct"/>
          <w:tblLayout w:type="fixed"/>
          <w:tblLook w:val="01E0"/>
        </w:tblPrEx>
        <w:trPr>
          <w:cantSplit/>
        </w:trPr>
        <w:tc>
          <w:tcPr>
            <w:tcW w:w="3764" w:type="dxa"/>
            <w:tcMar>
              <w:left w:w="86" w:type="dxa"/>
              <w:right w:w="86" w:type="dxa"/>
            </w:tcMar>
          </w:tcPr>
          <w:p w:rsidR="00F70FE0" w:rsidRPr="00D94F41" w:rsidP="00110F11" w14:paraId="70F08014" w14:textId="1B23DCE2">
            <w:pPr>
              <w:pStyle w:val="TableParagraph"/>
              <w:spacing w:before="20" w:after="20"/>
            </w:pPr>
            <w:r w:rsidRPr="00D94F41">
              <w:t>Income and Assets (IAQ)</w:t>
            </w:r>
            <w:r w:rsidR="0015004D">
              <w:t>*</w:t>
            </w:r>
          </w:p>
        </w:tc>
        <w:tc>
          <w:tcPr>
            <w:tcW w:w="1001" w:type="dxa"/>
            <w:tcMar>
              <w:left w:w="86" w:type="dxa"/>
              <w:right w:w="86" w:type="dxa"/>
            </w:tcMar>
          </w:tcPr>
          <w:p w:rsidR="00F70FE0" w:rsidRPr="00D94F41" w:rsidP="00110F11" w14:paraId="556E635E" w14:textId="2C0BEF6C">
            <w:pPr>
              <w:pStyle w:val="TableParagraph"/>
              <w:spacing w:before="20" w:after="20"/>
            </w:pPr>
            <w:r w:rsidRPr="00D94F41">
              <w:t>Core</w:t>
            </w:r>
          </w:p>
        </w:tc>
        <w:tc>
          <w:tcPr>
            <w:tcW w:w="3060" w:type="dxa"/>
            <w:tcMar>
              <w:left w:w="86" w:type="dxa"/>
              <w:right w:w="86" w:type="dxa"/>
            </w:tcMar>
          </w:tcPr>
          <w:p w:rsidR="00F70FE0" w:rsidRPr="00D94F41" w:rsidP="00110F11" w14:paraId="06E700C4" w14:textId="6AC100E1">
            <w:pPr>
              <w:pStyle w:val="TableParagraph"/>
              <w:spacing w:before="20" w:after="20"/>
            </w:pPr>
            <w:r w:rsidRPr="00D94F41">
              <w:t>Summer (Rounds 102</w:t>
            </w:r>
            <w:r w:rsidR="009D58E6">
              <w:t>, 105</w:t>
            </w:r>
            <w:r w:rsidR="00355E4B">
              <w:t>, 108</w:t>
            </w:r>
            <w:r w:rsidRPr="00D94F41">
              <w:t>)</w:t>
            </w:r>
          </w:p>
        </w:tc>
        <w:tc>
          <w:tcPr>
            <w:tcW w:w="1525" w:type="dxa"/>
            <w:tcMar>
              <w:left w:w="86" w:type="dxa"/>
              <w:right w:w="86" w:type="dxa"/>
            </w:tcMar>
          </w:tcPr>
          <w:p w:rsidR="00F70FE0" w:rsidRPr="00D94F41" w:rsidP="00110F11" w14:paraId="67151D18" w14:textId="76A19AA7">
            <w:pPr>
              <w:pStyle w:val="TableParagraph"/>
              <w:spacing w:before="20" w:after="20"/>
            </w:pPr>
            <w:r w:rsidRPr="00D94F41">
              <w:t>Continuing</w:t>
            </w:r>
          </w:p>
        </w:tc>
      </w:tr>
      <w:tr w14:paraId="2A67B631" w14:textId="77777777" w:rsidTr="00355E4B">
        <w:tblPrEx>
          <w:tblW w:w="5000" w:type="pct"/>
          <w:tblLayout w:type="fixed"/>
          <w:tblLook w:val="01E0"/>
        </w:tblPrEx>
        <w:trPr>
          <w:cantSplit/>
        </w:trPr>
        <w:tc>
          <w:tcPr>
            <w:tcW w:w="3764" w:type="dxa"/>
            <w:tcMar>
              <w:left w:w="86" w:type="dxa"/>
              <w:right w:w="86" w:type="dxa"/>
            </w:tcMar>
          </w:tcPr>
          <w:p w:rsidR="00F70FE0" w:rsidRPr="00D94F41" w:rsidP="00110F11" w14:paraId="61EB9FD9" w14:textId="26CA5CA8">
            <w:pPr>
              <w:pStyle w:val="TableParagraph"/>
              <w:spacing w:before="20" w:after="20"/>
            </w:pPr>
            <w:r w:rsidRPr="00D94F41">
              <w:t>Drug Coverage (RXQ)</w:t>
            </w:r>
            <w:r w:rsidR="00B02E2E">
              <w:t>*</w:t>
            </w:r>
            <w:r w:rsidRPr="00D94F41">
              <w:t xml:space="preserve"> </w:t>
            </w:r>
          </w:p>
        </w:tc>
        <w:tc>
          <w:tcPr>
            <w:tcW w:w="1001" w:type="dxa"/>
            <w:tcMar>
              <w:left w:w="86" w:type="dxa"/>
              <w:right w:w="86" w:type="dxa"/>
            </w:tcMar>
          </w:tcPr>
          <w:p w:rsidR="00F70FE0" w:rsidRPr="00D94F41" w:rsidP="00110F11" w14:paraId="2760227F" w14:textId="7639F78C">
            <w:pPr>
              <w:pStyle w:val="TableParagraph"/>
              <w:spacing w:before="20" w:after="20"/>
            </w:pPr>
            <w:r w:rsidRPr="00D94F41">
              <w:t>Topical</w:t>
            </w:r>
          </w:p>
        </w:tc>
        <w:tc>
          <w:tcPr>
            <w:tcW w:w="3060" w:type="dxa"/>
            <w:tcMar>
              <w:left w:w="86" w:type="dxa"/>
              <w:right w:w="86" w:type="dxa"/>
            </w:tcMar>
          </w:tcPr>
          <w:p w:rsidR="00F70FE0" w:rsidRPr="00D94F41" w:rsidP="00110F11" w14:paraId="2E1833BC" w14:textId="16A19DD4">
            <w:pPr>
              <w:pStyle w:val="TableParagraph"/>
              <w:spacing w:before="20" w:after="20"/>
            </w:pPr>
            <w:r w:rsidRPr="00D94F41">
              <w:t>Summer (Rounds 102</w:t>
            </w:r>
            <w:r w:rsidR="009D58E6">
              <w:t>, 105</w:t>
            </w:r>
            <w:r w:rsidR="00355E4B">
              <w:t>, 108</w:t>
            </w:r>
            <w:r w:rsidRPr="00D94F41">
              <w:t>)</w:t>
            </w:r>
          </w:p>
        </w:tc>
        <w:tc>
          <w:tcPr>
            <w:tcW w:w="1525" w:type="dxa"/>
            <w:tcMar>
              <w:left w:w="86" w:type="dxa"/>
              <w:right w:w="86" w:type="dxa"/>
            </w:tcMar>
          </w:tcPr>
          <w:p w:rsidR="00F70FE0" w:rsidRPr="00D94F41" w:rsidP="00110F11" w14:paraId="718585B7" w14:textId="67458FA0">
            <w:pPr>
              <w:pStyle w:val="TableParagraph"/>
              <w:spacing w:before="20" w:after="20"/>
            </w:pPr>
            <w:r w:rsidRPr="00D94F41">
              <w:t xml:space="preserve">Continuing </w:t>
            </w:r>
          </w:p>
        </w:tc>
      </w:tr>
      <w:tr w14:paraId="3D8EEE67" w14:textId="77777777" w:rsidTr="00355E4B">
        <w:tblPrEx>
          <w:tblW w:w="5000" w:type="pct"/>
          <w:tblLayout w:type="fixed"/>
          <w:tblLook w:val="01E0"/>
        </w:tblPrEx>
        <w:trPr>
          <w:cantSplit/>
        </w:trPr>
        <w:tc>
          <w:tcPr>
            <w:tcW w:w="3764" w:type="dxa"/>
            <w:tcMar>
              <w:left w:w="86" w:type="dxa"/>
              <w:right w:w="86" w:type="dxa"/>
            </w:tcMar>
          </w:tcPr>
          <w:p w:rsidR="0015004D" w:rsidRPr="00D94F41" w:rsidP="00110F11" w14:paraId="10AA0338" w14:textId="12DE5D58">
            <w:pPr>
              <w:pStyle w:val="TableParagraph"/>
              <w:spacing w:before="20" w:after="20"/>
            </w:pPr>
            <w:r w:rsidRPr="00D94F41">
              <w:t>Dental, Vision, and Hearing Care Utilization (DVH)</w:t>
            </w:r>
          </w:p>
        </w:tc>
        <w:tc>
          <w:tcPr>
            <w:tcW w:w="1001" w:type="dxa"/>
            <w:tcMar>
              <w:left w:w="86" w:type="dxa"/>
              <w:right w:w="86" w:type="dxa"/>
            </w:tcMar>
          </w:tcPr>
          <w:p w:rsidR="0015004D" w:rsidRPr="00D94F41" w:rsidP="00110F11" w14:paraId="654A2C1F" w14:textId="77777777">
            <w:pPr>
              <w:pStyle w:val="TableParagraph"/>
              <w:spacing w:before="20" w:after="20"/>
            </w:pPr>
            <w:r w:rsidRPr="00D94F41">
              <w:t>Core</w:t>
            </w:r>
          </w:p>
        </w:tc>
        <w:tc>
          <w:tcPr>
            <w:tcW w:w="3060" w:type="dxa"/>
            <w:tcMar>
              <w:left w:w="86" w:type="dxa"/>
              <w:right w:w="86" w:type="dxa"/>
            </w:tcMar>
          </w:tcPr>
          <w:p w:rsidR="0015004D" w:rsidRPr="00D94F41" w:rsidP="00110F11" w14:paraId="698B849D" w14:textId="070A0763">
            <w:pPr>
              <w:pStyle w:val="TableParagraph"/>
              <w:spacing w:before="20" w:after="20"/>
            </w:pPr>
            <w:r w:rsidRPr="007A7965">
              <w:t>All (Round 98-106)</w:t>
            </w:r>
          </w:p>
        </w:tc>
        <w:tc>
          <w:tcPr>
            <w:tcW w:w="1525" w:type="dxa"/>
            <w:tcMar>
              <w:left w:w="86" w:type="dxa"/>
              <w:right w:w="86" w:type="dxa"/>
            </w:tcMar>
          </w:tcPr>
          <w:p w:rsidR="0015004D" w:rsidRPr="00D94F41" w:rsidP="00110F11" w14:paraId="286B75B2" w14:textId="77777777">
            <w:pPr>
              <w:pStyle w:val="TableParagraph"/>
              <w:spacing w:before="20" w:after="20"/>
            </w:pPr>
            <w:r w:rsidRPr="00D94F41">
              <w:t>Continuing</w:t>
            </w:r>
          </w:p>
        </w:tc>
      </w:tr>
      <w:tr w14:paraId="012515C7" w14:textId="77777777" w:rsidTr="00355E4B">
        <w:tblPrEx>
          <w:tblW w:w="5000" w:type="pct"/>
          <w:tblLayout w:type="fixed"/>
          <w:tblLook w:val="01E0"/>
        </w:tblPrEx>
        <w:trPr>
          <w:cantSplit/>
        </w:trPr>
        <w:tc>
          <w:tcPr>
            <w:tcW w:w="3764" w:type="dxa"/>
            <w:tcMar>
              <w:left w:w="86" w:type="dxa"/>
              <w:right w:w="86" w:type="dxa"/>
            </w:tcMar>
          </w:tcPr>
          <w:p w:rsidR="0015004D" w:rsidRPr="00D94F41" w:rsidP="00110F11" w14:paraId="2F5CBCDC" w14:textId="77777777">
            <w:pPr>
              <w:pStyle w:val="TableParagraph"/>
              <w:spacing w:before="20" w:after="20"/>
            </w:pPr>
            <w:r w:rsidRPr="00D94F41">
              <w:t>Emergency Room Utilization (ERQ)</w:t>
            </w:r>
          </w:p>
        </w:tc>
        <w:tc>
          <w:tcPr>
            <w:tcW w:w="1001" w:type="dxa"/>
            <w:tcMar>
              <w:left w:w="86" w:type="dxa"/>
              <w:right w:w="86" w:type="dxa"/>
            </w:tcMar>
          </w:tcPr>
          <w:p w:rsidR="0015004D" w:rsidRPr="00D94F41" w:rsidP="00110F11" w14:paraId="13C61CCA" w14:textId="77777777">
            <w:pPr>
              <w:pStyle w:val="TableParagraph"/>
              <w:spacing w:before="20" w:after="20"/>
            </w:pPr>
            <w:r w:rsidRPr="00D94F41">
              <w:t>Core</w:t>
            </w:r>
          </w:p>
        </w:tc>
        <w:tc>
          <w:tcPr>
            <w:tcW w:w="3060" w:type="dxa"/>
            <w:tcMar>
              <w:left w:w="86" w:type="dxa"/>
              <w:right w:w="86" w:type="dxa"/>
            </w:tcMar>
          </w:tcPr>
          <w:p w:rsidR="0015004D" w:rsidRPr="00D94F41" w:rsidP="00110F11" w14:paraId="324B3532" w14:textId="6D19AC2F">
            <w:pPr>
              <w:pStyle w:val="TableParagraph"/>
              <w:spacing w:before="20" w:after="20"/>
            </w:pPr>
            <w:r>
              <w:t>All (Round 101-109)</w:t>
            </w:r>
          </w:p>
        </w:tc>
        <w:tc>
          <w:tcPr>
            <w:tcW w:w="1525" w:type="dxa"/>
            <w:tcMar>
              <w:left w:w="86" w:type="dxa"/>
              <w:right w:w="86" w:type="dxa"/>
            </w:tcMar>
          </w:tcPr>
          <w:p w:rsidR="0015004D" w:rsidRPr="00D94F41" w:rsidP="00110F11" w14:paraId="0A448167" w14:textId="77777777">
            <w:pPr>
              <w:pStyle w:val="TableParagraph"/>
              <w:spacing w:before="20" w:after="20"/>
            </w:pPr>
            <w:r w:rsidRPr="00D94F41">
              <w:t>Continuing</w:t>
            </w:r>
          </w:p>
        </w:tc>
      </w:tr>
      <w:tr w14:paraId="5F0A66F8" w14:textId="77777777" w:rsidTr="00355E4B">
        <w:tblPrEx>
          <w:tblW w:w="5000" w:type="pct"/>
          <w:tblLayout w:type="fixed"/>
          <w:tblLook w:val="01E0"/>
        </w:tblPrEx>
        <w:trPr>
          <w:cantSplit/>
        </w:trPr>
        <w:tc>
          <w:tcPr>
            <w:tcW w:w="3764" w:type="dxa"/>
            <w:tcMar>
              <w:left w:w="86" w:type="dxa"/>
              <w:right w:w="86" w:type="dxa"/>
            </w:tcMar>
          </w:tcPr>
          <w:p w:rsidR="0015004D" w:rsidRPr="00D94F41" w:rsidP="00110F11" w14:paraId="06C1201B" w14:textId="77777777">
            <w:pPr>
              <w:pStyle w:val="TableParagraph"/>
              <w:spacing w:before="20" w:after="20"/>
            </w:pPr>
            <w:r w:rsidRPr="00D94F41">
              <w:t>Inpatient Utilization (IPQ)</w:t>
            </w:r>
          </w:p>
        </w:tc>
        <w:tc>
          <w:tcPr>
            <w:tcW w:w="1001" w:type="dxa"/>
            <w:tcMar>
              <w:left w:w="86" w:type="dxa"/>
              <w:right w:w="86" w:type="dxa"/>
            </w:tcMar>
          </w:tcPr>
          <w:p w:rsidR="0015004D" w:rsidRPr="00D94F41" w:rsidP="00110F11" w14:paraId="39F950C0" w14:textId="77777777">
            <w:pPr>
              <w:pStyle w:val="TableParagraph"/>
              <w:spacing w:before="20" w:after="20"/>
            </w:pPr>
            <w:r w:rsidRPr="00D94F41">
              <w:t>Core</w:t>
            </w:r>
          </w:p>
        </w:tc>
        <w:tc>
          <w:tcPr>
            <w:tcW w:w="3060" w:type="dxa"/>
            <w:tcMar>
              <w:left w:w="86" w:type="dxa"/>
              <w:right w:w="86" w:type="dxa"/>
            </w:tcMar>
          </w:tcPr>
          <w:p w:rsidR="0015004D" w:rsidRPr="00D94F41" w:rsidP="00110F11" w14:paraId="2C9BA9C9" w14:textId="48E0FBAA">
            <w:pPr>
              <w:pStyle w:val="TableParagraph"/>
              <w:spacing w:before="20" w:after="20"/>
            </w:pPr>
            <w:r>
              <w:t>All (Round 101-109)</w:t>
            </w:r>
          </w:p>
        </w:tc>
        <w:tc>
          <w:tcPr>
            <w:tcW w:w="1525" w:type="dxa"/>
            <w:tcMar>
              <w:left w:w="86" w:type="dxa"/>
              <w:right w:w="86" w:type="dxa"/>
            </w:tcMar>
          </w:tcPr>
          <w:p w:rsidR="0015004D" w:rsidRPr="00D94F41" w:rsidP="00110F11" w14:paraId="6ACD3F83" w14:textId="77777777">
            <w:pPr>
              <w:pStyle w:val="TableParagraph"/>
              <w:spacing w:before="20" w:after="20"/>
            </w:pPr>
            <w:r w:rsidRPr="00D94F41">
              <w:t>Continuing</w:t>
            </w:r>
          </w:p>
        </w:tc>
      </w:tr>
      <w:tr w14:paraId="583CCB8B" w14:textId="77777777" w:rsidTr="00355E4B">
        <w:tblPrEx>
          <w:tblW w:w="5000" w:type="pct"/>
          <w:tblLayout w:type="fixed"/>
          <w:tblLook w:val="01E0"/>
        </w:tblPrEx>
        <w:trPr>
          <w:cantSplit/>
        </w:trPr>
        <w:tc>
          <w:tcPr>
            <w:tcW w:w="3764" w:type="dxa"/>
            <w:tcMar>
              <w:left w:w="86" w:type="dxa"/>
              <w:right w:w="86" w:type="dxa"/>
            </w:tcMar>
          </w:tcPr>
          <w:p w:rsidR="0015004D" w:rsidRPr="00D94F41" w:rsidP="00110F11" w14:paraId="2D1D24F7" w14:textId="77777777">
            <w:pPr>
              <w:pStyle w:val="TableParagraph"/>
              <w:spacing w:before="20" w:after="20"/>
            </w:pPr>
            <w:r w:rsidRPr="00D94F41">
              <w:t>Outpatient Utilization (OPQ)</w:t>
            </w:r>
          </w:p>
        </w:tc>
        <w:tc>
          <w:tcPr>
            <w:tcW w:w="1001" w:type="dxa"/>
            <w:tcMar>
              <w:left w:w="86" w:type="dxa"/>
              <w:right w:w="86" w:type="dxa"/>
            </w:tcMar>
          </w:tcPr>
          <w:p w:rsidR="0015004D" w:rsidRPr="00D94F41" w:rsidP="00110F11" w14:paraId="521FEEA6" w14:textId="77777777">
            <w:pPr>
              <w:pStyle w:val="TableParagraph"/>
              <w:spacing w:before="20" w:after="20"/>
            </w:pPr>
            <w:r w:rsidRPr="00D94F41">
              <w:t>Core</w:t>
            </w:r>
          </w:p>
        </w:tc>
        <w:tc>
          <w:tcPr>
            <w:tcW w:w="3060" w:type="dxa"/>
            <w:tcMar>
              <w:left w:w="86" w:type="dxa"/>
              <w:right w:w="86" w:type="dxa"/>
            </w:tcMar>
          </w:tcPr>
          <w:p w:rsidR="0015004D" w:rsidRPr="00D94F41" w:rsidP="00110F11" w14:paraId="2E1324C2" w14:textId="2B711128">
            <w:pPr>
              <w:pStyle w:val="TableParagraph"/>
              <w:spacing w:before="20" w:after="20"/>
            </w:pPr>
            <w:r>
              <w:t>All (Round 101-109)</w:t>
            </w:r>
          </w:p>
        </w:tc>
        <w:tc>
          <w:tcPr>
            <w:tcW w:w="1525" w:type="dxa"/>
            <w:tcMar>
              <w:left w:w="86" w:type="dxa"/>
              <w:right w:w="86" w:type="dxa"/>
            </w:tcMar>
          </w:tcPr>
          <w:p w:rsidR="0015004D" w:rsidRPr="00D94F41" w:rsidP="00110F11" w14:paraId="2F75E0C6" w14:textId="77777777">
            <w:pPr>
              <w:pStyle w:val="TableParagraph"/>
              <w:spacing w:before="20" w:after="20"/>
            </w:pPr>
            <w:r w:rsidRPr="00D94F41">
              <w:t>Continuing</w:t>
            </w:r>
          </w:p>
        </w:tc>
      </w:tr>
      <w:tr w14:paraId="7B8FDF20" w14:textId="77777777" w:rsidTr="00355E4B">
        <w:tblPrEx>
          <w:tblW w:w="5000" w:type="pct"/>
          <w:tblLayout w:type="fixed"/>
          <w:tblLook w:val="01E0"/>
        </w:tblPrEx>
        <w:trPr>
          <w:cantSplit/>
        </w:trPr>
        <w:tc>
          <w:tcPr>
            <w:tcW w:w="3764" w:type="dxa"/>
            <w:tcMar>
              <w:left w:w="86" w:type="dxa"/>
              <w:right w:w="86" w:type="dxa"/>
            </w:tcMar>
          </w:tcPr>
          <w:p w:rsidR="0015004D" w:rsidRPr="00D94F41" w:rsidP="00110F11" w14:paraId="2F597581" w14:textId="77777777">
            <w:pPr>
              <w:pStyle w:val="TableParagraph"/>
              <w:spacing w:before="20" w:after="20"/>
            </w:pPr>
            <w:r w:rsidRPr="00D94F41">
              <w:t>Institutional Utilization (IUQ)</w:t>
            </w:r>
          </w:p>
        </w:tc>
        <w:tc>
          <w:tcPr>
            <w:tcW w:w="1001" w:type="dxa"/>
            <w:tcMar>
              <w:left w:w="86" w:type="dxa"/>
              <w:right w:w="86" w:type="dxa"/>
            </w:tcMar>
          </w:tcPr>
          <w:p w:rsidR="0015004D" w:rsidRPr="00D94F41" w:rsidP="00110F11" w14:paraId="15FD9FD2" w14:textId="77777777">
            <w:pPr>
              <w:pStyle w:val="TableParagraph"/>
              <w:spacing w:before="20" w:after="20"/>
            </w:pPr>
            <w:r w:rsidRPr="00D94F41">
              <w:t>Core</w:t>
            </w:r>
          </w:p>
        </w:tc>
        <w:tc>
          <w:tcPr>
            <w:tcW w:w="3060" w:type="dxa"/>
            <w:tcMar>
              <w:left w:w="86" w:type="dxa"/>
              <w:right w:w="86" w:type="dxa"/>
            </w:tcMar>
          </w:tcPr>
          <w:p w:rsidR="0015004D" w:rsidRPr="00D94F41" w:rsidP="00110F11" w14:paraId="3DE8F97B" w14:textId="4C522744">
            <w:pPr>
              <w:pStyle w:val="TableParagraph"/>
              <w:spacing w:before="20" w:after="20"/>
            </w:pPr>
            <w:r>
              <w:t>All (Round 101-109)</w:t>
            </w:r>
          </w:p>
        </w:tc>
        <w:tc>
          <w:tcPr>
            <w:tcW w:w="1525" w:type="dxa"/>
            <w:tcMar>
              <w:left w:w="86" w:type="dxa"/>
              <w:right w:w="86" w:type="dxa"/>
            </w:tcMar>
          </w:tcPr>
          <w:p w:rsidR="0015004D" w:rsidRPr="00D94F41" w:rsidP="00110F11" w14:paraId="2DB7B462" w14:textId="77777777">
            <w:pPr>
              <w:pStyle w:val="TableParagraph"/>
              <w:spacing w:before="20" w:after="20"/>
            </w:pPr>
            <w:r w:rsidRPr="00D94F41">
              <w:t>Continuing</w:t>
            </w:r>
          </w:p>
        </w:tc>
      </w:tr>
      <w:tr w14:paraId="44337D32" w14:textId="77777777" w:rsidTr="00355E4B">
        <w:tblPrEx>
          <w:tblW w:w="5000" w:type="pct"/>
          <w:tblLayout w:type="fixed"/>
          <w:tblLook w:val="01E0"/>
        </w:tblPrEx>
        <w:trPr>
          <w:cantSplit/>
        </w:trPr>
        <w:tc>
          <w:tcPr>
            <w:tcW w:w="3764" w:type="dxa"/>
            <w:tcMar>
              <w:left w:w="86" w:type="dxa"/>
              <w:right w:w="86" w:type="dxa"/>
            </w:tcMar>
          </w:tcPr>
          <w:p w:rsidR="0015004D" w:rsidRPr="00D94F41" w:rsidP="00110F11" w14:paraId="47A78226" w14:textId="77777777">
            <w:pPr>
              <w:pStyle w:val="TableParagraph"/>
              <w:spacing w:before="20" w:after="20"/>
            </w:pPr>
            <w:r w:rsidRPr="00D94F41">
              <w:t>Home Health Utilization (HHQ)</w:t>
            </w:r>
          </w:p>
        </w:tc>
        <w:tc>
          <w:tcPr>
            <w:tcW w:w="1001" w:type="dxa"/>
            <w:tcMar>
              <w:left w:w="86" w:type="dxa"/>
              <w:right w:w="86" w:type="dxa"/>
            </w:tcMar>
          </w:tcPr>
          <w:p w:rsidR="0015004D" w:rsidRPr="00D94F41" w:rsidP="00110F11" w14:paraId="0038C546" w14:textId="77777777">
            <w:pPr>
              <w:pStyle w:val="TableParagraph"/>
              <w:spacing w:before="20" w:after="20"/>
            </w:pPr>
            <w:r w:rsidRPr="00D94F41">
              <w:t>Core</w:t>
            </w:r>
          </w:p>
        </w:tc>
        <w:tc>
          <w:tcPr>
            <w:tcW w:w="3060" w:type="dxa"/>
            <w:tcMar>
              <w:left w:w="86" w:type="dxa"/>
              <w:right w:w="86" w:type="dxa"/>
            </w:tcMar>
          </w:tcPr>
          <w:p w:rsidR="0015004D" w:rsidRPr="00D94F41" w:rsidP="00110F11" w14:paraId="1CF4BD43" w14:textId="0091EBDB">
            <w:pPr>
              <w:pStyle w:val="TableParagraph"/>
              <w:spacing w:before="20" w:after="20"/>
            </w:pPr>
            <w:r>
              <w:t>All (Round 101-109)</w:t>
            </w:r>
          </w:p>
        </w:tc>
        <w:tc>
          <w:tcPr>
            <w:tcW w:w="1525" w:type="dxa"/>
            <w:tcMar>
              <w:left w:w="86" w:type="dxa"/>
              <w:right w:w="86" w:type="dxa"/>
            </w:tcMar>
          </w:tcPr>
          <w:p w:rsidR="0015004D" w:rsidRPr="00D94F41" w:rsidP="00110F11" w14:paraId="740D7AF8" w14:textId="77777777">
            <w:pPr>
              <w:pStyle w:val="TableParagraph"/>
              <w:spacing w:before="20" w:after="20"/>
            </w:pPr>
            <w:r w:rsidRPr="00D94F41">
              <w:t>Continuing</w:t>
            </w:r>
          </w:p>
        </w:tc>
      </w:tr>
      <w:tr w14:paraId="0361D19D" w14:textId="77777777" w:rsidTr="00355E4B">
        <w:tblPrEx>
          <w:tblW w:w="5000" w:type="pct"/>
          <w:tblLayout w:type="fixed"/>
          <w:tblLook w:val="01E0"/>
        </w:tblPrEx>
        <w:trPr>
          <w:cantSplit/>
        </w:trPr>
        <w:tc>
          <w:tcPr>
            <w:tcW w:w="3764" w:type="dxa"/>
            <w:tcMar>
              <w:left w:w="86" w:type="dxa"/>
              <w:right w:w="86" w:type="dxa"/>
            </w:tcMar>
          </w:tcPr>
          <w:p w:rsidR="0015004D" w:rsidRPr="00D94F41" w:rsidP="00110F11" w14:paraId="0656BFCF" w14:textId="77777777">
            <w:pPr>
              <w:pStyle w:val="TableParagraph"/>
              <w:spacing w:before="20" w:after="20"/>
            </w:pPr>
            <w:r w:rsidRPr="00D94F41">
              <w:t>Medical Provider Utilization (MPQ)</w:t>
            </w:r>
          </w:p>
        </w:tc>
        <w:tc>
          <w:tcPr>
            <w:tcW w:w="1001" w:type="dxa"/>
            <w:tcMar>
              <w:left w:w="86" w:type="dxa"/>
              <w:right w:w="86" w:type="dxa"/>
            </w:tcMar>
          </w:tcPr>
          <w:p w:rsidR="0015004D" w:rsidRPr="00D94F41" w:rsidP="00110F11" w14:paraId="4909171B" w14:textId="77777777">
            <w:pPr>
              <w:pStyle w:val="TableParagraph"/>
              <w:spacing w:before="20" w:after="20"/>
            </w:pPr>
            <w:r w:rsidRPr="00D94F41">
              <w:t>Core</w:t>
            </w:r>
          </w:p>
        </w:tc>
        <w:tc>
          <w:tcPr>
            <w:tcW w:w="3060" w:type="dxa"/>
            <w:tcMar>
              <w:left w:w="86" w:type="dxa"/>
              <w:right w:w="86" w:type="dxa"/>
            </w:tcMar>
          </w:tcPr>
          <w:p w:rsidR="0015004D" w:rsidRPr="00D94F41" w:rsidP="00110F11" w14:paraId="7CC83568" w14:textId="36CB1924">
            <w:pPr>
              <w:pStyle w:val="TableParagraph"/>
              <w:spacing w:before="20" w:after="20"/>
            </w:pPr>
            <w:r>
              <w:t>All (Round 101-109)</w:t>
            </w:r>
          </w:p>
        </w:tc>
        <w:tc>
          <w:tcPr>
            <w:tcW w:w="1525" w:type="dxa"/>
            <w:tcMar>
              <w:left w:w="86" w:type="dxa"/>
              <w:right w:w="86" w:type="dxa"/>
            </w:tcMar>
          </w:tcPr>
          <w:p w:rsidR="0015004D" w:rsidRPr="00D94F41" w:rsidP="00110F11" w14:paraId="27B5C561" w14:textId="77777777">
            <w:pPr>
              <w:pStyle w:val="TableParagraph"/>
              <w:spacing w:before="20" w:after="20"/>
            </w:pPr>
            <w:r w:rsidRPr="00D94F41">
              <w:t>Continuing</w:t>
            </w:r>
          </w:p>
        </w:tc>
      </w:tr>
      <w:tr w14:paraId="5021628F" w14:textId="77777777" w:rsidTr="00355E4B">
        <w:tblPrEx>
          <w:tblW w:w="5000" w:type="pct"/>
          <w:tblLayout w:type="fixed"/>
          <w:tblLook w:val="01E0"/>
        </w:tblPrEx>
        <w:trPr>
          <w:cantSplit/>
        </w:trPr>
        <w:tc>
          <w:tcPr>
            <w:tcW w:w="3764" w:type="dxa"/>
            <w:tcMar>
              <w:left w:w="86" w:type="dxa"/>
              <w:right w:w="86" w:type="dxa"/>
            </w:tcMar>
          </w:tcPr>
          <w:p w:rsidR="00F70FE0" w:rsidRPr="00D94F41" w:rsidP="00110F11" w14:paraId="5AB3306D" w14:textId="77777777">
            <w:pPr>
              <w:pStyle w:val="TableParagraph"/>
              <w:spacing w:before="20" w:after="20"/>
            </w:pPr>
            <w:r w:rsidRPr="00D94F41">
              <w:t>Access to Care (ACQ)</w:t>
            </w:r>
          </w:p>
        </w:tc>
        <w:tc>
          <w:tcPr>
            <w:tcW w:w="1001" w:type="dxa"/>
            <w:tcMar>
              <w:left w:w="86" w:type="dxa"/>
              <w:right w:w="86" w:type="dxa"/>
            </w:tcMar>
          </w:tcPr>
          <w:p w:rsidR="00F70FE0" w:rsidRPr="00D94F41" w:rsidP="00110F11" w14:paraId="2755AEE0" w14:textId="77777777">
            <w:pPr>
              <w:pStyle w:val="TableParagraph"/>
              <w:spacing w:before="20" w:after="20"/>
            </w:pPr>
            <w:r w:rsidRPr="00D94F41">
              <w:t>Core</w:t>
            </w:r>
          </w:p>
        </w:tc>
        <w:tc>
          <w:tcPr>
            <w:tcW w:w="3060" w:type="dxa"/>
            <w:tcMar>
              <w:left w:w="86" w:type="dxa"/>
              <w:right w:w="86" w:type="dxa"/>
            </w:tcMar>
          </w:tcPr>
          <w:p w:rsidR="00F70FE0" w:rsidRPr="00D94F41" w:rsidP="00110F11" w14:paraId="1D2282B8" w14:textId="7D993EFD">
            <w:pPr>
              <w:pStyle w:val="TableParagraph"/>
              <w:spacing w:before="20" w:after="20"/>
            </w:pPr>
            <w:r>
              <w:t>Winter (Rounds 101, 104</w:t>
            </w:r>
            <w:r w:rsidR="00355E4B">
              <w:t>, 107</w:t>
            </w:r>
            <w:r>
              <w:t>)</w:t>
            </w:r>
          </w:p>
        </w:tc>
        <w:tc>
          <w:tcPr>
            <w:tcW w:w="1525" w:type="dxa"/>
            <w:tcMar>
              <w:left w:w="86" w:type="dxa"/>
              <w:right w:w="86" w:type="dxa"/>
            </w:tcMar>
          </w:tcPr>
          <w:p w:rsidR="00F70FE0" w:rsidRPr="00D94F41" w:rsidP="00110F11" w14:paraId="4FFDA14A" w14:textId="77777777">
            <w:pPr>
              <w:pStyle w:val="TableParagraph"/>
              <w:spacing w:before="20" w:after="20"/>
            </w:pPr>
            <w:r w:rsidRPr="00D94F41">
              <w:t>Continuing</w:t>
            </w:r>
          </w:p>
        </w:tc>
      </w:tr>
      <w:tr w14:paraId="021B7438" w14:textId="77777777" w:rsidTr="00355E4B">
        <w:tblPrEx>
          <w:tblW w:w="5000" w:type="pct"/>
          <w:tblLayout w:type="fixed"/>
          <w:tblLook w:val="01E0"/>
        </w:tblPrEx>
        <w:trPr>
          <w:cantSplit/>
        </w:trPr>
        <w:tc>
          <w:tcPr>
            <w:tcW w:w="3764" w:type="dxa"/>
            <w:tcMar>
              <w:left w:w="86" w:type="dxa"/>
              <w:right w:w="86" w:type="dxa"/>
            </w:tcMar>
          </w:tcPr>
          <w:p w:rsidR="0015004D" w:rsidRPr="00D94F41" w:rsidP="00110F11" w14:paraId="2BCED726" w14:textId="77777777">
            <w:pPr>
              <w:pStyle w:val="TableParagraph"/>
              <w:spacing w:before="20" w:after="20"/>
            </w:pPr>
            <w:r w:rsidRPr="00D94F41">
              <w:t>Prescribed Medicine Utilization (PMQ)</w:t>
            </w:r>
          </w:p>
        </w:tc>
        <w:tc>
          <w:tcPr>
            <w:tcW w:w="1001" w:type="dxa"/>
            <w:tcMar>
              <w:left w:w="86" w:type="dxa"/>
              <w:right w:w="86" w:type="dxa"/>
            </w:tcMar>
          </w:tcPr>
          <w:p w:rsidR="0015004D" w:rsidRPr="00D94F41" w:rsidP="00110F11" w14:paraId="3920A66B" w14:textId="77777777">
            <w:pPr>
              <w:pStyle w:val="TableParagraph"/>
              <w:spacing w:before="20" w:after="20"/>
            </w:pPr>
            <w:r w:rsidRPr="00D94F41">
              <w:t>Core</w:t>
            </w:r>
          </w:p>
        </w:tc>
        <w:tc>
          <w:tcPr>
            <w:tcW w:w="3060" w:type="dxa"/>
            <w:tcMar>
              <w:left w:w="86" w:type="dxa"/>
              <w:right w:w="86" w:type="dxa"/>
            </w:tcMar>
          </w:tcPr>
          <w:p w:rsidR="0015004D" w:rsidRPr="00D94F41" w:rsidP="00110F11" w14:paraId="349D3A01" w14:textId="1CEC81E4">
            <w:pPr>
              <w:pStyle w:val="TableParagraph"/>
              <w:spacing w:before="20" w:after="20"/>
            </w:pPr>
            <w:r>
              <w:t>All (Round 101-109)</w:t>
            </w:r>
          </w:p>
        </w:tc>
        <w:tc>
          <w:tcPr>
            <w:tcW w:w="1525" w:type="dxa"/>
            <w:tcMar>
              <w:left w:w="86" w:type="dxa"/>
              <w:right w:w="86" w:type="dxa"/>
            </w:tcMar>
          </w:tcPr>
          <w:p w:rsidR="0015004D" w:rsidRPr="00D94F41" w:rsidP="00110F11" w14:paraId="0EC6F7C2" w14:textId="77777777">
            <w:pPr>
              <w:pStyle w:val="TableParagraph"/>
              <w:spacing w:before="20" w:after="20"/>
            </w:pPr>
            <w:r w:rsidRPr="00D94F41">
              <w:t>Continuing</w:t>
            </w:r>
          </w:p>
        </w:tc>
      </w:tr>
      <w:tr w14:paraId="47E6153C" w14:textId="77777777" w:rsidTr="00355E4B">
        <w:tblPrEx>
          <w:tblW w:w="5000" w:type="pct"/>
          <w:tblLayout w:type="fixed"/>
          <w:tblLook w:val="01E0"/>
        </w:tblPrEx>
        <w:trPr>
          <w:cantSplit/>
        </w:trPr>
        <w:tc>
          <w:tcPr>
            <w:tcW w:w="3764" w:type="dxa"/>
            <w:tcMar>
              <w:left w:w="86" w:type="dxa"/>
              <w:right w:w="86" w:type="dxa"/>
            </w:tcMar>
          </w:tcPr>
          <w:p w:rsidR="0015004D" w:rsidRPr="00D94F41" w:rsidP="00110F11" w14:paraId="7246384C" w14:textId="77777777">
            <w:pPr>
              <w:pStyle w:val="TableParagraph"/>
              <w:spacing w:before="20" w:after="20"/>
            </w:pPr>
            <w:r w:rsidRPr="00D94F41">
              <w:t>Other Medical Expenses (OMQ)</w:t>
            </w:r>
          </w:p>
        </w:tc>
        <w:tc>
          <w:tcPr>
            <w:tcW w:w="1001" w:type="dxa"/>
            <w:tcMar>
              <w:left w:w="86" w:type="dxa"/>
              <w:right w:w="86" w:type="dxa"/>
            </w:tcMar>
          </w:tcPr>
          <w:p w:rsidR="0015004D" w:rsidRPr="00D94F41" w:rsidP="00110F11" w14:paraId="0AEA9F0C" w14:textId="77777777">
            <w:pPr>
              <w:pStyle w:val="TableParagraph"/>
              <w:spacing w:before="20" w:after="20"/>
            </w:pPr>
            <w:r w:rsidRPr="00D94F41">
              <w:t>Core</w:t>
            </w:r>
          </w:p>
        </w:tc>
        <w:tc>
          <w:tcPr>
            <w:tcW w:w="3060" w:type="dxa"/>
            <w:tcMar>
              <w:left w:w="86" w:type="dxa"/>
              <w:right w:w="86" w:type="dxa"/>
            </w:tcMar>
          </w:tcPr>
          <w:p w:rsidR="0015004D" w:rsidRPr="00D94F41" w:rsidP="00110F11" w14:paraId="65E434E5" w14:textId="559BCB35">
            <w:pPr>
              <w:pStyle w:val="TableParagraph"/>
              <w:spacing w:before="20" w:after="20"/>
            </w:pPr>
            <w:r>
              <w:t>All (Round 101-109)</w:t>
            </w:r>
          </w:p>
        </w:tc>
        <w:tc>
          <w:tcPr>
            <w:tcW w:w="1525" w:type="dxa"/>
            <w:tcMar>
              <w:left w:w="86" w:type="dxa"/>
              <w:right w:w="86" w:type="dxa"/>
            </w:tcMar>
          </w:tcPr>
          <w:p w:rsidR="0015004D" w:rsidRPr="00D94F41" w:rsidP="00110F11" w14:paraId="7ECE3577" w14:textId="77777777">
            <w:pPr>
              <w:pStyle w:val="TableParagraph"/>
              <w:spacing w:before="20" w:after="20"/>
            </w:pPr>
            <w:r w:rsidRPr="00D94F41">
              <w:t>Continuing</w:t>
            </w:r>
          </w:p>
        </w:tc>
      </w:tr>
      <w:tr w14:paraId="5486E6A2" w14:textId="77777777" w:rsidTr="00355E4B">
        <w:tblPrEx>
          <w:tblW w:w="5000" w:type="pct"/>
          <w:tblLayout w:type="fixed"/>
          <w:tblLook w:val="01E0"/>
        </w:tblPrEx>
        <w:trPr>
          <w:cantSplit/>
        </w:trPr>
        <w:tc>
          <w:tcPr>
            <w:tcW w:w="3764" w:type="dxa"/>
            <w:tcMar>
              <w:left w:w="86" w:type="dxa"/>
              <w:right w:w="86" w:type="dxa"/>
            </w:tcMar>
          </w:tcPr>
          <w:p w:rsidR="0015004D" w:rsidRPr="00D94F41" w:rsidP="00110F11" w14:paraId="60C97423" w14:textId="77777777">
            <w:pPr>
              <w:pStyle w:val="TableParagraph"/>
              <w:spacing w:before="20" w:after="20"/>
            </w:pPr>
            <w:r w:rsidRPr="00D94F41">
              <w:t>Statement Cost Series (STQ)</w:t>
            </w:r>
          </w:p>
        </w:tc>
        <w:tc>
          <w:tcPr>
            <w:tcW w:w="1001" w:type="dxa"/>
            <w:tcMar>
              <w:left w:w="86" w:type="dxa"/>
              <w:right w:w="86" w:type="dxa"/>
            </w:tcMar>
          </w:tcPr>
          <w:p w:rsidR="0015004D" w:rsidRPr="00D94F41" w:rsidP="00110F11" w14:paraId="2B795EA6" w14:textId="77777777">
            <w:pPr>
              <w:pStyle w:val="TableParagraph"/>
              <w:spacing w:before="20" w:after="20"/>
            </w:pPr>
            <w:r w:rsidRPr="00D94F41">
              <w:t>Core</w:t>
            </w:r>
          </w:p>
        </w:tc>
        <w:tc>
          <w:tcPr>
            <w:tcW w:w="3060" w:type="dxa"/>
            <w:tcMar>
              <w:left w:w="86" w:type="dxa"/>
              <w:right w:w="86" w:type="dxa"/>
            </w:tcMar>
          </w:tcPr>
          <w:p w:rsidR="0015004D" w:rsidRPr="00D94F41" w:rsidP="00110F11" w14:paraId="6A30CA6A" w14:textId="7B8554A7">
            <w:pPr>
              <w:pStyle w:val="TableParagraph"/>
              <w:spacing w:before="20" w:after="20"/>
            </w:pPr>
            <w:r>
              <w:t>All (Round 101-109)</w:t>
            </w:r>
          </w:p>
        </w:tc>
        <w:tc>
          <w:tcPr>
            <w:tcW w:w="1525" w:type="dxa"/>
            <w:tcMar>
              <w:left w:w="86" w:type="dxa"/>
              <w:right w:w="86" w:type="dxa"/>
            </w:tcMar>
          </w:tcPr>
          <w:p w:rsidR="0015004D" w:rsidRPr="00D94F41" w:rsidP="00110F11" w14:paraId="6CD2229E" w14:textId="77777777">
            <w:pPr>
              <w:pStyle w:val="TableParagraph"/>
              <w:spacing w:before="20" w:after="20"/>
            </w:pPr>
            <w:r w:rsidRPr="00D94F41">
              <w:t>Continuing</w:t>
            </w:r>
          </w:p>
        </w:tc>
      </w:tr>
      <w:tr w14:paraId="237CEF1D" w14:textId="77777777" w:rsidTr="00355E4B">
        <w:tblPrEx>
          <w:tblW w:w="5000" w:type="pct"/>
          <w:tblLayout w:type="fixed"/>
          <w:tblLook w:val="01E0"/>
        </w:tblPrEx>
        <w:trPr>
          <w:cantSplit/>
        </w:trPr>
        <w:tc>
          <w:tcPr>
            <w:tcW w:w="3764" w:type="dxa"/>
            <w:tcMar>
              <w:left w:w="86" w:type="dxa"/>
              <w:right w:w="86" w:type="dxa"/>
            </w:tcMar>
          </w:tcPr>
          <w:p w:rsidR="0015004D" w:rsidRPr="00D94F41" w:rsidP="00110F11" w14:paraId="564AA998" w14:textId="77777777">
            <w:pPr>
              <w:pStyle w:val="TableParagraph"/>
              <w:spacing w:before="20" w:after="20"/>
            </w:pPr>
            <w:r w:rsidRPr="00D94F41">
              <w:t>Post-Statement Cost (PSQ)</w:t>
            </w:r>
          </w:p>
        </w:tc>
        <w:tc>
          <w:tcPr>
            <w:tcW w:w="1001" w:type="dxa"/>
            <w:tcMar>
              <w:left w:w="86" w:type="dxa"/>
              <w:right w:w="86" w:type="dxa"/>
            </w:tcMar>
          </w:tcPr>
          <w:p w:rsidR="0015004D" w:rsidRPr="00D94F41" w:rsidP="00110F11" w14:paraId="095916C5" w14:textId="77777777">
            <w:pPr>
              <w:pStyle w:val="TableParagraph"/>
              <w:spacing w:before="20" w:after="20"/>
            </w:pPr>
            <w:r w:rsidRPr="00D94F41">
              <w:t>Core</w:t>
            </w:r>
          </w:p>
        </w:tc>
        <w:tc>
          <w:tcPr>
            <w:tcW w:w="3060" w:type="dxa"/>
            <w:tcMar>
              <w:left w:w="86" w:type="dxa"/>
              <w:right w:w="86" w:type="dxa"/>
            </w:tcMar>
          </w:tcPr>
          <w:p w:rsidR="0015004D" w:rsidRPr="00D94F41" w:rsidP="00110F11" w14:paraId="39CB4248" w14:textId="333445EB">
            <w:pPr>
              <w:pStyle w:val="TableParagraph"/>
              <w:spacing w:before="20" w:after="20"/>
            </w:pPr>
            <w:r>
              <w:t>All (Round 101-109)</w:t>
            </w:r>
          </w:p>
        </w:tc>
        <w:tc>
          <w:tcPr>
            <w:tcW w:w="1525" w:type="dxa"/>
            <w:tcMar>
              <w:left w:w="86" w:type="dxa"/>
              <w:right w:w="86" w:type="dxa"/>
            </w:tcMar>
          </w:tcPr>
          <w:p w:rsidR="0015004D" w:rsidRPr="00D94F41" w:rsidP="00110F11" w14:paraId="45BA9F45" w14:textId="77777777">
            <w:pPr>
              <w:pStyle w:val="TableParagraph"/>
              <w:spacing w:before="20" w:after="20"/>
            </w:pPr>
            <w:r w:rsidRPr="00D94F41">
              <w:t>Continuing</w:t>
            </w:r>
          </w:p>
        </w:tc>
      </w:tr>
      <w:tr w14:paraId="114768C7" w14:textId="77777777" w:rsidTr="00355E4B">
        <w:tblPrEx>
          <w:tblW w:w="5000" w:type="pct"/>
          <w:tblLayout w:type="fixed"/>
          <w:tblLook w:val="01E0"/>
        </w:tblPrEx>
        <w:trPr>
          <w:cantSplit/>
        </w:trPr>
        <w:tc>
          <w:tcPr>
            <w:tcW w:w="3764" w:type="dxa"/>
            <w:tcMar>
              <w:left w:w="86" w:type="dxa"/>
              <w:right w:w="86" w:type="dxa"/>
            </w:tcMar>
          </w:tcPr>
          <w:p w:rsidR="0015004D" w:rsidRPr="00D94F41" w:rsidP="00110F11" w14:paraId="0AEDE53C" w14:textId="77777777">
            <w:pPr>
              <w:pStyle w:val="TableParagraph"/>
              <w:spacing w:before="20" w:after="20"/>
            </w:pPr>
            <w:r w:rsidRPr="00D94F41">
              <w:t>No Statement Cost Series (NSQ)</w:t>
            </w:r>
          </w:p>
        </w:tc>
        <w:tc>
          <w:tcPr>
            <w:tcW w:w="1001" w:type="dxa"/>
            <w:tcMar>
              <w:left w:w="86" w:type="dxa"/>
              <w:right w:w="86" w:type="dxa"/>
            </w:tcMar>
          </w:tcPr>
          <w:p w:rsidR="0015004D" w:rsidRPr="00D94F41" w:rsidP="00110F11" w14:paraId="637FDD07" w14:textId="77777777">
            <w:pPr>
              <w:pStyle w:val="TableParagraph"/>
              <w:spacing w:before="20" w:after="20"/>
            </w:pPr>
            <w:r w:rsidRPr="00D94F41">
              <w:t>Core</w:t>
            </w:r>
          </w:p>
        </w:tc>
        <w:tc>
          <w:tcPr>
            <w:tcW w:w="3060" w:type="dxa"/>
            <w:tcMar>
              <w:left w:w="86" w:type="dxa"/>
              <w:right w:w="86" w:type="dxa"/>
            </w:tcMar>
          </w:tcPr>
          <w:p w:rsidR="0015004D" w:rsidRPr="00D94F41" w:rsidP="00110F11" w14:paraId="3B4F3228" w14:textId="7218F349">
            <w:pPr>
              <w:pStyle w:val="TableParagraph"/>
              <w:spacing w:before="20" w:after="20"/>
            </w:pPr>
            <w:r>
              <w:t>All (Round 101-109)</w:t>
            </w:r>
          </w:p>
        </w:tc>
        <w:tc>
          <w:tcPr>
            <w:tcW w:w="1525" w:type="dxa"/>
            <w:tcMar>
              <w:left w:w="86" w:type="dxa"/>
              <w:right w:w="86" w:type="dxa"/>
            </w:tcMar>
          </w:tcPr>
          <w:p w:rsidR="0015004D" w:rsidRPr="00D94F41" w:rsidP="00110F11" w14:paraId="6843EF7C" w14:textId="77777777">
            <w:pPr>
              <w:pStyle w:val="TableParagraph"/>
              <w:spacing w:before="20" w:after="20"/>
            </w:pPr>
            <w:r w:rsidRPr="00D94F41">
              <w:t>Continuing</w:t>
            </w:r>
          </w:p>
        </w:tc>
      </w:tr>
      <w:tr w14:paraId="63524CBF" w14:textId="77777777" w:rsidTr="00355E4B">
        <w:tblPrEx>
          <w:tblW w:w="5000" w:type="pct"/>
          <w:tblLayout w:type="fixed"/>
          <w:tblLook w:val="01E0"/>
        </w:tblPrEx>
        <w:trPr>
          <w:cantSplit/>
        </w:trPr>
        <w:tc>
          <w:tcPr>
            <w:tcW w:w="3764" w:type="dxa"/>
            <w:tcMar>
              <w:left w:w="86" w:type="dxa"/>
              <w:right w:w="86" w:type="dxa"/>
            </w:tcMar>
          </w:tcPr>
          <w:p w:rsidR="0015004D" w:rsidRPr="00D94F41" w:rsidP="00110F11" w14:paraId="7B8B5003" w14:textId="77777777">
            <w:pPr>
              <w:pStyle w:val="TableParagraph"/>
              <w:spacing w:before="20" w:after="20"/>
            </w:pPr>
            <w:r w:rsidRPr="00D94F41">
              <w:t>Cost Payment Summary (CPS)</w:t>
            </w:r>
          </w:p>
        </w:tc>
        <w:tc>
          <w:tcPr>
            <w:tcW w:w="1001" w:type="dxa"/>
            <w:tcMar>
              <w:left w:w="86" w:type="dxa"/>
              <w:right w:w="86" w:type="dxa"/>
            </w:tcMar>
          </w:tcPr>
          <w:p w:rsidR="0015004D" w:rsidRPr="00D94F41" w:rsidP="00110F11" w14:paraId="2A898C5C" w14:textId="77777777">
            <w:pPr>
              <w:pStyle w:val="TableParagraph"/>
              <w:spacing w:before="20" w:after="20"/>
            </w:pPr>
            <w:r w:rsidRPr="00D94F41">
              <w:t>Core</w:t>
            </w:r>
          </w:p>
        </w:tc>
        <w:tc>
          <w:tcPr>
            <w:tcW w:w="3060" w:type="dxa"/>
            <w:tcMar>
              <w:left w:w="86" w:type="dxa"/>
              <w:right w:w="86" w:type="dxa"/>
            </w:tcMar>
          </w:tcPr>
          <w:p w:rsidR="0015004D" w:rsidRPr="00D94F41" w:rsidP="00110F11" w14:paraId="79DA7644" w14:textId="550A5DFA">
            <w:pPr>
              <w:pStyle w:val="TableParagraph"/>
              <w:spacing w:before="20" w:after="20"/>
            </w:pPr>
            <w:r>
              <w:t>All (Round 101-109)</w:t>
            </w:r>
          </w:p>
        </w:tc>
        <w:tc>
          <w:tcPr>
            <w:tcW w:w="1525" w:type="dxa"/>
            <w:tcMar>
              <w:left w:w="86" w:type="dxa"/>
              <w:right w:w="86" w:type="dxa"/>
            </w:tcMar>
          </w:tcPr>
          <w:p w:rsidR="0015004D" w:rsidRPr="00D94F41" w:rsidP="00110F11" w14:paraId="4CF80E88" w14:textId="77777777">
            <w:pPr>
              <w:pStyle w:val="TableParagraph"/>
              <w:spacing w:before="20" w:after="20"/>
            </w:pPr>
            <w:r w:rsidRPr="00D94F41">
              <w:t>Continuing</w:t>
            </w:r>
          </w:p>
        </w:tc>
      </w:tr>
      <w:tr w14:paraId="6A643050" w14:textId="77777777" w:rsidTr="00355E4B">
        <w:tblPrEx>
          <w:tblW w:w="5000" w:type="pct"/>
          <w:tblLayout w:type="fixed"/>
          <w:tblLook w:val="01E0"/>
        </w:tblPrEx>
        <w:trPr>
          <w:cantSplit/>
        </w:trPr>
        <w:tc>
          <w:tcPr>
            <w:tcW w:w="3764" w:type="dxa"/>
            <w:tcMar>
              <w:left w:w="86" w:type="dxa"/>
              <w:right w:w="86" w:type="dxa"/>
            </w:tcMar>
          </w:tcPr>
          <w:p w:rsidR="00F70FE0" w:rsidRPr="00D94F41" w:rsidP="00110F11" w14:paraId="7E40B068" w14:textId="55903390">
            <w:pPr>
              <w:pStyle w:val="TableParagraph"/>
              <w:spacing w:before="20" w:after="20"/>
            </w:pPr>
            <w:bookmarkStart w:id="29" w:name="_Hlk161396461"/>
            <w:r w:rsidRPr="00D94F41">
              <w:t>Physical Measures (PXQ)^</w:t>
            </w:r>
          </w:p>
        </w:tc>
        <w:tc>
          <w:tcPr>
            <w:tcW w:w="1001" w:type="dxa"/>
            <w:tcMar>
              <w:left w:w="86" w:type="dxa"/>
              <w:right w:w="86" w:type="dxa"/>
            </w:tcMar>
          </w:tcPr>
          <w:p w:rsidR="00F70FE0" w:rsidRPr="00D94F41" w:rsidP="00110F11" w14:paraId="12BC731B" w14:textId="3A3BDCB3">
            <w:pPr>
              <w:pStyle w:val="TableParagraph"/>
              <w:spacing w:before="20" w:after="20"/>
            </w:pPr>
            <w:r w:rsidRPr="00D94F41">
              <w:t>Core</w:t>
            </w:r>
          </w:p>
        </w:tc>
        <w:tc>
          <w:tcPr>
            <w:tcW w:w="3060" w:type="dxa"/>
            <w:tcMar>
              <w:left w:w="86" w:type="dxa"/>
              <w:right w:w="86" w:type="dxa"/>
            </w:tcMar>
          </w:tcPr>
          <w:p w:rsidR="00F70FE0" w:rsidRPr="00D94F41" w:rsidP="00110F11" w14:paraId="629886E2" w14:textId="0144AC27">
            <w:pPr>
              <w:pStyle w:val="TableParagraph"/>
              <w:spacing w:before="20" w:after="20"/>
            </w:pPr>
            <w:r>
              <w:t>Winter (Rounds 101, 104</w:t>
            </w:r>
            <w:r w:rsidR="00355E4B">
              <w:t>, 107</w:t>
            </w:r>
            <w:r>
              <w:t>)</w:t>
            </w:r>
          </w:p>
        </w:tc>
        <w:tc>
          <w:tcPr>
            <w:tcW w:w="1525" w:type="dxa"/>
            <w:tcMar>
              <w:left w:w="86" w:type="dxa"/>
              <w:right w:w="86" w:type="dxa"/>
            </w:tcMar>
          </w:tcPr>
          <w:p w:rsidR="00F70FE0" w:rsidRPr="00D94F41" w:rsidP="00110F11" w14:paraId="107B6F29" w14:textId="0499778B">
            <w:pPr>
              <w:pStyle w:val="TableParagraph"/>
              <w:spacing w:before="20" w:after="20"/>
            </w:pPr>
            <w:r w:rsidRPr="00D94F41">
              <w:t>Continuing, Exit Panel Only</w:t>
            </w:r>
          </w:p>
        </w:tc>
      </w:tr>
      <w:tr w14:paraId="1D78118B" w14:textId="77777777" w:rsidTr="00355E4B">
        <w:tblPrEx>
          <w:tblW w:w="5000" w:type="pct"/>
          <w:tblLayout w:type="fixed"/>
          <w:tblLook w:val="01E0"/>
        </w:tblPrEx>
        <w:trPr>
          <w:cantSplit/>
        </w:trPr>
        <w:tc>
          <w:tcPr>
            <w:tcW w:w="3764" w:type="dxa"/>
            <w:tcMar>
              <w:left w:w="86" w:type="dxa"/>
              <w:right w:w="86" w:type="dxa"/>
            </w:tcMar>
          </w:tcPr>
          <w:p w:rsidR="00F70FE0" w:rsidRPr="00D94F41" w:rsidP="00110F11" w14:paraId="1F851E5F" w14:textId="1816F4B4">
            <w:pPr>
              <w:pStyle w:val="TableParagraph"/>
              <w:spacing w:before="20" w:after="20"/>
            </w:pPr>
            <w:r w:rsidRPr="00D94F41">
              <w:t>Physical Measures (PXQ)^</w:t>
            </w:r>
          </w:p>
        </w:tc>
        <w:tc>
          <w:tcPr>
            <w:tcW w:w="1001" w:type="dxa"/>
            <w:tcMar>
              <w:left w:w="86" w:type="dxa"/>
              <w:right w:w="86" w:type="dxa"/>
            </w:tcMar>
          </w:tcPr>
          <w:p w:rsidR="00F70FE0" w:rsidRPr="00D94F41" w:rsidP="00110F11" w14:paraId="50EAD5FD" w14:textId="289D01AE">
            <w:pPr>
              <w:pStyle w:val="TableParagraph"/>
              <w:spacing w:before="20" w:after="20"/>
            </w:pPr>
            <w:r w:rsidRPr="00D94F41">
              <w:t>Core</w:t>
            </w:r>
          </w:p>
        </w:tc>
        <w:tc>
          <w:tcPr>
            <w:tcW w:w="3060" w:type="dxa"/>
            <w:tcMar>
              <w:left w:w="86" w:type="dxa"/>
              <w:right w:w="86" w:type="dxa"/>
            </w:tcMar>
          </w:tcPr>
          <w:p w:rsidR="00F70FE0" w:rsidRPr="00D94F41" w:rsidP="00110F11" w14:paraId="5C201C95" w14:textId="63F9F0E9">
            <w:pPr>
              <w:pStyle w:val="TableParagraph"/>
              <w:spacing w:before="20" w:after="20"/>
            </w:pPr>
            <w:r w:rsidRPr="00D94F41">
              <w:t>Summer (Rounds 102</w:t>
            </w:r>
            <w:r w:rsidR="009D58E6">
              <w:t>, 105</w:t>
            </w:r>
            <w:r w:rsidR="00355E4B">
              <w:t>, 108</w:t>
            </w:r>
            <w:r w:rsidRPr="00D94F41">
              <w:t>)</w:t>
            </w:r>
          </w:p>
        </w:tc>
        <w:tc>
          <w:tcPr>
            <w:tcW w:w="1525" w:type="dxa"/>
            <w:tcMar>
              <w:left w:w="86" w:type="dxa"/>
              <w:right w:w="86" w:type="dxa"/>
            </w:tcMar>
          </w:tcPr>
          <w:p w:rsidR="00F70FE0" w:rsidRPr="00D94F41" w:rsidP="00110F11" w14:paraId="56F55984" w14:textId="4BA04CD5">
            <w:pPr>
              <w:pStyle w:val="TableParagraph"/>
              <w:spacing w:before="20" w:after="20"/>
            </w:pPr>
            <w:r w:rsidRPr="00D94F41">
              <w:t>Continuing, All Other Panels</w:t>
            </w:r>
          </w:p>
        </w:tc>
      </w:tr>
      <w:bookmarkEnd w:id="29"/>
      <w:tr w14:paraId="6F7D91CF" w14:textId="77777777" w:rsidTr="00355E4B">
        <w:tblPrEx>
          <w:tblW w:w="5000" w:type="pct"/>
          <w:tblLayout w:type="fixed"/>
          <w:tblLook w:val="01E0"/>
        </w:tblPrEx>
        <w:trPr>
          <w:cantSplit/>
        </w:trPr>
        <w:tc>
          <w:tcPr>
            <w:tcW w:w="3764" w:type="dxa"/>
            <w:tcMar>
              <w:left w:w="86" w:type="dxa"/>
              <w:right w:w="86" w:type="dxa"/>
            </w:tcMar>
          </w:tcPr>
          <w:p w:rsidR="00F70FE0" w:rsidRPr="00D94F41" w:rsidP="00110F11" w14:paraId="7087CE60" w14:textId="22B56346">
            <w:pPr>
              <w:pStyle w:val="TableParagraph"/>
              <w:spacing w:before="20" w:after="20"/>
            </w:pPr>
            <w:r w:rsidRPr="00D94F41">
              <w:t>End Section (END)</w:t>
            </w:r>
          </w:p>
        </w:tc>
        <w:tc>
          <w:tcPr>
            <w:tcW w:w="1001" w:type="dxa"/>
            <w:tcMar>
              <w:left w:w="86" w:type="dxa"/>
              <w:right w:w="86" w:type="dxa"/>
            </w:tcMar>
          </w:tcPr>
          <w:p w:rsidR="00F70FE0" w:rsidRPr="00D94F41" w:rsidP="00110F11" w14:paraId="250526F2" w14:textId="77777777">
            <w:pPr>
              <w:pStyle w:val="TableParagraph"/>
              <w:spacing w:before="20" w:after="20"/>
            </w:pPr>
            <w:r w:rsidRPr="00D94F41">
              <w:t>Core</w:t>
            </w:r>
          </w:p>
        </w:tc>
        <w:tc>
          <w:tcPr>
            <w:tcW w:w="3060" w:type="dxa"/>
            <w:tcMar>
              <w:left w:w="86" w:type="dxa"/>
              <w:right w:w="86" w:type="dxa"/>
            </w:tcMar>
          </w:tcPr>
          <w:p w:rsidR="00F70FE0" w:rsidRPr="00D94F41" w:rsidP="00110F11" w14:paraId="51B3E54F" w14:textId="5C9B6ACC">
            <w:pPr>
              <w:pStyle w:val="TableParagraph"/>
              <w:spacing w:before="20" w:after="20"/>
            </w:pPr>
            <w:r>
              <w:t>All (Round 101-109)</w:t>
            </w:r>
          </w:p>
        </w:tc>
        <w:tc>
          <w:tcPr>
            <w:tcW w:w="1525" w:type="dxa"/>
            <w:tcMar>
              <w:left w:w="86" w:type="dxa"/>
              <w:right w:w="86" w:type="dxa"/>
            </w:tcMar>
          </w:tcPr>
          <w:p w:rsidR="00F70FE0" w:rsidRPr="00D94F41" w:rsidP="00110F11" w14:paraId="7D70E7E7" w14:textId="77777777">
            <w:pPr>
              <w:pStyle w:val="TableParagraph"/>
              <w:spacing w:before="20" w:after="20"/>
            </w:pPr>
            <w:r w:rsidRPr="00D94F41">
              <w:t>Both</w:t>
            </w:r>
          </w:p>
        </w:tc>
      </w:tr>
    </w:tbl>
    <w:p w:rsidR="00555832" w:rsidRPr="00D94F41" w:rsidP="00FB25F1" w14:paraId="7D1FC337" w14:textId="629778C5">
      <w:pPr>
        <w:pStyle w:val="Note"/>
      </w:pPr>
      <w:r w:rsidRPr="00D94F41">
        <w:t xml:space="preserve">^Only conducted for in-person interviews. </w:t>
      </w:r>
    </w:p>
    <w:p w:rsidR="0088452B" w:rsidRPr="00D94F41" w:rsidP="00F53796" w14:paraId="7C2BC27C" w14:textId="711FCFFC">
      <w:pPr>
        <w:pStyle w:val="BodyText"/>
        <w:spacing w:before="240"/>
      </w:pPr>
      <w:r w:rsidRPr="00D94F41">
        <w:t xml:space="preserve">The Facility instrument collects information that is similar in content to the Community instrument. Table B.5 presents the </w:t>
      </w:r>
      <w:r w:rsidRPr="00D94F41" w:rsidR="005529C6">
        <w:t xml:space="preserve">core and topical </w:t>
      </w:r>
      <w:r w:rsidRPr="00D94F41">
        <w:t>sections that comprise the MCBS Facility instrument</w:t>
      </w:r>
      <w:r w:rsidRPr="00D94F41" w:rsidR="005529C6">
        <w:t>.</w:t>
      </w:r>
      <w:r w:rsidRPr="00D94F41">
        <w:t xml:space="preserve"> As with the Community instrument, the content and order of administration varies based on season of data collection (Fall, Winter, Summer) and the type of interview (</w:t>
      </w:r>
      <w:r w:rsidRPr="00D94F41" w:rsidR="000A248B">
        <w:t>B</w:t>
      </w:r>
      <w:r w:rsidRPr="00D94F41">
        <w:t xml:space="preserve">aseline, </w:t>
      </w:r>
      <w:r w:rsidRPr="00D94F41" w:rsidR="000A248B">
        <w:t>C</w:t>
      </w:r>
      <w:r w:rsidRPr="00D94F41">
        <w:t>ontinuing).</w:t>
      </w:r>
      <w:r w:rsidRPr="00D94F41" w:rsidR="005529C6">
        <w:t xml:space="preserve"> Those sections with an asterisk (*) include a revision contained in this clearance request (either adding or deleting questions).</w:t>
      </w:r>
    </w:p>
    <w:p w:rsidR="00715467" w:rsidRPr="00D94F41" w:rsidP="00AE5C2C" w14:paraId="27E9CF91" w14:textId="40703358">
      <w:pPr>
        <w:pStyle w:val="Caption"/>
        <w:tabs>
          <w:tab w:val="left" w:pos="1170"/>
        </w:tabs>
      </w:pPr>
      <w:r w:rsidRPr="00D94F41">
        <w:t>Table B.5:</w:t>
      </w:r>
      <w:r w:rsidR="00110F11">
        <w:tab/>
      </w:r>
      <w:r w:rsidRPr="00D94F41">
        <w:t>Facility Instrument Sections and Order of Administration</w:t>
      </w:r>
    </w:p>
    <w:tbl>
      <w:tblPr>
        <w:tblStyle w:val="GridTableLight"/>
        <w:tblCaption w:val="Table B.5: Facility instrument by section"/>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55"/>
        <w:gridCol w:w="1081"/>
        <w:gridCol w:w="2971"/>
        <w:gridCol w:w="1343"/>
      </w:tblGrid>
      <w:tr w14:paraId="4541B590" w14:textId="77777777" w:rsidTr="003E486D">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blHeader/>
        </w:trPr>
        <w:tc>
          <w:tcPr>
            <w:tcW w:w="2115" w:type="pct"/>
            <w:shd w:val="clear" w:color="auto" w:fill="D9D9D9"/>
            <w:vAlign w:val="bottom"/>
          </w:tcPr>
          <w:p w:rsidR="00E95785" w:rsidRPr="00D94F41" w:rsidP="00110F11" w14:paraId="2FA1E33E" w14:textId="77777777">
            <w:pPr>
              <w:pStyle w:val="TableParagraph"/>
              <w:spacing w:before="20" w:after="20"/>
              <w:jc w:val="center"/>
              <w:rPr>
                <w:b/>
              </w:rPr>
            </w:pPr>
            <w:r w:rsidRPr="00D94F41">
              <w:rPr>
                <w:b/>
              </w:rPr>
              <w:t>Section</w:t>
            </w:r>
          </w:p>
        </w:tc>
        <w:tc>
          <w:tcPr>
            <w:tcW w:w="578" w:type="pct"/>
            <w:shd w:val="clear" w:color="auto" w:fill="D9D9D9"/>
            <w:vAlign w:val="bottom"/>
          </w:tcPr>
          <w:p w:rsidR="005529C6" w:rsidRPr="00D94F41" w:rsidP="00110F11" w14:paraId="1C9B05FC" w14:textId="22D3F1B7">
            <w:pPr>
              <w:pStyle w:val="TableParagraph"/>
              <w:spacing w:before="20" w:after="20"/>
              <w:jc w:val="center"/>
              <w:rPr>
                <w:b/>
              </w:rPr>
            </w:pPr>
            <w:r w:rsidRPr="00D94F41">
              <w:rPr>
                <w:b/>
              </w:rPr>
              <w:t>Type of Section</w:t>
            </w:r>
          </w:p>
          <w:p w:rsidR="00E95785" w:rsidRPr="00D94F41" w:rsidP="00110F11" w14:paraId="0BEAC6E9" w14:textId="4B051247">
            <w:pPr>
              <w:pStyle w:val="TableParagraph"/>
              <w:spacing w:before="20" w:after="20"/>
              <w:jc w:val="center"/>
              <w:rPr>
                <w:b/>
              </w:rPr>
            </w:pPr>
            <w:r w:rsidRPr="00D94F41">
              <w:t>(Core or Topical)</w:t>
            </w:r>
          </w:p>
        </w:tc>
        <w:tc>
          <w:tcPr>
            <w:tcW w:w="1589" w:type="pct"/>
            <w:shd w:val="clear" w:color="auto" w:fill="D9D9D9"/>
            <w:vAlign w:val="bottom"/>
          </w:tcPr>
          <w:p w:rsidR="00E95785" w:rsidRPr="00D94F41" w:rsidP="00110F11" w14:paraId="70977C1D" w14:textId="1D52C8B7">
            <w:pPr>
              <w:pStyle w:val="TableParagraph"/>
              <w:spacing w:before="20" w:after="20"/>
              <w:jc w:val="center"/>
            </w:pPr>
            <w:r w:rsidRPr="00D94F41">
              <w:rPr>
                <w:b/>
              </w:rPr>
              <w:t xml:space="preserve">Season of Administration </w:t>
            </w:r>
            <w:r w:rsidRPr="00D94F41">
              <w:t>(Rounds Administered)</w:t>
            </w:r>
          </w:p>
        </w:tc>
        <w:tc>
          <w:tcPr>
            <w:tcW w:w="718" w:type="pct"/>
            <w:shd w:val="clear" w:color="auto" w:fill="D9D9D9"/>
            <w:vAlign w:val="bottom"/>
          </w:tcPr>
          <w:p w:rsidR="00E95785" w:rsidRPr="00D94F41" w:rsidP="00110F11" w14:paraId="7E816662" w14:textId="77777777">
            <w:pPr>
              <w:pStyle w:val="TableParagraph"/>
              <w:spacing w:before="20" w:after="20"/>
              <w:jc w:val="center"/>
            </w:pPr>
            <w:r w:rsidRPr="00D94F41">
              <w:rPr>
                <w:b/>
              </w:rPr>
              <w:t xml:space="preserve">Interview Type </w:t>
            </w:r>
            <w:r w:rsidRPr="00D94F41">
              <w:t>(Baseline, Continuing, Both)</w:t>
            </w:r>
          </w:p>
        </w:tc>
      </w:tr>
      <w:tr w14:paraId="394DEB7E" w14:textId="77777777" w:rsidTr="003E486D">
        <w:tblPrEx>
          <w:tblW w:w="5000" w:type="pct"/>
          <w:tblLook w:val="01E0"/>
        </w:tblPrEx>
        <w:trPr>
          <w:cantSplit/>
        </w:trPr>
        <w:tc>
          <w:tcPr>
            <w:tcW w:w="2115" w:type="pct"/>
          </w:tcPr>
          <w:p w:rsidR="0015004D" w:rsidRPr="00D94F41" w:rsidP="00110F11" w14:paraId="04DF27D0" w14:textId="3039BFA9">
            <w:pPr>
              <w:pStyle w:val="TableParagraph"/>
              <w:spacing w:before="20" w:after="20"/>
            </w:pPr>
            <w:r w:rsidRPr="00D94F41">
              <w:t>Facility Questionnaire (FQ)</w:t>
            </w:r>
          </w:p>
        </w:tc>
        <w:tc>
          <w:tcPr>
            <w:tcW w:w="578" w:type="pct"/>
          </w:tcPr>
          <w:p w:rsidR="0015004D" w:rsidRPr="00D94F41" w:rsidP="00110F11" w14:paraId="77BCA2C4" w14:textId="4FA56F01">
            <w:pPr>
              <w:pStyle w:val="TableParagraph"/>
              <w:spacing w:before="20" w:after="20"/>
            </w:pPr>
            <w:r w:rsidRPr="00D94F41">
              <w:t>Core</w:t>
            </w:r>
          </w:p>
        </w:tc>
        <w:tc>
          <w:tcPr>
            <w:tcW w:w="1589" w:type="pct"/>
          </w:tcPr>
          <w:p w:rsidR="0015004D" w:rsidRPr="00D94F41" w:rsidP="00110F11" w14:paraId="00070985" w14:textId="1B978098">
            <w:pPr>
              <w:pStyle w:val="TableParagraph"/>
              <w:spacing w:before="20" w:after="20"/>
            </w:pPr>
            <w:r w:rsidRPr="00614CA9">
              <w:t>All (Round 98-106)</w:t>
            </w:r>
          </w:p>
        </w:tc>
        <w:tc>
          <w:tcPr>
            <w:tcW w:w="718" w:type="pct"/>
          </w:tcPr>
          <w:p w:rsidR="0015004D" w:rsidRPr="00D94F41" w:rsidP="00110F11" w14:paraId="2904D436" w14:textId="77777777">
            <w:pPr>
              <w:pStyle w:val="TableParagraph"/>
              <w:spacing w:before="20" w:after="20"/>
            </w:pPr>
            <w:r w:rsidRPr="00D94F41">
              <w:t>Both</w:t>
            </w:r>
          </w:p>
        </w:tc>
      </w:tr>
      <w:tr w14:paraId="0E92A6CA" w14:textId="77777777" w:rsidTr="003E486D">
        <w:tblPrEx>
          <w:tblW w:w="5000" w:type="pct"/>
          <w:tblLook w:val="01E0"/>
        </w:tblPrEx>
        <w:trPr>
          <w:cantSplit/>
        </w:trPr>
        <w:tc>
          <w:tcPr>
            <w:tcW w:w="2115" w:type="pct"/>
          </w:tcPr>
          <w:p w:rsidR="0015004D" w:rsidRPr="00D94F41" w:rsidP="00110F11" w14:paraId="7D501A02" w14:textId="77777777">
            <w:pPr>
              <w:pStyle w:val="TableParagraph"/>
              <w:spacing w:before="20" w:after="20"/>
            </w:pPr>
            <w:r w:rsidRPr="00D94F41">
              <w:t>Residence History (RH)</w:t>
            </w:r>
          </w:p>
        </w:tc>
        <w:tc>
          <w:tcPr>
            <w:tcW w:w="578" w:type="pct"/>
          </w:tcPr>
          <w:p w:rsidR="0015004D" w:rsidRPr="00D94F41" w:rsidP="00110F11" w14:paraId="65C959B3" w14:textId="55B049D7">
            <w:pPr>
              <w:pStyle w:val="TableParagraph"/>
              <w:spacing w:before="20" w:after="20"/>
            </w:pPr>
            <w:r w:rsidRPr="00D94F41">
              <w:t xml:space="preserve">Core </w:t>
            </w:r>
          </w:p>
        </w:tc>
        <w:tc>
          <w:tcPr>
            <w:tcW w:w="1589" w:type="pct"/>
          </w:tcPr>
          <w:p w:rsidR="0015004D" w:rsidRPr="00D94F41" w:rsidP="00110F11" w14:paraId="0502CBBF" w14:textId="40AB388A">
            <w:pPr>
              <w:pStyle w:val="TableParagraph"/>
              <w:spacing w:before="20" w:after="20"/>
            </w:pPr>
            <w:r w:rsidRPr="00614CA9">
              <w:t>All (Round 98-106)</w:t>
            </w:r>
          </w:p>
        </w:tc>
        <w:tc>
          <w:tcPr>
            <w:tcW w:w="718" w:type="pct"/>
          </w:tcPr>
          <w:p w:rsidR="0015004D" w:rsidRPr="00D94F41" w:rsidP="00110F11" w14:paraId="574F0C2B" w14:textId="77777777">
            <w:pPr>
              <w:pStyle w:val="TableParagraph"/>
              <w:spacing w:before="20" w:after="20"/>
            </w:pPr>
            <w:r w:rsidRPr="00D94F41">
              <w:t>Both</w:t>
            </w:r>
          </w:p>
        </w:tc>
      </w:tr>
      <w:tr w14:paraId="0587EDCB" w14:textId="77777777" w:rsidTr="003E486D">
        <w:tblPrEx>
          <w:tblW w:w="5000" w:type="pct"/>
          <w:tblLook w:val="01E0"/>
        </w:tblPrEx>
        <w:trPr>
          <w:cantSplit/>
        </w:trPr>
        <w:tc>
          <w:tcPr>
            <w:tcW w:w="2115" w:type="pct"/>
          </w:tcPr>
          <w:p w:rsidR="00E95785" w:rsidRPr="00D94F41" w:rsidP="00110F11" w14:paraId="2B154CB4" w14:textId="327A8CCA">
            <w:pPr>
              <w:pStyle w:val="TableParagraph"/>
              <w:spacing w:before="20" w:after="20"/>
            </w:pPr>
            <w:r w:rsidRPr="00D94F41">
              <w:t>Background Questionnaire (BQ)</w:t>
            </w:r>
          </w:p>
        </w:tc>
        <w:tc>
          <w:tcPr>
            <w:tcW w:w="578" w:type="pct"/>
          </w:tcPr>
          <w:p w:rsidR="00E95785" w:rsidRPr="00D94F41" w:rsidP="00110F11" w14:paraId="57EAF0CA" w14:textId="7764DA71">
            <w:pPr>
              <w:pStyle w:val="TableParagraph"/>
              <w:spacing w:before="20" w:after="20"/>
            </w:pPr>
            <w:r w:rsidRPr="00D94F41">
              <w:t xml:space="preserve">Core </w:t>
            </w:r>
          </w:p>
        </w:tc>
        <w:tc>
          <w:tcPr>
            <w:tcW w:w="1589" w:type="pct"/>
          </w:tcPr>
          <w:p w:rsidR="00E95785" w:rsidRPr="00D94F41" w:rsidP="00110F11" w14:paraId="6B2C6D81" w14:textId="2E6A0F69">
            <w:pPr>
              <w:pStyle w:val="TableParagraph"/>
              <w:spacing w:before="20" w:after="20"/>
            </w:pPr>
            <w:r>
              <w:t>Fall (Rounds 100, 103, 106)</w:t>
            </w:r>
          </w:p>
        </w:tc>
        <w:tc>
          <w:tcPr>
            <w:tcW w:w="718" w:type="pct"/>
          </w:tcPr>
          <w:p w:rsidR="00E95785" w:rsidRPr="00D94F41" w:rsidP="00110F11" w14:paraId="2271DF15" w14:textId="77777777">
            <w:pPr>
              <w:pStyle w:val="TableParagraph"/>
              <w:spacing w:before="20" w:after="20"/>
            </w:pPr>
            <w:r w:rsidRPr="00D94F41">
              <w:t>Baseline</w:t>
            </w:r>
          </w:p>
        </w:tc>
      </w:tr>
      <w:tr w14:paraId="02F468D4" w14:textId="77777777" w:rsidTr="003E486D">
        <w:tblPrEx>
          <w:tblW w:w="5000" w:type="pct"/>
          <w:tblLook w:val="01E0"/>
        </w:tblPrEx>
        <w:trPr>
          <w:cantSplit/>
        </w:trPr>
        <w:tc>
          <w:tcPr>
            <w:tcW w:w="2115" w:type="pct"/>
          </w:tcPr>
          <w:p w:rsidR="00E95785" w:rsidRPr="00D94F41" w:rsidP="00110F11" w14:paraId="4ABA2AF6" w14:textId="2277E56B">
            <w:pPr>
              <w:pStyle w:val="TableParagraph"/>
              <w:spacing w:before="20" w:after="20"/>
            </w:pPr>
            <w:r w:rsidRPr="00D94F41">
              <w:t>Health Insurance (IN)</w:t>
            </w:r>
          </w:p>
        </w:tc>
        <w:tc>
          <w:tcPr>
            <w:tcW w:w="578" w:type="pct"/>
          </w:tcPr>
          <w:p w:rsidR="00E95785" w:rsidRPr="00D94F41" w:rsidP="00110F11" w14:paraId="6CC63AF1" w14:textId="60BE0D95">
            <w:pPr>
              <w:pStyle w:val="TableParagraph"/>
              <w:spacing w:before="20" w:after="20"/>
            </w:pPr>
            <w:r w:rsidRPr="00D94F41">
              <w:t>Core</w:t>
            </w:r>
          </w:p>
        </w:tc>
        <w:tc>
          <w:tcPr>
            <w:tcW w:w="1589" w:type="pct"/>
          </w:tcPr>
          <w:p w:rsidR="00E95785" w:rsidRPr="00D94F41" w:rsidP="00110F11" w14:paraId="630EEB45" w14:textId="11167C67">
            <w:pPr>
              <w:pStyle w:val="TableParagraph"/>
              <w:spacing w:before="20" w:after="20"/>
            </w:pPr>
            <w:r>
              <w:t>Fall (Rounds 100, 103, 106)</w:t>
            </w:r>
          </w:p>
        </w:tc>
        <w:tc>
          <w:tcPr>
            <w:tcW w:w="718" w:type="pct"/>
          </w:tcPr>
          <w:p w:rsidR="00E95785" w:rsidRPr="00D94F41" w:rsidP="00110F11" w14:paraId="4E648FFB" w14:textId="77777777">
            <w:pPr>
              <w:pStyle w:val="TableParagraph"/>
              <w:spacing w:before="20" w:after="20"/>
            </w:pPr>
            <w:r w:rsidRPr="00D94F41">
              <w:t>Both</w:t>
            </w:r>
          </w:p>
        </w:tc>
      </w:tr>
      <w:tr w14:paraId="4DAC4A10" w14:textId="77777777" w:rsidTr="003E486D">
        <w:tblPrEx>
          <w:tblW w:w="5000" w:type="pct"/>
          <w:tblLook w:val="01E0"/>
        </w:tblPrEx>
        <w:trPr>
          <w:cantSplit/>
        </w:trPr>
        <w:tc>
          <w:tcPr>
            <w:tcW w:w="2115" w:type="pct"/>
          </w:tcPr>
          <w:p w:rsidR="0015004D" w:rsidRPr="00D94F41" w:rsidP="00110F11" w14:paraId="75663BEB" w14:textId="77777777">
            <w:pPr>
              <w:pStyle w:val="TableParagraph"/>
              <w:keepNext/>
              <w:spacing w:before="20" w:after="20"/>
            </w:pPr>
            <w:r w:rsidRPr="00D94F41">
              <w:t>Use of Health Services (US)</w:t>
            </w:r>
          </w:p>
        </w:tc>
        <w:tc>
          <w:tcPr>
            <w:tcW w:w="578" w:type="pct"/>
          </w:tcPr>
          <w:p w:rsidR="0015004D" w:rsidRPr="00D94F41" w:rsidP="00110F11" w14:paraId="4CDBCFD3" w14:textId="6F591F34">
            <w:pPr>
              <w:pStyle w:val="TableParagraph"/>
              <w:keepNext/>
              <w:spacing w:before="20" w:after="20"/>
            </w:pPr>
            <w:r w:rsidRPr="00D94F41">
              <w:t>Core</w:t>
            </w:r>
          </w:p>
        </w:tc>
        <w:tc>
          <w:tcPr>
            <w:tcW w:w="1589" w:type="pct"/>
          </w:tcPr>
          <w:p w:rsidR="0015004D" w:rsidRPr="00D94F41" w:rsidP="00110F11" w14:paraId="6E159B56" w14:textId="7F6BB354">
            <w:pPr>
              <w:pStyle w:val="TableParagraph"/>
              <w:keepNext/>
              <w:spacing w:before="20" w:after="20"/>
            </w:pPr>
            <w:r w:rsidRPr="004D4FBE">
              <w:t>All (Round 98-106)</w:t>
            </w:r>
          </w:p>
        </w:tc>
        <w:tc>
          <w:tcPr>
            <w:tcW w:w="718" w:type="pct"/>
          </w:tcPr>
          <w:p w:rsidR="0015004D" w:rsidRPr="00D94F41" w:rsidP="00110F11" w14:paraId="4DF5117A" w14:textId="77777777">
            <w:pPr>
              <w:pStyle w:val="TableParagraph"/>
              <w:keepNext/>
              <w:spacing w:before="20" w:after="20"/>
            </w:pPr>
            <w:r w:rsidRPr="00D94F41">
              <w:t>Continuing</w:t>
            </w:r>
          </w:p>
        </w:tc>
      </w:tr>
      <w:tr w14:paraId="6CC13914" w14:textId="77777777" w:rsidTr="003E486D">
        <w:tblPrEx>
          <w:tblW w:w="5000" w:type="pct"/>
          <w:tblLook w:val="01E0"/>
        </w:tblPrEx>
        <w:trPr>
          <w:cantSplit/>
        </w:trPr>
        <w:tc>
          <w:tcPr>
            <w:tcW w:w="2115" w:type="pct"/>
          </w:tcPr>
          <w:p w:rsidR="0015004D" w:rsidRPr="00D94F41" w:rsidP="00110F11" w14:paraId="65A2325C" w14:textId="7579B796">
            <w:pPr>
              <w:pStyle w:val="TableParagraph"/>
              <w:spacing w:before="20" w:after="20"/>
            </w:pPr>
            <w:r w:rsidRPr="00D94F41">
              <w:t>Expenditures (EX)</w:t>
            </w:r>
          </w:p>
        </w:tc>
        <w:tc>
          <w:tcPr>
            <w:tcW w:w="578" w:type="pct"/>
          </w:tcPr>
          <w:p w:rsidR="0015004D" w:rsidRPr="00D94F41" w:rsidP="00110F11" w14:paraId="2748DDE2" w14:textId="638A7FC3">
            <w:pPr>
              <w:pStyle w:val="TableParagraph"/>
              <w:spacing w:before="20" w:after="20"/>
            </w:pPr>
            <w:r w:rsidRPr="00D94F41">
              <w:t xml:space="preserve">Core </w:t>
            </w:r>
          </w:p>
        </w:tc>
        <w:tc>
          <w:tcPr>
            <w:tcW w:w="1589" w:type="pct"/>
          </w:tcPr>
          <w:p w:rsidR="0015004D" w:rsidRPr="00D94F41" w:rsidP="00110F11" w14:paraId="1A72D881" w14:textId="5A437B0A">
            <w:pPr>
              <w:pStyle w:val="TableParagraph"/>
              <w:spacing w:before="20" w:after="20"/>
            </w:pPr>
            <w:r w:rsidRPr="004D4FBE">
              <w:t>All (Round 98-106)</w:t>
            </w:r>
          </w:p>
        </w:tc>
        <w:tc>
          <w:tcPr>
            <w:tcW w:w="718" w:type="pct"/>
          </w:tcPr>
          <w:p w:rsidR="0015004D" w:rsidRPr="00D94F41" w:rsidP="00110F11" w14:paraId="42E8819D" w14:textId="77777777">
            <w:pPr>
              <w:pStyle w:val="TableParagraph"/>
              <w:spacing w:before="20" w:after="20"/>
            </w:pPr>
            <w:r w:rsidRPr="00D94F41">
              <w:t>Continuing</w:t>
            </w:r>
          </w:p>
        </w:tc>
      </w:tr>
      <w:tr w14:paraId="0A53EEBE" w14:textId="77777777" w:rsidTr="003E486D">
        <w:tblPrEx>
          <w:tblW w:w="5000" w:type="pct"/>
          <w:tblLook w:val="01E0"/>
        </w:tblPrEx>
        <w:trPr>
          <w:cantSplit/>
        </w:trPr>
        <w:tc>
          <w:tcPr>
            <w:tcW w:w="2115" w:type="pct"/>
          </w:tcPr>
          <w:p w:rsidR="00E95785" w:rsidRPr="00D94F41" w:rsidP="00110F11" w14:paraId="4BB79453" w14:textId="5984E403">
            <w:pPr>
              <w:pStyle w:val="TableParagraph"/>
              <w:spacing w:before="20" w:after="20"/>
            </w:pPr>
            <w:r w:rsidRPr="00D94F41">
              <w:t>Health Status (HS)</w:t>
            </w:r>
          </w:p>
        </w:tc>
        <w:tc>
          <w:tcPr>
            <w:tcW w:w="578" w:type="pct"/>
          </w:tcPr>
          <w:p w:rsidR="00E95785" w:rsidRPr="00D94F41" w:rsidP="00110F11" w14:paraId="702AD54C" w14:textId="534CBA73">
            <w:pPr>
              <w:pStyle w:val="TableParagraph"/>
              <w:spacing w:before="20" w:after="20"/>
            </w:pPr>
            <w:r w:rsidRPr="00D94F41">
              <w:t>Core</w:t>
            </w:r>
          </w:p>
        </w:tc>
        <w:tc>
          <w:tcPr>
            <w:tcW w:w="1589" w:type="pct"/>
          </w:tcPr>
          <w:p w:rsidR="00E95785" w:rsidRPr="00D94F41" w:rsidP="00110F11" w14:paraId="5CC208E5" w14:textId="68F37218">
            <w:pPr>
              <w:pStyle w:val="TableParagraph"/>
              <w:spacing w:before="20" w:after="20"/>
            </w:pPr>
            <w:r>
              <w:t>Fall (Rounds 100, 103, 106)</w:t>
            </w:r>
          </w:p>
        </w:tc>
        <w:tc>
          <w:tcPr>
            <w:tcW w:w="718" w:type="pct"/>
          </w:tcPr>
          <w:p w:rsidR="00E95785" w:rsidRPr="00D94F41" w:rsidP="00110F11" w14:paraId="1ADC23BE" w14:textId="77777777">
            <w:pPr>
              <w:pStyle w:val="TableParagraph"/>
              <w:spacing w:before="20" w:after="20"/>
            </w:pPr>
            <w:r w:rsidRPr="00D94F41">
              <w:t>Both</w:t>
            </w:r>
          </w:p>
        </w:tc>
      </w:tr>
      <w:tr w14:paraId="47AC224D" w14:textId="77777777" w:rsidTr="003E486D">
        <w:tblPrEx>
          <w:tblW w:w="5000" w:type="pct"/>
          <w:tblLook w:val="01E0"/>
        </w:tblPrEx>
        <w:trPr>
          <w:cantSplit/>
        </w:trPr>
        <w:tc>
          <w:tcPr>
            <w:tcW w:w="2115" w:type="pct"/>
          </w:tcPr>
          <w:p w:rsidR="0015004D" w:rsidRPr="00D94F41" w:rsidP="00110F11" w14:paraId="2D14E1DA" w14:textId="5A2C1DEE">
            <w:pPr>
              <w:pStyle w:val="TableParagraph"/>
              <w:spacing w:before="20" w:after="20"/>
            </w:pPr>
            <w:r w:rsidRPr="00D94F41">
              <w:t xml:space="preserve">COVID-19 </w:t>
            </w:r>
            <w:r w:rsidR="007D5D48">
              <w:t xml:space="preserve">Beneficiary </w:t>
            </w:r>
            <w:r w:rsidRPr="00D94F41">
              <w:t>(CV)</w:t>
            </w:r>
          </w:p>
        </w:tc>
        <w:tc>
          <w:tcPr>
            <w:tcW w:w="578" w:type="pct"/>
          </w:tcPr>
          <w:p w:rsidR="0015004D" w:rsidRPr="00D94F41" w:rsidP="00110F11" w14:paraId="79F35B4B" w14:textId="114B220C">
            <w:pPr>
              <w:pStyle w:val="TableParagraph"/>
              <w:spacing w:before="20" w:after="20"/>
            </w:pPr>
            <w:r w:rsidRPr="00D94F41">
              <w:t>Topical</w:t>
            </w:r>
          </w:p>
        </w:tc>
        <w:tc>
          <w:tcPr>
            <w:tcW w:w="1589" w:type="pct"/>
          </w:tcPr>
          <w:p w:rsidR="0015004D" w:rsidRPr="00D94F41" w:rsidP="00110F11" w14:paraId="15292710" w14:textId="6A659DAD">
            <w:pPr>
              <w:pStyle w:val="TableParagraph"/>
              <w:spacing w:before="20" w:after="20"/>
            </w:pPr>
            <w:r>
              <w:t>Winter</w:t>
            </w:r>
            <w:r w:rsidRPr="0085382F">
              <w:t xml:space="preserve"> </w:t>
            </w:r>
            <w:r w:rsidRPr="0085382F">
              <w:t>(Round</w:t>
            </w:r>
            <w:r>
              <w:t>s</w:t>
            </w:r>
            <w:r w:rsidRPr="0085382F">
              <w:t xml:space="preserve"> 98</w:t>
            </w:r>
            <w:r>
              <w:t>, 101, 104</w:t>
            </w:r>
            <w:r w:rsidRPr="0085382F">
              <w:t>)</w:t>
            </w:r>
          </w:p>
        </w:tc>
        <w:tc>
          <w:tcPr>
            <w:tcW w:w="718" w:type="pct"/>
          </w:tcPr>
          <w:p w:rsidR="0015004D" w:rsidRPr="00D94F41" w:rsidP="00110F11" w14:paraId="66CC537F" w14:textId="575EEFE8">
            <w:pPr>
              <w:pStyle w:val="TableParagraph"/>
              <w:spacing w:before="20" w:after="20"/>
            </w:pPr>
            <w:r>
              <w:t>Continuing</w:t>
            </w:r>
          </w:p>
        </w:tc>
      </w:tr>
      <w:tr w14:paraId="6197BB8C" w14:textId="77777777" w:rsidTr="003E486D">
        <w:tblPrEx>
          <w:tblW w:w="5000" w:type="pct"/>
          <w:tblLook w:val="01E0"/>
        </w:tblPrEx>
        <w:trPr>
          <w:cantSplit/>
        </w:trPr>
        <w:tc>
          <w:tcPr>
            <w:tcW w:w="2115" w:type="pct"/>
          </w:tcPr>
          <w:p w:rsidR="0015004D" w:rsidRPr="00D94F41" w:rsidP="00110F11" w14:paraId="50FAA3C6" w14:textId="77777777">
            <w:pPr>
              <w:pStyle w:val="TableParagraph"/>
              <w:spacing w:before="20" w:after="20"/>
              <w:rPr>
                <w:sz w:val="14"/>
              </w:rPr>
            </w:pPr>
            <w:r w:rsidRPr="00D94F41">
              <w:t>Facility Questionnaire Missing Data</w:t>
            </w:r>
            <w:r w:rsidRPr="00D94F41">
              <w:rPr>
                <w:sz w:val="14"/>
              </w:rPr>
              <w:t>^</w:t>
            </w:r>
          </w:p>
        </w:tc>
        <w:tc>
          <w:tcPr>
            <w:tcW w:w="578" w:type="pct"/>
          </w:tcPr>
          <w:p w:rsidR="0015004D" w:rsidRPr="00D94F41" w:rsidP="00110F11" w14:paraId="5AB48F87" w14:textId="187A42B4">
            <w:pPr>
              <w:pStyle w:val="TableParagraph"/>
              <w:spacing w:before="20" w:after="20"/>
            </w:pPr>
            <w:r w:rsidRPr="00D94F41">
              <w:t>Core</w:t>
            </w:r>
          </w:p>
        </w:tc>
        <w:tc>
          <w:tcPr>
            <w:tcW w:w="1589" w:type="pct"/>
          </w:tcPr>
          <w:p w:rsidR="0015004D" w:rsidRPr="00D94F41" w:rsidP="00110F11" w14:paraId="3A69B7F9" w14:textId="29B21551">
            <w:pPr>
              <w:pStyle w:val="TableParagraph"/>
              <w:spacing w:before="20" w:after="20"/>
            </w:pPr>
            <w:r w:rsidRPr="0085382F">
              <w:t>All (Round 98-106)</w:t>
            </w:r>
          </w:p>
        </w:tc>
        <w:tc>
          <w:tcPr>
            <w:tcW w:w="718" w:type="pct"/>
          </w:tcPr>
          <w:p w:rsidR="0015004D" w:rsidRPr="00D94F41" w:rsidP="00110F11" w14:paraId="04C3AB85" w14:textId="77777777">
            <w:pPr>
              <w:pStyle w:val="TableParagraph"/>
              <w:spacing w:before="20" w:after="20"/>
            </w:pPr>
            <w:r w:rsidRPr="00D94F41">
              <w:t>Both</w:t>
            </w:r>
          </w:p>
        </w:tc>
      </w:tr>
      <w:tr w14:paraId="12AF7D9A" w14:textId="77777777" w:rsidTr="003E486D">
        <w:tblPrEx>
          <w:tblW w:w="5000" w:type="pct"/>
          <w:tblLook w:val="01E0"/>
        </w:tblPrEx>
        <w:trPr>
          <w:cantSplit/>
        </w:trPr>
        <w:tc>
          <w:tcPr>
            <w:tcW w:w="2115" w:type="pct"/>
          </w:tcPr>
          <w:p w:rsidR="0015004D" w:rsidRPr="00D94F41" w:rsidP="00110F11" w14:paraId="1502C679" w14:textId="77777777">
            <w:pPr>
              <w:pStyle w:val="TableParagraph"/>
              <w:spacing w:before="20" w:after="20"/>
              <w:rPr>
                <w:sz w:val="14"/>
              </w:rPr>
            </w:pPr>
            <w:r w:rsidRPr="00D94F41">
              <w:t>Residence History Missing Data</w:t>
            </w:r>
            <w:r w:rsidRPr="00D94F41">
              <w:rPr>
                <w:sz w:val="14"/>
              </w:rPr>
              <w:t>^</w:t>
            </w:r>
          </w:p>
        </w:tc>
        <w:tc>
          <w:tcPr>
            <w:tcW w:w="578" w:type="pct"/>
          </w:tcPr>
          <w:p w:rsidR="0015004D" w:rsidRPr="00D94F41" w:rsidP="00110F11" w14:paraId="15B8D852" w14:textId="1C7B94D5">
            <w:pPr>
              <w:pStyle w:val="TableParagraph"/>
              <w:spacing w:before="20" w:after="20"/>
            </w:pPr>
            <w:r w:rsidRPr="00D94F41">
              <w:t>Core</w:t>
            </w:r>
          </w:p>
        </w:tc>
        <w:tc>
          <w:tcPr>
            <w:tcW w:w="1589" w:type="pct"/>
          </w:tcPr>
          <w:p w:rsidR="0015004D" w:rsidRPr="00D94F41" w:rsidP="00110F11" w14:paraId="2684D6EA" w14:textId="073DC8B6">
            <w:pPr>
              <w:pStyle w:val="TableParagraph"/>
              <w:spacing w:before="20" w:after="20"/>
            </w:pPr>
            <w:r w:rsidRPr="0085382F">
              <w:t>All (Round 98-106)</w:t>
            </w:r>
          </w:p>
        </w:tc>
        <w:tc>
          <w:tcPr>
            <w:tcW w:w="718" w:type="pct"/>
          </w:tcPr>
          <w:p w:rsidR="0015004D" w:rsidRPr="00D94F41" w:rsidP="00110F11" w14:paraId="5135A95F" w14:textId="77777777">
            <w:pPr>
              <w:pStyle w:val="TableParagraph"/>
              <w:spacing w:before="20" w:after="20"/>
            </w:pPr>
            <w:r w:rsidRPr="00D94F41">
              <w:t>Both</w:t>
            </w:r>
          </w:p>
        </w:tc>
      </w:tr>
      <w:tr w14:paraId="4B55561D" w14:textId="77777777" w:rsidTr="003E486D">
        <w:tblPrEx>
          <w:tblW w:w="5000" w:type="pct"/>
          <w:tblLook w:val="01E0"/>
        </w:tblPrEx>
        <w:trPr>
          <w:cantSplit/>
        </w:trPr>
        <w:tc>
          <w:tcPr>
            <w:tcW w:w="2115" w:type="pct"/>
          </w:tcPr>
          <w:p w:rsidR="00E95785" w:rsidRPr="00D94F41" w:rsidP="00110F11" w14:paraId="7172397C" w14:textId="77777777">
            <w:pPr>
              <w:pStyle w:val="TableParagraph"/>
              <w:spacing w:before="20" w:after="20"/>
              <w:rPr>
                <w:sz w:val="14"/>
              </w:rPr>
            </w:pPr>
            <w:r w:rsidRPr="00D94F41">
              <w:t>Background Questionnaire Missing Data</w:t>
            </w:r>
            <w:r w:rsidRPr="00D94F41">
              <w:rPr>
                <w:sz w:val="14"/>
              </w:rPr>
              <w:t>^</w:t>
            </w:r>
          </w:p>
        </w:tc>
        <w:tc>
          <w:tcPr>
            <w:tcW w:w="578" w:type="pct"/>
          </w:tcPr>
          <w:p w:rsidR="00E95785" w:rsidRPr="00D94F41" w:rsidP="00110F11" w14:paraId="5604E6DE" w14:textId="1013481A">
            <w:pPr>
              <w:pStyle w:val="TableParagraph"/>
              <w:spacing w:before="20" w:after="20"/>
            </w:pPr>
            <w:r w:rsidRPr="00D94F41">
              <w:t xml:space="preserve">Core </w:t>
            </w:r>
          </w:p>
        </w:tc>
        <w:tc>
          <w:tcPr>
            <w:tcW w:w="1589" w:type="pct"/>
          </w:tcPr>
          <w:p w:rsidR="00E95785" w:rsidRPr="00D94F41" w:rsidP="00110F11" w14:paraId="46144142" w14:textId="31BEFD44">
            <w:pPr>
              <w:pStyle w:val="TableParagraph"/>
              <w:spacing w:before="20" w:after="20"/>
            </w:pPr>
            <w:r>
              <w:t>Fall (Rounds 100, 103, 106)</w:t>
            </w:r>
          </w:p>
        </w:tc>
        <w:tc>
          <w:tcPr>
            <w:tcW w:w="718" w:type="pct"/>
          </w:tcPr>
          <w:p w:rsidR="00E95785" w:rsidRPr="00D94F41" w:rsidP="00110F11" w14:paraId="12185A85" w14:textId="77777777">
            <w:pPr>
              <w:pStyle w:val="TableParagraph"/>
              <w:spacing w:before="20" w:after="20"/>
            </w:pPr>
            <w:r w:rsidRPr="00D94F41">
              <w:t>Baseline</w:t>
            </w:r>
          </w:p>
        </w:tc>
      </w:tr>
    </w:tbl>
    <w:p w:rsidR="006938AE" w:rsidRPr="00D94F41" w:rsidP="00BF3DA4" w14:paraId="6C3D6F87" w14:textId="4C97A170">
      <w:pPr>
        <w:pStyle w:val="Note"/>
      </w:pPr>
      <w:r w:rsidRPr="00D94F41">
        <w:rPr>
          <w:sz w:val="13"/>
        </w:rPr>
        <w:t>^</w:t>
      </w:r>
      <w:r w:rsidRPr="00D94F41">
        <w:t>Section only activated and available for administration when critical data points from the FQ, RH, or BQ sections are marked as missing, Don’t Know, or Refused.</w:t>
      </w:r>
    </w:p>
    <w:p w:rsidR="002E73B3" w:rsidRPr="00D94F41" w:rsidP="00FB25F1" w14:paraId="0DAC8E29" w14:textId="581E6C60">
      <w:pPr>
        <w:pStyle w:val="BodyText"/>
        <w:spacing w:before="240"/>
      </w:pPr>
      <w:r w:rsidRPr="00D94F41">
        <w:t>The revision to this OMB package includes the following content changes to the Community</w:t>
      </w:r>
      <w:r w:rsidR="00D926C8">
        <w:t xml:space="preserve"> questionnaire</w:t>
      </w:r>
      <w:r w:rsidRPr="00D94F41">
        <w:t>.</w:t>
      </w:r>
    </w:p>
    <w:p w:rsidR="0088452B" w:rsidRPr="00D94F41" w:rsidP="00224949" w14:paraId="2A0E78DE" w14:textId="3E73B9CD">
      <w:pPr>
        <w:pStyle w:val="Heading5"/>
      </w:pPr>
      <w:r w:rsidRPr="00D94F41">
        <w:t>Summary of instrument changes beginning in Winter 20</w:t>
      </w:r>
      <w:r w:rsidRPr="00D94F41" w:rsidR="00F60E6D">
        <w:t>2</w:t>
      </w:r>
      <w:r w:rsidR="00D926C8">
        <w:t>5</w:t>
      </w:r>
      <w:r w:rsidRPr="00D94F41">
        <w:t xml:space="preserve"> Round </w:t>
      </w:r>
      <w:r w:rsidR="00D926C8">
        <w:t>101</w:t>
      </w:r>
      <w:r w:rsidRPr="00D94F41">
        <w:t xml:space="preserve"> through Fall 202</w:t>
      </w:r>
      <w:r w:rsidR="00D926C8">
        <w:t>7</w:t>
      </w:r>
      <w:r w:rsidRPr="00D94F41">
        <w:t xml:space="preserve"> Round </w:t>
      </w:r>
      <w:r w:rsidRPr="00D94F41" w:rsidR="00547E1D">
        <w:t>10</w:t>
      </w:r>
      <w:r w:rsidR="00D926C8">
        <w:t>9:</w:t>
      </w:r>
    </w:p>
    <w:p w:rsidR="002E0091" w:rsidP="002E0091" w14:paraId="4C0FC540" w14:textId="77777777">
      <w:pPr>
        <w:pStyle w:val="ListBullet2"/>
        <w:numPr>
          <w:ilvl w:val="0"/>
          <w:numId w:val="12"/>
        </w:numPr>
      </w:pPr>
      <w:r>
        <w:t>Add five new questions on beneficiary knowledge of IRA provisions to the Beneficiary Knowledge and Information Needs Questionnaire (KNQ).</w:t>
      </w:r>
    </w:p>
    <w:p w:rsidR="002E0091" w:rsidRPr="00AA0354" w:rsidP="00AA0354" w14:paraId="1CDEB467" w14:textId="584D53CA">
      <w:pPr>
        <w:pStyle w:val="ListBullet2"/>
      </w:pPr>
      <w:r>
        <w:t xml:space="preserve">Streamline and enhance collection of immunization information via a new Immunization Questionnaire (IMQ) containing two existing items migrated from the Preventive Care Questionnaire (PVQ) and </w:t>
      </w:r>
      <w:r w:rsidRPr="00AA0354">
        <w:t xml:space="preserve">16 new items about immunization </w:t>
      </w:r>
      <w:r w:rsidRPr="00AA0354" w:rsidR="00FB1EC4">
        <w:t>uptake</w:t>
      </w:r>
      <w:r w:rsidRPr="00AA0354">
        <w:t>, location, and cost-sharing for the shingles, pneumonia, and RSV vaccinations.</w:t>
      </w:r>
    </w:p>
    <w:p w:rsidR="002E0091" w:rsidP="00AA0354" w14:paraId="067D0AF9" w14:textId="3E3ABD4F">
      <w:pPr>
        <w:pStyle w:val="ListBullet2"/>
      </w:pPr>
      <w:r w:rsidRPr="00AA0354">
        <w:t xml:space="preserve">Redesign the existing Income and Assets Questionnaire (IAQ), which includes overarching changes to section structure to enhance analytic utility and respond to policy needs, deletion of </w:t>
      </w:r>
      <w:r w:rsidR="004D7000">
        <w:t>25</w:t>
      </w:r>
      <w:r w:rsidRPr="00AA0354" w:rsidR="004D7000">
        <w:t xml:space="preserve"> </w:t>
      </w:r>
      <w:r w:rsidRPr="00AA0354">
        <w:t xml:space="preserve">items which are no longer relevant, and the addition of </w:t>
      </w:r>
      <w:r w:rsidR="005F6EBF">
        <w:t xml:space="preserve">three items related to other financial investments, </w:t>
      </w:r>
      <w:r w:rsidR="004D7000">
        <w:t>22</w:t>
      </w:r>
      <w:r w:rsidRPr="00AA0354" w:rsidR="004D7000">
        <w:t xml:space="preserve"> </w:t>
      </w:r>
      <w:r w:rsidRPr="00AA0354">
        <w:t>new items on medical and credit card debt, one new item related to financial liquidity, and four new items related to participation</w:t>
      </w:r>
      <w:r>
        <w:t xml:space="preserve"> in and awareness of Federal assistance programs.  </w:t>
      </w:r>
    </w:p>
    <w:p w:rsidR="00F36FB5" w:rsidP="00F36FB5" w14:paraId="65D9F0A9" w14:textId="77777777">
      <w:pPr>
        <w:pStyle w:val="ListBullet2"/>
      </w:pPr>
      <w:r>
        <w:t>The addition of one new item on financial assistance programs for medical bills (charity care) and the deletion of one item related to outstanding medical bills in the Health Status and Functioning Questionnaire (HFQ).</w:t>
      </w:r>
    </w:p>
    <w:p w:rsidR="002E0091" w:rsidP="002E0091" w14:paraId="4A50917C" w14:textId="77777777">
      <w:pPr>
        <w:pStyle w:val="ListBullet2"/>
        <w:numPr>
          <w:ilvl w:val="0"/>
          <w:numId w:val="12"/>
        </w:numPr>
      </w:pPr>
      <w:r>
        <w:t>Update respondent materials to increase understanding of the survey and improve participation.</w:t>
      </w:r>
    </w:p>
    <w:p w:rsidR="002E0091" w:rsidP="00AA0354" w14:paraId="6A7A0E6E" w14:textId="3E1A1183">
      <w:pPr>
        <w:pStyle w:val="BodyText"/>
      </w:pPr>
      <w:r>
        <w:rPr>
          <w:b/>
          <w:bCs/>
        </w:rPr>
        <w:t>Streamline and expand immunization content via a new Immunization Questionnaire (IMQ).</w:t>
      </w:r>
      <w:r w:rsidR="00D926C8">
        <w:rPr>
          <w:b/>
          <w:bCs/>
        </w:rPr>
        <w:t xml:space="preserve"> </w:t>
      </w:r>
      <w:bookmarkStart w:id="30" w:name="OLE_LINK40"/>
      <w:r w:rsidR="00FB1EC4">
        <w:t>The Inflation Reduction Act (</w:t>
      </w:r>
      <w:r>
        <w:t>IRA</w:t>
      </w:r>
      <w:r w:rsidR="00FB1EC4">
        <w:t>) of 2022</w:t>
      </w:r>
      <w:r>
        <w:t xml:space="preserve"> expands access to vaccines recommended by </w:t>
      </w:r>
      <w:r>
        <w:t>the Advisory Committee on Immunization Practices (ACIP</w:t>
      </w:r>
      <w:r>
        <w:rPr>
          <w:rStyle w:val="FootnoteReference"/>
        </w:rPr>
        <w:footnoteReference w:id="8"/>
      </w:r>
      <w:r>
        <w:t>) by eliminating cost-sharing for certain vaccine types.</w:t>
      </w:r>
      <w:r>
        <w:rPr>
          <w:rFonts w:eastAsiaTheme="minorHAnsi"/>
        </w:rPr>
        <w:t xml:space="preserve"> </w:t>
      </w:r>
      <w:r>
        <w:t>Although the MCBS currently asks beneficiaries about whether they receive flu, shingles, pneumonia, and COVID-19 vaccines in the Preventive Care Questionnaire (PVQ) and COVID-19 Questionnaire (CVQ), respectively, these items are administered during different seasons and contain inconsistent follow-up questions. For example, for beneficiaries who report receiving the flu vaccine, additional questions are asked about vaccine cost-sharing and vaccination site. For beneficiaries who have ever received a shingles or a pneumonia vaccine, no information on the timing or cost of vaccination is currently collected. Further, information on whether a beneficiary has ever received a particular vaccine, where the vaccine was administered, whether the beneficiary had to pay a portion of the cost for their vaccine</w:t>
      </w:r>
      <w:r w:rsidR="00FB1EC4">
        <w:t>, and why a beneficiary may have foregone vaccination</w:t>
      </w:r>
      <w:r>
        <w:t xml:space="preserve"> is not available from existing administrative data. As a result, CMS is currently unable to evaluate the impact changes to vaccine </w:t>
      </w:r>
      <w:r w:rsidR="00FB1EC4">
        <w:t>cost-sharing</w:t>
      </w:r>
      <w:r>
        <w:t xml:space="preserve"> due to IRA provisions have on vaccine uptake. CMS is also currently unable to identify characteristics of beneficiaries who may benefit from additional outreach</w:t>
      </w:r>
      <w:r w:rsidR="00FB1EC4">
        <w:t xml:space="preserve"> or areas of focus during any vaccination outreach effort</w:t>
      </w:r>
      <w:r>
        <w:t xml:space="preserve">. CMS will fill this important data gap by streamlining the current collection of immunization information in existing questionnaire sections and forming a dedicated IMQ for better administration. Starting in Winter 2025, the IMQ will standardize and expand collection of vaccine data on the MCBS to include vaccines made accessible by IRA. The series will migrate two existing items on the prevalence of pneumonia and shingles vaccines from the PVQ and will include a new item about the prevalence of the respiratory syncytial virus, or RSV. </w:t>
      </w:r>
      <w:r w:rsidR="00FB1EC4">
        <w:t>Age requirements for the existing shingles vaccine item will be removed to account for beneficiaries who may have received the vaccine due to increased risk for shingles.</w:t>
      </w:r>
    </w:p>
    <w:p w:rsidR="002E0091" w:rsidP="00AA0354" w14:paraId="67888712" w14:textId="77777777">
      <w:pPr>
        <w:pStyle w:val="BodyText"/>
      </w:pPr>
      <w:r>
        <w:t xml:space="preserve">For each of the three vaccine types (RSV, pneumonia, shingles), beneficiaries will receive a standard flow of questionnaire items. First, beneficiaries will be asked if they have </w:t>
      </w:r>
      <w:r>
        <w:rPr>
          <w:i/>
          <w:iCs/>
        </w:rPr>
        <w:t>ever</w:t>
      </w:r>
      <w:r>
        <w:t xml:space="preserve"> received the vaccine. If they have, follow-up questions will ask about the timing of vaccination (before January 1, 2013, for first time IMQ respondents), where the beneficiary received the vaccine, and whether the beneficiary had to pay “some or all of the cost” for the vaccine they received. If the respondent indicates they have never received a vaccine, one follow-up question on the reason for not getting vaccinated will be asked. Beneficiaries who never reported receiving a vaccine will be asked if they have ever received a vaccine since their last Winter round interview; follow-up questions on vaccination site and cost-sharing will be asked if they have received one. These items were adapted from existing MCBS items and revised to align with corresponding items on the National Health Interview Survey (NHIS).</w:t>
      </w:r>
    </w:p>
    <w:p w:rsidR="002E0091" w:rsidP="00AA0354" w14:paraId="7BB2BA11" w14:textId="70645501">
      <w:pPr>
        <w:pStyle w:val="BodyText"/>
      </w:pPr>
      <w:r>
        <w:t xml:space="preserve">Standardizing data collection for existing vaccine types and extending data collection to the RSV vaccine will enable CMS to measure changes in vaccine uptake related to IRA. The addition of follow-up items that capture reasons for not getting vaccinated, the timing of each vaccination, and vaccination cost-sharing will allow CMS to evaluate beneficiary experiences with cost-sharing implementation after IRA went into effect. Rationalizing and modifying data collection for these items will also </w:t>
      </w:r>
      <w:bookmarkStart w:id="31" w:name="OLE_LINK5"/>
      <w:r>
        <w:t xml:space="preserve">help to satisfy OMB’s 2024 Terms of Clearance directing CMS to propose a set of IRA focused items on vaccine cost sharing.  </w:t>
      </w:r>
      <w:bookmarkEnd w:id="31"/>
    </w:p>
    <w:p w:rsidR="002E0091" w:rsidP="00AA0354" w14:paraId="12991A09" w14:textId="07AA2BDC">
      <w:pPr>
        <w:pStyle w:val="BodyText"/>
      </w:pPr>
      <w:r>
        <w:t xml:space="preserve">These data will also inform CMS’ efforts to improve access to care for vulnerable population groups. CMS Part B previously added additional payment for COVID-19 vaccines administered in-home. To further expand access for vulnerable population groups, CMS will use the new IMQ to evaluate reasons for not getting vaccinated, as well as to identify places where vulnerable population groups currently get vaccinated. </w:t>
      </w:r>
    </w:p>
    <w:bookmarkEnd w:id="30"/>
    <w:p w:rsidR="002E0091" w:rsidP="00AA0354" w14:paraId="50AAE270" w14:textId="084A986B">
      <w:pPr>
        <w:pStyle w:val="BodyText"/>
      </w:pPr>
      <w:r w:rsidRPr="00AA0354">
        <w:rPr>
          <w:b/>
          <w:bCs/>
        </w:rPr>
        <w:t xml:space="preserve">Five new questions on beneficiary knowledge of Inflation Reduction Act (IRA) provisions. </w:t>
      </w:r>
      <w:r w:rsidRPr="00AA0354" w:rsidR="00BD5964">
        <w:rPr>
          <w:b/>
          <w:bCs/>
        </w:rPr>
        <w:t>Redesign Income and Assets Questionnaire.</w:t>
      </w:r>
      <w:r w:rsidR="00BD5964">
        <w:t xml:space="preserve"> </w:t>
      </w:r>
      <w:r>
        <w:t xml:space="preserve">Five new questions assessing knowledge and awareness of beneficiary-centric IRA provisions will be added to the Beneficiary Knowledge and Information Needs Questionnaire (KNQ) in Winter 2025. Collecting </w:t>
      </w:r>
      <w:r w:rsidR="00DA7FA5">
        <w:t>these</w:t>
      </w:r>
      <w:r>
        <w:t xml:space="preserve"> data will help </w:t>
      </w:r>
      <w:bookmarkStart w:id="32" w:name="OLE_LINK4"/>
      <w:r>
        <w:t xml:space="preserve">the Department of Health and Human Services (DHHS) Office of the Assistant Secretary for Planning and Evaluation (ASPE) </w:t>
      </w:r>
      <w:bookmarkEnd w:id="32"/>
      <w:r>
        <w:t xml:space="preserve">and other </w:t>
      </w:r>
      <w:r w:rsidR="00DA7FA5">
        <w:t xml:space="preserve">CMS </w:t>
      </w:r>
      <w:r>
        <w:t xml:space="preserve">stakeholders better understand </w:t>
      </w:r>
      <w:r w:rsidR="00DA7FA5">
        <w:t xml:space="preserve">beneficiaries’ overall awareness of key IRA provisions, evaluate changes in beneficiaries’ awareness over time, as well as </w:t>
      </w:r>
      <w:r>
        <w:t xml:space="preserve">assess whether awareness of these provisions varies by the health and/or demographic characteristics of beneficiaries. Understanding the extent to which Medicare enrollees are aware of these provisions will provide the federal government with valuable data on whether additional outreach should occur and if these efforts can be specialized for different parts of the Medicare populations. Certain demographic groups may be less aware of the various provisions and may benefit from tailored outreach and education efforts. </w:t>
      </w:r>
    </w:p>
    <w:p w:rsidR="002E0091" w:rsidP="00AA0354" w14:paraId="46BDCBBD" w14:textId="25AA02CB">
      <w:pPr>
        <w:pStyle w:val="BodyText"/>
      </w:pPr>
      <w:r>
        <w:t>Three of the proposed items were sourced from the Kaiser Family Foundation (KFF) Health Tracking Poll</w:t>
      </w:r>
      <w:r>
        <w:rPr>
          <w:rStyle w:val="FootnoteReference"/>
        </w:rPr>
        <w:footnoteReference w:id="9"/>
      </w:r>
      <w:r>
        <w:t>.  Respondents are asked if they are aware of a federal law that requires the federal government to 1) negotiate certain prescription drug prices for people with Medicare, 2) places an annual limit on out-of-pocket prescription drug costs, or 3) caps the cost of insulin to $35 per month for people with Medicare. In addition, ASPE recommended inclusion of two additional items to measure awareness of 1) the removal of out-of-pocket costs for Part D recommended vaccines and 2) the Medicare Prescription Payment Plan, which allows Medicare Part D enrollees to spread their out-of-pocket prescription drug costs out over the year. All five proposed items will appear together in the KNQ. The inclusion of these items helps to satisfy OMB’s 2024 Terms of Clearance directing CMS to propose a set of Inflation Reduction Act (IRA) focused questions, including items on beneficiary awareness of the annual out-of-pocket spending cap and out-of-pocket smoothing.</w:t>
      </w:r>
    </w:p>
    <w:p w:rsidR="002E0091" w:rsidP="00AA0354" w14:paraId="5F751CDE" w14:textId="58CF4466">
      <w:pPr>
        <w:pStyle w:val="BodyText"/>
      </w:pPr>
      <w:r>
        <w:rPr>
          <w:b/>
          <w:bCs/>
        </w:rPr>
        <w:t>Redesigning the Income and Assets Questionnaire (IAQ)</w:t>
      </w:r>
      <w:r w:rsidRPr="006601C3">
        <w:rPr>
          <w:b/>
          <w:bCs/>
        </w:rPr>
        <w:t>.</w:t>
      </w:r>
      <w:r>
        <w:t xml:space="preserve"> The MCBS Income and Assets (IAQ) questionnaire is administered once per year during the Summer round. The redesigned IAQ will be implemented in Summer 2025 and will include </w:t>
      </w:r>
      <w:r>
        <w:t>a number of</w:t>
      </w:r>
      <w:r>
        <w:t xml:space="preserve"> changes to </w:t>
      </w:r>
      <w:bookmarkStart w:id="33" w:name="OLE_LINK28"/>
      <w:r>
        <w:t>align the collection of income and assets data to more accurately reflect the needs of policy makers and CMS stakeholders</w:t>
      </w:r>
      <w:bookmarkEnd w:id="33"/>
      <w:r>
        <w:t xml:space="preserve">. </w:t>
      </w:r>
    </w:p>
    <w:p w:rsidR="002E0091" w:rsidP="00AA0354" w14:paraId="2AE1683C" w14:textId="6DA90433">
      <w:pPr>
        <w:pStyle w:val="BodyText"/>
      </w:pPr>
      <w:r>
        <w:t xml:space="preserve">The IAQ collects detailed information on the financial well-being of Medicare beneficiaries that is not available elsewhere in enrollment or claims data. The section asks questions on employment, </w:t>
      </w:r>
      <w:r w:rsidR="00DA7FA5">
        <w:t xml:space="preserve">sources of income, </w:t>
      </w:r>
      <w:r>
        <w:t xml:space="preserve">as well as home and asset ownership. These data make it possible for CMS to understand the financial setting in which Medicare beneficiaries make decisions about their healthcare, as well as to evaluate whether beneficiaries with certain characteristics may be differentially impacted by policy changes. CMS regularly publishes estimates from the IAQ; the table package on </w:t>
      </w:r>
      <w:r>
        <w:rPr>
          <w:i/>
          <w:iCs/>
        </w:rPr>
        <w:t>Financial Well-Being of Medicare Beneficiaries</w:t>
      </w:r>
      <w:r>
        <w:t xml:space="preserve"> is an annual Public Use File that provides estimates on labor force participation, asset ownership, and median value of assets owned by Medicare beneficiaries</w:t>
      </w:r>
      <w:r>
        <w:rPr>
          <w:rStyle w:val="FootnoteReference"/>
        </w:rPr>
        <w:footnoteReference w:id="10"/>
      </w:r>
      <w:r>
        <w:rPr>
          <w:rStyle w:val="FootnoteReference"/>
        </w:rPr>
        <w:footnoteReference w:id="11"/>
      </w:r>
      <w:r>
        <w:t>. These estimates are used to illustrate subpopulation differences in income and access to housing and other resources among Medicare beneficiaries. For example, a</w:t>
      </w:r>
      <w:r w:rsidRPr="00212865">
        <w:t xml:space="preserve">ccording to the </w:t>
      </w:r>
      <w:r w:rsidRPr="00212865">
        <w:rPr>
          <w:i/>
          <w:iCs/>
        </w:rPr>
        <w:t>Financial Well-Being of Medicare Beneficiaries</w:t>
      </w:r>
      <w:r w:rsidRPr="00212865">
        <w:t xml:space="preserve">, there are significant differences in asset ownership rates among Medicare beneficiaries. In 2021, 58 percent of White non-Hispanic beneficiaries living in the community </w:t>
      </w:r>
      <w:r w:rsidRPr="00212865">
        <w:t>had a retirement account, compared with 20 percent of Black non-Hispanic beneficiaries and 19 percent of Hispanic beneficiaries.</w:t>
      </w:r>
    </w:p>
    <w:p w:rsidR="002E0091" w:rsidP="00AA0354" w14:paraId="24689BBE" w14:textId="77777777">
      <w:pPr>
        <w:pStyle w:val="BodyText"/>
      </w:pPr>
      <w:r>
        <w:t xml:space="preserve">The redesigned IAQ contains several overarching changes to increase analytic utility for researchers and meet the needs of key CMS stakeholders, including ASPE and the Consumer Financial Protection Bureau (CFPB). </w:t>
      </w:r>
    </w:p>
    <w:p w:rsidR="002E0091" w:rsidP="00AA0354" w14:paraId="5C2B889C" w14:textId="3E2AA524">
      <w:pPr>
        <w:pStyle w:val="ListBullet2"/>
      </w:pPr>
      <w:r>
        <w:t xml:space="preserve">While the previous version of the IAQ included both spouses and unmarried partners in the “household” definition, the redesigned IAQ will define “household” as the beneficiary and their spouse, if the beneficiary and spouse live together. This definition will align the data collected from the redesigned IAQ with eligibility rules for Medicare and Social Security programs, </w:t>
      </w:r>
      <w:r w:rsidRPr="00AA0354">
        <w:t>which</w:t>
      </w:r>
      <w:r>
        <w:t xml:space="preserve"> do not count the income, assets, or debts of unmarried partners. This change will support ASPE’s evaluation of beneficiaries who may be impacted by provisions </w:t>
      </w:r>
      <w:r w:rsidR="00DA7FA5">
        <w:t xml:space="preserve">of the Inflation Reduction Act (IRA) of 2022 </w:t>
      </w:r>
      <w:r>
        <w:t>using data from the redesigned MCBS IAQ.</w:t>
      </w:r>
      <w:r w:rsidR="00DA7FA5">
        <w:t xml:space="preserve"> This change will also allow CMS to more accurately estimate the number of beneficiaries who may be eligible for different Medicare programs but not currently enrolled. </w:t>
      </w:r>
    </w:p>
    <w:p w:rsidR="002E0091" w:rsidRPr="00AA0354" w:rsidP="00AA0354" w14:paraId="0D24B88B" w14:textId="70F43B24">
      <w:pPr>
        <w:pStyle w:val="ListBullet2"/>
      </w:pPr>
      <w:r>
        <w:t xml:space="preserve">The redesigned IAQ will include follow-up ranges to collect approximate asset amounts when exact dollar amounts are unknown. This change will </w:t>
      </w:r>
      <w:r w:rsidR="00DA7FA5">
        <w:t>improve the quality of post data collection processing and resulting data by enhancing</w:t>
      </w:r>
      <w:r>
        <w:t xml:space="preserve"> reporting at income and asset amount items and </w:t>
      </w:r>
      <w:r w:rsidRPr="00AA0354">
        <w:t>mitigat</w:t>
      </w:r>
      <w:r w:rsidRPr="00AA0354" w:rsidR="00DA7FA5">
        <w:t>ing</w:t>
      </w:r>
      <w:r w:rsidRPr="00AA0354">
        <w:t xml:space="preserve"> non-response. Where possible, the ranges were constructed using historical MCBS data for each asset. The credit card and medical debt ranges were modeled after similar items sourced from the Census Bureau’s Survey of Income and Program Participation (SIPP)</w:t>
      </w:r>
      <w:r>
        <w:rPr>
          <w:rStyle w:val="FootnoteReference"/>
        </w:rPr>
        <w:footnoteReference w:id="12"/>
      </w:r>
      <w:r w:rsidRPr="00AA0354">
        <w:t xml:space="preserve">. </w:t>
      </w:r>
    </w:p>
    <w:p w:rsidR="002E0091" w:rsidP="00AA0354" w14:paraId="54C8673D" w14:textId="1D6E6D78">
      <w:pPr>
        <w:pStyle w:val="ListBullet2"/>
      </w:pPr>
      <w:r w:rsidRPr="00AA0354">
        <w:t xml:space="preserve">The redesigned IAQ will continue to collect information about beneficiary assets, such as retirement accounts, stocks, and savings accounts. </w:t>
      </w:r>
      <w:r w:rsidR="00FF00B6">
        <w:t xml:space="preserve">Three new </w:t>
      </w:r>
      <w:r w:rsidRPr="00AA0354">
        <w:t>item</w:t>
      </w:r>
      <w:r w:rsidR="00FF00B6">
        <w:t>s sourced from SIPP</w:t>
      </w:r>
      <w:r w:rsidRPr="00AA0354">
        <w:t xml:space="preserve"> will be added to the series to collect ownership </w:t>
      </w:r>
      <w:r w:rsidR="00FF00B6">
        <w:t xml:space="preserve">and worth </w:t>
      </w:r>
      <w:r w:rsidRPr="00AA0354">
        <w:t>of any other financial investments not already discussed, such as a business, real estate, and boats.</w:t>
      </w:r>
      <w:r w:rsidRPr="00AA0354" w:rsidR="00DA7FA5">
        <w:t xml:space="preserve"> The objective of this change is to capture more comprehensive data</w:t>
      </w:r>
      <w:r w:rsidR="00DA7FA5">
        <w:t xml:space="preserve"> on assets used by Medicare and Social Security beneficiaries to determine eligibility for different programs, thereby allowing CMS to </w:t>
      </w:r>
      <w:r w:rsidR="00DA7FA5">
        <w:t>more accurately assess impact of any future policy changes</w:t>
      </w:r>
      <w:r w:rsidR="00DA7FA5">
        <w:t xml:space="preserve">. </w:t>
      </w:r>
      <w:r>
        <w:t xml:space="preserve"> </w:t>
      </w:r>
    </w:p>
    <w:p w:rsidR="002E0091" w:rsidP="00727629" w14:paraId="272D7896" w14:textId="77777777">
      <w:pPr>
        <w:pStyle w:val="BodyText"/>
      </w:pPr>
      <w:r>
        <w:t xml:space="preserve">The redesigned IAQ will include several new items to collect information related to beneficiary experiences with IRA provisions, which will support the analytic needs of CMS, ASPE, and CFPB as well as address OMB’s terms of clearance requesting that CMS add IRA-related items to the 2025 questionnaires. Data on debt, financial liquidity, and Federal assistance program participation and awareness, not currently available from other CMS data sources, will enable CMS and stakeholders to evaluate financial relief provided by the IRA to Medicare beneficiaries. These content additions will include: </w:t>
      </w:r>
    </w:p>
    <w:p w:rsidR="002E0091" w:rsidP="007E7959" w14:paraId="1677DBC6" w14:textId="5CA1C47F">
      <w:pPr>
        <w:pStyle w:val="ListBullet2"/>
        <w:rPr>
          <w:rStyle w:val="ui-provider"/>
        </w:rPr>
      </w:pPr>
      <w:r w:rsidRPr="00D841B0">
        <w:rPr>
          <w:b/>
          <w:bCs/>
          <w:i/>
          <w:iCs/>
        </w:rPr>
        <w:t xml:space="preserve">22 </w:t>
      </w:r>
      <w:r w:rsidRPr="00D841B0">
        <w:rPr>
          <w:b/>
          <w:bCs/>
          <w:i/>
          <w:iCs/>
        </w:rPr>
        <w:t>new items on medical and credit card debt.</w:t>
      </w:r>
      <w:r w:rsidRPr="00BA68E6">
        <w:t xml:space="preserve"> </w:t>
      </w:r>
      <w:r>
        <w:t xml:space="preserve">Although debt is an important component of beneficiaries’ financial well-being, the MCBS does not currently collect any information on this topic, </w:t>
      </w:r>
      <w:r>
        <w:t>with the exception of</w:t>
      </w:r>
      <w:r>
        <w:t xml:space="preserve"> a question on debt against beneficiary’s primary residence. </w:t>
      </w:r>
      <w:r w:rsidR="00D841B0">
        <w:t>The redesigned IAQ will include 19 new items on medical debt adapted from the KFF Health Care Debt Survey</w:t>
      </w:r>
      <w:r>
        <w:rPr>
          <w:rStyle w:val="FootnoteReference"/>
        </w:rPr>
        <w:footnoteReference w:id="13"/>
      </w:r>
      <w:r w:rsidR="00D841B0">
        <w:t xml:space="preserve">. Respondents will first be asked to report prevalence of medical debt by creditor type, including medical or dental bills a) </w:t>
      </w:r>
      <w:r w:rsidR="00D841B0">
        <w:t xml:space="preserve">being paid off over time directly to a provider, b) being paid off over time via a credit card, c) owed to a bank, collection agency, or other lender, d) owed to a family member or friend, and/or e) any other medical or dental bills that the respondent is unable to pay. Respondents will then be asked to estimate the amount of debt owed by each debt type they endorsed. If the respondent is not able to report a numeric amount, they will be asked to provide the closest range category. </w:t>
      </w:r>
      <w:r>
        <w:t xml:space="preserve">Respondents who report </w:t>
      </w:r>
      <w:r w:rsidR="00D841B0">
        <w:t xml:space="preserve">any type of </w:t>
      </w:r>
      <w:r>
        <w:t xml:space="preserve">medical debt will also receive </w:t>
      </w:r>
      <w:r w:rsidR="00D841B0">
        <w:t xml:space="preserve">four </w:t>
      </w:r>
      <w:r>
        <w:t>follow</w:t>
      </w:r>
      <w:r w:rsidR="00D841B0">
        <w:t>-</w:t>
      </w:r>
      <w:r>
        <w:t xml:space="preserve">up items collecting additional details. </w:t>
      </w:r>
      <w:r>
        <w:rPr>
          <w:rStyle w:val="ui-provider"/>
        </w:rPr>
        <w:t xml:space="preserve">These follow up items will ask if the medical bills leading to debt were bills for the beneficiary’s care or someone else’s care; enumerate what types of medical events contributed to medical debt; clarify if the medical bills were for a short- or long-term medical expense; and approximate the time range of the beneficiary’s medical debt. </w:t>
      </w:r>
      <w:r>
        <w:t xml:space="preserve">The redesigned IAQ </w:t>
      </w:r>
      <w:r w:rsidR="00D841B0">
        <w:t xml:space="preserve">also </w:t>
      </w:r>
      <w:r>
        <w:t xml:space="preserve">will include </w:t>
      </w:r>
      <w:r w:rsidR="00D841B0">
        <w:t>three</w:t>
      </w:r>
      <w:r>
        <w:t xml:space="preserve"> items sourced from SIPP that collect prevalence of credit card debt and, if applicable, the amount of debt</w:t>
      </w:r>
      <w:r w:rsidR="00D841B0">
        <w:t xml:space="preserve"> owed</w:t>
      </w:r>
      <w:r>
        <w:t>.</w:t>
      </w:r>
    </w:p>
    <w:p w:rsidR="002E0091" w:rsidP="00AA0354" w14:paraId="0F370723" w14:textId="6FB9EEF1">
      <w:pPr>
        <w:pStyle w:val="ListContinue2"/>
      </w:pPr>
      <w:r>
        <w:rPr>
          <w:rStyle w:val="ui-provider"/>
        </w:rPr>
        <w:t xml:space="preserve">By collecting </w:t>
      </w:r>
      <w:r w:rsidR="00DA7FA5">
        <w:rPr>
          <w:rStyle w:val="ui-provider"/>
        </w:rPr>
        <w:t>comprehensive and nuanced</w:t>
      </w:r>
      <w:r>
        <w:rPr>
          <w:rStyle w:val="ui-provider"/>
        </w:rPr>
        <w:t xml:space="preserve"> information on the amount and source of medical debt, the proposed items on medical and credit card debt will fill an important gap in </w:t>
      </w:r>
      <w:r w:rsidR="00DA7FA5">
        <w:rPr>
          <w:rStyle w:val="ui-provider"/>
        </w:rPr>
        <w:t>policymakers’ understanding of the relationship between the Medicare program and beneficiaries’ well-being</w:t>
      </w:r>
      <w:r>
        <w:rPr>
          <w:rStyle w:val="ui-provider"/>
        </w:rPr>
        <w:t>. Analysis of these new items</w:t>
      </w:r>
      <w:r>
        <w:t xml:space="preserve"> in combination with existing MCBS questions on access to care</w:t>
      </w:r>
      <w:r w:rsidR="00D841B0">
        <w:t>, health status,</w:t>
      </w:r>
      <w:r>
        <w:t xml:space="preserve"> and forgone care, will also enable CMS </w:t>
      </w:r>
      <w:r w:rsidR="00D841B0">
        <w:t xml:space="preserve">and its stakeholders </w:t>
      </w:r>
      <w:r>
        <w:t>to</w:t>
      </w:r>
      <w:r w:rsidR="00DA7FA5">
        <w:t xml:space="preserve"> evaluate financial relief provided by the IRA over time,</w:t>
      </w:r>
      <w:r>
        <w:t xml:space="preserve"> better understand barriers to care, and get a comprehensive understanding of how beneficiaries pay for their care. </w:t>
      </w:r>
      <w:r w:rsidR="00D841B0">
        <w:t xml:space="preserve">This new series will shed light on the heterogeneity and degree of debt burden experienced by Medicare beneficiaries across creditor type. </w:t>
      </w:r>
      <w:r>
        <w:t>These items will also support the CFPB’s ongoing study of the role of medical debt in consumer financial products and services, including its relevance to credit underwriting and impact on consumer financial health since the CFPB began operations</w:t>
      </w:r>
      <w:r>
        <w:rPr>
          <w:rStyle w:val="FootnoteReference"/>
        </w:rPr>
        <w:footnoteReference w:id="14"/>
      </w:r>
      <w:r>
        <w:t xml:space="preserve">. Credit reporting data has become a limited source to measure medical debt among Americans, as increasingly medical bills are paid with credit cards or are excluded from credit reports. Therefore, data collected on large and representative surveys such as the MCBS are increasingly important </w:t>
      </w:r>
      <w:r w:rsidR="00DA7FA5">
        <w:t>in</w:t>
      </w:r>
      <w:r>
        <w:t xml:space="preserve"> track</w:t>
      </w:r>
      <w:r w:rsidR="00DA7FA5">
        <w:t>ing</w:t>
      </w:r>
      <w:r>
        <w:t xml:space="preserve"> patterns, trends and issues in unpaid medical bills and collections. </w:t>
      </w:r>
    </w:p>
    <w:p w:rsidR="002E0091" w:rsidRPr="009F3D98" w:rsidP="00AA0354" w14:paraId="4D1972C6" w14:textId="77777777">
      <w:pPr>
        <w:pStyle w:val="ListBullet2"/>
        <w:rPr>
          <w:color w:val="000000"/>
        </w:rPr>
      </w:pPr>
      <w:r>
        <w:rPr>
          <w:b/>
          <w:bCs/>
          <w:i/>
          <w:iCs/>
        </w:rPr>
        <w:t>One new item on f</w:t>
      </w:r>
      <w:r w:rsidRPr="009F3D98">
        <w:rPr>
          <w:b/>
          <w:bCs/>
          <w:i/>
          <w:iCs/>
        </w:rPr>
        <w:t xml:space="preserve">inancial </w:t>
      </w:r>
      <w:r>
        <w:rPr>
          <w:b/>
          <w:bCs/>
          <w:i/>
          <w:iCs/>
        </w:rPr>
        <w:t>l</w:t>
      </w:r>
      <w:r w:rsidRPr="009F3D98">
        <w:rPr>
          <w:b/>
          <w:bCs/>
          <w:i/>
          <w:iCs/>
        </w:rPr>
        <w:t>iquidity.</w:t>
      </w:r>
      <w:r>
        <w:t xml:space="preserve"> The redesigned IAQ will add one new item on financial liquidity sourced from the Federal Reserve Board Survey of Consumer Finances (SCF)</w:t>
      </w:r>
      <w:r>
        <w:rPr>
          <w:rStyle w:val="FootnoteReference"/>
        </w:rPr>
        <w:t xml:space="preserve"> </w:t>
      </w:r>
      <w:r>
        <w:rPr>
          <w:rStyle w:val="FootnoteReference"/>
        </w:rPr>
        <w:footnoteReference w:id="15"/>
      </w:r>
      <w:r>
        <w:t xml:space="preserve">. The new item will capture the relationship between income and spending by asking if the beneficiary’s family spending exceeded, met, or was less than their income </w:t>
      </w:r>
      <w:r w:rsidRPr="00AA0354">
        <w:t>over</w:t>
      </w:r>
      <w:r>
        <w:t xml:space="preserve"> the past year. Household financial stability is a key priority of the CFPB and other federal regulators. The proposed question provides a way to identify Medicare beneficiaries living in households with positive cash-flow which is key to building and maintaining liquidity. The proposed question has been used on the SCF to understand households’ response to income and expense shocks such as depleting assets and savings, taking on debt, or reducing/delaying spending (including on food, housing, and medical care)</w:t>
      </w:r>
      <w:r>
        <w:rPr>
          <w:rStyle w:val="FootnoteReference"/>
        </w:rPr>
        <w:t xml:space="preserve"> </w:t>
      </w:r>
      <w:r>
        <w:rPr>
          <w:rStyle w:val="FootnoteReference"/>
        </w:rPr>
        <w:footnoteReference w:id="16"/>
      </w:r>
      <w:r>
        <w:t>. Understanding financial stability among Medicare beneficiaries is key to the CFPB’s Office for Financial Protection of Older Americans</w:t>
      </w:r>
      <w:r>
        <w:rPr>
          <w:rStyle w:val="FootnoteReference"/>
        </w:rPr>
        <w:footnoteReference w:id="17"/>
      </w:r>
      <w:r>
        <w:t xml:space="preserve">. This Office is tasked, among other things, with conducting research to educate older adults about personal finance management with a focus on planning for retirement and long-term care. Prior research commissioned by the CFPB found that positive cash-flow is a predictor of </w:t>
      </w:r>
      <w:r>
        <w:t>retirees’ ability to maintain their standard of living in retirement, and ability to afford long-term care costs</w:t>
      </w:r>
      <w:r>
        <w:rPr>
          <w:rStyle w:val="FootnoteReference"/>
        </w:rPr>
        <w:footnoteReference w:id="18"/>
      </w:r>
      <w:r>
        <w:t xml:space="preserve">. </w:t>
      </w:r>
    </w:p>
    <w:p w:rsidR="002E0091" w:rsidP="00AA0354" w14:paraId="64550472" w14:textId="77777777">
      <w:pPr>
        <w:pStyle w:val="ListBullet2"/>
      </w:pPr>
      <w:r>
        <w:rPr>
          <w:b/>
          <w:bCs/>
          <w:i/>
          <w:iCs/>
        </w:rPr>
        <w:t>Four</w:t>
      </w:r>
      <w:r w:rsidRPr="008C3AAA">
        <w:rPr>
          <w:b/>
          <w:bCs/>
          <w:i/>
          <w:iCs/>
        </w:rPr>
        <w:t xml:space="preserve"> new items on Federal assistance program participation and awareness.</w:t>
      </w:r>
      <w:r>
        <w:rPr>
          <w:b/>
          <w:bCs/>
          <w:i/>
          <w:iCs/>
        </w:rPr>
        <w:t xml:space="preserve"> </w:t>
      </w:r>
      <w:r>
        <w:t xml:space="preserve">The redesigned IAQ will consolidate existing MCBS items regarding Federal assistance program participation into a single series at the end of the IAQ. This series will measure participation in Section 8 housing, the Supplemental Nutrition Assistance </w:t>
      </w:r>
      <w:r w:rsidRPr="00AA0354">
        <w:t>Program</w:t>
      </w:r>
      <w:r>
        <w:t xml:space="preserve"> (SNAP)</w:t>
      </w:r>
      <w:r>
        <w:rPr>
          <w:rStyle w:val="FootnoteReference"/>
        </w:rPr>
        <w:footnoteReference w:id="19"/>
      </w:r>
      <w:r>
        <w:t>, the Low-Income Subsidy (LIS)</w:t>
      </w:r>
      <w:r>
        <w:rPr>
          <w:rStyle w:val="FootnoteReference"/>
        </w:rPr>
        <w:footnoteReference w:id="20"/>
      </w:r>
      <w:r>
        <w:t>, and the Medicare Savings Programs (MSP)</w:t>
      </w:r>
      <w:r>
        <w:rPr>
          <w:rStyle w:val="FootnoteReference"/>
        </w:rPr>
        <w:footnoteReference w:id="21"/>
      </w:r>
      <w:r>
        <w:t xml:space="preserve"> via existing items that have been migrated to the IAQ from various questionnaire sections including the Drug Coverage Questionnaire (RXQ) and KNQ. One new item will be added to this series to assess beneficiary participation in the Low-Income Home Energy Assistance Program (LIHEAP) </w:t>
      </w:r>
      <w:r>
        <w:rPr>
          <w:color w:val="000000" w:themeColor="text1"/>
          <w:kern w:val="32"/>
          <w:szCs w:val="23"/>
        </w:rPr>
        <w:t>from the Current Population Survey’s (CPS) 2023 Annual Social and Economic (</w:t>
      </w:r>
      <w:bookmarkStart w:id="34" w:name="OLE_LINK73"/>
      <w:r>
        <w:rPr>
          <w:color w:val="000000" w:themeColor="text1"/>
          <w:kern w:val="32"/>
          <w:szCs w:val="23"/>
        </w:rPr>
        <w:t>ASEC</w:t>
      </w:r>
      <w:bookmarkEnd w:id="34"/>
      <w:r>
        <w:rPr>
          <w:color w:val="000000" w:themeColor="text1"/>
          <w:kern w:val="32"/>
          <w:szCs w:val="23"/>
        </w:rPr>
        <w:t>) Supplement</w:t>
      </w:r>
      <w:r>
        <w:rPr>
          <w:rStyle w:val="FootnoteReference"/>
        </w:rPr>
        <w:t xml:space="preserve"> </w:t>
      </w:r>
      <w:r>
        <w:rPr>
          <w:rStyle w:val="FootnoteReference"/>
        </w:rPr>
        <w:footnoteReference w:id="22"/>
      </w:r>
      <w:r>
        <w:t xml:space="preserve">. </w:t>
      </w:r>
    </w:p>
    <w:p w:rsidR="002E0091" w:rsidRPr="001766F4" w:rsidP="00AA0354" w14:paraId="2C98868C" w14:textId="77777777">
      <w:pPr>
        <w:pStyle w:val="ListContinue2"/>
      </w:pPr>
      <w:r>
        <w:t>To support CMS’ efforts to expand participation in certain Medicare assistance programs, this series will also feature revisions to existing items on LIS and MSP. Beneficiaries will first be asked two new items about awareness of LIS and MSP programs; those who respond affirmatively will be asked if they participate in the respective program(s). The purpose of these revisions is to improve measures of program awareness among beneficiaries who are not currently enrolled. In combination with rich demographic data and other data available from the MCBS, this information can be used by CMS stakeholders to estimate the number and characteristics of beneficiaries who may be eligible for existing programs but not currently enrolled</w:t>
      </w:r>
      <w:r>
        <w:rPr>
          <w:rStyle w:val="FootnoteReference"/>
        </w:rPr>
        <w:footnoteReference w:id="23"/>
      </w:r>
      <w:r>
        <w:t>. Previous IAQ data has been used by the Office of Communications and others within CMS to improve their outreach strategies and make additional resources available to CMS partners and stakeholders</w:t>
      </w:r>
      <w:r>
        <w:rPr>
          <w:rStyle w:val="FootnoteReference"/>
        </w:rPr>
        <w:footnoteReference w:id="24"/>
      </w:r>
      <w:r>
        <w:t>. The inclusion of the consolidated Federal program participation and awareness series in the redesigned IAQ will provide CMS with a more comprehensive understanding of various non-CMS programs that Medicare beneficiaries rely on. Data provided by this expanded series will align with, and build on, aspects of the Supplemental Poverty Measure (SPM), which helps to determine the effects of government policies and determine the size and composition of the population whose basic needs are going unmet</w:t>
      </w:r>
      <w:r>
        <w:rPr>
          <w:rStyle w:val="FootnoteReference"/>
        </w:rPr>
        <w:footnoteReference w:id="25"/>
      </w:r>
      <w:r>
        <w:t>. Extensive research from the Census Bureau indicates that accounting for noncash government benefits and living expenses in determining who is in poverty provides a deeper understanding of economic conditions and policy effects</w:t>
      </w:r>
      <w:r>
        <w:rPr>
          <w:rStyle w:val="FootnoteReference"/>
        </w:rPr>
        <w:footnoteReference w:id="26"/>
      </w:r>
      <w:r w:rsidRPr="008C3AAA">
        <w:rPr>
          <w:vertAlign w:val="superscript"/>
        </w:rPr>
        <w:t>,</w:t>
      </w:r>
      <w:r>
        <w:rPr>
          <w:rStyle w:val="FootnoteReference"/>
        </w:rPr>
        <w:footnoteReference w:id="27"/>
      </w:r>
      <w:r>
        <w:t xml:space="preserve">. </w:t>
      </w:r>
    </w:p>
    <w:p w:rsidR="002E0091" w:rsidP="00AA0354" w14:paraId="726E695F" w14:textId="44FC22DD">
      <w:pPr>
        <w:pStyle w:val="BodyText"/>
        <w:spacing w:before="180"/>
      </w:pPr>
      <w:r>
        <w:t xml:space="preserve">Finally, the redesigned IAQ will include the deletion of </w:t>
      </w:r>
      <w:r w:rsidR="00D841B0">
        <w:t xml:space="preserve">22 </w:t>
      </w:r>
      <w:r>
        <w:t xml:space="preserve">items, which are no longer policy relevant, including </w:t>
      </w:r>
      <w:r w:rsidR="00DA7FA5">
        <w:t xml:space="preserve">extensive follow-up </w:t>
      </w:r>
      <w:r>
        <w:t xml:space="preserve">items about employment, </w:t>
      </w:r>
      <w:r w:rsidR="00DA7FA5">
        <w:t xml:space="preserve">several items related to </w:t>
      </w:r>
      <w:r>
        <w:t xml:space="preserve">car ownership, and when the beneficiary started collecting Social Security. These updates will help </w:t>
      </w:r>
      <w:r>
        <w:t>to offset the increase in respondent burden stemming from new items related to IRA provisions. In addition, this change results in the deletion of two items about LIS program applications from the RXQ and one item about MSP program application from the KNQ; these items are no longer necessary given the shift in focus to program eligibility vis-à-vis participation.</w:t>
      </w:r>
    </w:p>
    <w:p w:rsidR="00D841B0" w:rsidRPr="00D841B0" w:rsidP="007043F8" w14:paraId="7438D8E2" w14:textId="77777777">
      <w:pPr>
        <w:pStyle w:val="BodyText"/>
      </w:pPr>
      <w:r w:rsidRPr="00D841B0">
        <w:rPr>
          <w:b/>
          <w:bCs/>
        </w:rPr>
        <w:t>One new item on charity care</w:t>
      </w:r>
      <w:r w:rsidRPr="00D841B0">
        <w:t>. Many consumers struggle to afford the cost of medical services</w:t>
      </w:r>
      <w:r>
        <w:rPr>
          <w:vertAlign w:val="superscript"/>
        </w:rPr>
        <w:footnoteReference w:id="28"/>
      </w:r>
      <w:r w:rsidRPr="00D841B0">
        <w:t xml:space="preserve">, and there are ongoing concerns amongst policymakers about the affordability of hospital care and the growing burden of medical debt. Building on the addition of new medical debt items in the redesigned IAQ, CMS seeks to add a new item on financial assistance programs for medical bills (referred to hereafter as charity care) in the Health Status and Functioning Questionnaire (HFQ) in Fall 2025 Round 103. </w:t>
      </w:r>
    </w:p>
    <w:p w:rsidR="00D841B0" w:rsidRPr="00D841B0" w:rsidP="007043F8" w14:paraId="4BF3F0B5" w14:textId="77777777">
      <w:pPr>
        <w:pStyle w:val="BodyText"/>
      </w:pPr>
      <w:r w:rsidRPr="00D841B0">
        <w:t>Federal law requires that nonprofit hospitals—which account for nearly three-fifths (58%) of community hospitals—provide some level of charity care as a condition of receiving tax-exempt status, and many state governments require all or a subset of hospitals to extend eligibility for charity care to certain groups of patients</w:t>
      </w:r>
      <w:r>
        <w:rPr>
          <w:vertAlign w:val="superscript"/>
        </w:rPr>
        <w:footnoteReference w:id="29"/>
      </w:r>
      <w:r w:rsidRPr="00D841B0">
        <w:t>. It is unclear what proportion of patients are eligible for hospital charity care, what proportion of eligible patients benefit from these programs, and what share of their costs are covered. The available research indicates that not all patients eligible for financial assistance receive it and that inequities exist in the availability and supply of charity care, with hospitals serving low income and rural communities offering the least relief to patients</w:t>
      </w:r>
      <w:r>
        <w:rPr>
          <w:rStyle w:val="FootnoteReference"/>
        </w:rPr>
        <w:footnoteReference w:id="30"/>
      </w:r>
      <w:r w:rsidRPr="00D841B0">
        <w:rPr>
          <w:vertAlign w:val="superscript"/>
        </w:rPr>
        <w:t>,</w:t>
      </w:r>
      <w:r>
        <w:rPr>
          <w:rStyle w:val="FootnoteReference"/>
        </w:rPr>
        <w:footnoteReference w:id="31"/>
      </w:r>
      <w:r w:rsidRPr="00D841B0">
        <w:t xml:space="preserve">. </w:t>
      </w:r>
    </w:p>
    <w:p w:rsidR="00D841B0" w:rsidP="007043F8" w14:paraId="358F78C6" w14:textId="77777777">
      <w:pPr>
        <w:pStyle w:val="BodyText"/>
      </w:pPr>
      <w:r>
        <w:t>Federal and state regulations do not consistently define or set minimum standards for hospitals to determine who is eligible for charity care or the level of assistance to be provided. Slightly over half of all states (26 states and DC), for example, require all or a subset of hospitals to extend eligibility for charity care to certain groups of patients. Medicaid and Medicare both provide supplemental payments to hospitals that are intended, at least in part, to offset the costs of charity care and other uncompensated care (e.g., disproportionate share hospital payments). From the available data, it appears that the total amount of tax relief for non-profit hospitals greatly exceeds the level of financial assistance hospitals provide in any given year</w:t>
      </w:r>
      <w:r>
        <w:rPr>
          <w:rStyle w:val="FootnoteReference"/>
        </w:rPr>
        <w:footnoteReference w:id="32"/>
      </w:r>
      <w:r>
        <w:t xml:space="preserve">. Access to financial assistance can provide significant relief to the patients and families impacted by medical bills and collections, but financial assistance for medical care appears to be underused. </w:t>
      </w:r>
    </w:p>
    <w:p w:rsidR="00D841B0" w:rsidP="007043F8" w14:paraId="4B80B5C3" w14:textId="77777777">
      <w:pPr>
        <w:pStyle w:val="BodyText"/>
      </w:pPr>
      <w:r>
        <w:t xml:space="preserve">In the context of ongoing concerns about the affordability of hospital care and the growing burden of medical debt, several policy ideas have been initiated at the federal and state level to strengthen hospital charity care programs. To inform these initiatives and support the ongoing research of CFPB, CMS, and ASPE, it is important to better understand the patterns of use of charity care programs amongst Medicare beneficiaries. </w:t>
      </w:r>
    </w:p>
    <w:p w:rsidR="00D841B0" w:rsidRPr="00D841B0" w:rsidP="007043F8" w14:paraId="23C9DEB2" w14:textId="498F368E">
      <w:pPr>
        <w:pStyle w:val="BodyText"/>
        <w:rPr>
          <w:rFonts w:eastAsiaTheme="minorHAnsi"/>
        </w:rPr>
      </w:pPr>
      <w:r w:rsidRPr="00D841B0">
        <w:t>The new charity care item will be sourced from the 2022 Health Reform Monitoring Survey</w:t>
      </w:r>
      <w:r>
        <w:rPr>
          <w:rStyle w:val="FootnoteReference"/>
        </w:rPr>
        <w:footnoteReference w:id="33"/>
      </w:r>
      <w:r w:rsidRPr="00D841B0">
        <w:t xml:space="preserve"> and will be added to an existing three-item series on trouble paying for medical bills and debt collection in the HFQ. This item will be fielded beginning in Fall 2025 Round 103 and will be fielded annually during the Fall round</w:t>
      </w:r>
      <w:r>
        <w:t>.</w:t>
      </w:r>
      <w:r w:rsidRPr="00D841B0">
        <w:t xml:space="preserve"> At the same time, an existing item on outstanding medical bills will be removed from the HFQ starting in Fall 2025 Round 100, given its redundancy with the new medical debt series planned for the redesigned IAQ. </w:t>
      </w:r>
    </w:p>
    <w:p w:rsidR="005970FE" w:rsidP="008437C5" w14:paraId="0DA4C772" w14:textId="5D462117">
      <w:pPr>
        <w:pStyle w:val="BodyText"/>
      </w:pPr>
      <w:r>
        <w:rPr>
          <w:b/>
          <w:bCs/>
        </w:rPr>
        <w:t>Update Respondent Materials.</w:t>
      </w:r>
      <w:r>
        <w:t xml:space="preserve"> To maximize outreach, CMS is adding one new item to the suite of existing respondent material (see Attachment </w:t>
      </w:r>
      <w:r w:rsidR="000F4D55">
        <w:t>7</w:t>
      </w:r>
      <w:r>
        <w:t xml:space="preserve">). </w:t>
      </w:r>
      <w:bookmarkStart w:id="35" w:name="OLE_LINK78"/>
      <w:r w:rsidR="008B0870">
        <w:t>The new</w:t>
      </w:r>
      <w:r w:rsidR="00DB6BE8">
        <w:t xml:space="preserve"> refusal conversion</w:t>
      </w:r>
      <w:r w:rsidR="008B0870">
        <w:t xml:space="preserve"> letter is designed to address potential concerns about Medicare-related fraud, which has been cited as a reason for non-participation</w:t>
      </w:r>
      <w:r>
        <w:t xml:space="preserve">. </w:t>
      </w:r>
      <w:r w:rsidR="008B0870">
        <w:t>Interviewers may request this letter to be sent to beneficiaries to establish legitimacy and motivate participation.</w:t>
      </w:r>
      <w:bookmarkEnd w:id="35"/>
    </w:p>
    <w:p w:rsidR="0088452B" w:rsidRPr="00D94F41" w:rsidP="00224949" w14:paraId="5510938C" w14:textId="6EFA8A26">
      <w:pPr>
        <w:pStyle w:val="Heading5"/>
      </w:pPr>
      <w:r w:rsidRPr="00D94F41">
        <w:t xml:space="preserve">Rounds </w:t>
      </w:r>
      <w:r w:rsidRPr="00D94F41" w:rsidR="00BB526D">
        <w:t>9</w:t>
      </w:r>
      <w:r w:rsidR="006C0576">
        <w:t>8</w:t>
      </w:r>
      <w:r w:rsidRPr="00D94F41" w:rsidR="00105272">
        <w:t xml:space="preserve"> </w:t>
      </w:r>
      <w:r w:rsidRPr="00D94F41">
        <w:t xml:space="preserve">through </w:t>
      </w:r>
      <w:r w:rsidRPr="00D94F41" w:rsidR="00BB526D">
        <w:t>10</w:t>
      </w:r>
      <w:r w:rsidR="006C0576">
        <w:t>6</w:t>
      </w:r>
      <w:r w:rsidRPr="00D94F41" w:rsidR="00105272">
        <w:t xml:space="preserve"> </w:t>
      </w:r>
      <w:r w:rsidRPr="00D94F41" w:rsidR="00974F57">
        <w:t>Data C</w:t>
      </w:r>
      <w:r w:rsidRPr="00D94F41">
        <w:t xml:space="preserve">ollection </w:t>
      </w:r>
      <w:r w:rsidRPr="00D94F41" w:rsidR="00974F57">
        <w:t>P</w:t>
      </w:r>
      <w:r w:rsidRPr="00D94F41">
        <w:t>rocedures</w:t>
      </w:r>
    </w:p>
    <w:p w:rsidR="00D906DC" w:rsidRPr="00D94F41" w:rsidP="008437C5" w14:paraId="2F15E695" w14:textId="5BF8527F">
      <w:pPr>
        <w:pStyle w:val="ListNumber"/>
        <w:numPr>
          <w:ilvl w:val="0"/>
          <w:numId w:val="8"/>
        </w:numPr>
        <w:contextualSpacing w:val="0"/>
      </w:pPr>
      <w:r w:rsidRPr="00D94F41">
        <w:rPr>
          <w:u w:val="single"/>
        </w:rPr>
        <w:t xml:space="preserve">Interviews with </w:t>
      </w:r>
      <w:r w:rsidRPr="00D94F41" w:rsidR="00505BED">
        <w:rPr>
          <w:u w:val="single"/>
        </w:rPr>
        <w:t>Incoming Panel</w:t>
      </w:r>
      <w:r w:rsidRPr="00D94F41">
        <w:rPr>
          <w:u w:val="single"/>
        </w:rPr>
        <w:t xml:space="preserve"> sample persons in community</w:t>
      </w:r>
      <w:r w:rsidRPr="00D94F41">
        <w:t xml:space="preserve">. In the Fall rounds (Round </w:t>
      </w:r>
      <w:r w:rsidR="006C0576">
        <w:t>10</w:t>
      </w:r>
      <w:r w:rsidR="00D926C8">
        <w:t>3</w:t>
      </w:r>
      <w:r w:rsidRPr="00D94F41">
        <w:t xml:space="preserve">, </w:t>
      </w:r>
      <w:r w:rsidRPr="00D94F41" w:rsidR="00BB526D">
        <w:t>10</w:t>
      </w:r>
      <w:r w:rsidR="00D926C8">
        <w:t>6</w:t>
      </w:r>
      <w:r w:rsidRPr="00D94F41" w:rsidR="00105272">
        <w:t xml:space="preserve">, </w:t>
      </w:r>
      <w:r w:rsidRPr="00D94F41" w:rsidR="00BB526D">
        <w:t>10</w:t>
      </w:r>
      <w:r w:rsidR="00D926C8">
        <w:t>9</w:t>
      </w:r>
      <w:r w:rsidRPr="00D94F41">
        <w:t xml:space="preserve">), all newly selected beneficiaries will be </w:t>
      </w:r>
      <w:r w:rsidRPr="00D94F41" w:rsidR="006E0017">
        <w:t xml:space="preserve">mailed </w:t>
      </w:r>
      <w:r w:rsidRPr="00D94F41">
        <w:t>a Community Advance Letter from the Centers for Medic</w:t>
      </w:r>
      <w:r w:rsidRPr="00D94F41" w:rsidR="00974F57">
        <w:t>are and Medicaid Services</w:t>
      </w:r>
      <w:r w:rsidRPr="00D94F41" w:rsidR="003C0E08">
        <w:t xml:space="preserve"> (Attachment </w:t>
      </w:r>
      <w:r w:rsidR="004364EB">
        <w:t>1</w:t>
      </w:r>
      <w:r w:rsidRPr="00D94F41" w:rsidR="003C0E08">
        <w:t>)</w:t>
      </w:r>
      <w:r w:rsidRPr="00D94F41" w:rsidR="00974F57">
        <w:t>.</w:t>
      </w:r>
      <w:r w:rsidRPr="00D94F41" w:rsidR="001D3E4D">
        <w:t xml:space="preserve"> </w:t>
      </w:r>
      <w:r w:rsidRPr="00D94F41" w:rsidR="00C00B83">
        <w:t xml:space="preserve">Advance mail materials have been developed </w:t>
      </w:r>
      <w:r w:rsidRPr="00D94F41">
        <w:t xml:space="preserve">to accommodate </w:t>
      </w:r>
      <w:r w:rsidRPr="00D94F41" w:rsidR="00C00B83">
        <w:t>interviews conducted in</w:t>
      </w:r>
      <w:r w:rsidRPr="00D94F41" w:rsidR="00887C90">
        <w:t xml:space="preserve"> person</w:t>
      </w:r>
      <w:r w:rsidRPr="00D94F41" w:rsidR="00C00B83">
        <w:t xml:space="preserve"> </w:t>
      </w:r>
      <w:r w:rsidRPr="00D94F41">
        <w:t>and</w:t>
      </w:r>
      <w:r w:rsidRPr="00D94F41" w:rsidR="00C00B83">
        <w:t xml:space="preserve"> phone. </w:t>
      </w:r>
      <w:r w:rsidRPr="00D94F41">
        <w:t xml:space="preserve">Outreach with </w:t>
      </w:r>
      <w:r w:rsidRPr="00D94F41" w:rsidR="00505BED">
        <w:t>Incoming Panel</w:t>
      </w:r>
      <w:r w:rsidRPr="00D94F41">
        <w:t xml:space="preserve"> beneficiaries</w:t>
      </w:r>
      <w:r w:rsidRPr="00D94F41" w:rsidR="006A0B83">
        <w:t xml:space="preserve"> is conducted by telephone</w:t>
      </w:r>
      <w:r w:rsidR="00377EFD">
        <w:t xml:space="preserve"> and in-person visits</w:t>
      </w:r>
      <w:r w:rsidRPr="00D94F41" w:rsidR="006A0B83">
        <w:t xml:space="preserve"> following a process to identify viable phone numbers for beneficiaries. </w:t>
      </w:r>
    </w:p>
    <w:p w:rsidR="006A0B83" w:rsidRPr="00D94F41" w:rsidP="0067247B" w14:paraId="125DDD66" w14:textId="2627942C">
      <w:pPr>
        <w:pStyle w:val="ListNumber"/>
        <w:contextualSpacing w:val="0"/>
      </w:pPr>
      <w:r w:rsidRPr="00D94F41">
        <w:t xml:space="preserve">When </w:t>
      </w:r>
      <w:r w:rsidRPr="00D94F41" w:rsidR="006E0017">
        <w:t>conduct</w:t>
      </w:r>
      <w:r w:rsidRPr="00D94F41">
        <w:t>ing</w:t>
      </w:r>
      <w:r w:rsidRPr="00D94F41" w:rsidR="006E0017">
        <w:t xml:space="preserve"> in-person</w:t>
      </w:r>
      <w:r w:rsidRPr="00D94F41">
        <w:t xml:space="preserve"> interviews</w:t>
      </w:r>
      <w:r w:rsidRPr="00D94F41" w:rsidR="006E0017">
        <w:t>, f</w:t>
      </w:r>
      <w:r w:rsidRPr="00D94F41" w:rsidR="00974F57">
        <w:t xml:space="preserve">ield </w:t>
      </w:r>
      <w:r w:rsidRPr="00D94F41" w:rsidR="004112E2">
        <w:t>interviewers</w:t>
      </w:r>
      <w:bookmarkStart w:id="36" w:name="B3._Methods_for_Maximizing_Response_Rate"/>
      <w:bookmarkEnd w:id="36"/>
      <w:r w:rsidRPr="00D94F41" w:rsidR="00974F57">
        <w:t xml:space="preserve"> </w:t>
      </w:r>
      <w:r w:rsidRPr="00D94F41" w:rsidR="004112E2">
        <w:t xml:space="preserve">will carry copies of the advance </w:t>
      </w:r>
      <w:r w:rsidRPr="00D94F41" w:rsidR="007B4872">
        <w:t xml:space="preserve">materials (e.g., advance letter, frequently asked questions) </w:t>
      </w:r>
      <w:r w:rsidRPr="00D94F41" w:rsidR="004112E2">
        <w:t xml:space="preserve">for respondents who do not recall receiving </w:t>
      </w:r>
      <w:r w:rsidRPr="00D94F41" w:rsidR="007B4872">
        <w:t xml:space="preserve">them </w:t>
      </w:r>
      <w:r w:rsidRPr="00D94F41" w:rsidR="004112E2">
        <w:t>in the mail, as well as a copy of the MCBS Community Brochure and At the Door Sheet (Attachment</w:t>
      </w:r>
      <w:r w:rsidRPr="00D94F41" w:rsidR="00D448D1">
        <w:t>s</w:t>
      </w:r>
      <w:r w:rsidRPr="00D94F41" w:rsidR="004112E2">
        <w:t xml:space="preserve"> </w:t>
      </w:r>
      <w:r w:rsidR="004364EB">
        <w:t>1</w:t>
      </w:r>
      <w:r w:rsidRPr="00D94F41" w:rsidR="004112E2">
        <w:t>).</w:t>
      </w:r>
      <w:r w:rsidRPr="00D94F41" w:rsidR="00C00B83">
        <w:t xml:space="preserve"> </w:t>
      </w:r>
      <w:r w:rsidRPr="00D94F41">
        <w:t>Additional reminder letter, thank you letters acknowledging participation, and tailored refusal conversion letters provide additional ways to build rapport and gain cooperation with beneficiaries and further improve response rates.</w:t>
      </w:r>
    </w:p>
    <w:p w:rsidR="0088452B" w:rsidRPr="00D94F41" w:rsidP="0067247B" w14:paraId="723714CB" w14:textId="3A9F1980">
      <w:pPr>
        <w:pStyle w:val="ListNumber"/>
      </w:pPr>
      <w:r w:rsidRPr="00D94F41">
        <w:t xml:space="preserve">The Community interviews (Rounds </w:t>
      </w:r>
      <w:r w:rsidR="00D926C8">
        <w:t>101</w:t>
      </w:r>
      <w:r w:rsidRPr="00D94F41" w:rsidR="00BB526D">
        <w:t>-10</w:t>
      </w:r>
      <w:r w:rsidR="00D926C8">
        <w:t>9</w:t>
      </w:r>
      <w:r w:rsidRPr="00D94F41">
        <w:t xml:space="preserve">) will be administered to the respondent or a designated proxy using a CAPI program on a laptop computer. Attachment </w:t>
      </w:r>
      <w:r w:rsidR="004364EB">
        <w:t>2</w:t>
      </w:r>
      <w:r w:rsidRPr="00D94F41">
        <w:t xml:space="preserve"> includes a copy of all questionnaire sections administered in the </w:t>
      </w:r>
      <w:r w:rsidRPr="00D94F41" w:rsidR="000A248B">
        <w:t>B</w:t>
      </w:r>
      <w:r w:rsidRPr="00D94F41">
        <w:t>aseline interview, the</w:t>
      </w:r>
      <w:r w:rsidRPr="00D94F41" w:rsidR="00015740">
        <w:t xml:space="preserve"> </w:t>
      </w:r>
      <w:r w:rsidR="0030138B">
        <w:t>C</w:t>
      </w:r>
      <w:r w:rsidRPr="00D94F41" w:rsidR="00015740">
        <w:t>ontinuing interview, and the S</w:t>
      </w:r>
      <w:r w:rsidRPr="00D94F41">
        <w:t>howcards used by the interviewer to assist in the interviewing process.</w:t>
      </w:r>
    </w:p>
    <w:p w:rsidR="0088452B" w:rsidRPr="00D94F41" w:rsidP="00AA0354" w14:paraId="46259D4B" w14:textId="6E4E9C3A">
      <w:pPr>
        <w:pStyle w:val="ListContinue"/>
      </w:pPr>
      <w:r w:rsidRPr="00D94F41">
        <w:t>A</w:t>
      </w:r>
      <w:r w:rsidR="00DB6BE8">
        <w:t>fter</w:t>
      </w:r>
      <w:r w:rsidRPr="00D94F41">
        <w:t xml:space="preserve"> the completion of the </w:t>
      </w:r>
      <w:r w:rsidRPr="00D94F41" w:rsidR="000A248B">
        <w:t>B</w:t>
      </w:r>
      <w:r w:rsidRPr="00D94F41">
        <w:t xml:space="preserve">aseline interview (Rounds </w:t>
      </w:r>
      <w:r w:rsidR="006C0576">
        <w:t>10</w:t>
      </w:r>
      <w:r w:rsidR="00D926C8">
        <w:t>3</w:t>
      </w:r>
      <w:r w:rsidRPr="00D94F41">
        <w:t xml:space="preserve">, </w:t>
      </w:r>
      <w:r w:rsidRPr="00D94F41" w:rsidR="00BB526D">
        <w:t>10</w:t>
      </w:r>
      <w:r w:rsidR="00D926C8">
        <w:t>6</w:t>
      </w:r>
      <w:r w:rsidRPr="00D94F41" w:rsidR="00105272">
        <w:t xml:space="preserve">, </w:t>
      </w:r>
      <w:r w:rsidRPr="00D94F41" w:rsidR="00BB526D">
        <w:t>10</w:t>
      </w:r>
      <w:r w:rsidR="00D926C8">
        <w:t>9</w:t>
      </w:r>
      <w:r w:rsidRPr="00D94F41">
        <w:t xml:space="preserve">), each new respondent is </w:t>
      </w:r>
      <w:r w:rsidR="00DB6BE8">
        <w:t>offered an</w:t>
      </w:r>
      <w:r w:rsidR="00D926C8">
        <w:t xml:space="preserve"> </w:t>
      </w:r>
      <w:r w:rsidRPr="00D94F41">
        <w:t xml:space="preserve">MCBS calendar (Attachment </w:t>
      </w:r>
      <w:r w:rsidR="004364EB">
        <w:t>1</w:t>
      </w:r>
      <w:r w:rsidRPr="00D94F41">
        <w:t xml:space="preserve">), on which he or she is encouraged to record health care events. The same calendar is </w:t>
      </w:r>
      <w:r w:rsidR="00DB6BE8">
        <w:t>offered</w:t>
      </w:r>
      <w:r w:rsidRPr="00D94F41" w:rsidR="00DB6BE8">
        <w:t xml:space="preserve"> </w:t>
      </w:r>
      <w:r w:rsidRPr="00D94F41">
        <w:t>to all Continuing Community respondents on a year</w:t>
      </w:r>
      <w:r w:rsidRPr="00D94F41" w:rsidR="006A0B83">
        <w:t>ly</w:t>
      </w:r>
      <w:r w:rsidRPr="00D94F41">
        <w:t xml:space="preserve"> basis.</w:t>
      </w:r>
      <w:r w:rsidRPr="00D94F41" w:rsidR="006E0017">
        <w:t xml:space="preserve"> </w:t>
      </w:r>
      <w:r w:rsidRPr="00D94F41" w:rsidR="009D00DA">
        <w:t xml:space="preserve">The calendar </w:t>
      </w:r>
      <w:r w:rsidR="00DB6BE8">
        <w:t>may be</w:t>
      </w:r>
      <w:r w:rsidRPr="00D94F41" w:rsidR="009D00DA">
        <w:t xml:space="preserve"> provided either during an in-person interview or by mail following a phone interview. </w:t>
      </w:r>
    </w:p>
    <w:p w:rsidR="0088452B" w:rsidRPr="00D94F41" w:rsidP="0067247B" w14:paraId="2C100F4D" w14:textId="54711BF9">
      <w:pPr>
        <w:pStyle w:val="ListNumber"/>
      </w:pPr>
      <w:r w:rsidRPr="00D94F41">
        <w:rPr>
          <w:u w:val="single"/>
        </w:rPr>
        <w:t xml:space="preserve">Interviews with sample persons in institutions. </w:t>
      </w:r>
      <w:r w:rsidR="00BC2BB6">
        <w:rPr>
          <w:u w:val="single"/>
        </w:rPr>
        <w:t>Regardless of mode of administration, a</w:t>
      </w:r>
      <w:r w:rsidRPr="00D94F41">
        <w:t xml:space="preserve">ll Facility interviews are administered to facility staff </w:t>
      </w:r>
      <w:r w:rsidR="00BC2BB6">
        <w:t xml:space="preserve">by field interviewers who use a </w:t>
      </w:r>
      <w:r w:rsidRPr="00D94F41">
        <w:t xml:space="preserve">CAPI program on a laptop computer. For all facility residents, the Facility Eligibility Screener is administered each time a respondent is found to have entered a facility, or in the case of </w:t>
      </w:r>
      <w:r w:rsidRPr="00D94F41" w:rsidR="000A248B">
        <w:t>B</w:t>
      </w:r>
      <w:r w:rsidRPr="00D94F41">
        <w:t xml:space="preserve">aseline respondents, is currently in a facility (Attachment </w:t>
      </w:r>
      <w:r w:rsidR="004364EB">
        <w:t>3</w:t>
      </w:r>
      <w:r w:rsidRPr="00D94F41">
        <w:t xml:space="preserve">). The Facility instrument to be used in Rounds </w:t>
      </w:r>
      <w:r w:rsidR="00BD5964">
        <w:t>101-109</w:t>
      </w:r>
      <w:r w:rsidRPr="00D94F41" w:rsidR="00105272">
        <w:t xml:space="preserve"> </w:t>
      </w:r>
      <w:r w:rsidRPr="00D94F41">
        <w:t xml:space="preserve">is shown in Attachment </w:t>
      </w:r>
      <w:r w:rsidR="004364EB">
        <w:t>4</w:t>
      </w:r>
      <w:r w:rsidRPr="00D94F41">
        <w:t>.</w:t>
      </w:r>
    </w:p>
    <w:p w:rsidR="00E219CE" w:rsidRPr="00D94F41" w:rsidP="00AA0354" w14:paraId="546481ED" w14:textId="41ABFC53">
      <w:pPr>
        <w:pStyle w:val="ListContinue"/>
      </w:pPr>
      <w:r w:rsidRPr="00D94F41">
        <w:t>An advance letter is sent to all facilities</w:t>
      </w:r>
      <w:r w:rsidR="00BC2BB6">
        <w:t xml:space="preserve"> prior to an interview contacting the facility for an interview</w:t>
      </w:r>
      <w:r w:rsidR="005970FE">
        <w:t xml:space="preserve"> </w:t>
      </w:r>
      <w:r w:rsidRPr="00D94F41">
        <w:t xml:space="preserve">(Attachment </w:t>
      </w:r>
      <w:r w:rsidR="004364EB">
        <w:t>5</w:t>
      </w:r>
      <w:r w:rsidR="005970FE">
        <w:t>)</w:t>
      </w:r>
      <w:r w:rsidRPr="00D94F41">
        <w:t xml:space="preserve">. </w:t>
      </w:r>
      <w:r w:rsidR="00BC2BB6">
        <w:t>CMS has also developed a</w:t>
      </w:r>
      <w:r w:rsidRPr="00D94F41" w:rsidR="006A0B83">
        <w:t>dditional</w:t>
      </w:r>
      <w:r w:rsidR="00BC2BB6">
        <w:t xml:space="preserve"> materials</w:t>
      </w:r>
      <w:r w:rsidRPr="00D94F41" w:rsidR="006A0B83">
        <w:t xml:space="preserve"> </w:t>
      </w:r>
      <w:r w:rsidR="00BC2BB6">
        <w:t xml:space="preserve">to gain cooperation including </w:t>
      </w:r>
      <w:r w:rsidRPr="00D94F41" w:rsidR="006A0B83">
        <w:t>provid</w:t>
      </w:r>
      <w:r w:rsidR="00BC2BB6">
        <w:t>ing</w:t>
      </w:r>
      <w:r w:rsidRPr="00D94F41" w:rsidR="006A0B83">
        <w:t xml:space="preserve"> information on how to prepare for the interview, introduc</w:t>
      </w:r>
      <w:r w:rsidR="00BC2BB6">
        <w:t>ing</w:t>
      </w:r>
      <w:r w:rsidRPr="00D94F41" w:rsidR="006A0B83">
        <w:t xml:space="preserve"> the study to </w:t>
      </w:r>
      <w:r w:rsidRPr="00D94F41" w:rsidR="006A0B83">
        <w:t>staff at third-party billing offices who may provide additional survey responses, and thank</w:t>
      </w:r>
      <w:r w:rsidR="00BC2BB6">
        <w:t xml:space="preserve">ing </w:t>
      </w:r>
      <w:r w:rsidRPr="00D94F41" w:rsidR="006A0B83">
        <w:t>the facility staff for participation.</w:t>
      </w:r>
    </w:p>
    <w:p w:rsidR="0088452B" w:rsidP="00AA0354" w14:paraId="7F27DAA1" w14:textId="3AC80EC7">
      <w:pPr>
        <w:pStyle w:val="ListContinue"/>
      </w:pPr>
      <w:r w:rsidRPr="00D94F41">
        <w:t xml:space="preserve">Some facility administrators will require consent of the sample person or a next of kin before releasing any information. The data collection contractor will offer to obtain such written consent, using the Resident Consent Form, and Next of Kin Consent Form. These forms as well as a HIPAA letter are included in Attachment </w:t>
      </w:r>
      <w:r w:rsidR="004364EB">
        <w:t>5</w:t>
      </w:r>
      <w:r w:rsidRPr="00D94F41">
        <w:t>.</w:t>
      </w:r>
    </w:p>
    <w:p w:rsidR="0088452B" w:rsidRPr="00D94F41" w:rsidP="00F53796" w14:paraId="36FB54A4" w14:textId="77777777">
      <w:pPr>
        <w:pStyle w:val="Heading4"/>
      </w:pPr>
      <w:r w:rsidRPr="00D94F41">
        <w:t>Proxy rules.</w:t>
      </w:r>
    </w:p>
    <w:p w:rsidR="00D7763B" w:rsidRPr="00D94F41" w:rsidP="00D7763B" w14:paraId="18A8E652" w14:textId="11E64251">
      <w:pPr>
        <w:pStyle w:val="BodyText"/>
      </w:pPr>
      <w:r w:rsidRPr="00D94F41">
        <w:t>For Community respondents, the preferred mode is self-response. Respondents are asked to designate proxy respondents. These are individuals who are knowledgeable about the respondent’s health care. In the MCBS, only those individuals who are designated by the respondents can serve as proxy respondents.</w:t>
      </w:r>
      <w:r w:rsidRPr="00D94F41">
        <w:t xml:space="preserve"> In addition, a proxy </w:t>
      </w:r>
      <w:r w:rsidRPr="00D94F41" w:rsidR="009D00DA">
        <w:t>is</w:t>
      </w:r>
      <w:r w:rsidRPr="00D94F41">
        <w:t xml:space="preserve"> utilized if a beneficiary had been reported as deceased during the current round’s reference period or if a beneficiary who was residing in the community in the previous round had since </w:t>
      </w:r>
      <w:r w:rsidRPr="00D94F41">
        <w:t>entered into</w:t>
      </w:r>
      <w:r w:rsidRPr="00D94F41">
        <w:t xml:space="preserve"> a long-term care facility. Proxy interviews are only used for the Community interview, as the Facility interview is conducted with a staff member located at the facility.</w:t>
      </w:r>
    </w:p>
    <w:p w:rsidR="0088452B" w:rsidRPr="00D94F41" w:rsidP="00BD72D7" w14:paraId="676DC7DF" w14:textId="33757FB2">
      <w:pPr>
        <w:pStyle w:val="BodyText"/>
      </w:pPr>
      <w:r w:rsidRPr="00D94F41">
        <w:t xml:space="preserve">Upon screening a facility where a </w:t>
      </w:r>
      <w:r w:rsidRPr="00D94F41" w:rsidR="00887C90">
        <w:t>sampled beneficiary is determined to be living</w:t>
      </w:r>
      <w:r w:rsidRPr="00D94F41">
        <w:t xml:space="preserve">, the interviewers determine the appropriate staff at the facility best able to respond. MCBS interviewers do not interview residents in a facility. Instead, interviewers are trained to determine and seek out the appropriate staff for </w:t>
      </w:r>
      <w:r w:rsidRPr="00D94F41" w:rsidR="005C37C0">
        <w:t xml:space="preserve">the interview. </w:t>
      </w:r>
      <w:r w:rsidRPr="00D94F41">
        <w:t xml:space="preserve">If a respondent is incarcerated, we do not seek </w:t>
      </w:r>
      <w:r w:rsidRPr="00D94F41" w:rsidR="00697525">
        <w:t xml:space="preserve">response. </w:t>
      </w:r>
      <w:r w:rsidRPr="00D94F41">
        <w:t>Other institutions will be treated on a case-by-case basis.</w:t>
      </w:r>
    </w:p>
    <w:p w:rsidR="0088452B" w:rsidRPr="00D94F41" w:rsidP="00CF2B93" w14:paraId="180A3800" w14:textId="4B48BFDB">
      <w:pPr>
        <w:pStyle w:val="Heading3"/>
        <w:tabs>
          <w:tab w:val="left" w:pos="540"/>
        </w:tabs>
      </w:pPr>
      <w:bookmarkStart w:id="37" w:name="_Toc91154937"/>
      <w:bookmarkStart w:id="38" w:name="_Toc170735986"/>
      <w:r w:rsidRPr="00D94F41">
        <w:t>B3.</w:t>
      </w:r>
      <w:r w:rsidRPr="00D94F41" w:rsidR="00BB2D9F">
        <w:tab/>
      </w:r>
      <w:r w:rsidRPr="00D94F41">
        <w:t>Methods for Maximizing Response Rates and Dealing with Issues of Non-Response</w:t>
      </w:r>
      <w:bookmarkEnd w:id="37"/>
      <w:bookmarkEnd w:id="38"/>
    </w:p>
    <w:p w:rsidR="00CA0928" w:rsidRPr="00D94F41" w:rsidP="00BF3DA4" w14:paraId="713F8F56" w14:textId="5A69BD1D">
      <w:pPr>
        <w:pStyle w:val="BodyText"/>
      </w:pPr>
      <w:r w:rsidRPr="00D94F41">
        <w:t>The sample for the MCBS is a heterogeneous population that presents a unique challenge for maximizing response rates. The survey selects respondents from two Medicare groups—those age 65 and over and those younger than 65 who have disabilities</w:t>
      </w:r>
      <w:r w:rsidR="005970FE">
        <w:t>.</w:t>
      </w:r>
      <w:bookmarkStart w:id="39" w:name="OLE_LINK6"/>
      <w:r w:rsidR="006C0576">
        <w:t xml:space="preserve"> </w:t>
      </w:r>
      <w:bookmarkEnd w:id="39"/>
      <w:r w:rsidRPr="00D94F41">
        <w:t xml:space="preserve">Increasing age, poor health or poor health of a family member are </w:t>
      </w:r>
      <w:r w:rsidR="00492FC2">
        <w:t xml:space="preserve">common </w:t>
      </w:r>
      <w:r w:rsidRPr="00D94F41">
        <w:t xml:space="preserve">reasons for refusal. On the other hand, older persons are the least mobile segment of the population and thus, for a longitudinal survey, </w:t>
      </w:r>
      <w:r w:rsidR="00492FC2">
        <w:t xml:space="preserve">this population has a reduced likelihood of failing to locate the respondent. </w:t>
      </w:r>
    </w:p>
    <w:p w:rsidR="0088452B" w:rsidRPr="00D94F41" w:rsidP="00BF3DA4" w14:paraId="13CBB8DD" w14:textId="1AC40C72">
      <w:pPr>
        <w:pStyle w:val="BodyText"/>
      </w:pPr>
      <w:r w:rsidRPr="00D94F41">
        <w:t xml:space="preserve">Because this is a longitudinal survey, it is essential that we maximize the response rates. </w:t>
      </w:r>
      <w:r w:rsidRPr="00D94F41" w:rsidR="00E4431B">
        <w:t>To</w:t>
      </w:r>
      <w:r w:rsidRPr="00D94F41">
        <w:t xml:space="preserve"> do so, data collection staff undertake an extensive outreach effort each round. This includes the notification of government entities about the survey including CMS regional offices and hotline, carriers and fiscal intermediaries, and Social Security Offices, national organizations including AARP and various community groups (e.g., social service and health departments, home health agencies, state advocates for the elderly</w:t>
      </w:r>
      <w:r w:rsidRPr="00D94F41" w:rsidR="0080512A">
        <w:t>,</w:t>
      </w:r>
      <w:r w:rsidRPr="00D94F41">
        <w:t xml:space="preserve"> and area agencies on aging). These efforts are undertaken to answer questions or concerns that respondents may have </w:t>
      </w:r>
      <w:r w:rsidRPr="00D94F41" w:rsidR="00E4431B">
        <w:t>to</w:t>
      </w:r>
      <w:r w:rsidRPr="00D94F41">
        <w:t xml:space="preserve"> increase the likelihood that respondents would participate in the MCBS and remain in the survey panel.</w:t>
      </w:r>
    </w:p>
    <w:p w:rsidR="00735ED0" w:rsidRPr="00632E4F" w:rsidP="00BF3DA4" w14:paraId="3C69A654" w14:textId="6E0F138F">
      <w:pPr>
        <w:pStyle w:val="BodyText"/>
        <w:rPr>
          <w:spacing w:val="-4"/>
        </w:rPr>
      </w:pPr>
      <w:r w:rsidRPr="00632E4F">
        <w:rPr>
          <w:spacing w:val="-4"/>
        </w:rPr>
        <w:t xml:space="preserve">Further, with the </w:t>
      </w:r>
      <w:r w:rsidRPr="00632E4F" w:rsidR="00444AB8">
        <w:rPr>
          <w:spacing w:val="-4"/>
        </w:rPr>
        <w:t>integration of telephone outreach and interviewing</w:t>
      </w:r>
      <w:r w:rsidRPr="00632E4F">
        <w:rPr>
          <w:spacing w:val="-4"/>
        </w:rPr>
        <w:t xml:space="preserve">, additional </w:t>
      </w:r>
      <w:r w:rsidRPr="00632E4F" w:rsidR="00492FC2">
        <w:rPr>
          <w:spacing w:val="-4"/>
        </w:rPr>
        <w:t>methods</w:t>
      </w:r>
      <w:r w:rsidRPr="00632E4F">
        <w:rPr>
          <w:spacing w:val="-4"/>
        </w:rPr>
        <w:t xml:space="preserve"> </w:t>
      </w:r>
      <w:r w:rsidRPr="00632E4F" w:rsidR="003E5A5E">
        <w:rPr>
          <w:spacing w:val="-4"/>
        </w:rPr>
        <w:t xml:space="preserve">have </w:t>
      </w:r>
      <w:r w:rsidRPr="00632E4F" w:rsidR="00E4431B">
        <w:rPr>
          <w:spacing w:val="-4"/>
        </w:rPr>
        <w:t>been introduced</w:t>
      </w:r>
      <w:r w:rsidRPr="00632E4F">
        <w:rPr>
          <w:spacing w:val="-4"/>
        </w:rPr>
        <w:t xml:space="preserve"> to maximize participation among new </w:t>
      </w:r>
      <w:r w:rsidRPr="00632E4F" w:rsidR="00505BED">
        <w:rPr>
          <w:spacing w:val="-4"/>
        </w:rPr>
        <w:t>Incoming Panel</w:t>
      </w:r>
      <w:r w:rsidRPr="00632E4F">
        <w:rPr>
          <w:spacing w:val="-4"/>
        </w:rPr>
        <w:t xml:space="preserve"> members. </w:t>
      </w:r>
      <w:r w:rsidRPr="00632E4F" w:rsidR="00A35741">
        <w:rPr>
          <w:spacing w:val="-4"/>
        </w:rPr>
        <w:t>Prefield</w:t>
      </w:r>
      <w:r w:rsidRPr="00632E4F">
        <w:rPr>
          <w:spacing w:val="-4"/>
        </w:rPr>
        <w:t xml:space="preserve"> locating activities (including electronic database searches using </w:t>
      </w:r>
      <w:bookmarkStart w:id="40" w:name="OLE_LINK16"/>
      <w:bookmarkStart w:id="41" w:name="OLE_LINK26"/>
      <w:r w:rsidRPr="00632E4F">
        <w:rPr>
          <w:spacing w:val="-4"/>
        </w:rPr>
        <w:t>LexisNexis</w:t>
      </w:r>
      <w:r w:rsidRPr="00632E4F">
        <w:rPr>
          <w:spacing w:val="-4"/>
          <w:vertAlign w:val="superscript"/>
        </w:rPr>
        <w:t>®</w:t>
      </w:r>
      <w:r w:rsidRPr="00632E4F">
        <w:rPr>
          <w:spacing w:val="-4"/>
        </w:rPr>
        <w:t xml:space="preserve"> Accurint</w:t>
      </w:r>
      <w:bookmarkStart w:id="42" w:name="OLE_LINK27"/>
      <w:r w:rsidRPr="00632E4F">
        <w:rPr>
          <w:spacing w:val="-4"/>
          <w:vertAlign w:val="superscript"/>
        </w:rPr>
        <w:t>®</w:t>
      </w:r>
      <w:bookmarkEnd w:id="42"/>
      <w:r w:rsidR="004B2A78">
        <w:rPr>
          <w:spacing w:val="-4"/>
        </w:rPr>
        <w:t xml:space="preserve">, </w:t>
      </w:r>
      <w:r w:rsidR="004B2A78">
        <w:rPr>
          <w:spacing w:val="-4"/>
        </w:rPr>
        <w:t>Infutor</w:t>
      </w:r>
      <w:r w:rsidR="004B2A78">
        <w:rPr>
          <w:spacing w:val="-4"/>
          <w:vertAlign w:val="superscript"/>
        </w:rPr>
        <w:t>®</w:t>
      </w:r>
      <w:r w:rsidR="004B2A78">
        <w:rPr>
          <w:spacing w:val="-4"/>
        </w:rPr>
        <w:t xml:space="preserve"> </w:t>
      </w:r>
      <w:r w:rsidR="004B2A78">
        <w:rPr>
          <w:spacing w:val="-4"/>
        </w:rPr>
        <w:t>PowerFlex</w:t>
      </w:r>
      <w:r w:rsidR="004B2A78">
        <w:rPr>
          <w:spacing w:val="-4"/>
          <w:vertAlign w:val="superscript"/>
        </w:rPr>
        <w:t>®</w:t>
      </w:r>
      <w:r w:rsidR="004B2A78">
        <w:rPr>
          <w:spacing w:val="-4"/>
        </w:rPr>
        <w:t xml:space="preserve">, </w:t>
      </w:r>
      <w:r w:rsidRPr="00632E4F" w:rsidR="00A35741">
        <w:rPr>
          <w:spacing w:val="-4"/>
        </w:rPr>
        <w:t>and TransUnion</w:t>
      </w:r>
      <w:r w:rsidRPr="00632E4F" w:rsidR="00A35741">
        <w:rPr>
          <w:spacing w:val="-4"/>
          <w:vertAlign w:val="superscript"/>
        </w:rPr>
        <w:t>®</w:t>
      </w:r>
      <w:r w:rsidRPr="00632E4F" w:rsidR="00A35741">
        <w:rPr>
          <w:spacing w:val="-4"/>
        </w:rPr>
        <w:t xml:space="preserve"> </w:t>
      </w:r>
      <w:bookmarkStart w:id="43" w:name="OLE_LINK24"/>
      <w:bookmarkEnd w:id="40"/>
      <w:r w:rsidRPr="00632E4F" w:rsidR="00A35741">
        <w:rPr>
          <w:spacing w:val="-4"/>
        </w:rPr>
        <w:t>TLOxp</w:t>
      </w:r>
      <w:r w:rsidRPr="00632E4F" w:rsidR="00A35741">
        <w:rPr>
          <w:spacing w:val="-4"/>
        </w:rPr>
        <w:t xml:space="preserve"> </w:t>
      </w:r>
      <w:bookmarkEnd w:id="43"/>
      <w:r w:rsidRPr="00632E4F" w:rsidR="00A35741">
        <w:rPr>
          <w:spacing w:val="-4"/>
        </w:rPr>
        <w:t>batch processing</w:t>
      </w:r>
      <w:bookmarkEnd w:id="41"/>
      <w:r w:rsidRPr="00632E4F">
        <w:rPr>
          <w:spacing w:val="-4"/>
        </w:rPr>
        <w:t xml:space="preserve">) are </w:t>
      </w:r>
      <w:r w:rsidRPr="00632E4F" w:rsidR="00492FC2">
        <w:rPr>
          <w:spacing w:val="-4"/>
        </w:rPr>
        <w:t xml:space="preserve">used </w:t>
      </w:r>
      <w:r w:rsidRPr="00632E4F">
        <w:rPr>
          <w:spacing w:val="-4"/>
        </w:rPr>
        <w:t xml:space="preserve">to verify or update </w:t>
      </w:r>
      <w:r w:rsidRPr="00632E4F" w:rsidR="00492FC2">
        <w:rPr>
          <w:spacing w:val="-4"/>
        </w:rPr>
        <w:t xml:space="preserve">selected sample </w:t>
      </w:r>
      <w:r w:rsidRPr="00632E4F">
        <w:rPr>
          <w:spacing w:val="-4"/>
        </w:rPr>
        <w:t xml:space="preserve">addresses and to obtain telephone numbers when available. </w:t>
      </w:r>
      <w:r w:rsidRPr="00632E4F" w:rsidR="00A35741">
        <w:rPr>
          <w:spacing w:val="-4"/>
        </w:rPr>
        <w:t>Additional mailings include reminder letter</w:t>
      </w:r>
      <w:r w:rsidRPr="00632E4F" w:rsidR="00492FC2">
        <w:rPr>
          <w:spacing w:val="-4"/>
        </w:rPr>
        <w:t xml:space="preserve">s and use of FedEx </w:t>
      </w:r>
      <w:r w:rsidR="00DB6BE8">
        <w:rPr>
          <w:spacing w:val="-4"/>
        </w:rPr>
        <w:t>priority mailings</w:t>
      </w:r>
      <w:r w:rsidRPr="00632E4F" w:rsidR="00A35741">
        <w:rPr>
          <w:spacing w:val="-4"/>
        </w:rPr>
        <w:t xml:space="preserve">, </w:t>
      </w:r>
      <w:r w:rsidRPr="00632E4F">
        <w:rPr>
          <w:spacing w:val="-4"/>
        </w:rPr>
        <w:t xml:space="preserve">along with </w:t>
      </w:r>
      <w:r w:rsidRPr="00632E4F" w:rsidR="00492FC2">
        <w:rPr>
          <w:spacing w:val="-4"/>
        </w:rPr>
        <w:t xml:space="preserve">intensive </w:t>
      </w:r>
      <w:r w:rsidRPr="00632E4F">
        <w:rPr>
          <w:spacing w:val="-4"/>
        </w:rPr>
        <w:t>locating and tracing efforts to maximize response.</w:t>
      </w:r>
      <w:r w:rsidRPr="00632E4F" w:rsidR="00A8346E">
        <w:rPr>
          <w:spacing w:val="-4"/>
        </w:rPr>
        <w:t xml:space="preserve"> </w:t>
      </w:r>
    </w:p>
    <w:p w:rsidR="00DB3C44" w:rsidRPr="00D94F41" w:rsidP="00BF3DA4" w14:paraId="0D134A12" w14:textId="29276CE4">
      <w:pPr>
        <w:pStyle w:val="BodyText"/>
      </w:pPr>
      <w:r>
        <w:t>E</w:t>
      </w:r>
      <w:r w:rsidRPr="00D94F41" w:rsidR="004112E2">
        <w:t>fforts to maximize response rates include: 1) informing authoritative sources to whom respondents are likely to turn if they question the legitimacy of the MCBS; 2) giving interviewers resources to which they can refer to reassure respondents of the legitimacy/importance of the survey; 3) generally making information about MCBS available through senior centers and other networks to which respondents are likely to belong or reach out (such as the 1-800-Medicare hotline)</w:t>
      </w:r>
      <w:r w:rsidRPr="00D94F41" w:rsidR="00034FF8">
        <w:t>; 4) mailing reminder</w:t>
      </w:r>
      <w:r w:rsidR="00DB6BE8">
        <w:t xml:space="preserve"> or refusal conversion</w:t>
      </w:r>
      <w:r w:rsidRPr="00D94F41" w:rsidR="00034FF8">
        <w:t xml:space="preserve"> letters to respondents to encourage their participation in the survey</w:t>
      </w:r>
      <w:r w:rsidR="00BD5964">
        <w:t xml:space="preserve">, and 5) prioritize in-person outreach </w:t>
      </w:r>
      <w:r w:rsidR="00232471">
        <w:t>and interviewing for certain case groups</w:t>
      </w:r>
      <w:r w:rsidRPr="00D94F41" w:rsidR="0077150C">
        <w:t>.</w:t>
      </w:r>
    </w:p>
    <w:p w:rsidR="00B41CCA" w:rsidRPr="00D94F41" w:rsidP="00BD72D7" w14:paraId="01F58D64" w14:textId="126041EF">
      <w:pPr>
        <w:pStyle w:val="BodyText"/>
      </w:pPr>
      <w:r w:rsidRPr="00D94F41">
        <w:t xml:space="preserve">CMS intensively monitors both unconditional and conditional response rates. The unconditional response rate is the percentage of sample that were released during the fall round of the selection year and responded to the survey </w:t>
      </w:r>
      <w:r w:rsidRPr="00D94F41">
        <w:t>in a given year</w:t>
      </w:r>
      <w:r w:rsidRPr="00D94F41">
        <w:t xml:space="preserve">. The unconditional response rates, also called cumulative response rates, use the original selected sample size as the baseline in their calculation. Conditional response rates are the percentage of sample that </w:t>
      </w:r>
      <w:r w:rsidRPr="00D94F41" w:rsidR="0077150C">
        <w:t xml:space="preserve">were </w:t>
      </w:r>
      <w:r w:rsidRPr="00D94F41" w:rsidR="0077150C">
        <w:rPr>
          <w:i/>
        </w:rPr>
        <w:t>eligible</w:t>
      </w:r>
      <w:r w:rsidRPr="00D94F41" w:rsidR="0077150C">
        <w:t xml:space="preserve"> at the beginning of </w:t>
      </w:r>
      <w:r w:rsidRPr="00D94F41" w:rsidR="00CB154A">
        <w:t xml:space="preserve">the </w:t>
      </w:r>
      <w:r w:rsidRPr="00D94F41" w:rsidR="00505BED">
        <w:t>F</w:t>
      </w:r>
      <w:r w:rsidRPr="00D94F41" w:rsidR="00CB154A">
        <w:t>all</w:t>
      </w:r>
      <w:r w:rsidRPr="00D94F41" w:rsidR="0077150C">
        <w:t xml:space="preserve"> round </w:t>
      </w:r>
      <w:r w:rsidRPr="00D94F41" w:rsidR="00CB154A">
        <w:t xml:space="preserve">of a particular year </w:t>
      </w:r>
      <w:r w:rsidRPr="00D94F41" w:rsidR="0077150C">
        <w:t xml:space="preserve">and </w:t>
      </w:r>
      <w:r w:rsidRPr="00D94F41">
        <w:t xml:space="preserve">responded </w:t>
      </w:r>
      <w:r w:rsidRPr="00D94F41" w:rsidR="00CB154A">
        <w:t>during</w:t>
      </w:r>
      <w:r w:rsidRPr="00D94F41" w:rsidR="0077150C">
        <w:t xml:space="preserve"> that </w:t>
      </w:r>
      <w:r w:rsidRPr="00D94F41" w:rsidR="00CB154A">
        <w:t>year</w:t>
      </w:r>
      <w:r w:rsidRPr="00D94F41">
        <w:t xml:space="preserve">. Conditional response rates use the sample who </w:t>
      </w:r>
      <w:r w:rsidRPr="00D94F41" w:rsidR="00CB154A">
        <w:t xml:space="preserve">are eligible to participate in the survey (a subset of the sample released in the </w:t>
      </w:r>
      <w:r w:rsidRPr="00D94F41" w:rsidR="00505BED">
        <w:t>F</w:t>
      </w:r>
      <w:r w:rsidRPr="00D94F41" w:rsidR="00CB154A">
        <w:t xml:space="preserve">all round of the selection year) </w:t>
      </w:r>
      <w:r w:rsidRPr="00D94F41">
        <w:t xml:space="preserve">as the baseline in their calculation. In other words, they are conditioned on </w:t>
      </w:r>
      <w:r w:rsidRPr="00D94F41" w:rsidR="00CB154A">
        <w:t>eligibility</w:t>
      </w:r>
      <w:r w:rsidRPr="00D94F41">
        <w:t>. Both indicators are very important for understanding trends about response rates and where interventions should optimally be targeted</w:t>
      </w:r>
      <w:r w:rsidRPr="00D94F41" w:rsidR="0043667E">
        <w:t>. These trends are monitored over the full historical span of the survey, providing important insights in changes to response rates over time.</w:t>
      </w:r>
    </w:p>
    <w:p w:rsidR="006E0017" w:rsidRPr="00D94F41" w:rsidP="00BD72D7" w14:paraId="10C5E216" w14:textId="32B65F78">
      <w:pPr>
        <w:pStyle w:val="BodyText"/>
      </w:pPr>
      <w:r w:rsidRPr="00D94F41">
        <w:t xml:space="preserve">Response is </w:t>
      </w:r>
      <w:r w:rsidRPr="00D94F41" w:rsidR="00B41CCA">
        <w:t xml:space="preserve">also </w:t>
      </w:r>
      <w:r w:rsidRPr="00D94F41">
        <w:t>tracked throughout each round by a host of key indicators includ</w:t>
      </w:r>
      <w:r w:rsidRPr="00D94F41" w:rsidR="00CB154A">
        <w:t>ing</w:t>
      </w:r>
      <w:r w:rsidRPr="00D94F41">
        <w:t xml:space="preserve"> panel, HHS region, age, race, ethnicity, residential status (community or facility), current year Medicare enrollees or not-current year enrollees</w:t>
      </w:r>
      <w:r w:rsidRPr="00D94F41" w:rsidR="00536D54">
        <w:t>.</w:t>
      </w:r>
      <w:r w:rsidRPr="00D94F41">
        <w:t xml:space="preserve"> </w:t>
      </w:r>
      <w:r w:rsidRPr="00D94F41" w:rsidR="00B41CCA">
        <w:t>In addition, perfo</w:t>
      </w:r>
      <w:r w:rsidRPr="00D94F41" w:rsidR="0043667E">
        <w:t>rmance by field interviewers is</w:t>
      </w:r>
      <w:r w:rsidRPr="00D94F41" w:rsidR="00B41CCA">
        <w:t xml:space="preserve"> also tracked to identify any staff who need additional training or support</w:t>
      </w:r>
      <w:r w:rsidRPr="00D94F41" w:rsidR="0043667E">
        <w:t xml:space="preserve"> to improve their interview completion rates</w:t>
      </w:r>
      <w:r w:rsidRPr="00D94F41" w:rsidR="00B41CCA">
        <w:t xml:space="preserve">. </w:t>
      </w:r>
      <w:r w:rsidRPr="00D94F41" w:rsidR="00344404">
        <w:t xml:space="preserve">CMS continually analyzes response rates, particularly for the subpopulations with the lowest propensity to </w:t>
      </w:r>
      <w:r w:rsidRPr="00D94F41" w:rsidR="008E18A6">
        <w:t>respond</w:t>
      </w:r>
      <w:r w:rsidR="008E18A6">
        <w:t xml:space="preserve"> and</w:t>
      </w:r>
      <w:r w:rsidRPr="00D94F41" w:rsidR="00344404">
        <w:t xml:space="preserve"> is </w:t>
      </w:r>
      <w:r w:rsidRPr="00D94F41" w:rsidR="0043667E">
        <w:t xml:space="preserve">fully </w:t>
      </w:r>
      <w:r w:rsidRPr="00D94F41" w:rsidR="00344404">
        <w:t xml:space="preserve">committed to finding ways to stem declining response rates. </w:t>
      </w:r>
    </w:p>
    <w:p w:rsidR="0088452B" w:rsidRPr="00D94F41" w:rsidP="00BD72D7" w14:paraId="053B2601" w14:textId="127F327F">
      <w:pPr>
        <w:pStyle w:val="BodyText"/>
      </w:pPr>
      <w:r w:rsidRPr="00D94F41">
        <w:t>In addition to outreach, the following efforts remain in place to maintain a sense of validity and relevance among the survey participants.</w:t>
      </w:r>
    </w:p>
    <w:p w:rsidR="0088452B" w:rsidRPr="00D94F41" w:rsidP="008437C5" w14:paraId="492D94E2" w14:textId="4633BCB7">
      <w:pPr>
        <w:pStyle w:val="ListNumber2"/>
      </w:pPr>
      <w:r w:rsidRPr="00D94F41">
        <w:t xml:space="preserve">An advance letter </w:t>
      </w:r>
      <w:r w:rsidRPr="008437C5">
        <w:t>is</w:t>
      </w:r>
      <w:r w:rsidRPr="00D94F41">
        <w:t xml:space="preserve"> sent to both sampled beneficiaries and facility administrators from CMS with the </w:t>
      </w:r>
      <w:r w:rsidRPr="00D94F41" w:rsidR="00B31B7D">
        <w:t>CMS Survey Director’s</w:t>
      </w:r>
      <w:r w:rsidRPr="00D94F41">
        <w:t xml:space="preserve"> signature. This includes an informational brochure answering anticipated questions</w:t>
      </w:r>
      <w:r w:rsidRPr="00D94F41" w:rsidR="001520B1">
        <w:t xml:space="preserve">. </w:t>
      </w:r>
      <w:r w:rsidR="00E920B7">
        <w:t>R</w:t>
      </w:r>
      <w:r w:rsidRPr="00D94F41" w:rsidR="001520B1">
        <w:t xml:space="preserve">eminder </w:t>
      </w:r>
      <w:r w:rsidR="00E920B7">
        <w:t xml:space="preserve">mailings </w:t>
      </w:r>
      <w:r w:rsidRPr="00D94F41" w:rsidR="001520B1">
        <w:t>are also sent to encourage response</w:t>
      </w:r>
      <w:r w:rsidRPr="00D94F41">
        <w:t xml:space="preserve"> (Attachment </w:t>
      </w:r>
      <w:r w:rsidR="004364EB">
        <w:t>1</w:t>
      </w:r>
      <w:r w:rsidRPr="00D94F41" w:rsidR="00E219CE">
        <w:t xml:space="preserve"> and </w:t>
      </w:r>
      <w:r w:rsidR="004364EB">
        <w:t>5</w:t>
      </w:r>
      <w:r w:rsidRPr="00D94F41">
        <w:t>).</w:t>
      </w:r>
    </w:p>
    <w:p w:rsidR="0088452B" w:rsidRPr="00D94F41" w:rsidP="008437C5" w14:paraId="74B5757E" w14:textId="34379E4E">
      <w:pPr>
        <w:pStyle w:val="ListNumber2"/>
      </w:pPr>
      <w:r w:rsidRPr="00D94F41">
        <w:t>A handout with Privacy Act information and an appeal to participate is given to the respondent at the door by the interviewer</w:t>
      </w:r>
      <w:r w:rsidRPr="00D94F41" w:rsidR="00E219CE">
        <w:t xml:space="preserve"> (Attachment </w:t>
      </w:r>
      <w:r w:rsidR="004364EB">
        <w:t>1</w:t>
      </w:r>
      <w:r w:rsidRPr="00D94F41" w:rsidR="00E219CE">
        <w:t>)</w:t>
      </w:r>
      <w:r w:rsidRPr="00D94F41">
        <w:t>.</w:t>
      </w:r>
    </w:p>
    <w:p w:rsidR="0088452B" w:rsidRPr="00D94F41" w:rsidP="008437C5" w14:paraId="70696958" w14:textId="0CE3BA72">
      <w:pPr>
        <w:pStyle w:val="ListNumber2"/>
      </w:pPr>
      <w:r w:rsidRPr="00D94F41">
        <w:t xml:space="preserve">Interviewer training emphasizes techniques and approaches effective in communicating with older </w:t>
      </w:r>
      <w:r w:rsidR="00DB6BE8">
        <w:t xml:space="preserve">adults and those with disabilities </w:t>
      </w:r>
      <w:r w:rsidRPr="00D94F41">
        <w:t>and ways to overcome difficulties respondents may have in participating.</w:t>
      </w:r>
    </w:p>
    <w:p w:rsidR="0088452B" w:rsidRPr="00D94F41" w:rsidP="008437C5" w14:paraId="16FB3781" w14:textId="54C0E8E8">
      <w:pPr>
        <w:pStyle w:val="ListNumber2"/>
      </w:pPr>
      <w:r w:rsidRPr="00D94F41">
        <w:t xml:space="preserve">Individualized non-response letters are sent to respondents who refuse to participate (example included in Attachment </w:t>
      </w:r>
      <w:r w:rsidR="004364EB">
        <w:t>1</w:t>
      </w:r>
      <w:r w:rsidRPr="00D94F41">
        <w:t>). These letters are used when deemed appropriate by the field management staff.</w:t>
      </w:r>
    </w:p>
    <w:p w:rsidR="0088452B" w:rsidRPr="00D94F41" w:rsidP="008437C5" w14:paraId="3E8CFDF2" w14:textId="77777777">
      <w:pPr>
        <w:pStyle w:val="ListNumber2"/>
      </w:pPr>
      <w:r w:rsidRPr="00D94F41">
        <w:t>NORC field management staff are specialized to follow up with respondents who express concerns about participating due to privacy or confidentiality questions.</w:t>
      </w:r>
    </w:p>
    <w:p w:rsidR="0088452B" w:rsidRPr="00D94F41" w:rsidP="008437C5" w14:paraId="41F6FB97" w14:textId="77777777">
      <w:pPr>
        <w:pStyle w:val="ListNumber2"/>
      </w:pPr>
      <w:r w:rsidRPr="00D94F41">
        <w:t xml:space="preserve">Proxy respondents are sought for respondents unable to participate for themselves </w:t>
      </w:r>
      <w:r w:rsidRPr="00D94F41">
        <w:t>in order to</w:t>
      </w:r>
      <w:r w:rsidRPr="00D94F41">
        <w:t xml:space="preserve"> keep respondents in the survey over the life of the panel.</w:t>
      </w:r>
    </w:p>
    <w:p w:rsidR="0088452B" w:rsidRPr="00D94F41" w:rsidP="008437C5" w14:paraId="3B1E9F0E" w14:textId="77777777">
      <w:pPr>
        <w:pStyle w:val="ListNumber2"/>
      </w:pPr>
      <w:r w:rsidRPr="00D94F41">
        <w:t>Non-respondents are re-contacted by a refusal conversion specialist.</w:t>
      </w:r>
    </w:p>
    <w:p w:rsidR="0088452B" w:rsidRPr="00D94F41" w:rsidP="008437C5" w14:paraId="20C8B5B4" w14:textId="5BA81914">
      <w:pPr>
        <w:pStyle w:val="ListNumber2"/>
      </w:pPr>
      <w:r w:rsidRPr="00D94F41">
        <w:t>A dedicated project email address (</w:t>
      </w:r>
      <w:hyperlink r:id="rId9" w:history="1">
        <w:r w:rsidRPr="00D94F41" w:rsidR="00733EAB">
          <w:rPr>
            <w:rStyle w:val="Hyperlink"/>
            <w:u w:color="0000FF"/>
          </w:rPr>
          <w:t xml:space="preserve">mcbs@norc.org) </w:t>
        </w:r>
      </w:hyperlink>
      <w:r w:rsidRPr="00D94F41">
        <w:t>and toll-free number (</w:t>
      </w:r>
      <w:r w:rsidRPr="00D94F41" w:rsidR="001D1A42">
        <w:t>1-844-777-2151</w:t>
      </w:r>
      <w:r w:rsidRPr="00D94F41">
        <w:t>) is available to answer respondent's questions. This information is contained on various materials provided to the respondent.</w:t>
      </w:r>
    </w:p>
    <w:p w:rsidR="0088452B" w:rsidRPr="00D94F41" w:rsidP="008437C5" w14:paraId="4EEF7728" w14:textId="11BCE6EC">
      <w:pPr>
        <w:pStyle w:val="ListNumber2"/>
      </w:pPr>
      <w:r w:rsidRPr="00D94F41">
        <w:t>An MCBS website (mcbs.norc.org) contains information for respondents on the project</w:t>
      </w:r>
      <w:r w:rsidRPr="00D94F41" w:rsidR="00DB3C44">
        <w:t xml:space="preserve"> and has recently been updated to include a short explanatory video</w:t>
      </w:r>
      <w:r w:rsidRPr="00D94F41">
        <w:t xml:space="preserve">. Respondents are also informed about the CMS MCBS Project Page – </w:t>
      </w:r>
      <w:hyperlink r:id="rId10" w:tooltip="CMS MCBS Project Page">
        <w:r w:rsidRPr="002531CB">
          <w:rPr>
            <w:rStyle w:val="Hyperlink"/>
          </w:rPr>
          <w:t>www.cms.gov/mcbs</w:t>
        </w:r>
      </w:hyperlink>
      <w:r w:rsidR="00DB6BE8">
        <w:t>.</w:t>
      </w:r>
    </w:p>
    <w:p w:rsidR="0088452B" w:rsidRPr="00D94F41" w:rsidP="008437C5" w14:paraId="53BB1F48" w14:textId="603D3F68">
      <w:pPr>
        <w:pStyle w:val="ListNumber2"/>
      </w:pPr>
      <w:r w:rsidRPr="00D94F41">
        <w:t xml:space="preserve">Respondents receive an annual MCBS newsletter, which includes information about the survey as well as seasonal topics such as winter safety tips for seniors. Attachment </w:t>
      </w:r>
      <w:r w:rsidR="004364EB">
        <w:t>1</w:t>
      </w:r>
      <w:r w:rsidRPr="00D94F41">
        <w:t xml:space="preserve"> contains an example of a recent newsletter.</w:t>
      </w:r>
    </w:p>
    <w:p w:rsidR="0088452B" w:rsidRPr="00D94F41" w:rsidP="008437C5" w14:paraId="4CAC009F" w14:textId="77777777">
      <w:pPr>
        <w:pStyle w:val="ListNumber2"/>
      </w:pPr>
      <w:r w:rsidRPr="00D94F41">
        <w:t>Whenever possible, the respondent is paired with the same interviewer throughout the survey. This maintains rapport and establishes continuity of process in the interview.</w:t>
      </w:r>
    </w:p>
    <w:p w:rsidR="00BB2D9F" w:rsidRPr="00D94F41" w:rsidP="008437C5" w14:paraId="3E2CB4FC" w14:textId="0799751D">
      <w:pPr>
        <w:pStyle w:val="ListNumber2"/>
      </w:pPr>
      <w:r w:rsidRPr="00D94F41">
        <w:t>Interviewers are trained to utilize personal touches such as thank you notes and birthday cards to maintain contact with respondents.</w:t>
      </w:r>
      <w:bookmarkStart w:id="44" w:name="B4._Tests_of_Procedures_or_Methods"/>
      <w:bookmarkEnd w:id="44"/>
    </w:p>
    <w:p w:rsidR="005E50E1" w:rsidRPr="00D94F41" w:rsidP="008437C5" w14:paraId="5C2B5224" w14:textId="6E183326">
      <w:pPr>
        <w:pStyle w:val="ListNumber2"/>
      </w:pPr>
      <w:r w:rsidRPr="00D94F41">
        <w:t xml:space="preserve">A Community Authority Letter (Attachment </w:t>
      </w:r>
      <w:r w:rsidR="004364EB">
        <w:t>1</w:t>
      </w:r>
      <w:r w:rsidRPr="00D94F41">
        <w:t xml:space="preserve">) is sent to community organizations in advance of the Fall rounds (Rounds </w:t>
      </w:r>
      <w:r w:rsidRPr="00D94F41" w:rsidR="00B607A1">
        <w:t>100</w:t>
      </w:r>
      <w:r w:rsidRPr="00D94F41">
        <w:t xml:space="preserve">, </w:t>
      </w:r>
      <w:r w:rsidRPr="00D94F41" w:rsidR="00B607A1">
        <w:t>103</w:t>
      </w:r>
      <w:r w:rsidR="00232471">
        <w:t>, 106</w:t>
      </w:r>
      <w:r w:rsidRPr="00D94F41">
        <w:t xml:space="preserve">) to inform community representatives, such as state-level departments of aging, insurance, and state senior Medicare patrol officers, about the MCBS. </w:t>
      </w:r>
    </w:p>
    <w:p w:rsidR="00B607A1" w:rsidRPr="00D94F41" w:rsidP="008437C5" w14:paraId="2F4ACBC3" w14:textId="4DED462E">
      <w:pPr>
        <w:pStyle w:val="ListNumber2"/>
      </w:pPr>
      <w:r w:rsidRPr="00D94F41">
        <w:t xml:space="preserve">A language insert will be included with the Community Advance Letter for the </w:t>
      </w:r>
      <w:r w:rsidRPr="00D94F41" w:rsidR="00505BED">
        <w:t>Incoming Panel</w:t>
      </w:r>
      <w:r w:rsidRPr="00D94F41">
        <w:t xml:space="preserve"> sample to provide an explanation of the survey for respondents who do not speak English or Spanish (Attachment </w:t>
      </w:r>
      <w:r w:rsidR="004364EB">
        <w:t>1</w:t>
      </w:r>
      <w:r w:rsidRPr="00D94F41">
        <w:t xml:space="preserve">). </w:t>
      </w:r>
    </w:p>
    <w:p w:rsidR="00F85C55" w:rsidP="00F85C55" w14:paraId="6867B0CC" w14:textId="6E5FE425">
      <w:pPr>
        <w:pStyle w:val="BodyText"/>
      </w:pPr>
      <w:bookmarkStart w:id="45" w:name="OLE_LINK21"/>
      <w:r>
        <w:t>In Fall 2023, OEDA and the CMS Office of Minority Health pilot</w:t>
      </w:r>
      <w:r w:rsidR="002C0CDB">
        <w:t>ed</w:t>
      </w:r>
      <w:r>
        <w:t xml:space="preserve"> enhanced outreach to sampled Medicare beneficiaries who identify as Hispanic, Black, or Asian. These efforts include</w:t>
      </w:r>
      <w:r w:rsidR="002C0CDB">
        <w:t>d</w:t>
      </w:r>
      <w:r>
        <w:t xml:space="preserve"> updating interviewer training materials to include additional content on culturally specific issues or concerns respondents may have as well as tailoring outreach and contacting strategies, with an emphasis on in-person </w:t>
      </w:r>
      <w:r w:rsidR="002F41A4">
        <w:t>interactions</w:t>
      </w:r>
      <w:r>
        <w:t xml:space="preserve"> with sample members predicted to be Hispanic, Black, or Asian. CMS will closely monitor the success of outreach and interviewing strategies and data collection progress </w:t>
      </w:r>
      <w:r w:rsidR="00B164C8">
        <w:t xml:space="preserve">amongst underserved minority groups. Analysis of response rates, level of contacting effort required to complete interviews, modes of outreach and mode of completed interviews will inform the feasibility of future efforts to </w:t>
      </w:r>
      <w:r>
        <w:t xml:space="preserve">expand the data available for underserved Medicare beneficiaries. </w:t>
      </w:r>
      <w:r w:rsidRPr="002F41A4" w:rsidR="002F41A4">
        <w:t xml:space="preserve">Initial analyses indicate that the enhanced outreach and training contributed to a substantial increase in the number of interviews completed among beneficiaries who identify as Hispanic, </w:t>
      </w:r>
      <w:r w:rsidRPr="002F41A4" w:rsidR="002F41A4">
        <w:t>Black</w:t>
      </w:r>
      <w:r w:rsidRPr="002F41A4" w:rsidR="002F41A4">
        <w:t xml:space="preserve"> or Asian, demonstrating that these strategies are an effective way to increase sample sizes for disparities research. </w:t>
      </w:r>
      <w:r w:rsidR="00853A05">
        <w:t xml:space="preserve">CMS will continue to look for ways to increase participation in the MCBS amongst these beneficiaries. </w:t>
      </w:r>
    </w:p>
    <w:bookmarkEnd w:id="45"/>
    <w:p w:rsidR="00B41CCA" w:rsidRPr="00D94F41" w:rsidP="00BD72D7" w14:paraId="10560013" w14:textId="4443E1BC">
      <w:pPr>
        <w:pStyle w:val="BodyText"/>
      </w:pPr>
      <w:r w:rsidRPr="00D94F41">
        <w:t xml:space="preserve">A non-response bias analysis for the MCBS </w:t>
      </w:r>
      <w:r w:rsidR="00E920B7">
        <w:t xml:space="preserve">is conducted every three years. The most recent </w:t>
      </w:r>
      <w:r w:rsidRPr="00D94F41">
        <w:t xml:space="preserve">non-response bias analysis for the MCBS </w:t>
      </w:r>
      <w:r w:rsidRPr="00D94F41" w:rsidR="005C125F">
        <w:t>wa</w:t>
      </w:r>
      <w:r w:rsidRPr="00D94F41">
        <w:t xml:space="preserve">s </w:t>
      </w:r>
      <w:r w:rsidRPr="00D94F41" w:rsidR="005C125F">
        <w:t>conducted</w:t>
      </w:r>
      <w:r w:rsidRPr="00D94F41">
        <w:t xml:space="preserve"> based on the 20</w:t>
      </w:r>
      <w:r w:rsidR="00B05459">
        <w:t>21</w:t>
      </w:r>
      <w:r w:rsidRPr="00D94F41">
        <w:t xml:space="preserve"> Panel and w</w:t>
      </w:r>
      <w:r w:rsidRPr="00D94F41" w:rsidR="005C125F">
        <w:t>as</w:t>
      </w:r>
      <w:r w:rsidRPr="00D94F41">
        <w:t xml:space="preserve"> released in the final 20</w:t>
      </w:r>
      <w:r w:rsidR="00B05459">
        <w:t>21</w:t>
      </w:r>
      <w:r w:rsidRPr="00D94F41">
        <w:t xml:space="preserve"> Methodology Report</w:t>
      </w:r>
      <w:r>
        <w:rPr>
          <w:rStyle w:val="FootnoteReference"/>
        </w:rPr>
        <w:footnoteReference w:id="34"/>
      </w:r>
      <w:r w:rsidRPr="00D94F41">
        <w:t xml:space="preserve">. </w:t>
      </w:r>
      <w:r w:rsidRPr="00D94F41" w:rsidR="005C125F">
        <w:t>This analysis also included beneficiaries who participated in COVID-19 surveys.</w:t>
      </w:r>
      <w:r w:rsidRPr="00D94F41" w:rsidR="006D6CFC">
        <w:t xml:space="preserve"> </w:t>
      </w:r>
      <w:r w:rsidRPr="00D94F41">
        <w:t xml:space="preserve">While non-response is carefully monitored every year, a complete non-response bias analysis is updated </w:t>
      </w:r>
      <w:r w:rsidRPr="00D94F41" w:rsidR="00A43772">
        <w:t>every</w:t>
      </w:r>
      <w:r w:rsidRPr="00D94F41">
        <w:t xml:space="preserve"> three years to ascertain trends both annually and for subpopulations.</w:t>
      </w:r>
      <w:r w:rsidR="002601C1">
        <w:t xml:space="preserve"> The next non-response bias analysis for the MCBS will be conducted based on the 202</w:t>
      </w:r>
      <w:r w:rsidR="00B05459">
        <w:t>4</w:t>
      </w:r>
      <w:r w:rsidR="002601C1">
        <w:t xml:space="preserve"> Panel and released with the forthcoming 202</w:t>
      </w:r>
      <w:r w:rsidR="00B05459">
        <w:t>4</w:t>
      </w:r>
      <w:r w:rsidR="002601C1">
        <w:t xml:space="preserve"> Methodology Report in the Fall of 202</w:t>
      </w:r>
      <w:r w:rsidR="00B05459">
        <w:t>6</w:t>
      </w:r>
      <w:r w:rsidR="002601C1">
        <w:t xml:space="preserve">. </w:t>
      </w:r>
    </w:p>
    <w:p w:rsidR="00C8618E" w:rsidRPr="00D94F41" w:rsidP="00F260D7" w14:paraId="5D726062" w14:textId="26F17526">
      <w:pPr>
        <w:pStyle w:val="BodyText"/>
      </w:pPr>
      <w:r w:rsidRPr="00D94F41">
        <w:t xml:space="preserve">In the most recent non-response bias analysis, </w:t>
      </w:r>
      <w:r w:rsidRPr="00D94F41" w:rsidR="004112E2">
        <w:t>Fall</w:t>
      </w:r>
      <w:r w:rsidRPr="00D94F41" w:rsidR="004112E2">
        <w:t xml:space="preserve"> 20</w:t>
      </w:r>
      <w:r w:rsidR="00B05459">
        <w:t>21</w:t>
      </w:r>
      <w:r w:rsidRPr="00D94F41" w:rsidR="004112E2">
        <w:t xml:space="preserve"> respondents and non-respondents were compared on various measures, including frame characteristics, Medicare claims payments, and chronic conditions, in order to identify areas of potential bias. </w:t>
      </w:r>
      <w:r w:rsidRPr="00D94F41" w:rsidR="005C125F">
        <w:t xml:space="preserve">The effects of weighting on potential nonresponse bias were also investigated: unweighted and weighted proportions of </w:t>
      </w:r>
      <w:r w:rsidRPr="00D94F41" w:rsidR="005C125F">
        <w:t>respondents across select frame-level attributes were compared to corresponding benchmarks.</w:t>
      </w:r>
      <w:r w:rsidRPr="00D94F41" w:rsidR="00A76CE3">
        <w:t xml:space="preserve"> </w:t>
      </w:r>
      <w:r w:rsidR="00B71648">
        <w:t>Small but statistically significant differences were found across many of these measures. Among the demographic characteristics</w:t>
      </w:r>
      <w:r w:rsidR="00D31DF6">
        <w:t>,</w:t>
      </w:r>
      <w:r w:rsidR="00B71648">
        <w:t xml:space="preserve"> Incoming Panel nonrespondents appeared more likely to be female and younger, but the differences were not large. Continuing Panel nonrespondents generally tended to skew older than the respondents and were more likely to be Hispanic. In all panels, there were proportionately more respondents than nonrespondents located in the Northeast. Some of these demographic differences, such as imbalances among the youngest age group of MCBS beneficiaries, are related to lower phone match rates which make it more difficult to conduct interviews by phone. </w:t>
      </w:r>
      <w:r w:rsidRPr="00D94F41" w:rsidR="00A76CE3">
        <w:t xml:space="preserve">Significant differences were also found across various claims payment </w:t>
      </w:r>
      <w:r w:rsidRPr="00D94F41">
        <w:t>measures but</w:t>
      </w:r>
      <w:r w:rsidRPr="00D94F41" w:rsidR="00A76CE3">
        <w:t xml:space="preserve"> were minimal and not consistently in the same direction (i.e., sometimes respondents had higher claims payments</w:t>
      </w:r>
      <w:r w:rsidRPr="00D94F41" w:rsidR="000E1D3A">
        <w:t xml:space="preserve"> in certain settings</w:t>
      </w:r>
      <w:r w:rsidRPr="00D94F41" w:rsidR="00A76CE3">
        <w:t xml:space="preserve">, and other times non-respondents did). The same was true for beneficiaries with chronic conditions: </w:t>
      </w:r>
      <w:r w:rsidRPr="00D94F41" w:rsidR="00505BED">
        <w:t>Incoming Panel</w:t>
      </w:r>
      <w:r w:rsidRPr="00D94F41" w:rsidR="000E1D3A">
        <w:t xml:space="preserve"> respondents in the Fall round were more likely to have a few of the chronic conditions than nonrespondents, but in later rounds and for the continuing panels, nonrespondents were more likely to have some of the chronic conditions than were respondents. While many differences were found, most were not large in a practical sense. Furthermore, a</w:t>
      </w:r>
      <w:r w:rsidRPr="00D94F41" w:rsidR="00A76CE3">
        <w:t>cross most of these measures, weighted respondent distributions were closer to benchmarks than unweighted respondent distributions</w:t>
      </w:r>
      <w:r w:rsidRPr="00D94F41" w:rsidR="000E1D3A">
        <w:t xml:space="preserve">, suggesting that the potential bias identified via these analyses is expected to be minimized by the weighting procedures. </w:t>
      </w:r>
      <w:r w:rsidRPr="00D94F41" w:rsidR="004112E2">
        <w:t>In contrast to most surveys, the MCBS has a large amount of information to characterize nonrespondents. This information, including Medicare claims data, can be used for imputation if necessary.</w:t>
      </w:r>
      <w:r w:rsidR="002F41A4">
        <w:t xml:space="preserve"> </w:t>
      </w:r>
      <w:r w:rsidRPr="00D94F41">
        <w:t xml:space="preserve">While the nonresponse bias analysis excluded Medicare Advantage (MA) enrollees from many analyses, it has been noted in recent years that MA beneficiaries are more likely to respond to the MCBS than those enrolled in original Medicare. Beginning in 2017, CMS introduced additional nonresponse adjustments and calibration of the MCBS weights to match enrollment benchmarks by </w:t>
      </w:r>
      <w:r w:rsidRPr="00D94F41" w:rsidR="00375978">
        <w:t>Fee-for-Service (</w:t>
      </w:r>
      <w:r w:rsidRPr="00D94F41">
        <w:t>FFS</w:t>
      </w:r>
      <w:r w:rsidRPr="00D94F41" w:rsidR="00375978">
        <w:t>)</w:t>
      </w:r>
      <w:r w:rsidRPr="00D94F41">
        <w:t>/MA status, to reduce or eliminate any potential bias the differential response rates by enrollment status may have introduced.</w:t>
      </w:r>
    </w:p>
    <w:p w:rsidR="00B41CCA" w:rsidRPr="00D94F41" w:rsidP="006F001A" w14:paraId="41ECCBA7" w14:textId="57337DDF">
      <w:pPr>
        <w:pStyle w:val="BodyText"/>
      </w:pPr>
      <w:r w:rsidRPr="00D94F41">
        <w:t xml:space="preserve">Over the rounds, the following patterns of nonresponse have been observed, which have or have not changed over time. In the most recent three rounds for which a full analysis of response rates </w:t>
      </w:r>
      <w:r w:rsidRPr="00D94F41">
        <w:t>have</w:t>
      </w:r>
      <w:r w:rsidRPr="00D94F41">
        <w:t xml:space="preserve"> been completed, the round-level response rates for continuing panels remains high, ranging from </w:t>
      </w:r>
      <w:r w:rsidR="00B60125">
        <w:t>7</w:t>
      </w:r>
      <w:r w:rsidR="00C37FE2">
        <w:t>8</w:t>
      </w:r>
      <w:r w:rsidR="00B60125">
        <w:t>.</w:t>
      </w:r>
      <w:r w:rsidR="00C37FE2">
        <w:t>3</w:t>
      </w:r>
      <w:r w:rsidRPr="00D94F41">
        <w:t xml:space="preserve">% for the </w:t>
      </w:r>
      <w:r w:rsidRPr="00D94F41" w:rsidR="00B60125">
        <w:t>20</w:t>
      </w:r>
      <w:r w:rsidR="00C37FE2">
        <w:t>20</w:t>
      </w:r>
      <w:r w:rsidRPr="00D94F41" w:rsidR="00B60125">
        <w:t xml:space="preserve"> </w:t>
      </w:r>
      <w:r w:rsidRPr="00D94F41">
        <w:t xml:space="preserve">panel in Round </w:t>
      </w:r>
      <w:r w:rsidR="00B60125">
        <w:t>8</w:t>
      </w:r>
      <w:r w:rsidR="00C37FE2">
        <w:t>9</w:t>
      </w:r>
      <w:r w:rsidRPr="00D94F41" w:rsidR="00B60125">
        <w:t xml:space="preserve"> </w:t>
      </w:r>
      <w:r w:rsidRPr="00D94F41">
        <w:t xml:space="preserve">to </w:t>
      </w:r>
      <w:r w:rsidRPr="00D94F41" w:rsidR="00B60125">
        <w:t>9</w:t>
      </w:r>
      <w:r w:rsidR="00C37FE2">
        <w:t>5</w:t>
      </w:r>
      <w:r w:rsidRPr="00D94F41">
        <w:t>.</w:t>
      </w:r>
      <w:r w:rsidR="00B60125">
        <w:t>7</w:t>
      </w:r>
      <w:r w:rsidRPr="00D94F41">
        <w:t xml:space="preserve">% for the </w:t>
      </w:r>
      <w:r w:rsidR="00B60125">
        <w:t>2017</w:t>
      </w:r>
      <w:r w:rsidRPr="00D94F41" w:rsidR="00B60125">
        <w:t xml:space="preserve"> </w:t>
      </w:r>
      <w:r w:rsidRPr="00D94F41">
        <w:t xml:space="preserve">panel in Round </w:t>
      </w:r>
      <w:r w:rsidR="00C37FE2">
        <w:t>89</w:t>
      </w:r>
      <w:r w:rsidRPr="00D94F41">
        <w:t xml:space="preserve">. Despite these high rates, each year continuing panels are subjected to a nonresponse adjustment based on new response propensity models by panel. </w:t>
      </w:r>
      <w:r w:rsidRPr="00D94F41" w:rsidR="00505BED">
        <w:t>Incoming Panel</w:t>
      </w:r>
      <w:r w:rsidRPr="00D94F41">
        <w:t xml:space="preserve">s at the first interview (e.g., the </w:t>
      </w:r>
      <w:r w:rsidRPr="00D94F41" w:rsidR="00B60125">
        <w:t>20</w:t>
      </w:r>
      <w:r w:rsidR="00B60125">
        <w:t>2</w:t>
      </w:r>
      <w:r w:rsidR="00846489">
        <w:t>1</w:t>
      </w:r>
      <w:r w:rsidRPr="00D94F41" w:rsidR="00B60125">
        <w:t xml:space="preserve"> </w:t>
      </w:r>
      <w:r w:rsidRPr="00D94F41">
        <w:t xml:space="preserve">panel at Round </w:t>
      </w:r>
      <w:r w:rsidR="00846489">
        <w:t>91</w:t>
      </w:r>
      <w:r w:rsidRPr="00D94F41">
        <w:t xml:space="preserve">) show a larger propensity for nonresponse due to having never been reached prior to the first interview. In Round </w:t>
      </w:r>
      <w:r w:rsidR="00846489">
        <w:t>91</w:t>
      </w:r>
      <w:r w:rsidRPr="00D94F41" w:rsidR="00B60125">
        <w:t xml:space="preserve"> </w:t>
      </w:r>
      <w:r w:rsidRPr="00D94F41">
        <w:t xml:space="preserve">the response rate for the </w:t>
      </w:r>
      <w:r w:rsidRPr="00D94F41" w:rsidR="00B60125">
        <w:t>20</w:t>
      </w:r>
      <w:r w:rsidR="00B60125">
        <w:t>2</w:t>
      </w:r>
      <w:r w:rsidR="00846489">
        <w:t>1</w:t>
      </w:r>
      <w:r w:rsidRPr="00D94F41" w:rsidR="00B60125">
        <w:t xml:space="preserve"> </w:t>
      </w:r>
      <w:r w:rsidRPr="00D94F41" w:rsidR="00505BED">
        <w:t>Incoming Panel</w:t>
      </w:r>
      <w:r w:rsidRPr="00D94F41">
        <w:t xml:space="preserve"> was </w:t>
      </w:r>
      <w:r w:rsidR="00846489">
        <w:t>38</w:t>
      </w:r>
      <w:r w:rsidR="00B60125">
        <w:t>.</w:t>
      </w:r>
      <w:r w:rsidR="00846489">
        <w:t>1</w:t>
      </w:r>
      <w:r w:rsidRPr="00D94F41">
        <w:t xml:space="preserve">%. Once </w:t>
      </w:r>
      <w:r w:rsidRPr="00D94F41" w:rsidR="00261F87">
        <w:t>again,</w:t>
      </w:r>
      <w:r w:rsidRPr="00D94F41">
        <w:t xml:space="preserve"> we rely on cells derived from response propensity models to account for differential effects of demographic and geographic characteristics on the resulting data. By accounting for these characteristics in constructing the adjustment cells, we reduce the potential for nonresponse bias that could arise due to these differential factors.</w:t>
      </w:r>
      <w:r w:rsidRPr="00D94F41">
        <w:t xml:space="preserve"> </w:t>
      </w:r>
    </w:p>
    <w:p w:rsidR="00A8726C" w:rsidRPr="00D94F41" w:rsidP="00BD72D7" w14:paraId="78F456C8" w14:textId="77777777">
      <w:pPr>
        <w:pStyle w:val="BodyText"/>
      </w:pPr>
      <w:r w:rsidRPr="00D94F41">
        <w:t xml:space="preserve">Adaptive design methods have also been applied to measure the representativeness of the MCBS incoming sample. In 2017, CMS conducted a review of the Representativity Indicators (R- indicators) or metrics for the Fall 2017 Baseline interview to monitor the representativeness of the achieved sample. The R-indicators provided a quantitative assessment of which segments of the sample were over/under producing and causing the achieved sample to be imbalanced in terms of sample representativeness. </w:t>
      </w:r>
    </w:p>
    <w:p w:rsidR="00A8726C" w:rsidRPr="00D94F41" w:rsidP="00BD72D7" w14:paraId="5CBF0C65" w14:textId="0C23C377">
      <w:pPr>
        <w:pStyle w:val="BodyText"/>
      </w:pPr>
      <w:r w:rsidRPr="00D94F41">
        <w:t xml:space="preserve">A sample R-indictor as well as two partial R-indicators (variable and category) are used to monitor representativeness of the panel. The variable R-indicator measures the </w:t>
      </w:r>
      <w:r w:rsidRPr="00D94F41">
        <w:t xml:space="preserve">representativeness of the sample associated with each variable (looking at the strength of each co-variate subpopulation such as race, ethnicity, age, sex, region) to predict response propensity. The category R-indicator then looks at the categories of each variable to measure representativeness of the responding sample.  </w:t>
      </w:r>
    </w:p>
    <w:p w:rsidR="00E2475C" w:rsidP="00BD72D7" w14:paraId="1B15D40A" w14:textId="5EE4E00F">
      <w:pPr>
        <w:pStyle w:val="BodyText"/>
      </w:pPr>
      <w:r w:rsidRPr="00D94F41">
        <w:t>Since their inception,</w:t>
      </w:r>
      <w:r w:rsidRPr="00D94F41" w:rsidR="004112E2">
        <w:t xml:space="preserve"> R-indicators </w:t>
      </w:r>
      <w:r w:rsidRPr="00D94F41">
        <w:t xml:space="preserve">have </w:t>
      </w:r>
      <w:r w:rsidRPr="00D94F41" w:rsidR="004112E2">
        <w:t xml:space="preserve">not </w:t>
      </w:r>
      <w:r w:rsidRPr="00D94F41">
        <w:t xml:space="preserve">been </w:t>
      </w:r>
      <w:r w:rsidRPr="00D94F41" w:rsidR="004112E2">
        <w:t>observed outside these thresholds; consequently, no data collection interventions were needed to improve the representativ</w:t>
      </w:r>
      <w:r w:rsidRPr="00D94F41" w:rsidR="00B46BA7">
        <w:t>eness</w:t>
      </w:r>
      <w:r w:rsidRPr="00D94F41" w:rsidR="004112E2">
        <w:t xml:space="preserve"> of the achieved sample.</w:t>
      </w:r>
      <w:r w:rsidRPr="00D94F41" w:rsidR="00A8726C">
        <w:t xml:space="preserve"> Use of R-indicators, along with </w:t>
      </w:r>
      <w:r w:rsidRPr="00D94F41" w:rsidR="00CB154A">
        <w:t xml:space="preserve">a </w:t>
      </w:r>
      <w:r w:rsidRPr="00D94F41" w:rsidR="00A8726C">
        <w:t xml:space="preserve">continual review of annual and historical response rates and non-response bias analysis are important tools in understanding response and ensuring that the </w:t>
      </w:r>
      <w:r w:rsidRPr="00D94F41" w:rsidR="00A8726C">
        <w:t>sample as a whole, as well as</w:t>
      </w:r>
      <w:r w:rsidRPr="00D94F41" w:rsidR="00A8726C">
        <w:t xml:space="preserve"> subpopulations</w:t>
      </w:r>
      <w:r w:rsidRPr="00D94F41" w:rsidR="00CB154A">
        <w:t>,</w:t>
      </w:r>
      <w:r w:rsidRPr="00D94F41" w:rsidR="00A8726C">
        <w:t xml:space="preserve"> are represented to produce high quality data.</w:t>
      </w:r>
      <w:r w:rsidRPr="00D94F41" w:rsidR="00FE750A">
        <w:t xml:space="preserve"> Future analysis will also focus on the R-indicators found in in-person data collection as compared to telephone data collection for the </w:t>
      </w:r>
      <w:r w:rsidRPr="00D94F41" w:rsidR="000A248B">
        <w:t>B</w:t>
      </w:r>
      <w:r w:rsidRPr="00D94F41" w:rsidR="00FE750A">
        <w:t xml:space="preserve">aseline sample. </w:t>
      </w:r>
    </w:p>
    <w:p w:rsidR="00412AD2" w:rsidP="00412AD2" w14:paraId="0D74789E" w14:textId="2A9A8FBC">
      <w:pPr>
        <w:pStyle w:val="Heading4"/>
        <w:numPr>
          <w:ilvl w:val="0"/>
          <w:numId w:val="0"/>
        </w:numPr>
        <w:ind w:left="245" w:hanging="245"/>
      </w:pPr>
      <w:r>
        <w:t xml:space="preserve">Multimode </w:t>
      </w:r>
      <w:r>
        <w:t>Survey Administration</w:t>
      </w:r>
    </w:p>
    <w:p w:rsidR="00C557D4" w:rsidP="00D73AA4" w14:paraId="50358E77" w14:textId="6ECA0C47">
      <w:pPr>
        <w:pStyle w:val="BodyText"/>
      </w:pPr>
      <w:r>
        <w:t xml:space="preserve">Following the MCBS transition from in-person to phone data collection due to the COVID-19 pandemic in 2020, in-person interviewing was slowly reintroduced starting in late 2021. </w:t>
      </w:r>
      <w:r w:rsidR="0095274C">
        <w:t>The MCBS is now multimode and includes both phone and in-person outreach and interviewing</w:t>
      </w:r>
      <w:r>
        <w:t xml:space="preserve">, and </w:t>
      </w:r>
      <w:r w:rsidR="00412AD2">
        <w:t xml:space="preserve">CMS has demonstrated </w:t>
      </w:r>
      <w:r>
        <w:t xml:space="preserve">that </w:t>
      </w:r>
      <w:r w:rsidR="00450740">
        <w:t xml:space="preserve">multimode </w:t>
      </w:r>
      <w:r w:rsidR="00412AD2">
        <w:t>MCBS data collection</w:t>
      </w:r>
      <w:r>
        <w:t xml:space="preserve"> offers many advantages</w:t>
      </w:r>
      <w:r w:rsidR="00450740">
        <w:t xml:space="preserve">. </w:t>
      </w:r>
    </w:p>
    <w:p w:rsidR="00FF7BF7" w:rsidP="00D73AA4" w14:paraId="7A6117F8" w14:textId="0DA5C8EB">
      <w:pPr>
        <w:pStyle w:val="BodyText"/>
      </w:pPr>
      <w:r>
        <w:t>Results of several in-depth analyses along with</w:t>
      </w:r>
      <w:r w:rsidR="00450740">
        <w:t xml:space="preserve"> feedback from field staff</w:t>
      </w:r>
      <w:r>
        <w:t xml:space="preserve"> have shown that</w:t>
      </w:r>
      <w:r w:rsidR="00450740">
        <w:t xml:space="preserve"> phone data collection works well for </w:t>
      </w:r>
      <w:r w:rsidR="00450740">
        <w:t>a majority of</w:t>
      </w:r>
      <w:r w:rsidR="00450740">
        <w:t xml:space="preserve"> interviews</w:t>
      </w:r>
      <w:r>
        <w:t xml:space="preserve">, maintaining stability in representativeness and data quality. The phone mode also offers a cost-effective option for both contacting and interviewing. </w:t>
      </w:r>
      <w:r w:rsidR="00C557D4">
        <w:t>I</w:t>
      </w:r>
      <w:r w:rsidR="00450740">
        <w:t>n-person</w:t>
      </w:r>
      <w:r w:rsidR="00C557D4">
        <w:t xml:space="preserve"> interviewing</w:t>
      </w:r>
      <w:r w:rsidR="00450740">
        <w:t xml:space="preserve"> is preferred for the </w:t>
      </w:r>
      <w:r w:rsidR="00412AD2">
        <w:t>collection of cost data</w:t>
      </w:r>
      <w:r w:rsidR="00FE05E6">
        <w:t xml:space="preserve"> f</w:t>
      </w:r>
      <w:r w:rsidR="006E08C3">
        <w:t>rom beneficiar</w:t>
      </w:r>
      <w:r w:rsidR="00B21125">
        <w:t>ies</w:t>
      </w:r>
      <w:r w:rsidR="006E08C3">
        <w:t xml:space="preserve"> with large health care needs and for some subpopulation</w:t>
      </w:r>
      <w:r w:rsidR="00B21125">
        <w:t>s</w:t>
      </w:r>
      <w:r w:rsidR="006E08C3">
        <w:t xml:space="preserve"> </w:t>
      </w:r>
      <w:r w:rsidR="0095274C">
        <w:t xml:space="preserve">such as </w:t>
      </w:r>
      <w:r w:rsidR="006E08C3">
        <w:t>persons with sensory impairments</w:t>
      </w:r>
      <w:r w:rsidR="00412AD2">
        <w:t>.</w:t>
      </w:r>
      <w:r w:rsidRPr="00C351F8" w:rsidR="00412AD2">
        <w:t xml:space="preserve"> </w:t>
      </w:r>
      <w:r w:rsidR="00C557D4">
        <w:t xml:space="preserve">In addition, collection of physical measures must be done during an in-person interview. </w:t>
      </w:r>
      <w:r w:rsidR="00445929">
        <w:t>In-person outreach has also been shown to be effective at improving response</w:t>
      </w:r>
      <w:r w:rsidR="00C557D4">
        <w:t>, particularly</w:t>
      </w:r>
      <w:r w:rsidR="00445929">
        <w:t xml:space="preserve"> among </w:t>
      </w:r>
      <w:r w:rsidR="00815091">
        <w:t xml:space="preserve">Incoming Panel beneficiaries for whom it is difficult to </w:t>
      </w:r>
      <w:r w:rsidR="00C557D4">
        <w:t>locate</w:t>
      </w:r>
      <w:r w:rsidR="00815091">
        <w:t xml:space="preserve"> a working phone number or who have proven difficult to reach by phone</w:t>
      </w:r>
      <w:r w:rsidR="00445929">
        <w:t xml:space="preserve">. </w:t>
      </w:r>
    </w:p>
    <w:p w:rsidR="00412AD2" w:rsidP="00D73AA4" w14:paraId="5E36622E" w14:textId="73868316">
      <w:pPr>
        <w:pStyle w:val="BodyText"/>
      </w:pPr>
      <w:r>
        <w:t xml:space="preserve">NORC interviewers conduct phone or in-person interviewing depending on the needs of the respondent and taking into consideration operational constraints. </w:t>
      </w:r>
      <w:r>
        <w:t xml:space="preserve">CMS also assumes </w:t>
      </w:r>
      <w:r>
        <w:t>a majority of</w:t>
      </w:r>
      <w:r>
        <w:t xml:space="preserve"> Facility interviews will take place over the </w:t>
      </w:r>
      <w:r w:rsidR="00573DF3">
        <w:t xml:space="preserve">phone with a </w:t>
      </w:r>
      <w:r>
        <w:t xml:space="preserve">small proportion </w:t>
      </w:r>
      <w:r w:rsidR="00573DF3">
        <w:t xml:space="preserve">conducted </w:t>
      </w:r>
      <w:r>
        <w:t>in-person</w:t>
      </w:r>
      <w:r w:rsidR="00573DF3">
        <w:t xml:space="preserve">.  </w:t>
      </w:r>
      <w:r>
        <w:t xml:space="preserve">This is based on </w:t>
      </w:r>
      <w:r w:rsidR="00573DF3">
        <w:t xml:space="preserve">finding that for </w:t>
      </w:r>
      <w:r>
        <w:t xml:space="preserve">Facilities new to the MCBS, in person outreach and interviewing </w:t>
      </w:r>
      <w:r w:rsidR="00573DF3">
        <w:t>appear to be</w:t>
      </w:r>
      <w:r>
        <w:t xml:space="preserve"> the most successful means of gaining cooperation. </w:t>
      </w:r>
    </w:p>
    <w:p w:rsidR="00147C92" w:rsidP="0030138B" w14:paraId="6CED26C5" w14:textId="50D21A6F">
      <w:pPr>
        <w:pStyle w:val="Heading5"/>
      </w:pPr>
      <w:bookmarkStart w:id="46" w:name="OLE_LINK7"/>
      <w:r>
        <w:t>MCBS Mode Assignments</w:t>
      </w:r>
    </w:p>
    <w:p w:rsidR="00F80E85" w:rsidP="00AC33F3" w14:paraId="6551F730" w14:textId="77777777">
      <w:pPr>
        <w:pStyle w:val="BodyText"/>
        <w:rPr>
          <w:color w:val="000000"/>
        </w:rPr>
      </w:pPr>
      <w:r>
        <w:rPr>
          <w:color w:val="000000"/>
        </w:rPr>
        <w:t xml:space="preserve">Starting in Fall 2023, CMS implemented a new </w:t>
      </w:r>
      <w:r>
        <w:rPr>
          <w:color w:val="000000"/>
        </w:rPr>
        <w:t xml:space="preserve">Community </w:t>
      </w:r>
      <w:r>
        <w:rPr>
          <w:color w:val="000000"/>
        </w:rPr>
        <w:t>data collection protocol involving case-level mode assignments</w:t>
      </w:r>
      <w:r w:rsidR="007757B3">
        <w:rPr>
          <w:color w:val="000000"/>
        </w:rPr>
        <w:t xml:space="preserve">. These assignments are designed to </w:t>
      </w:r>
      <w:r w:rsidR="00FF7BF7">
        <w:rPr>
          <w:color w:val="000000"/>
        </w:rPr>
        <w:t xml:space="preserve">provide guidance to field interviewers and </w:t>
      </w:r>
      <w:r>
        <w:rPr>
          <w:color w:val="000000"/>
        </w:rPr>
        <w:t xml:space="preserve">simplify tradeoffs between the cost-effectiveness of phone interviewing and specific situations </w:t>
      </w:r>
      <w:r w:rsidR="007757B3">
        <w:rPr>
          <w:color w:val="000000"/>
        </w:rPr>
        <w:t>where</w:t>
      </w:r>
      <w:r w:rsidR="007757B3">
        <w:rPr>
          <w:color w:val="000000"/>
        </w:rPr>
        <w:t xml:space="preserve"> conducting in-person interviews may mitigate respondent burden and increase data quality. </w:t>
      </w:r>
      <w:r w:rsidR="00FF7BF7">
        <w:rPr>
          <w:color w:val="000000"/>
        </w:rPr>
        <w:t>A model-based approach was used to develop separate</w:t>
      </w:r>
      <w:r w:rsidR="007757B3">
        <w:rPr>
          <w:color w:val="000000"/>
        </w:rPr>
        <w:t xml:space="preserve"> assignment protocol</w:t>
      </w:r>
      <w:r w:rsidR="00FF7BF7">
        <w:rPr>
          <w:color w:val="000000"/>
        </w:rPr>
        <w:t xml:space="preserve">s for the Incoming Panel and Continuing Panels. </w:t>
      </w:r>
      <w:r>
        <w:rPr>
          <w:color w:val="000000"/>
        </w:rPr>
        <w:t>M</w:t>
      </w:r>
      <w:r w:rsidR="00FF7BF7">
        <w:rPr>
          <w:color w:val="000000"/>
        </w:rPr>
        <w:t xml:space="preserve">odels assessed relationships between specific beneficiary characteristics and potential benefits of in-person data collection. </w:t>
      </w:r>
    </w:p>
    <w:p w:rsidR="00F80E85" w:rsidP="00AC33F3" w14:paraId="54BDCE9E" w14:textId="77777777">
      <w:pPr>
        <w:pStyle w:val="BodyText"/>
        <w:rPr>
          <w:color w:val="000000"/>
        </w:rPr>
      </w:pPr>
      <w:r>
        <w:rPr>
          <w:color w:val="000000"/>
        </w:rPr>
        <w:t>For Incoming Panel beneficiaries, the protocol</w:t>
      </w:r>
      <w:r>
        <w:rPr>
          <w:color w:val="000000"/>
        </w:rPr>
        <w:t xml:space="preserve"> leverages model results to assign</w:t>
      </w:r>
      <w:r>
        <w:rPr>
          <w:color w:val="000000"/>
        </w:rPr>
        <w:t xml:space="preserve"> the mode of outreach</w:t>
      </w:r>
      <w:r w:rsidR="0060100A">
        <w:rPr>
          <w:color w:val="000000"/>
        </w:rPr>
        <w:t xml:space="preserve"> for individual beneficiaries</w:t>
      </w:r>
      <w:r>
        <w:rPr>
          <w:color w:val="000000"/>
        </w:rPr>
        <w:t xml:space="preserve"> </w:t>
      </w:r>
      <w:r w:rsidR="0060100A">
        <w:rPr>
          <w:color w:val="000000"/>
        </w:rPr>
        <w:t xml:space="preserve">based on characteristics including age, gender, race / ethnicity, and residence in urban vs. rural areas. For beneficiaries in the Continuing Panels, who have already provided additional demographic and health-related information in prior interviews, the protocol assigns the mode of interview based on similar characteristics as well as income and </w:t>
      </w:r>
      <w:r w:rsidR="0060100A">
        <w:rPr>
          <w:color w:val="000000"/>
        </w:rPr>
        <w:t xml:space="preserve">education levels, prior levels of health care utilization, and </w:t>
      </w:r>
      <w:r w:rsidR="0060100A">
        <w:rPr>
          <w:color w:val="000000"/>
        </w:rPr>
        <w:t>whether or not</w:t>
      </w:r>
      <w:r w:rsidR="0060100A">
        <w:rPr>
          <w:color w:val="000000"/>
        </w:rPr>
        <w:t xml:space="preserve"> the beneficiary has indicated experiencing serious difficulty hearing. </w:t>
      </w:r>
    </w:p>
    <w:p w:rsidR="00FF7BF7" w:rsidP="00AC33F3" w14:paraId="51BE74AC" w14:textId="325C9C63">
      <w:pPr>
        <w:pStyle w:val="BodyText"/>
        <w:rPr>
          <w:color w:val="000000"/>
        </w:rPr>
      </w:pPr>
      <w:r>
        <w:rPr>
          <w:color w:val="000000"/>
        </w:rPr>
        <w:t xml:space="preserve">For each beneficiary, </w:t>
      </w:r>
      <w:r w:rsidR="00A16557">
        <w:rPr>
          <w:color w:val="000000"/>
        </w:rPr>
        <w:t xml:space="preserve">characteristics are assessed in combination with one another </w:t>
      </w:r>
      <w:r>
        <w:rPr>
          <w:color w:val="000000"/>
        </w:rPr>
        <w:t>with</w:t>
      </w:r>
      <w:r w:rsidR="00A16557">
        <w:rPr>
          <w:color w:val="000000"/>
        </w:rPr>
        <w:t xml:space="preserve"> formulas that tally the predicted benefit of in-person data collection</w:t>
      </w:r>
      <w:r>
        <w:rPr>
          <w:color w:val="000000"/>
        </w:rPr>
        <w:t xml:space="preserve">. Beneficiaries with the highest predicted benefit are most likely to receive </w:t>
      </w:r>
      <w:r w:rsidR="00A16557">
        <w:rPr>
          <w:color w:val="000000"/>
        </w:rPr>
        <w:t>in-person assignments. T</w:t>
      </w:r>
      <w:r w:rsidR="0060100A">
        <w:rPr>
          <w:color w:val="000000"/>
        </w:rPr>
        <w:t xml:space="preserve">he mode assignments </w:t>
      </w:r>
      <w:r w:rsidR="00A16557">
        <w:rPr>
          <w:color w:val="000000"/>
        </w:rPr>
        <w:t xml:space="preserve">are also designed with </w:t>
      </w:r>
      <w:r w:rsidR="0060100A">
        <w:rPr>
          <w:color w:val="000000"/>
        </w:rPr>
        <w:t>embedded flexibility for field staff</w:t>
      </w:r>
      <w:r w:rsidR="00A16557">
        <w:rPr>
          <w:color w:val="000000"/>
        </w:rPr>
        <w:t>, such that it is possible to switch mode</w:t>
      </w:r>
      <w:r>
        <w:rPr>
          <w:color w:val="000000"/>
        </w:rPr>
        <w:t>s</w:t>
      </w:r>
      <w:r w:rsidR="00A16557">
        <w:rPr>
          <w:color w:val="000000"/>
        </w:rPr>
        <w:t xml:space="preserve"> </w:t>
      </w:r>
      <w:r w:rsidR="00127AEA">
        <w:rPr>
          <w:color w:val="000000"/>
        </w:rPr>
        <w:t xml:space="preserve">as needed to mitigate respondent burden and accommodate respondent preferences. This protocol was well received by field staff and </w:t>
      </w:r>
      <w:r>
        <w:rPr>
          <w:color w:val="000000"/>
        </w:rPr>
        <w:t>was effective in controlling data collection costs for Fall 2023. It will continue to be used and refined for future rounds of the MCBS.</w:t>
      </w:r>
    </w:p>
    <w:p w:rsidR="0088452B" w:rsidRPr="00D94F41" w:rsidP="00CF2B93" w14:paraId="5464AC65" w14:textId="25153A84">
      <w:pPr>
        <w:pStyle w:val="Heading3"/>
        <w:tabs>
          <w:tab w:val="left" w:pos="540"/>
        </w:tabs>
      </w:pPr>
      <w:bookmarkStart w:id="47" w:name="_Toc91154938"/>
      <w:bookmarkStart w:id="48" w:name="_Toc170735987"/>
      <w:bookmarkEnd w:id="46"/>
      <w:r w:rsidRPr="00D94F41">
        <w:t>B4.</w:t>
      </w:r>
      <w:r w:rsidRPr="00D94F41" w:rsidR="00BB2D9F">
        <w:tab/>
      </w:r>
      <w:r w:rsidRPr="00D94F41">
        <w:t>Tests of Procedures or Methods</w:t>
      </w:r>
      <w:bookmarkEnd w:id="47"/>
      <w:bookmarkEnd w:id="48"/>
    </w:p>
    <w:p w:rsidR="0088452B" w:rsidRPr="00D94F41" w:rsidP="008437C5" w14:paraId="353674A3" w14:textId="5D205F49">
      <w:pPr>
        <w:pStyle w:val="BodyText"/>
      </w:pPr>
      <w:r w:rsidRPr="00D94F41">
        <w:t xml:space="preserve">MCBS’ generic clearance for Questionnaire Testing and Methodological Research for the MCBS was </w:t>
      </w:r>
      <w:r w:rsidRPr="00D94F41" w:rsidR="00A26470">
        <w:t xml:space="preserve">first </w:t>
      </w:r>
      <w:r w:rsidRPr="00D94F41">
        <w:t>approved by OMB in May 2015</w:t>
      </w:r>
      <w:r w:rsidRPr="00D94F41" w:rsidR="00A26470">
        <w:t xml:space="preserve"> and most recently received approval for revision on June 24, 2021 </w:t>
      </w:r>
      <w:r w:rsidRPr="00D94F41">
        <w:t>(OMB No. 0938-1275, expiration 0</w:t>
      </w:r>
      <w:r w:rsidRPr="00D94F41" w:rsidR="00A26470">
        <w:t>6</w:t>
      </w:r>
      <w:r w:rsidRPr="00D94F41">
        <w:t>/3</w:t>
      </w:r>
      <w:r w:rsidRPr="00D94F41" w:rsidR="00A26470">
        <w:t>0</w:t>
      </w:r>
      <w:r w:rsidRPr="00D94F41">
        <w:t>/20</w:t>
      </w:r>
      <w:r w:rsidRPr="00D94F41" w:rsidR="00F60E6D">
        <w:t>2</w:t>
      </w:r>
      <w:r w:rsidRPr="00D94F41" w:rsidR="00A26470">
        <w:t>4</w:t>
      </w:r>
      <w:r w:rsidRPr="00D94F41">
        <w:t xml:space="preserve">). The generic clearance encompasses development and testing of MCBS </w:t>
      </w:r>
      <w:r w:rsidRPr="008437C5">
        <w:t>questionnaires</w:t>
      </w:r>
      <w:r w:rsidRPr="00D94F41">
        <w:t xml:space="preserve">, instrumentation, and methodological experiments. It contains approval for </w:t>
      </w:r>
      <w:r w:rsidRPr="00D94F41" w:rsidR="00A26470">
        <w:t xml:space="preserve">six </w:t>
      </w:r>
      <w:r w:rsidRPr="00D94F41">
        <w:t>types of potential research activities:</w:t>
      </w:r>
    </w:p>
    <w:p w:rsidR="00704BE0" w:rsidRPr="00D94F41" w:rsidP="00BD72D7" w14:paraId="08D69DC7" w14:textId="76164D56">
      <w:pPr>
        <w:pStyle w:val="BodyText"/>
      </w:pPr>
      <w:r w:rsidRPr="00D94F41">
        <w:t>1) cognitive interviewing, 2) focus groups, 3) usability testing, 4) field testing</w:t>
      </w:r>
      <w:r w:rsidRPr="00D94F41" w:rsidR="00A26470">
        <w:t xml:space="preserve"> (both within and outside the MCBS production environment)</w:t>
      </w:r>
      <w:r w:rsidRPr="00D94F41">
        <w:t xml:space="preserve">, 5) respondent debriefing questionnaire, and </w:t>
      </w:r>
      <w:r w:rsidRPr="00D94F41" w:rsidR="00A26470">
        <w:t>6</w:t>
      </w:r>
      <w:r w:rsidRPr="00D94F41">
        <w:t>) research about incentives. Any future changes to the MCBS instrumentation, data collection methods, or procedures that require testing will be submitted as individual collection requests under the generic clearance.</w:t>
      </w:r>
      <w:bookmarkStart w:id="49" w:name="B5._Individuals_Consulted_on_Statistical"/>
      <w:bookmarkEnd w:id="49"/>
    </w:p>
    <w:p w:rsidR="007D2229" w:rsidP="007D2229" w14:paraId="38A03EFA" w14:textId="04892838">
      <w:pPr>
        <w:pStyle w:val="BodyText"/>
      </w:pPr>
      <w:bookmarkStart w:id="50" w:name="A1._Circumstances_Making_the_Collection_"/>
      <w:bookmarkStart w:id="51" w:name="A2._Purpose_and_Use_of_Information_Colle"/>
      <w:bookmarkStart w:id="52" w:name="_Toc91154939"/>
      <w:bookmarkEnd w:id="50"/>
      <w:bookmarkEnd w:id="51"/>
      <w:r>
        <w:t xml:space="preserve">In </w:t>
      </w:r>
      <w:r w:rsidR="007712B1">
        <w:t>December 2023-January 2024</w:t>
      </w:r>
      <w:r>
        <w:t>, CMS conducted a small number of cognitive tests (</w:t>
      </w:r>
      <w:r w:rsidR="007712B1">
        <w:t>nine</w:t>
      </w:r>
      <w:r>
        <w:t xml:space="preserve">) with respondents </w:t>
      </w:r>
      <w:r w:rsidR="00A8353C">
        <w:t xml:space="preserve">in English and Spanish </w:t>
      </w:r>
      <w:r>
        <w:t>to test the comprehension and of new questionnaire items</w:t>
      </w:r>
      <w:r w:rsidR="007712B1">
        <w:t xml:space="preserve"> in the redesigned IAQ, including new items on Federal assistance program participation and awareness and items on medical and credit card debt. </w:t>
      </w:r>
      <w:r w:rsidR="00A8353C">
        <w:t xml:space="preserve">The redesigned section performed well based on this small number of cognitive interviews. </w:t>
      </w:r>
    </w:p>
    <w:p w:rsidR="0088452B" w:rsidRPr="00D94F41" w:rsidP="00CF2B93" w14:paraId="7AFF8BB6" w14:textId="3CE826B3">
      <w:pPr>
        <w:pStyle w:val="Heading3"/>
        <w:tabs>
          <w:tab w:val="left" w:pos="540"/>
        </w:tabs>
      </w:pPr>
      <w:bookmarkStart w:id="53" w:name="_Toc170735988"/>
      <w:r w:rsidRPr="00D94F41">
        <w:t>B5.</w:t>
      </w:r>
      <w:r w:rsidRPr="00D94F41">
        <w:tab/>
      </w:r>
      <w:r w:rsidRPr="00D94F41" w:rsidR="004112E2">
        <w:t>Individuals Consulted on Statistical Aspects of Design</w:t>
      </w:r>
      <w:bookmarkEnd w:id="52"/>
      <w:bookmarkEnd w:id="53"/>
    </w:p>
    <w:p w:rsidR="0088452B" w:rsidRPr="00D94F41" w:rsidP="00BB2D9F" w14:paraId="60F7D3D9" w14:textId="5F63CD8F">
      <w:pPr>
        <w:pStyle w:val="BodyText"/>
      </w:pPr>
      <w:r w:rsidRPr="00D94F41">
        <w:t>The person responsible for statistical aspects of design is:</w:t>
      </w:r>
    </w:p>
    <w:p w:rsidR="0088452B" w:rsidRPr="00D94F41" w:rsidP="00BD72D7" w14:paraId="1E87255E" w14:textId="79C5A64B">
      <w:pPr>
        <w:pStyle w:val="BodyText"/>
        <w:spacing w:after="0"/>
        <w:ind w:left="720"/>
      </w:pPr>
      <w:r w:rsidRPr="00D94F41">
        <w:t>Edward Mulrow</w:t>
      </w:r>
      <w:r w:rsidRPr="00D94F41" w:rsidR="004112E2">
        <w:t>, Ph.D.  Vice President</w:t>
      </w:r>
    </w:p>
    <w:p w:rsidR="00F60E6D" w:rsidRPr="00D94F41" w:rsidP="00BD72D7" w14:paraId="1B09B940" w14:textId="77777777">
      <w:pPr>
        <w:pStyle w:val="BodyText"/>
        <w:spacing w:after="0"/>
        <w:ind w:left="720"/>
      </w:pPr>
      <w:r w:rsidRPr="00D94F41">
        <w:t xml:space="preserve">NORC at the University of Chicago </w:t>
      </w:r>
    </w:p>
    <w:p w:rsidR="008174FC" w:rsidRPr="00D94F41" w:rsidP="00BD72D7" w14:paraId="49057F0D" w14:textId="2B87D2CF">
      <w:pPr>
        <w:pStyle w:val="BodyText"/>
        <w:spacing w:after="0"/>
        <w:ind w:left="720"/>
      </w:pPr>
      <w:r w:rsidRPr="00D94F41">
        <w:t>4350 East-West Highway, 8</w:t>
      </w:r>
      <w:r w:rsidRPr="00D94F41">
        <w:rPr>
          <w:vertAlign w:val="superscript"/>
        </w:rPr>
        <w:t>th</w:t>
      </w:r>
      <w:r w:rsidRPr="00D94F41">
        <w:t xml:space="preserve"> Floor</w:t>
      </w:r>
    </w:p>
    <w:p w:rsidR="0088452B" w:rsidRPr="00D94F41" w:rsidP="00BD72D7" w14:paraId="4AB4F4AC" w14:textId="704D3B65">
      <w:pPr>
        <w:pStyle w:val="BodyText"/>
        <w:spacing w:after="0"/>
        <w:ind w:left="720"/>
      </w:pPr>
      <w:r w:rsidRPr="00D94F41">
        <w:t>Bethesda, MD 2081</w:t>
      </w:r>
      <w:r w:rsidRPr="00D94F41" w:rsidR="006A4E68">
        <w:t>4</w:t>
      </w:r>
    </w:p>
    <w:p w:rsidR="0088452B" w:rsidRPr="00D94F41" w:rsidP="00BD72D7" w14:paraId="1B1B3DBB" w14:textId="6DE5859D">
      <w:pPr>
        <w:pStyle w:val="BodyText"/>
        <w:spacing w:after="0"/>
        <w:ind w:left="720"/>
      </w:pPr>
      <w:r w:rsidRPr="00D94F41">
        <w:t>(301) 634-9441</w:t>
      </w:r>
    </w:p>
    <w:p w:rsidR="0088452B" w:rsidRPr="00D94F41" w:rsidP="00BD72D7" w14:paraId="7F1C0134" w14:textId="5E834C89">
      <w:pPr>
        <w:pStyle w:val="BodyText"/>
        <w:spacing w:after="0"/>
        <w:ind w:left="720"/>
      </w:pPr>
      <w:hyperlink r:id="rId11" w:history="1">
        <w:r w:rsidRPr="00D94F41" w:rsidR="006A4E68">
          <w:rPr>
            <w:rStyle w:val="Hyperlink"/>
          </w:rPr>
          <w:t>Mulrow-Edward@norc.org</w:t>
        </w:r>
      </w:hyperlink>
      <w:r w:rsidRPr="00D94F41" w:rsidR="006A4E68">
        <w:t xml:space="preserve"> </w:t>
      </w:r>
    </w:p>
    <w:p w:rsidR="0088452B" w:rsidRPr="00D94F41" w:rsidP="00BD72D7" w14:paraId="706712A9" w14:textId="77777777">
      <w:pPr>
        <w:pStyle w:val="BodyText"/>
        <w:spacing w:before="240"/>
      </w:pPr>
      <w:r w:rsidRPr="00D94F41">
        <w:t>The contractor collecting the information is NORC at the University of Chicago.</w:t>
      </w:r>
    </w:p>
    <w:sectPr w:rsidSect="0005551B">
      <w:pgSz w:w="12240" w:h="15840" w:code="1"/>
      <w:pgMar w:top="1080" w:right="1440" w:bottom="108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0BF8" w:rsidRPr="00200E3E" w:rsidP="00200E3E" w14:paraId="5D996B32" w14:textId="48BA9731">
    <w:pPr>
      <w:pStyle w:val="Footer"/>
      <w:jc w:val="right"/>
      <w:rPr>
        <w:sz w:val="20"/>
        <w:szCs w:val="20"/>
      </w:rPr>
    </w:pPr>
    <w:r w:rsidRPr="00200E3E">
      <w:rPr>
        <w:sz w:val="20"/>
        <w:szCs w:val="20"/>
      </w:rPr>
      <w:t xml:space="preserve">Page </w:t>
    </w:r>
    <w:r w:rsidRPr="00200E3E">
      <w:rPr>
        <w:sz w:val="20"/>
        <w:szCs w:val="20"/>
      </w:rPr>
      <w:fldChar w:fldCharType="begin"/>
    </w:r>
    <w:r w:rsidRPr="00200E3E">
      <w:rPr>
        <w:sz w:val="20"/>
        <w:szCs w:val="20"/>
      </w:rPr>
      <w:instrText xml:space="preserve"> PAGE   \* MERGEFORMAT </w:instrText>
    </w:r>
    <w:r w:rsidRPr="00200E3E">
      <w:rPr>
        <w:sz w:val="20"/>
        <w:szCs w:val="20"/>
      </w:rPr>
      <w:fldChar w:fldCharType="separate"/>
    </w:r>
    <w:r>
      <w:rPr>
        <w:noProof/>
        <w:sz w:val="20"/>
        <w:szCs w:val="20"/>
      </w:rPr>
      <w:t>i</w:t>
    </w:r>
    <w:r w:rsidRPr="00200E3E">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0BF8" w:rsidRPr="00200E3E" w:rsidP="00200E3E" w14:paraId="10CC06CF" w14:textId="7E3D8ABC">
    <w:pPr>
      <w:pStyle w:val="Footer"/>
      <w:jc w:val="right"/>
      <w:rPr>
        <w:sz w:val="20"/>
        <w:szCs w:val="20"/>
      </w:rPr>
    </w:pPr>
    <w:r w:rsidRPr="00200E3E">
      <w:rPr>
        <w:sz w:val="20"/>
        <w:szCs w:val="20"/>
      </w:rPr>
      <w:t xml:space="preserve">Page </w:t>
    </w:r>
    <w:r w:rsidRPr="00200E3E">
      <w:rPr>
        <w:sz w:val="20"/>
        <w:szCs w:val="20"/>
      </w:rPr>
      <w:fldChar w:fldCharType="begin"/>
    </w:r>
    <w:r w:rsidRPr="00200E3E">
      <w:rPr>
        <w:sz w:val="20"/>
        <w:szCs w:val="20"/>
      </w:rPr>
      <w:instrText xml:space="preserve"> PAGE   \* MERGEFORMAT </w:instrText>
    </w:r>
    <w:r w:rsidRPr="00200E3E">
      <w:rPr>
        <w:sz w:val="20"/>
        <w:szCs w:val="20"/>
      </w:rPr>
      <w:fldChar w:fldCharType="separate"/>
    </w:r>
    <w:r>
      <w:rPr>
        <w:noProof/>
        <w:sz w:val="20"/>
        <w:szCs w:val="20"/>
      </w:rPr>
      <w:t>24</w:t>
    </w:r>
    <w:r w:rsidRPr="00200E3E">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5551B" w14:paraId="2C6774C6" w14:textId="77777777">
      <w:r>
        <w:separator/>
      </w:r>
    </w:p>
  </w:footnote>
  <w:footnote w:type="continuationSeparator" w:id="1">
    <w:p w:rsidR="0005551B" w14:paraId="124FE6B7" w14:textId="77777777">
      <w:r>
        <w:continuationSeparator/>
      </w:r>
    </w:p>
  </w:footnote>
  <w:footnote w:id="2">
    <w:p w:rsidR="00F10BF8" w:rsidRPr="00110F11" w:rsidP="00110F11" w14:paraId="0990C4D7" w14:textId="77606591">
      <w:pPr>
        <w:pStyle w:val="FootnoteText"/>
        <w:spacing w:after="40"/>
      </w:pPr>
      <w:r w:rsidRPr="00110F11">
        <w:rPr>
          <w:rStyle w:val="FootnoteReference"/>
        </w:rPr>
        <w:footnoteRef/>
      </w:r>
      <w:r w:rsidRPr="00110F11">
        <w:t xml:space="preserve"> Note that telephone numbers for beneficiaries are not available in the CMS administrative data used for sampling. Telephone numbers were appended to sampled addresses using vendor matching software; these numbers only sometimes reached the intended respondent. Additional manual locating was conducted by the field team to improve locating rates.</w:t>
      </w:r>
    </w:p>
  </w:footnote>
  <w:footnote w:id="3">
    <w:p w:rsidR="00F10BF8" w:rsidRPr="00110F11" w:rsidP="00110F11" w14:paraId="228A449D" w14:textId="4EE6A997">
      <w:pPr>
        <w:pStyle w:val="FootnoteText"/>
        <w:spacing w:after="40"/>
      </w:pPr>
      <w:r w:rsidRPr="00110F11">
        <w:rPr>
          <w:rStyle w:val="FootnoteReference"/>
        </w:rPr>
        <w:footnoteRef/>
      </w:r>
      <w:r w:rsidRPr="00110F11">
        <w:t xml:space="preserve"> Note that prior to 2017, 107 PSUs were used for sampling for the MCBS. These included three PSUs in Puerto Rico. Beginning in 2017, Puerto Rico was removed from the MCBS sampling frame.</w:t>
      </w:r>
    </w:p>
  </w:footnote>
  <w:footnote w:id="4">
    <w:p w:rsidR="00F10BF8" w:rsidRPr="00110F11" w:rsidP="00110F11" w14:paraId="75EBE638" w14:textId="7BAF5841">
      <w:pPr>
        <w:pStyle w:val="FootnoteText"/>
        <w:spacing w:after="40"/>
      </w:pPr>
      <w:r w:rsidRPr="00110F11">
        <w:rPr>
          <w:rStyle w:val="FootnoteReference"/>
        </w:rPr>
        <w:footnoteRef/>
      </w:r>
      <w:r w:rsidRPr="00110F11">
        <w:t xml:space="preserve"> Beginning in 2017, the 18 SSUs selected from the three Puerto Rico PSUs were removed from the sampling frame, leaving 685 SSUs for sampling for the MCBS.</w:t>
      </w:r>
    </w:p>
  </w:footnote>
  <w:footnote w:id="5">
    <w:p w:rsidR="00F10BF8" w:rsidRPr="00110F11" w:rsidP="00110F11" w14:paraId="0B2F5551" w14:textId="08AA9790">
      <w:pPr>
        <w:pStyle w:val="FootnoteText"/>
        <w:spacing w:after="40"/>
      </w:pPr>
      <w:r w:rsidRPr="00110F11">
        <w:rPr>
          <w:rStyle w:val="FootnoteReference"/>
        </w:rPr>
        <w:footnoteRef/>
      </w:r>
      <w:r w:rsidRPr="00110F11">
        <w:t xml:space="preserve"> Note that the sample released was larger than </w:t>
      </w:r>
      <w:r w:rsidR="00850994">
        <w:t xml:space="preserve">most </w:t>
      </w:r>
      <w:r w:rsidRPr="00110F11">
        <w:t xml:space="preserve">previous MCBS samples due to the </w:t>
      </w:r>
      <w:r w:rsidR="00850994">
        <w:t>continued reliance on</w:t>
      </w:r>
      <w:r w:rsidRPr="00110F11">
        <w:t xml:space="preserve"> telephone interviewing and the associated expected lower rates of locating and response.</w:t>
      </w:r>
    </w:p>
  </w:footnote>
  <w:footnote w:id="6">
    <w:p w:rsidR="00F10BF8" w:rsidRPr="00110F11" w:rsidP="00110F11" w14:paraId="21685C76" w14:textId="3D610CA1">
      <w:pPr>
        <w:pStyle w:val="FootnoteText"/>
        <w:spacing w:after="40"/>
      </w:pPr>
      <w:r w:rsidRPr="00110F11">
        <w:rPr>
          <w:rStyle w:val="FootnoteReference"/>
        </w:rPr>
        <w:footnoteRef/>
      </w:r>
      <w:r w:rsidRPr="00110F11">
        <w:t xml:space="preserve"> Events and costs incurred after enrollment in Medicare but prior to the first interview.</w:t>
      </w:r>
    </w:p>
  </w:footnote>
  <w:footnote w:id="7">
    <w:p w:rsidR="00F10BF8" w:rsidRPr="00110F11" w:rsidP="00110F11" w14:paraId="25414731" w14:textId="072A1E5B">
      <w:pPr>
        <w:pStyle w:val="FootnoteText"/>
        <w:spacing w:after="40"/>
      </w:pPr>
      <w:r w:rsidRPr="00110F11">
        <w:rPr>
          <w:rStyle w:val="FootnoteReference"/>
        </w:rPr>
        <w:footnoteRef/>
      </w:r>
      <w:r w:rsidRPr="00110F11">
        <w:t xml:space="preserve"> </w:t>
      </w:r>
      <w:r w:rsidRPr="00110F11">
        <w:t>Neter</w:t>
      </w:r>
      <w:r w:rsidRPr="00110F11">
        <w:t xml:space="preserve"> J. </w:t>
      </w:r>
      <w:r w:rsidRPr="00110F11">
        <w:t>Waksberg</w:t>
      </w:r>
      <w:r w:rsidRPr="00110F11">
        <w:t xml:space="preserve"> J. A Study of Response Errors in Expenditures Data from Household Interviews. Psychology. Journal of the American Statistical Association. March 1964. </w:t>
      </w:r>
    </w:p>
  </w:footnote>
  <w:footnote w:id="8">
    <w:p w:rsidR="002E0091" w:rsidP="002E0091" w14:paraId="020AA7B2" w14:textId="77777777">
      <w:pPr>
        <w:pStyle w:val="FootnoteText"/>
      </w:pPr>
      <w:r>
        <w:rPr>
          <w:rStyle w:val="FootnoteReference"/>
        </w:rPr>
        <w:footnoteRef/>
      </w:r>
      <w:r>
        <w:t xml:space="preserve"> </w:t>
      </w:r>
      <w:hyperlink r:id="rId1" w:history="1">
        <w:r>
          <w:rPr>
            <w:rStyle w:val="Hyperlink"/>
          </w:rPr>
          <w:t>https://www.cdc.gov/vaccines/hcp/acip-recs/index.html</w:t>
        </w:r>
      </w:hyperlink>
      <w:r>
        <w:t xml:space="preserve"> </w:t>
      </w:r>
    </w:p>
  </w:footnote>
  <w:footnote w:id="9">
    <w:p w:rsidR="002E0091" w:rsidP="002E0091" w14:paraId="328C35AD" w14:textId="77777777">
      <w:pPr>
        <w:pStyle w:val="FootnoteText"/>
      </w:pPr>
      <w:r>
        <w:rPr>
          <w:rStyle w:val="FootnoteReference"/>
        </w:rPr>
        <w:footnoteRef/>
      </w:r>
      <w:r>
        <w:t xml:space="preserve"> </w:t>
      </w:r>
      <w:hyperlink r:id="rId2" w:history="1">
        <w:r>
          <w:rPr>
            <w:rStyle w:val="Hyperlink"/>
          </w:rPr>
          <w:t>https://files.kff.org/attachment/Topline-KFF-Health-Tracking-Poll-November-2023.pdf</w:t>
        </w:r>
      </w:hyperlink>
      <w:r>
        <w:t xml:space="preserve"> </w:t>
      </w:r>
    </w:p>
  </w:footnote>
  <w:footnote w:id="10">
    <w:p w:rsidR="002E0091" w:rsidP="002E0091" w14:paraId="10CD4A6A" w14:textId="77777777">
      <w:pPr>
        <w:pStyle w:val="FootnoteText"/>
      </w:pPr>
      <w:r>
        <w:rPr>
          <w:rStyle w:val="FootnoteReference"/>
        </w:rPr>
        <w:footnoteRef/>
      </w:r>
      <w:r>
        <w:t xml:space="preserve"> [</w:t>
      </w:r>
      <w:hyperlink r:id="rId3" w:history="1">
        <w:r>
          <w:rPr>
            <w:rStyle w:val="Hyperlink"/>
          </w:rPr>
          <w:t>https://www.cms.gov/data-research/research/medicare-current-beneficiary-survey/data-tables/2021-mcbs-puf-financial-well-being-medicare-beneficiaries</w:t>
        </w:r>
      </w:hyperlink>
      <w:r>
        <w:t xml:space="preserve"> </w:t>
      </w:r>
    </w:p>
  </w:footnote>
  <w:footnote w:id="11">
    <w:p w:rsidR="002E0091" w:rsidP="002E0091" w14:paraId="2EAC8360" w14:textId="77777777">
      <w:pPr>
        <w:pStyle w:val="FootnoteText"/>
      </w:pPr>
      <w:r>
        <w:rPr>
          <w:rStyle w:val="FootnoteReference"/>
        </w:rPr>
        <w:footnoteRef/>
      </w:r>
      <w:r>
        <w:t xml:space="preserve"> </w:t>
      </w:r>
      <w:hyperlink r:id="rId4" w:history="1">
        <w:r>
          <w:rPr>
            <w:rStyle w:val="Hyperlink"/>
          </w:rPr>
          <w:t>Financial Assets (norc.org)</w:t>
        </w:r>
      </w:hyperlink>
    </w:p>
  </w:footnote>
  <w:footnote w:id="12">
    <w:p w:rsidR="002E0091" w:rsidP="002E0091" w14:paraId="2B38BC90" w14:textId="77777777">
      <w:pPr>
        <w:pStyle w:val="FootnoteText"/>
      </w:pPr>
      <w:r>
        <w:rPr>
          <w:rStyle w:val="FootnoteReference"/>
        </w:rPr>
        <w:footnoteRef/>
      </w:r>
      <w:r>
        <w:t xml:space="preserve"> </w:t>
      </w:r>
      <w:hyperlink r:id="rId5" w:history="1">
        <w:r>
          <w:rPr>
            <w:rStyle w:val="Hyperlink"/>
          </w:rPr>
          <w:t>https://www.census.gov/programs-surveys/sipp.html</w:t>
        </w:r>
      </w:hyperlink>
    </w:p>
  </w:footnote>
  <w:footnote w:id="13">
    <w:p w:rsidR="00D841B0" w:rsidP="00D841B0" w14:paraId="493F804E" w14:textId="77777777">
      <w:pPr>
        <w:pStyle w:val="FootnoteText"/>
        <w:spacing w:after="40"/>
      </w:pPr>
      <w:r>
        <w:rPr>
          <w:rStyle w:val="FootnoteReference"/>
        </w:rPr>
        <w:footnoteRef/>
      </w:r>
      <w:r>
        <w:t xml:space="preserve"> </w:t>
      </w:r>
      <w:hyperlink r:id="rId6" w:history="1">
        <w:r>
          <w:rPr>
            <w:rStyle w:val="Hyperlink"/>
          </w:rPr>
          <w:t>https://files.kff.org/attachment/TOPLINE-KFF-Health-Care-Debt-Survey-March-2022.pdf</w:t>
        </w:r>
      </w:hyperlink>
      <w:r>
        <w:t xml:space="preserve"> </w:t>
      </w:r>
    </w:p>
  </w:footnote>
  <w:footnote w:id="14">
    <w:p w:rsidR="002E0091" w:rsidP="002E0091" w14:paraId="274C1258" w14:textId="77777777">
      <w:pPr>
        <w:pStyle w:val="FootnoteText"/>
      </w:pPr>
      <w:r>
        <w:rPr>
          <w:rStyle w:val="FootnoteReference"/>
        </w:rPr>
        <w:footnoteRef/>
      </w:r>
      <w:r>
        <w:t xml:space="preserve"> </w:t>
      </w:r>
      <w:hyperlink r:id="rId7" w:history="1">
        <w:r>
          <w:rPr>
            <w:rStyle w:val="Hyperlink"/>
          </w:rPr>
          <w:t>https://files.consumerfinance.gov/f/201405_cfpb_report_data-point_medical-debt-credit-scores.pdf</w:t>
        </w:r>
      </w:hyperlink>
      <w:r>
        <w:t xml:space="preserve"> </w:t>
      </w:r>
    </w:p>
  </w:footnote>
  <w:footnote w:id="15">
    <w:p w:rsidR="002E0091" w:rsidP="002E0091" w14:paraId="2C688785" w14:textId="77777777">
      <w:pPr>
        <w:pStyle w:val="FootnoteText"/>
      </w:pPr>
      <w:r>
        <w:rPr>
          <w:rStyle w:val="FootnoteReference"/>
        </w:rPr>
        <w:footnoteRef/>
      </w:r>
      <w:r>
        <w:t xml:space="preserve"> </w:t>
      </w:r>
      <w:hyperlink r:id="rId8" w:history="1">
        <w:r>
          <w:rPr>
            <w:rStyle w:val="Hyperlink"/>
          </w:rPr>
          <w:t>https://www.federalreserve.gov/apps/scfcb/detail/-1/10235/X7510</w:t>
        </w:r>
      </w:hyperlink>
      <w:r>
        <w:t xml:space="preserve"> </w:t>
      </w:r>
    </w:p>
  </w:footnote>
  <w:footnote w:id="16">
    <w:p w:rsidR="002E0091" w:rsidP="002E0091" w14:paraId="4123D315" w14:textId="77777777">
      <w:pPr>
        <w:pStyle w:val="FootnoteText"/>
      </w:pPr>
      <w:r>
        <w:rPr>
          <w:rStyle w:val="FootnoteReference"/>
        </w:rPr>
        <w:footnoteRef/>
      </w:r>
      <w:r>
        <w:t xml:space="preserve"> </w:t>
      </w:r>
      <w:hyperlink r:id="rId9" w:history="1">
        <w:r>
          <w:rPr>
            <w:rStyle w:val="Hyperlink"/>
          </w:rPr>
          <w:t>https://www.federalreserve.gov/publications/files/scf17.pdf</w:t>
        </w:r>
      </w:hyperlink>
      <w:r>
        <w:t xml:space="preserve"> </w:t>
      </w:r>
    </w:p>
  </w:footnote>
  <w:footnote w:id="17">
    <w:p w:rsidR="002E0091" w:rsidP="002E0091" w14:paraId="16659756" w14:textId="77777777">
      <w:pPr>
        <w:pStyle w:val="FootnoteText"/>
      </w:pPr>
      <w:r>
        <w:rPr>
          <w:rStyle w:val="FootnoteReference"/>
        </w:rPr>
        <w:footnoteRef/>
      </w:r>
      <w:r>
        <w:t xml:space="preserve"> </w:t>
      </w:r>
      <w:hyperlink r:id="rId10" w:history="1">
        <w:r>
          <w:rPr>
            <w:rStyle w:val="Hyperlink"/>
          </w:rPr>
          <w:t>https://uscode.house.gov/view.xhtml?req=granuleid:USC-prelim-title12-section5493&amp;num=0&amp;edition=prelim</w:t>
        </w:r>
      </w:hyperlink>
      <w:r>
        <w:t xml:space="preserve"> </w:t>
      </w:r>
    </w:p>
  </w:footnote>
  <w:footnote w:id="18">
    <w:p w:rsidR="002E0091" w:rsidP="002E0091" w14:paraId="526B7563" w14:textId="77777777">
      <w:pPr>
        <w:pStyle w:val="FootnoteText"/>
      </w:pPr>
      <w:r>
        <w:rPr>
          <w:rStyle w:val="FootnoteReference"/>
        </w:rPr>
        <w:footnoteRef/>
      </w:r>
      <w:r>
        <w:t xml:space="preserve"> </w:t>
      </w:r>
      <w:hyperlink r:id="rId11" w:history="1">
        <w:r>
          <w:rPr>
            <w:rStyle w:val="Hyperlink"/>
          </w:rPr>
          <w:t>https://www.rand.org/pubs/working_papers/WR1224.html</w:t>
        </w:r>
      </w:hyperlink>
      <w:r>
        <w:t xml:space="preserve"> </w:t>
      </w:r>
    </w:p>
  </w:footnote>
  <w:footnote w:id="19">
    <w:p w:rsidR="002E0091" w:rsidP="002E0091" w14:paraId="7F834B2D" w14:textId="77777777">
      <w:pPr>
        <w:pStyle w:val="FootnoteText"/>
      </w:pPr>
      <w:r>
        <w:rPr>
          <w:rStyle w:val="FootnoteReference"/>
        </w:rPr>
        <w:footnoteRef/>
      </w:r>
      <w:r>
        <w:t xml:space="preserve"> Items on Section 8 housing and SNAP participation were sourced from the previous version of the MCBS IAQ</w:t>
      </w:r>
    </w:p>
  </w:footnote>
  <w:footnote w:id="20">
    <w:p w:rsidR="002E0091" w:rsidP="002E0091" w14:paraId="6AE7F2FC" w14:textId="77777777">
      <w:pPr>
        <w:pStyle w:val="FootnoteText"/>
      </w:pPr>
      <w:r>
        <w:rPr>
          <w:rStyle w:val="FootnoteReference"/>
        </w:rPr>
        <w:footnoteRef/>
      </w:r>
      <w:r>
        <w:t xml:space="preserve"> Item moved from the MCBS Drug Coverage Questionnaire (RXQ)</w:t>
      </w:r>
    </w:p>
  </w:footnote>
  <w:footnote w:id="21">
    <w:p w:rsidR="002E0091" w:rsidP="002E0091" w14:paraId="5F618E47" w14:textId="77777777">
      <w:pPr>
        <w:pStyle w:val="FootnoteText"/>
      </w:pPr>
      <w:r>
        <w:rPr>
          <w:rStyle w:val="FootnoteReference"/>
        </w:rPr>
        <w:footnoteRef/>
      </w:r>
      <w:r>
        <w:t xml:space="preserve"> Item moved from the MCBS Beneficiary Knowledge and Information Awareness Needs Questionnaire (KNQ)</w:t>
      </w:r>
    </w:p>
  </w:footnote>
  <w:footnote w:id="22">
    <w:p w:rsidR="002E0091" w:rsidP="002E0091" w14:paraId="3C9C26D0" w14:textId="77777777">
      <w:pPr>
        <w:pStyle w:val="FootnoteText"/>
      </w:pPr>
      <w:r>
        <w:rPr>
          <w:rStyle w:val="FootnoteReference"/>
        </w:rPr>
        <w:footnoteRef/>
      </w:r>
      <w:r>
        <w:t xml:space="preserve"> Item sourced from Census </w:t>
      </w:r>
      <w:hyperlink r:id="rId12" w:anchor="page=284" w:history="1">
        <w:r>
          <w:rPr>
            <w:rStyle w:val="Hyperlink"/>
          </w:rPr>
          <w:t>Current Population Survey, 2023 Annual Social and Economic (ASEC) Supplement</w:t>
        </w:r>
      </w:hyperlink>
    </w:p>
  </w:footnote>
  <w:footnote w:id="23">
    <w:p w:rsidR="002E0091" w:rsidP="002E0091" w14:paraId="4D89DE6A" w14:textId="5C03FE11">
      <w:pPr>
        <w:pStyle w:val="FootnoteText"/>
      </w:pPr>
      <w:r>
        <w:rPr>
          <w:rStyle w:val="FootnoteReference"/>
        </w:rPr>
        <w:footnoteRef/>
      </w:r>
      <w:r>
        <w:t xml:space="preserve"> </w:t>
      </w:r>
      <w:hyperlink r:id="rId13" w:history="1">
        <w:r w:rsidRPr="00AE77C1" w:rsidR="00AA0354">
          <w:rPr>
            <w:rStyle w:val="Hyperlink"/>
          </w:rPr>
          <w:t>https://www.cms.gov/research-statistics-data-and-systems/research/mcbs/data-tables/744519414/mcbs-puf-characteristics-medicare-beneficiaries-low-income-subsidy-enrollment-status-2021</w:t>
        </w:r>
      </w:hyperlink>
      <w:r w:rsidR="00AA0354">
        <w:t xml:space="preserve"> </w:t>
      </w:r>
    </w:p>
  </w:footnote>
  <w:footnote w:id="24">
    <w:p w:rsidR="002E0091" w:rsidP="002E0091" w14:paraId="3D267514" w14:textId="77777777">
      <w:pPr>
        <w:pStyle w:val="FootnoteText"/>
      </w:pPr>
      <w:r>
        <w:rPr>
          <w:rStyle w:val="FootnoteReference"/>
        </w:rPr>
        <w:footnoteRef/>
      </w:r>
      <w:r>
        <w:t xml:space="preserve"> </w:t>
      </w:r>
      <w:hyperlink r:id="rId14" w:history="1">
        <w:r>
          <w:rPr>
            <w:rStyle w:val="Hyperlink"/>
          </w:rPr>
          <w:t>https://www.hhs.gov/about/news/2023/06/12/fact-sheet-biden-harris-administration-announces-new-tools-lower-prescription-drug-costs-low-income-seniors-people-disabilities.html</w:t>
        </w:r>
      </w:hyperlink>
    </w:p>
  </w:footnote>
  <w:footnote w:id="25">
    <w:p w:rsidR="002E0091" w:rsidP="002E0091" w14:paraId="076661AD" w14:textId="77777777">
      <w:pPr>
        <w:pStyle w:val="FootnoteText"/>
      </w:pPr>
      <w:r>
        <w:rPr>
          <w:rStyle w:val="FootnoteReference"/>
        </w:rPr>
        <w:footnoteRef/>
      </w:r>
      <w:r>
        <w:t xml:space="preserve"> </w:t>
      </w:r>
      <w:r>
        <w:rPr>
          <w:rStyle w:val="ui-provider"/>
        </w:rPr>
        <w:t>National Academies of Sciences, Engineering, and Medicine. 2023. An Updated</w:t>
      </w:r>
      <w:r>
        <w:t xml:space="preserve"> </w:t>
      </w:r>
      <w:r>
        <w:rPr>
          <w:rStyle w:val="ui-provider"/>
        </w:rPr>
        <w:t>Measure of Poverty: (Re)Drawing the Line. Washington, DC: The National</w:t>
      </w:r>
      <w:r>
        <w:t xml:space="preserve"> </w:t>
      </w:r>
      <w:r>
        <w:rPr>
          <w:rStyle w:val="ui-provider"/>
        </w:rPr>
        <w:t>Academies Press</w:t>
      </w:r>
    </w:p>
  </w:footnote>
  <w:footnote w:id="26">
    <w:p w:rsidR="002E0091" w:rsidP="002E0091" w14:paraId="7DBDE26A" w14:textId="6C39D17F">
      <w:pPr>
        <w:pStyle w:val="FootnoteText"/>
      </w:pPr>
      <w:r>
        <w:rPr>
          <w:rStyle w:val="FootnoteReference"/>
        </w:rPr>
        <w:footnoteRef/>
      </w:r>
      <w:r>
        <w:t xml:space="preserve"> </w:t>
      </w:r>
      <w:hyperlink r:id="rId15" w:history="1">
        <w:r w:rsidRPr="00AE77C1" w:rsidR="00AA0354">
          <w:rPr>
            <w:rStyle w:val="Hyperlink"/>
          </w:rPr>
          <w:t>https://www.census.gov/topics/income-poverty/supplemental-poverty-measure/about.html</w:t>
        </w:r>
      </w:hyperlink>
      <w:r w:rsidR="00AA0354">
        <w:t xml:space="preserve"> </w:t>
      </w:r>
    </w:p>
  </w:footnote>
  <w:footnote w:id="27">
    <w:p w:rsidR="002E0091" w:rsidP="002E0091" w14:paraId="78A40207" w14:textId="53BF11EF">
      <w:pPr>
        <w:pStyle w:val="FootnoteText"/>
      </w:pPr>
      <w:r>
        <w:rPr>
          <w:rStyle w:val="FootnoteReference"/>
        </w:rPr>
        <w:footnoteRef/>
      </w:r>
      <w:r>
        <w:t xml:space="preserve"> </w:t>
      </w:r>
      <w:hyperlink r:id="rId16" w:history="1">
        <w:r w:rsidRPr="00AE77C1" w:rsidR="00AA0354">
          <w:rPr>
            <w:rStyle w:val="Hyperlink"/>
          </w:rPr>
          <w:t>https://www.census.gov/library/visualizations/2021/demo/poverty_measure-how.html</w:t>
        </w:r>
      </w:hyperlink>
      <w:r w:rsidR="00AA0354">
        <w:t xml:space="preserve"> </w:t>
      </w:r>
    </w:p>
  </w:footnote>
  <w:footnote w:id="28">
    <w:p w:rsidR="00D841B0" w:rsidP="00D841B0" w14:paraId="127118E0" w14:textId="77777777">
      <w:pPr>
        <w:pStyle w:val="FootnoteText"/>
        <w:rPr>
          <w:rFonts w:asciiTheme="minorHAnsi" w:hAnsiTheme="minorHAnsi" w:cstheme="minorBidi"/>
        </w:rPr>
      </w:pPr>
      <w:r>
        <w:rPr>
          <w:rStyle w:val="FootnoteReference"/>
        </w:rPr>
        <w:footnoteRef/>
      </w:r>
      <w:r>
        <w:t xml:space="preserve"> </w:t>
      </w:r>
      <w:hyperlink r:id="rId17" w:history="1">
        <w:r>
          <w:rPr>
            <w:rStyle w:val="Hyperlink"/>
          </w:rPr>
          <w:t>https://www.consumerfinance.gov/data-research/research-reports/understanding-required-financial-assistance-in-medical-care/</w:t>
        </w:r>
      </w:hyperlink>
    </w:p>
  </w:footnote>
  <w:footnote w:id="29">
    <w:p w:rsidR="00D841B0" w:rsidP="00D841B0" w14:paraId="17D4046C" w14:textId="77777777">
      <w:r>
        <w:rPr>
          <w:rStyle w:val="FootnoteReference"/>
        </w:rPr>
        <w:footnoteRef/>
      </w:r>
      <w:r>
        <w:t xml:space="preserve"> </w:t>
      </w:r>
      <w:hyperlink r:id="rId18" w:history="1">
        <w:r w:rsidRPr="00DD1771">
          <w:rPr>
            <w:rStyle w:val="Hyperlink"/>
            <w:sz w:val="20"/>
            <w:szCs w:val="20"/>
          </w:rPr>
          <w:t>https://www.kff.org/health-costs/issue-brief/hospital-charity-care-how-it-works-and-why-it-matters/</w:t>
        </w:r>
      </w:hyperlink>
      <w:r w:rsidRPr="00DD1771">
        <w:rPr>
          <w:sz w:val="20"/>
          <w:szCs w:val="20"/>
        </w:rPr>
        <w:t xml:space="preserve"> </w:t>
      </w:r>
    </w:p>
  </w:footnote>
  <w:footnote w:id="30">
    <w:p w:rsidR="00D841B0" w:rsidP="00D841B0" w14:paraId="3BBA5BCE" w14:textId="77777777">
      <w:pPr>
        <w:pStyle w:val="FootnoteText"/>
      </w:pPr>
      <w:r>
        <w:rPr>
          <w:rStyle w:val="FootnoteReference"/>
        </w:rPr>
        <w:footnoteRef/>
      </w:r>
      <w:r>
        <w:t xml:space="preserve"> </w:t>
      </w:r>
      <w:r>
        <w:t>Dranove</w:t>
      </w:r>
      <w:r>
        <w:t xml:space="preserve">, D., Garthwaite, C., Ody, C. “A Floor-and Trade Proposal to Improve the Delivery of Charity Care Services by U.S. </w:t>
      </w:r>
      <w:r>
        <w:t>Noprofit</w:t>
      </w:r>
      <w:r>
        <w:t xml:space="preserve"> Hospitals,” The Hamilton Project, Discussion Paper 2015-0, October 2015; O’Toole, T, Arbelaez, J, Lawrence, The Baltimore Community Healthy Consortium, “Medical Debt and Aggressive Debt Restitution Practices, Predatory Billing Among the Urban Poor, J. Gen Intern Med, 19:772-778, 2004.</w:t>
      </w:r>
    </w:p>
  </w:footnote>
  <w:footnote w:id="31">
    <w:p w:rsidR="00D841B0" w:rsidP="00D841B0" w14:paraId="7760CCFE" w14:textId="77777777">
      <w:pPr>
        <w:pStyle w:val="FootnoteText"/>
      </w:pPr>
      <w:r>
        <w:rPr>
          <w:rStyle w:val="FootnoteReference"/>
        </w:rPr>
        <w:footnoteRef/>
      </w:r>
      <w:r>
        <w:t xml:space="preserve"> Mose, J., “A multilevel mixed-effects regression analysis of the association between hospital, community and state regulatory factors, and family income eligibility limits for free and discounted care among U.S. not-for-profit, 501 (c)(3), hospitals, 2010 to 2017,” BMC Health Services Research, 21:230, 2021</w:t>
      </w:r>
    </w:p>
  </w:footnote>
  <w:footnote w:id="32">
    <w:p w:rsidR="00D841B0" w:rsidP="00D841B0" w14:paraId="57A52056" w14:textId="77777777">
      <w:pPr>
        <w:pStyle w:val="FootnoteText"/>
      </w:pPr>
      <w:r>
        <w:rPr>
          <w:rStyle w:val="FootnoteReference"/>
        </w:rPr>
        <w:footnoteRef/>
      </w:r>
      <w:r>
        <w:t xml:space="preserve"> </w:t>
      </w:r>
      <w:hyperlink r:id="rId17" w:history="1">
        <w:r>
          <w:rPr>
            <w:rStyle w:val="Hyperlink"/>
          </w:rPr>
          <w:t>https://www.consumerfinance.gov/data-research/research-reports/understanding-required-financial-assistance-in-medical-care/</w:t>
        </w:r>
      </w:hyperlink>
    </w:p>
  </w:footnote>
  <w:footnote w:id="33">
    <w:p w:rsidR="00D841B0" w:rsidP="00D841B0" w14:paraId="74D66B04" w14:textId="01A205D9">
      <w:pPr>
        <w:pStyle w:val="FootnoteText"/>
      </w:pPr>
      <w:r>
        <w:rPr>
          <w:rStyle w:val="FootnoteReference"/>
        </w:rPr>
        <w:footnoteRef/>
      </w:r>
      <w:r>
        <w:t xml:space="preserve"> </w:t>
      </w:r>
      <w:hyperlink r:id="rId19" w:history="1">
        <w:r w:rsidRPr="00916B7C" w:rsidR="007043F8">
          <w:rPr>
            <w:rStyle w:val="Hyperlink"/>
          </w:rPr>
          <w:t>https://www.urban.org/sites/default/files/2022-10/HRMS-June-2022-survey.pdf</w:t>
        </w:r>
      </w:hyperlink>
      <w:r w:rsidR="007043F8">
        <w:t xml:space="preserve"> </w:t>
      </w:r>
    </w:p>
  </w:footnote>
  <w:footnote w:id="34">
    <w:p w:rsidR="00F10BF8" w:rsidRPr="00110F11" w:rsidP="00110F11" w14:paraId="01EC3963" w14:textId="2F122EEA">
      <w:pPr>
        <w:pStyle w:val="FootnoteText"/>
        <w:spacing w:after="40"/>
      </w:pPr>
      <w:r w:rsidRPr="00110F11">
        <w:rPr>
          <w:rStyle w:val="FootnoteReference"/>
        </w:rPr>
        <w:footnoteRef/>
      </w:r>
      <w:r w:rsidRPr="00110F11">
        <w:t xml:space="preserve"> </w:t>
      </w:r>
      <w:hyperlink r:id="rId20" w:history="1">
        <w:r w:rsidRPr="002531CB" w:rsidR="00B05459">
          <w:rPr>
            <w:rStyle w:val="Hyperlink"/>
          </w:rPr>
          <w:t>https://www.cms.gov/files/document/2021-mcbs-methodology-report.pdf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3"/>
    <w:multiLevelType w:val="singleLevel"/>
    <w:tmpl w:val="530A1B60"/>
    <w:lvl w:ilvl="0">
      <w:start w:val="1"/>
      <w:numFmt w:val="bullet"/>
      <w:pStyle w:val="ListBullet2"/>
      <w:lvlText w:val="●"/>
      <w:lvlJc w:val="left"/>
      <w:pPr>
        <w:ind w:left="720" w:hanging="360"/>
      </w:pPr>
      <w:rPr>
        <w:rFonts w:ascii="Arial" w:hAnsi="Arial" w:hint="default"/>
        <w:sz w:val="20"/>
      </w:rPr>
    </w:lvl>
  </w:abstractNum>
  <w:abstractNum w:abstractNumId="1">
    <w:nsid w:val="FFFFFF88"/>
    <w:multiLevelType w:val="singleLevel"/>
    <w:tmpl w:val="80B29CB2"/>
    <w:lvl w:ilvl="0">
      <w:start w:val="1"/>
      <w:numFmt w:val="decimal"/>
      <w:pStyle w:val="ListNumber"/>
      <w:lvlText w:val="%1."/>
      <w:lvlJc w:val="left"/>
      <w:pPr>
        <w:tabs>
          <w:tab w:val="num" w:pos="360"/>
        </w:tabs>
        <w:ind w:left="360" w:hanging="360"/>
      </w:pPr>
    </w:lvl>
  </w:abstractNum>
  <w:abstractNum w:abstractNumId="2">
    <w:nsid w:val="223A3F37"/>
    <w:multiLevelType w:val="hybridMultilevel"/>
    <w:tmpl w:val="A6DA8904"/>
    <w:lvl w:ilvl="0">
      <w:start w:val="1"/>
      <w:numFmt w:val="bullet"/>
      <w:pStyle w:val="ListBullet3"/>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
    <w:nsid w:val="29F315ED"/>
    <w:multiLevelType w:val="hybridMultilevel"/>
    <w:tmpl w:val="2EC80F60"/>
    <w:lvl w:ilvl="0">
      <w:start w:val="1"/>
      <w:numFmt w:val="lowerLetter"/>
      <w:pStyle w:val="Heading4"/>
      <w:lvlText w:val="%1."/>
      <w:lvlJc w:val="left"/>
      <w:pPr>
        <w:ind w:left="340" w:hanging="240"/>
      </w:pPr>
      <w:rPr>
        <w:rFonts w:ascii="Times New Roman" w:eastAsia="Times New Roman" w:hAnsi="Times New Roman" w:cs="Times New Roman" w:hint="default"/>
        <w:b/>
        <w:bCs/>
        <w:spacing w:val="-3"/>
        <w:w w:val="99"/>
        <w:sz w:val="24"/>
        <w:szCs w:val="24"/>
      </w:rPr>
    </w:lvl>
    <w:lvl w:ilvl="1">
      <w:start w:val="1"/>
      <w:numFmt w:val="decimal"/>
      <w:lvlText w:val="%2)"/>
      <w:lvlJc w:val="left"/>
      <w:pPr>
        <w:ind w:left="840" w:hanging="360"/>
      </w:pPr>
      <w:rPr>
        <w:rFonts w:ascii="Times New Roman" w:eastAsia="Times New Roman" w:hAnsi="Times New Roman" w:cs="Times New Roman" w:hint="default"/>
        <w:spacing w:val="-20"/>
        <w:w w:val="99"/>
        <w:sz w:val="24"/>
        <w:szCs w:val="24"/>
      </w:rPr>
    </w:lvl>
    <w:lvl w:ilvl="2">
      <w:start w:val="0"/>
      <w:numFmt w:val="bullet"/>
      <w:lvlText w:val="•"/>
      <w:lvlJc w:val="left"/>
      <w:pPr>
        <w:ind w:left="1833" w:hanging="360"/>
      </w:pPr>
      <w:rPr>
        <w:rFonts w:hint="default"/>
      </w:rPr>
    </w:lvl>
    <w:lvl w:ilvl="3">
      <w:start w:val="0"/>
      <w:numFmt w:val="bullet"/>
      <w:lvlText w:val="•"/>
      <w:lvlJc w:val="left"/>
      <w:pPr>
        <w:ind w:left="2826" w:hanging="360"/>
      </w:pPr>
      <w:rPr>
        <w:rFonts w:hint="default"/>
      </w:rPr>
    </w:lvl>
    <w:lvl w:ilvl="4">
      <w:start w:val="0"/>
      <w:numFmt w:val="bullet"/>
      <w:lvlText w:val="•"/>
      <w:lvlJc w:val="left"/>
      <w:pPr>
        <w:ind w:left="3820" w:hanging="360"/>
      </w:pPr>
      <w:rPr>
        <w:rFonts w:hint="default"/>
      </w:rPr>
    </w:lvl>
    <w:lvl w:ilvl="5">
      <w:start w:val="0"/>
      <w:numFmt w:val="bullet"/>
      <w:lvlText w:val="•"/>
      <w:lvlJc w:val="left"/>
      <w:pPr>
        <w:ind w:left="4813" w:hanging="360"/>
      </w:pPr>
      <w:rPr>
        <w:rFonts w:hint="default"/>
      </w:rPr>
    </w:lvl>
    <w:lvl w:ilvl="6">
      <w:start w:val="0"/>
      <w:numFmt w:val="bullet"/>
      <w:lvlText w:val="•"/>
      <w:lvlJc w:val="left"/>
      <w:pPr>
        <w:ind w:left="5806" w:hanging="360"/>
      </w:pPr>
      <w:rPr>
        <w:rFonts w:hint="default"/>
      </w:rPr>
    </w:lvl>
    <w:lvl w:ilvl="7">
      <w:start w:val="0"/>
      <w:numFmt w:val="bullet"/>
      <w:lvlText w:val="•"/>
      <w:lvlJc w:val="left"/>
      <w:pPr>
        <w:ind w:left="6800" w:hanging="360"/>
      </w:pPr>
      <w:rPr>
        <w:rFonts w:hint="default"/>
      </w:rPr>
    </w:lvl>
    <w:lvl w:ilvl="8">
      <w:start w:val="0"/>
      <w:numFmt w:val="bullet"/>
      <w:lvlText w:val="•"/>
      <w:lvlJc w:val="left"/>
      <w:pPr>
        <w:ind w:left="7793" w:hanging="360"/>
      </w:pPr>
      <w:rPr>
        <w:rFonts w:hint="default"/>
      </w:rPr>
    </w:lvl>
  </w:abstractNum>
  <w:abstractNum w:abstractNumId="4">
    <w:nsid w:val="30FE2A31"/>
    <w:multiLevelType w:val="hybridMultilevel"/>
    <w:tmpl w:val="40509D26"/>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6632EAD"/>
    <w:multiLevelType w:val="hybridMultilevel"/>
    <w:tmpl w:val="7FDCB91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9F2082A"/>
    <w:multiLevelType w:val="hybridMultilevel"/>
    <w:tmpl w:val="497208BE"/>
    <w:lvl w:ilvl="0">
      <w:start w:val="1"/>
      <w:numFmt w:val="bullet"/>
      <w:lvlText w:val="o"/>
      <w:lvlJc w:val="left"/>
      <w:pPr>
        <w:ind w:left="1140" w:hanging="360"/>
      </w:pPr>
      <w:rPr>
        <w:rFonts w:ascii="Courier New" w:hAnsi="Courier New" w:cs="Courier New"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7">
    <w:nsid w:val="4C953F8F"/>
    <w:multiLevelType w:val="hybridMultilevel"/>
    <w:tmpl w:val="ED4AB014"/>
    <w:lvl w:ilvl="0">
      <w:start w:val="1"/>
      <w:numFmt w:val="lowerLetter"/>
      <w:pStyle w:val="ListNumber2"/>
      <w:lvlText w:val="%1."/>
      <w:lvlJc w:val="left"/>
      <w:pPr>
        <w:ind w:left="920" w:hanging="360"/>
      </w:pPr>
      <w:rPr>
        <w:rFonts w:ascii="Times New Roman" w:eastAsia="Times New Roman" w:hAnsi="Times New Roman" w:cs="Times New Roman" w:hint="default"/>
        <w:spacing w:val="0"/>
        <w:w w:val="100"/>
        <w:sz w:val="24"/>
        <w:szCs w:val="24"/>
      </w:rPr>
    </w:lvl>
    <w:lvl w:ilvl="1">
      <w:start w:val="0"/>
      <w:numFmt w:val="bullet"/>
      <w:lvlText w:val="•"/>
      <w:lvlJc w:val="left"/>
      <w:pPr>
        <w:ind w:left="1806" w:hanging="360"/>
      </w:pPr>
      <w:rPr>
        <w:rFonts w:hint="default"/>
      </w:rPr>
    </w:lvl>
    <w:lvl w:ilvl="2">
      <w:start w:val="0"/>
      <w:numFmt w:val="bullet"/>
      <w:lvlText w:val="•"/>
      <w:lvlJc w:val="left"/>
      <w:pPr>
        <w:ind w:left="2692" w:hanging="360"/>
      </w:pPr>
      <w:rPr>
        <w:rFonts w:hint="default"/>
      </w:rPr>
    </w:lvl>
    <w:lvl w:ilvl="3">
      <w:start w:val="0"/>
      <w:numFmt w:val="bullet"/>
      <w:lvlText w:val="•"/>
      <w:lvlJc w:val="left"/>
      <w:pPr>
        <w:ind w:left="3578" w:hanging="360"/>
      </w:pPr>
      <w:rPr>
        <w:rFonts w:hint="default"/>
      </w:rPr>
    </w:lvl>
    <w:lvl w:ilvl="4">
      <w:start w:val="0"/>
      <w:numFmt w:val="bullet"/>
      <w:lvlText w:val="•"/>
      <w:lvlJc w:val="left"/>
      <w:pPr>
        <w:ind w:left="4464" w:hanging="360"/>
      </w:pPr>
      <w:rPr>
        <w:rFonts w:hint="default"/>
      </w:rPr>
    </w:lvl>
    <w:lvl w:ilvl="5">
      <w:start w:val="0"/>
      <w:numFmt w:val="bullet"/>
      <w:lvlText w:val="•"/>
      <w:lvlJc w:val="left"/>
      <w:pPr>
        <w:ind w:left="5350" w:hanging="360"/>
      </w:pPr>
      <w:rPr>
        <w:rFonts w:hint="default"/>
      </w:rPr>
    </w:lvl>
    <w:lvl w:ilvl="6">
      <w:start w:val="0"/>
      <w:numFmt w:val="bullet"/>
      <w:lvlText w:val="•"/>
      <w:lvlJc w:val="left"/>
      <w:pPr>
        <w:ind w:left="6236" w:hanging="360"/>
      </w:pPr>
      <w:rPr>
        <w:rFonts w:hint="default"/>
      </w:rPr>
    </w:lvl>
    <w:lvl w:ilvl="7">
      <w:start w:val="0"/>
      <w:numFmt w:val="bullet"/>
      <w:lvlText w:val="•"/>
      <w:lvlJc w:val="left"/>
      <w:pPr>
        <w:ind w:left="7122" w:hanging="360"/>
      </w:pPr>
      <w:rPr>
        <w:rFonts w:hint="default"/>
      </w:rPr>
    </w:lvl>
    <w:lvl w:ilvl="8">
      <w:start w:val="0"/>
      <w:numFmt w:val="bullet"/>
      <w:lvlText w:val="•"/>
      <w:lvlJc w:val="left"/>
      <w:pPr>
        <w:ind w:left="8008" w:hanging="360"/>
      </w:pPr>
      <w:rPr>
        <w:rFonts w:hint="default"/>
      </w:rPr>
    </w:lvl>
  </w:abstractNum>
  <w:abstractNum w:abstractNumId="8">
    <w:nsid w:val="65E96BD3"/>
    <w:multiLevelType w:val="hybridMultilevel"/>
    <w:tmpl w:val="851AC9F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nsid w:val="71AF1A10"/>
    <w:multiLevelType w:val="hybridMultilevel"/>
    <w:tmpl w:val="DDAC90DA"/>
    <w:lvl w:ilvl="0">
      <w:start w:val="1"/>
      <w:numFmt w:val="upperLetter"/>
      <w:pStyle w:val="Heading2"/>
      <w:lvlText w:val="%1."/>
      <w:lvlJc w:val="left"/>
      <w:pPr>
        <w:ind w:left="418" w:hanging="318"/>
      </w:pPr>
      <w:rPr>
        <w:rFonts w:ascii="Times New Roman" w:eastAsia="Times New Roman" w:hAnsi="Times New Roman" w:cs="Times New Roman" w:hint="default"/>
        <w:b/>
        <w:bCs/>
        <w:w w:val="100"/>
        <w:sz w:val="26"/>
        <w:szCs w:val="26"/>
      </w:rPr>
    </w:lvl>
    <w:lvl w:ilvl="1">
      <w:start w:val="0"/>
      <w:numFmt w:val="bullet"/>
      <w:lvlText w:val=""/>
      <w:lvlJc w:val="left"/>
      <w:pPr>
        <w:ind w:left="940" w:hanging="310"/>
      </w:pPr>
      <w:rPr>
        <w:rFonts w:ascii="Symbol" w:eastAsia="Symbol" w:hAnsi="Symbol" w:cs="Symbol" w:hint="default"/>
        <w:w w:val="100"/>
        <w:sz w:val="24"/>
        <w:szCs w:val="24"/>
      </w:rPr>
    </w:lvl>
    <w:lvl w:ilvl="2">
      <w:start w:val="0"/>
      <w:numFmt w:val="bullet"/>
      <w:lvlText w:val="•"/>
      <w:lvlJc w:val="left"/>
      <w:pPr>
        <w:ind w:left="1924" w:hanging="310"/>
      </w:pPr>
      <w:rPr>
        <w:rFonts w:hint="default"/>
      </w:rPr>
    </w:lvl>
    <w:lvl w:ilvl="3">
      <w:start w:val="0"/>
      <w:numFmt w:val="bullet"/>
      <w:lvlText w:val="•"/>
      <w:lvlJc w:val="left"/>
      <w:pPr>
        <w:ind w:left="2908" w:hanging="310"/>
      </w:pPr>
      <w:rPr>
        <w:rFonts w:hint="default"/>
      </w:rPr>
    </w:lvl>
    <w:lvl w:ilvl="4">
      <w:start w:val="0"/>
      <w:numFmt w:val="bullet"/>
      <w:lvlText w:val="•"/>
      <w:lvlJc w:val="left"/>
      <w:pPr>
        <w:ind w:left="3893" w:hanging="310"/>
      </w:pPr>
      <w:rPr>
        <w:rFonts w:hint="default"/>
      </w:rPr>
    </w:lvl>
    <w:lvl w:ilvl="5">
      <w:start w:val="0"/>
      <w:numFmt w:val="bullet"/>
      <w:lvlText w:val="•"/>
      <w:lvlJc w:val="left"/>
      <w:pPr>
        <w:ind w:left="4877" w:hanging="310"/>
      </w:pPr>
      <w:rPr>
        <w:rFonts w:hint="default"/>
      </w:rPr>
    </w:lvl>
    <w:lvl w:ilvl="6">
      <w:start w:val="0"/>
      <w:numFmt w:val="bullet"/>
      <w:lvlText w:val="•"/>
      <w:lvlJc w:val="left"/>
      <w:pPr>
        <w:ind w:left="5862" w:hanging="310"/>
      </w:pPr>
      <w:rPr>
        <w:rFonts w:hint="default"/>
      </w:rPr>
    </w:lvl>
    <w:lvl w:ilvl="7">
      <w:start w:val="0"/>
      <w:numFmt w:val="bullet"/>
      <w:lvlText w:val="•"/>
      <w:lvlJc w:val="left"/>
      <w:pPr>
        <w:ind w:left="6846" w:hanging="310"/>
      </w:pPr>
      <w:rPr>
        <w:rFonts w:hint="default"/>
      </w:rPr>
    </w:lvl>
    <w:lvl w:ilvl="8">
      <w:start w:val="0"/>
      <w:numFmt w:val="bullet"/>
      <w:lvlText w:val="•"/>
      <w:lvlJc w:val="left"/>
      <w:pPr>
        <w:ind w:left="7831" w:hanging="310"/>
      </w:pPr>
      <w:rPr>
        <w:rFonts w:hint="default"/>
      </w:rPr>
    </w:lvl>
  </w:abstractNum>
  <w:num w:numId="1" w16cid:durableId="1279066202">
    <w:abstractNumId w:val="7"/>
  </w:num>
  <w:num w:numId="2" w16cid:durableId="944456080">
    <w:abstractNumId w:val="3"/>
  </w:num>
  <w:num w:numId="3" w16cid:durableId="793518113">
    <w:abstractNumId w:val="9"/>
  </w:num>
  <w:num w:numId="4" w16cid:durableId="1558664294">
    <w:abstractNumId w:val="0"/>
  </w:num>
  <w:num w:numId="5" w16cid:durableId="1441099882">
    <w:abstractNumId w:val="1"/>
  </w:num>
  <w:num w:numId="6" w16cid:durableId="538976161">
    <w:abstractNumId w:val="2"/>
  </w:num>
  <w:num w:numId="7" w16cid:durableId="1806199280">
    <w:abstractNumId w:val="1"/>
    <w:lvlOverride w:ilvl="0">
      <w:startOverride w:val="1"/>
    </w:lvlOverride>
  </w:num>
  <w:num w:numId="8" w16cid:durableId="343702957">
    <w:abstractNumId w:val="1"/>
    <w:lvlOverride w:ilvl="0">
      <w:startOverride w:val="1"/>
    </w:lvlOverride>
  </w:num>
  <w:num w:numId="9" w16cid:durableId="549271237">
    <w:abstractNumId w:val="0"/>
  </w:num>
  <w:num w:numId="10" w16cid:durableId="1081878790">
    <w:abstractNumId w:val="4"/>
  </w:num>
  <w:num w:numId="11" w16cid:durableId="1098059996">
    <w:abstractNumId w:val="0"/>
  </w:num>
  <w:num w:numId="12" w16cid:durableId="1940798327">
    <w:abstractNumId w:val="0"/>
  </w:num>
  <w:num w:numId="13" w16cid:durableId="31809838">
    <w:abstractNumId w:val="8"/>
  </w:num>
  <w:num w:numId="14" w16cid:durableId="1987926476">
    <w:abstractNumId w:val="5"/>
  </w:num>
  <w:num w:numId="15" w16cid:durableId="1630011660">
    <w:abstractNumId w:val="6"/>
  </w:num>
  <w:num w:numId="16" w16cid:durableId="716590554">
    <w:abstractNumId w:val="0"/>
  </w:num>
  <w:num w:numId="17" w16cid:durableId="344020127">
    <w:abstractNumId w:val="0"/>
  </w:num>
  <w:num w:numId="18" w16cid:durableId="566847361">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stylePaneSortMethod w:val="name"/>
  <w:defaultTabStop w:val="720"/>
  <w:drawingGridHorizontalSpacing w:val="110"/>
  <w:displayHorizontalDrawingGridEvery w:val="2"/>
  <w:characterSpacingControl w:val="doNotCompress"/>
  <w:footnotePr>
    <w:footnote w:id="0"/>
    <w:footnote w:id="1"/>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52B"/>
    <w:rsid w:val="00000631"/>
    <w:rsid w:val="00002CA4"/>
    <w:rsid w:val="000101BD"/>
    <w:rsid w:val="00011174"/>
    <w:rsid w:val="00012CA7"/>
    <w:rsid w:val="000144C7"/>
    <w:rsid w:val="00015740"/>
    <w:rsid w:val="0001688D"/>
    <w:rsid w:val="00020EC0"/>
    <w:rsid w:val="000237D6"/>
    <w:rsid w:val="00023D84"/>
    <w:rsid w:val="000247E3"/>
    <w:rsid w:val="00030B08"/>
    <w:rsid w:val="000313F9"/>
    <w:rsid w:val="00032D21"/>
    <w:rsid w:val="00034FF8"/>
    <w:rsid w:val="00042219"/>
    <w:rsid w:val="00044971"/>
    <w:rsid w:val="00045542"/>
    <w:rsid w:val="000461AC"/>
    <w:rsid w:val="000461B1"/>
    <w:rsid w:val="00047632"/>
    <w:rsid w:val="00054512"/>
    <w:rsid w:val="0005551B"/>
    <w:rsid w:val="0006207F"/>
    <w:rsid w:val="00062A6F"/>
    <w:rsid w:val="00066A29"/>
    <w:rsid w:val="00066B99"/>
    <w:rsid w:val="00074953"/>
    <w:rsid w:val="00077669"/>
    <w:rsid w:val="00080D41"/>
    <w:rsid w:val="00084C3D"/>
    <w:rsid w:val="0009032E"/>
    <w:rsid w:val="00094042"/>
    <w:rsid w:val="000944BB"/>
    <w:rsid w:val="000975E5"/>
    <w:rsid w:val="000978CE"/>
    <w:rsid w:val="000A248B"/>
    <w:rsid w:val="000A723E"/>
    <w:rsid w:val="000B1EAA"/>
    <w:rsid w:val="000B4728"/>
    <w:rsid w:val="000B520E"/>
    <w:rsid w:val="000B7184"/>
    <w:rsid w:val="000C29E3"/>
    <w:rsid w:val="000C384A"/>
    <w:rsid w:val="000C5174"/>
    <w:rsid w:val="000D1953"/>
    <w:rsid w:val="000D3542"/>
    <w:rsid w:val="000D7D89"/>
    <w:rsid w:val="000E1D3A"/>
    <w:rsid w:val="000E2349"/>
    <w:rsid w:val="000E343B"/>
    <w:rsid w:val="000E49C8"/>
    <w:rsid w:val="000E5CDB"/>
    <w:rsid w:val="000E76B1"/>
    <w:rsid w:val="000F32AB"/>
    <w:rsid w:val="000F4D55"/>
    <w:rsid w:val="000F716A"/>
    <w:rsid w:val="000F7647"/>
    <w:rsid w:val="000F776C"/>
    <w:rsid w:val="00101EE1"/>
    <w:rsid w:val="00104136"/>
    <w:rsid w:val="00105272"/>
    <w:rsid w:val="001052BF"/>
    <w:rsid w:val="001060F5"/>
    <w:rsid w:val="00110F11"/>
    <w:rsid w:val="0012130C"/>
    <w:rsid w:val="00123866"/>
    <w:rsid w:val="001252B9"/>
    <w:rsid w:val="00127AEA"/>
    <w:rsid w:val="0013326A"/>
    <w:rsid w:val="00133BF9"/>
    <w:rsid w:val="00134BCE"/>
    <w:rsid w:val="0014189B"/>
    <w:rsid w:val="00143CB5"/>
    <w:rsid w:val="0014427B"/>
    <w:rsid w:val="00144C6B"/>
    <w:rsid w:val="00147C92"/>
    <w:rsid w:val="0015004D"/>
    <w:rsid w:val="00151EB4"/>
    <w:rsid w:val="001520B1"/>
    <w:rsid w:val="0015306E"/>
    <w:rsid w:val="00163703"/>
    <w:rsid w:val="00164243"/>
    <w:rsid w:val="0016778E"/>
    <w:rsid w:val="00170939"/>
    <w:rsid w:val="001716BE"/>
    <w:rsid w:val="00172C65"/>
    <w:rsid w:val="00175146"/>
    <w:rsid w:val="00175803"/>
    <w:rsid w:val="00175C84"/>
    <w:rsid w:val="001766F4"/>
    <w:rsid w:val="00176B52"/>
    <w:rsid w:val="00176F2C"/>
    <w:rsid w:val="00177230"/>
    <w:rsid w:val="00181DA7"/>
    <w:rsid w:val="00183353"/>
    <w:rsid w:val="00184C23"/>
    <w:rsid w:val="00186915"/>
    <w:rsid w:val="0018751B"/>
    <w:rsid w:val="0019228C"/>
    <w:rsid w:val="00193901"/>
    <w:rsid w:val="001A0325"/>
    <w:rsid w:val="001A1C5D"/>
    <w:rsid w:val="001A7112"/>
    <w:rsid w:val="001B141B"/>
    <w:rsid w:val="001B47CD"/>
    <w:rsid w:val="001B573C"/>
    <w:rsid w:val="001B663C"/>
    <w:rsid w:val="001B7704"/>
    <w:rsid w:val="001C4F0F"/>
    <w:rsid w:val="001C4F5B"/>
    <w:rsid w:val="001C5F58"/>
    <w:rsid w:val="001C6175"/>
    <w:rsid w:val="001D1A42"/>
    <w:rsid w:val="001D318D"/>
    <w:rsid w:val="001D3E4D"/>
    <w:rsid w:val="001D6CAE"/>
    <w:rsid w:val="001E06AE"/>
    <w:rsid w:val="001E6768"/>
    <w:rsid w:val="001F1DDE"/>
    <w:rsid w:val="001F4EC1"/>
    <w:rsid w:val="001F55CC"/>
    <w:rsid w:val="00200E3E"/>
    <w:rsid w:val="00207FA8"/>
    <w:rsid w:val="002103E3"/>
    <w:rsid w:val="00210822"/>
    <w:rsid w:val="002113AD"/>
    <w:rsid w:val="00212865"/>
    <w:rsid w:val="002130FE"/>
    <w:rsid w:val="00221BEC"/>
    <w:rsid w:val="002229E3"/>
    <w:rsid w:val="00223040"/>
    <w:rsid w:val="00224949"/>
    <w:rsid w:val="00230B3A"/>
    <w:rsid w:val="00231FE4"/>
    <w:rsid w:val="00232471"/>
    <w:rsid w:val="002338A1"/>
    <w:rsid w:val="00234E89"/>
    <w:rsid w:val="0024114C"/>
    <w:rsid w:val="00241F2F"/>
    <w:rsid w:val="00242599"/>
    <w:rsid w:val="002457CD"/>
    <w:rsid w:val="00246E2F"/>
    <w:rsid w:val="002519D9"/>
    <w:rsid w:val="002531CB"/>
    <w:rsid w:val="00254B1A"/>
    <w:rsid w:val="00254DA2"/>
    <w:rsid w:val="00255E53"/>
    <w:rsid w:val="002575A8"/>
    <w:rsid w:val="002601C1"/>
    <w:rsid w:val="00261177"/>
    <w:rsid w:val="00261F87"/>
    <w:rsid w:val="002629FF"/>
    <w:rsid w:val="0026648D"/>
    <w:rsid w:val="00267F93"/>
    <w:rsid w:val="002860FB"/>
    <w:rsid w:val="0029042C"/>
    <w:rsid w:val="002934C7"/>
    <w:rsid w:val="00293E8C"/>
    <w:rsid w:val="002A2015"/>
    <w:rsid w:val="002A3732"/>
    <w:rsid w:val="002A4BDB"/>
    <w:rsid w:val="002A6CA7"/>
    <w:rsid w:val="002B033C"/>
    <w:rsid w:val="002B0401"/>
    <w:rsid w:val="002B6147"/>
    <w:rsid w:val="002C0CDB"/>
    <w:rsid w:val="002C2466"/>
    <w:rsid w:val="002D02BA"/>
    <w:rsid w:val="002D2A0C"/>
    <w:rsid w:val="002D3F09"/>
    <w:rsid w:val="002D43C0"/>
    <w:rsid w:val="002D4FED"/>
    <w:rsid w:val="002D649B"/>
    <w:rsid w:val="002D73C9"/>
    <w:rsid w:val="002E0091"/>
    <w:rsid w:val="002E2860"/>
    <w:rsid w:val="002E73B3"/>
    <w:rsid w:val="002E7C47"/>
    <w:rsid w:val="002F059F"/>
    <w:rsid w:val="002F06B3"/>
    <w:rsid w:val="002F2D36"/>
    <w:rsid w:val="002F41A4"/>
    <w:rsid w:val="002F4F3F"/>
    <w:rsid w:val="002F52B9"/>
    <w:rsid w:val="002F76D6"/>
    <w:rsid w:val="0030138B"/>
    <w:rsid w:val="00303F54"/>
    <w:rsid w:val="00305381"/>
    <w:rsid w:val="00310894"/>
    <w:rsid w:val="003135A3"/>
    <w:rsid w:val="003169B3"/>
    <w:rsid w:val="00316E8E"/>
    <w:rsid w:val="003212C4"/>
    <w:rsid w:val="00321A0C"/>
    <w:rsid w:val="00323D4C"/>
    <w:rsid w:val="00324808"/>
    <w:rsid w:val="00326BF1"/>
    <w:rsid w:val="00330FB9"/>
    <w:rsid w:val="0033227E"/>
    <w:rsid w:val="00332765"/>
    <w:rsid w:val="00333774"/>
    <w:rsid w:val="003338A5"/>
    <w:rsid w:val="00337D90"/>
    <w:rsid w:val="00340310"/>
    <w:rsid w:val="00342162"/>
    <w:rsid w:val="00342E6F"/>
    <w:rsid w:val="003442CF"/>
    <w:rsid w:val="00344404"/>
    <w:rsid w:val="00350255"/>
    <w:rsid w:val="003533FC"/>
    <w:rsid w:val="00355CCE"/>
    <w:rsid w:val="00355E4B"/>
    <w:rsid w:val="00356678"/>
    <w:rsid w:val="00360F12"/>
    <w:rsid w:val="003614C9"/>
    <w:rsid w:val="003614E7"/>
    <w:rsid w:val="00364216"/>
    <w:rsid w:val="00375978"/>
    <w:rsid w:val="00376CDC"/>
    <w:rsid w:val="00377EFD"/>
    <w:rsid w:val="00383200"/>
    <w:rsid w:val="003839DB"/>
    <w:rsid w:val="003870E2"/>
    <w:rsid w:val="003874A3"/>
    <w:rsid w:val="00390ADE"/>
    <w:rsid w:val="00391CBF"/>
    <w:rsid w:val="003937EF"/>
    <w:rsid w:val="00395042"/>
    <w:rsid w:val="003975A0"/>
    <w:rsid w:val="003A0E54"/>
    <w:rsid w:val="003A414D"/>
    <w:rsid w:val="003A427E"/>
    <w:rsid w:val="003A5669"/>
    <w:rsid w:val="003A7753"/>
    <w:rsid w:val="003B0DC7"/>
    <w:rsid w:val="003B2872"/>
    <w:rsid w:val="003B3FF5"/>
    <w:rsid w:val="003B5735"/>
    <w:rsid w:val="003B695E"/>
    <w:rsid w:val="003B7873"/>
    <w:rsid w:val="003C0E08"/>
    <w:rsid w:val="003C1495"/>
    <w:rsid w:val="003C1744"/>
    <w:rsid w:val="003C37E2"/>
    <w:rsid w:val="003C3E04"/>
    <w:rsid w:val="003C52AC"/>
    <w:rsid w:val="003C6A00"/>
    <w:rsid w:val="003D34C2"/>
    <w:rsid w:val="003E1EC0"/>
    <w:rsid w:val="003E486D"/>
    <w:rsid w:val="003E52AA"/>
    <w:rsid w:val="003E5A5E"/>
    <w:rsid w:val="003F17CF"/>
    <w:rsid w:val="003F3610"/>
    <w:rsid w:val="003F4D5F"/>
    <w:rsid w:val="00403684"/>
    <w:rsid w:val="0040456E"/>
    <w:rsid w:val="00407D79"/>
    <w:rsid w:val="00407EBB"/>
    <w:rsid w:val="004108C0"/>
    <w:rsid w:val="004112E2"/>
    <w:rsid w:val="00412AD2"/>
    <w:rsid w:val="00415AE3"/>
    <w:rsid w:val="00420827"/>
    <w:rsid w:val="00420B0B"/>
    <w:rsid w:val="00421346"/>
    <w:rsid w:val="00423868"/>
    <w:rsid w:val="00435579"/>
    <w:rsid w:val="00435A97"/>
    <w:rsid w:val="004364EB"/>
    <w:rsid w:val="0043667E"/>
    <w:rsid w:val="00437332"/>
    <w:rsid w:val="0044006A"/>
    <w:rsid w:val="00440EBF"/>
    <w:rsid w:val="0044386F"/>
    <w:rsid w:val="00444AB8"/>
    <w:rsid w:val="004451A0"/>
    <w:rsid w:val="00445929"/>
    <w:rsid w:val="00446DC8"/>
    <w:rsid w:val="00450740"/>
    <w:rsid w:val="00453B4F"/>
    <w:rsid w:val="0045458B"/>
    <w:rsid w:val="0045532F"/>
    <w:rsid w:val="00460098"/>
    <w:rsid w:val="00464389"/>
    <w:rsid w:val="00470849"/>
    <w:rsid w:val="0047177B"/>
    <w:rsid w:val="004719DE"/>
    <w:rsid w:val="00473191"/>
    <w:rsid w:val="00473873"/>
    <w:rsid w:val="004739F8"/>
    <w:rsid w:val="00473E69"/>
    <w:rsid w:val="004741AE"/>
    <w:rsid w:val="0047474C"/>
    <w:rsid w:val="00475547"/>
    <w:rsid w:val="00475846"/>
    <w:rsid w:val="00475DEB"/>
    <w:rsid w:val="00485C02"/>
    <w:rsid w:val="00491616"/>
    <w:rsid w:val="00492FC2"/>
    <w:rsid w:val="00496196"/>
    <w:rsid w:val="004A0A07"/>
    <w:rsid w:val="004A187A"/>
    <w:rsid w:val="004A2105"/>
    <w:rsid w:val="004A3958"/>
    <w:rsid w:val="004A6345"/>
    <w:rsid w:val="004A7F92"/>
    <w:rsid w:val="004B2A78"/>
    <w:rsid w:val="004B5379"/>
    <w:rsid w:val="004B5583"/>
    <w:rsid w:val="004B6782"/>
    <w:rsid w:val="004C1221"/>
    <w:rsid w:val="004C6055"/>
    <w:rsid w:val="004D4AE9"/>
    <w:rsid w:val="004D4FBE"/>
    <w:rsid w:val="004D548B"/>
    <w:rsid w:val="004D628F"/>
    <w:rsid w:val="004D6EBE"/>
    <w:rsid w:val="004D7000"/>
    <w:rsid w:val="004E046B"/>
    <w:rsid w:val="004E1371"/>
    <w:rsid w:val="004E28E1"/>
    <w:rsid w:val="004E2ACD"/>
    <w:rsid w:val="004E3A72"/>
    <w:rsid w:val="004F12AE"/>
    <w:rsid w:val="004F1ECC"/>
    <w:rsid w:val="004F4B4F"/>
    <w:rsid w:val="004F5471"/>
    <w:rsid w:val="00500A19"/>
    <w:rsid w:val="00501205"/>
    <w:rsid w:val="0050236E"/>
    <w:rsid w:val="005027D1"/>
    <w:rsid w:val="00502B6C"/>
    <w:rsid w:val="005037C7"/>
    <w:rsid w:val="005045CE"/>
    <w:rsid w:val="00505BED"/>
    <w:rsid w:val="0050626C"/>
    <w:rsid w:val="00507E58"/>
    <w:rsid w:val="00512E20"/>
    <w:rsid w:val="00514F67"/>
    <w:rsid w:val="00522115"/>
    <w:rsid w:val="00522C26"/>
    <w:rsid w:val="00523F6E"/>
    <w:rsid w:val="0052463F"/>
    <w:rsid w:val="00524E48"/>
    <w:rsid w:val="00526639"/>
    <w:rsid w:val="00531702"/>
    <w:rsid w:val="0053175A"/>
    <w:rsid w:val="00531A4A"/>
    <w:rsid w:val="00536D54"/>
    <w:rsid w:val="005424CB"/>
    <w:rsid w:val="00542614"/>
    <w:rsid w:val="00542AE0"/>
    <w:rsid w:val="00542DDA"/>
    <w:rsid w:val="0054487F"/>
    <w:rsid w:val="00545151"/>
    <w:rsid w:val="00547E1D"/>
    <w:rsid w:val="005529C6"/>
    <w:rsid w:val="00555729"/>
    <w:rsid w:val="00555832"/>
    <w:rsid w:val="00556D78"/>
    <w:rsid w:val="005628E5"/>
    <w:rsid w:val="00566BE2"/>
    <w:rsid w:val="00573DF3"/>
    <w:rsid w:val="00573E44"/>
    <w:rsid w:val="00574146"/>
    <w:rsid w:val="005770A6"/>
    <w:rsid w:val="005842CD"/>
    <w:rsid w:val="00584D49"/>
    <w:rsid w:val="005970FE"/>
    <w:rsid w:val="005A15AC"/>
    <w:rsid w:val="005A1F0A"/>
    <w:rsid w:val="005A4789"/>
    <w:rsid w:val="005B29A6"/>
    <w:rsid w:val="005B34C7"/>
    <w:rsid w:val="005B554D"/>
    <w:rsid w:val="005B5F27"/>
    <w:rsid w:val="005C05E0"/>
    <w:rsid w:val="005C125F"/>
    <w:rsid w:val="005C37C0"/>
    <w:rsid w:val="005C3E3F"/>
    <w:rsid w:val="005C4838"/>
    <w:rsid w:val="005C67E5"/>
    <w:rsid w:val="005C728A"/>
    <w:rsid w:val="005C7F78"/>
    <w:rsid w:val="005D242F"/>
    <w:rsid w:val="005D5D51"/>
    <w:rsid w:val="005D6A87"/>
    <w:rsid w:val="005E0E67"/>
    <w:rsid w:val="005E30CC"/>
    <w:rsid w:val="005E4A5F"/>
    <w:rsid w:val="005E50E1"/>
    <w:rsid w:val="005F29DD"/>
    <w:rsid w:val="005F2E1D"/>
    <w:rsid w:val="005F553E"/>
    <w:rsid w:val="005F5E74"/>
    <w:rsid w:val="005F6EBF"/>
    <w:rsid w:val="00600BD5"/>
    <w:rsid w:val="0060100A"/>
    <w:rsid w:val="0060143F"/>
    <w:rsid w:val="00602230"/>
    <w:rsid w:val="00602FE9"/>
    <w:rsid w:val="00612879"/>
    <w:rsid w:val="00614CA9"/>
    <w:rsid w:val="00616CC0"/>
    <w:rsid w:val="006225EA"/>
    <w:rsid w:val="00622A4F"/>
    <w:rsid w:val="00625A83"/>
    <w:rsid w:val="006260F7"/>
    <w:rsid w:val="00626708"/>
    <w:rsid w:val="0062699F"/>
    <w:rsid w:val="006329C4"/>
    <w:rsid w:val="00632E4F"/>
    <w:rsid w:val="006377C7"/>
    <w:rsid w:val="00642734"/>
    <w:rsid w:val="00645D93"/>
    <w:rsid w:val="00647510"/>
    <w:rsid w:val="006508A0"/>
    <w:rsid w:val="00653C03"/>
    <w:rsid w:val="00656770"/>
    <w:rsid w:val="006601C3"/>
    <w:rsid w:val="00664097"/>
    <w:rsid w:val="0067247B"/>
    <w:rsid w:val="006779E9"/>
    <w:rsid w:val="00680E29"/>
    <w:rsid w:val="00682933"/>
    <w:rsid w:val="00690C30"/>
    <w:rsid w:val="00690D8A"/>
    <w:rsid w:val="00691ED2"/>
    <w:rsid w:val="006938AE"/>
    <w:rsid w:val="00694DB8"/>
    <w:rsid w:val="00697525"/>
    <w:rsid w:val="006A0B83"/>
    <w:rsid w:val="006A2F27"/>
    <w:rsid w:val="006A3992"/>
    <w:rsid w:val="006A4E68"/>
    <w:rsid w:val="006A752E"/>
    <w:rsid w:val="006A7803"/>
    <w:rsid w:val="006B0CDE"/>
    <w:rsid w:val="006B1CEE"/>
    <w:rsid w:val="006B39D5"/>
    <w:rsid w:val="006B595E"/>
    <w:rsid w:val="006B72D2"/>
    <w:rsid w:val="006B76A2"/>
    <w:rsid w:val="006C0576"/>
    <w:rsid w:val="006C2977"/>
    <w:rsid w:val="006C32F4"/>
    <w:rsid w:val="006C506D"/>
    <w:rsid w:val="006C6619"/>
    <w:rsid w:val="006D22BC"/>
    <w:rsid w:val="006D3F5D"/>
    <w:rsid w:val="006D6635"/>
    <w:rsid w:val="006D6CFC"/>
    <w:rsid w:val="006E0017"/>
    <w:rsid w:val="006E08C3"/>
    <w:rsid w:val="006E5B67"/>
    <w:rsid w:val="006E6947"/>
    <w:rsid w:val="006F001A"/>
    <w:rsid w:val="006F2768"/>
    <w:rsid w:val="006F2A7F"/>
    <w:rsid w:val="006F44BD"/>
    <w:rsid w:val="00700118"/>
    <w:rsid w:val="0070112B"/>
    <w:rsid w:val="00702F01"/>
    <w:rsid w:val="007030AC"/>
    <w:rsid w:val="007043F8"/>
    <w:rsid w:val="00704BE0"/>
    <w:rsid w:val="007060C3"/>
    <w:rsid w:val="00714524"/>
    <w:rsid w:val="00715467"/>
    <w:rsid w:val="00721722"/>
    <w:rsid w:val="00724A44"/>
    <w:rsid w:val="00724F41"/>
    <w:rsid w:val="00725DF0"/>
    <w:rsid w:val="00726F22"/>
    <w:rsid w:val="00727629"/>
    <w:rsid w:val="0073069A"/>
    <w:rsid w:val="00730FAA"/>
    <w:rsid w:val="00732CD0"/>
    <w:rsid w:val="00732D8A"/>
    <w:rsid w:val="00733EAB"/>
    <w:rsid w:val="007342F6"/>
    <w:rsid w:val="00734E72"/>
    <w:rsid w:val="00735ED0"/>
    <w:rsid w:val="007427B5"/>
    <w:rsid w:val="0074606C"/>
    <w:rsid w:val="0075105A"/>
    <w:rsid w:val="00756870"/>
    <w:rsid w:val="007612D1"/>
    <w:rsid w:val="00765667"/>
    <w:rsid w:val="007700F3"/>
    <w:rsid w:val="007712B1"/>
    <w:rsid w:val="0077150C"/>
    <w:rsid w:val="00771ABD"/>
    <w:rsid w:val="0077365B"/>
    <w:rsid w:val="0077371E"/>
    <w:rsid w:val="00774FC1"/>
    <w:rsid w:val="007757B3"/>
    <w:rsid w:val="00780CCA"/>
    <w:rsid w:val="00786FC2"/>
    <w:rsid w:val="00787FE2"/>
    <w:rsid w:val="00791A9B"/>
    <w:rsid w:val="00792997"/>
    <w:rsid w:val="00795F14"/>
    <w:rsid w:val="00796917"/>
    <w:rsid w:val="007A186D"/>
    <w:rsid w:val="007A4D0F"/>
    <w:rsid w:val="007A7965"/>
    <w:rsid w:val="007B208A"/>
    <w:rsid w:val="007B3904"/>
    <w:rsid w:val="007B3C62"/>
    <w:rsid w:val="007B4872"/>
    <w:rsid w:val="007B5538"/>
    <w:rsid w:val="007B6021"/>
    <w:rsid w:val="007B642B"/>
    <w:rsid w:val="007B6FB2"/>
    <w:rsid w:val="007C13CB"/>
    <w:rsid w:val="007D2229"/>
    <w:rsid w:val="007D2DA2"/>
    <w:rsid w:val="007D2FDE"/>
    <w:rsid w:val="007D3A83"/>
    <w:rsid w:val="007D3BA4"/>
    <w:rsid w:val="007D46BE"/>
    <w:rsid w:val="007D5B6B"/>
    <w:rsid w:val="007D5D48"/>
    <w:rsid w:val="007D75BC"/>
    <w:rsid w:val="007E0440"/>
    <w:rsid w:val="007E07E4"/>
    <w:rsid w:val="007E126D"/>
    <w:rsid w:val="007E1A64"/>
    <w:rsid w:val="007E6DE7"/>
    <w:rsid w:val="007E751D"/>
    <w:rsid w:val="007E7941"/>
    <w:rsid w:val="007E7959"/>
    <w:rsid w:val="007F1043"/>
    <w:rsid w:val="007F129B"/>
    <w:rsid w:val="007F1E51"/>
    <w:rsid w:val="007F516C"/>
    <w:rsid w:val="007F6AE1"/>
    <w:rsid w:val="007F6E34"/>
    <w:rsid w:val="00803FF3"/>
    <w:rsid w:val="00804CFA"/>
    <w:rsid w:val="0080512A"/>
    <w:rsid w:val="00814743"/>
    <w:rsid w:val="00815091"/>
    <w:rsid w:val="008163AB"/>
    <w:rsid w:val="008174FC"/>
    <w:rsid w:val="008237CD"/>
    <w:rsid w:val="00832B9C"/>
    <w:rsid w:val="00835459"/>
    <w:rsid w:val="00836126"/>
    <w:rsid w:val="008437C5"/>
    <w:rsid w:val="00843C7D"/>
    <w:rsid w:val="00844164"/>
    <w:rsid w:val="00846489"/>
    <w:rsid w:val="00850994"/>
    <w:rsid w:val="0085141C"/>
    <w:rsid w:val="00851C58"/>
    <w:rsid w:val="0085382F"/>
    <w:rsid w:val="00853A05"/>
    <w:rsid w:val="008549D5"/>
    <w:rsid w:val="00855861"/>
    <w:rsid w:val="00855EF3"/>
    <w:rsid w:val="00856ADE"/>
    <w:rsid w:val="00860A8C"/>
    <w:rsid w:val="0086179C"/>
    <w:rsid w:val="00861C1F"/>
    <w:rsid w:val="008647DB"/>
    <w:rsid w:val="0087006A"/>
    <w:rsid w:val="008764E5"/>
    <w:rsid w:val="00880973"/>
    <w:rsid w:val="00881E8D"/>
    <w:rsid w:val="0088452B"/>
    <w:rsid w:val="00887C90"/>
    <w:rsid w:val="008911CB"/>
    <w:rsid w:val="008922D1"/>
    <w:rsid w:val="00893119"/>
    <w:rsid w:val="008A3DA3"/>
    <w:rsid w:val="008A3E55"/>
    <w:rsid w:val="008B0777"/>
    <w:rsid w:val="008B0870"/>
    <w:rsid w:val="008B52B9"/>
    <w:rsid w:val="008B52C7"/>
    <w:rsid w:val="008B6728"/>
    <w:rsid w:val="008B705D"/>
    <w:rsid w:val="008C09A7"/>
    <w:rsid w:val="008C374F"/>
    <w:rsid w:val="008C3AAA"/>
    <w:rsid w:val="008C51E9"/>
    <w:rsid w:val="008C5570"/>
    <w:rsid w:val="008C614A"/>
    <w:rsid w:val="008C622A"/>
    <w:rsid w:val="008C65AA"/>
    <w:rsid w:val="008C66A1"/>
    <w:rsid w:val="008C6F83"/>
    <w:rsid w:val="008D0E8E"/>
    <w:rsid w:val="008D5838"/>
    <w:rsid w:val="008E18A6"/>
    <w:rsid w:val="008E2CAE"/>
    <w:rsid w:val="008E67A7"/>
    <w:rsid w:val="008E6B2F"/>
    <w:rsid w:val="008F1BDB"/>
    <w:rsid w:val="008F3871"/>
    <w:rsid w:val="008F464E"/>
    <w:rsid w:val="008F6A14"/>
    <w:rsid w:val="009008A5"/>
    <w:rsid w:val="00900B96"/>
    <w:rsid w:val="00902C63"/>
    <w:rsid w:val="00905616"/>
    <w:rsid w:val="009058CF"/>
    <w:rsid w:val="0091283D"/>
    <w:rsid w:val="00914FC8"/>
    <w:rsid w:val="00916B7C"/>
    <w:rsid w:val="009173C6"/>
    <w:rsid w:val="009209B4"/>
    <w:rsid w:val="009229FE"/>
    <w:rsid w:val="00925965"/>
    <w:rsid w:val="00927032"/>
    <w:rsid w:val="00930507"/>
    <w:rsid w:val="0093055E"/>
    <w:rsid w:val="00931DDE"/>
    <w:rsid w:val="0094170A"/>
    <w:rsid w:val="00943421"/>
    <w:rsid w:val="00944084"/>
    <w:rsid w:val="00944999"/>
    <w:rsid w:val="0095274C"/>
    <w:rsid w:val="00955089"/>
    <w:rsid w:val="00960270"/>
    <w:rsid w:val="0096357B"/>
    <w:rsid w:val="00963E20"/>
    <w:rsid w:val="009641B8"/>
    <w:rsid w:val="00965083"/>
    <w:rsid w:val="00966B4F"/>
    <w:rsid w:val="00973462"/>
    <w:rsid w:val="00974F57"/>
    <w:rsid w:val="00975BF8"/>
    <w:rsid w:val="009761B1"/>
    <w:rsid w:val="00977087"/>
    <w:rsid w:val="009808A8"/>
    <w:rsid w:val="00980951"/>
    <w:rsid w:val="00981BA8"/>
    <w:rsid w:val="0098243E"/>
    <w:rsid w:val="00985761"/>
    <w:rsid w:val="009871B4"/>
    <w:rsid w:val="0099019D"/>
    <w:rsid w:val="0099029C"/>
    <w:rsid w:val="00991739"/>
    <w:rsid w:val="009926E6"/>
    <w:rsid w:val="00993474"/>
    <w:rsid w:val="00993F01"/>
    <w:rsid w:val="0099595E"/>
    <w:rsid w:val="00995DE8"/>
    <w:rsid w:val="00995E09"/>
    <w:rsid w:val="009A644B"/>
    <w:rsid w:val="009A6DB8"/>
    <w:rsid w:val="009A7F69"/>
    <w:rsid w:val="009B0327"/>
    <w:rsid w:val="009B2E1D"/>
    <w:rsid w:val="009B5882"/>
    <w:rsid w:val="009C59ED"/>
    <w:rsid w:val="009C6E7C"/>
    <w:rsid w:val="009D00DA"/>
    <w:rsid w:val="009D1D6A"/>
    <w:rsid w:val="009D44C1"/>
    <w:rsid w:val="009D4B3F"/>
    <w:rsid w:val="009D58E6"/>
    <w:rsid w:val="009E5484"/>
    <w:rsid w:val="009F0EFD"/>
    <w:rsid w:val="009F1FCB"/>
    <w:rsid w:val="009F3D98"/>
    <w:rsid w:val="009F55C2"/>
    <w:rsid w:val="009F5BB5"/>
    <w:rsid w:val="009F6F9D"/>
    <w:rsid w:val="00A00553"/>
    <w:rsid w:val="00A00657"/>
    <w:rsid w:val="00A015D7"/>
    <w:rsid w:val="00A04364"/>
    <w:rsid w:val="00A05A57"/>
    <w:rsid w:val="00A12E2C"/>
    <w:rsid w:val="00A12FBC"/>
    <w:rsid w:val="00A13F15"/>
    <w:rsid w:val="00A1465B"/>
    <w:rsid w:val="00A16557"/>
    <w:rsid w:val="00A16DF1"/>
    <w:rsid w:val="00A2218A"/>
    <w:rsid w:val="00A24ED6"/>
    <w:rsid w:val="00A26470"/>
    <w:rsid w:val="00A30A9B"/>
    <w:rsid w:val="00A34C9B"/>
    <w:rsid w:val="00A35741"/>
    <w:rsid w:val="00A35A0E"/>
    <w:rsid w:val="00A35F89"/>
    <w:rsid w:val="00A378B6"/>
    <w:rsid w:val="00A42DA8"/>
    <w:rsid w:val="00A43273"/>
    <w:rsid w:val="00A43772"/>
    <w:rsid w:val="00A528D4"/>
    <w:rsid w:val="00A53717"/>
    <w:rsid w:val="00A5794F"/>
    <w:rsid w:val="00A60E26"/>
    <w:rsid w:val="00A61638"/>
    <w:rsid w:val="00A61BD1"/>
    <w:rsid w:val="00A62703"/>
    <w:rsid w:val="00A63990"/>
    <w:rsid w:val="00A64B49"/>
    <w:rsid w:val="00A6517A"/>
    <w:rsid w:val="00A66B6C"/>
    <w:rsid w:val="00A672EA"/>
    <w:rsid w:val="00A710C4"/>
    <w:rsid w:val="00A766F7"/>
    <w:rsid w:val="00A76CE3"/>
    <w:rsid w:val="00A76CE8"/>
    <w:rsid w:val="00A7710A"/>
    <w:rsid w:val="00A77A74"/>
    <w:rsid w:val="00A80E5E"/>
    <w:rsid w:val="00A8346E"/>
    <w:rsid w:val="00A834AF"/>
    <w:rsid w:val="00A8353C"/>
    <w:rsid w:val="00A83B3C"/>
    <w:rsid w:val="00A84681"/>
    <w:rsid w:val="00A85C02"/>
    <w:rsid w:val="00A85C80"/>
    <w:rsid w:val="00A8726C"/>
    <w:rsid w:val="00A927A7"/>
    <w:rsid w:val="00A96037"/>
    <w:rsid w:val="00AA0354"/>
    <w:rsid w:val="00AA22B0"/>
    <w:rsid w:val="00AA3C1D"/>
    <w:rsid w:val="00AA5F67"/>
    <w:rsid w:val="00AB112B"/>
    <w:rsid w:val="00AB2D56"/>
    <w:rsid w:val="00AB3380"/>
    <w:rsid w:val="00AB499D"/>
    <w:rsid w:val="00AB4AAF"/>
    <w:rsid w:val="00AB4E49"/>
    <w:rsid w:val="00AB76F4"/>
    <w:rsid w:val="00AB7AB3"/>
    <w:rsid w:val="00AC08A6"/>
    <w:rsid w:val="00AC33F3"/>
    <w:rsid w:val="00AC355B"/>
    <w:rsid w:val="00AC4F81"/>
    <w:rsid w:val="00AC79EC"/>
    <w:rsid w:val="00AD2BAF"/>
    <w:rsid w:val="00AD425B"/>
    <w:rsid w:val="00AD4395"/>
    <w:rsid w:val="00AE2936"/>
    <w:rsid w:val="00AE32A7"/>
    <w:rsid w:val="00AE3C9E"/>
    <w:rsid w:val="00AE5C2C"/>
    <w:rsid w:val="00AE68D3"/>
    <w:rsid w:val="00AE6BFA"/>
    <w:rsid w:val="00AE77C1"/>
    <w:rsid w:val="00AF0D61"/>
    <w:rsid w:val="00AF2D71"/>
    <w:rsid w:val="00AF3BF2"/>
    <w:rsid w:val="00AF5AD2"/>
    <w:rsid w:val="00B02E2E"/>
    <w:rsid w:val="00B05459"/>
    <w:rsid w:val="00B07DBD"/>
    <w:rsid w:val="00B1062F"/>
    <w:rsid w:val="00B10996"/>
    <w:rsid w:val="00B11C3D"/>
    <w:rsid w:val="00B13C80"/>
    <w:rsid w:val="00B14106"/>
    <w:rsid w:val="00B14D41"/>
    <w:rsid w:val="00B1563D"/>
    <w:rsid w:val="00B164C8"/>
    <w:rsid w:val="00B16654"/>
    <w:rsid w:val="00B21125"/>
    <w:rsid w:val="00B22F5B"/>
    <w:rsid w:val="00B236C5"/>
    <w:rsid w:val="00B3066E"/>
    <w:rsid w:val="00B31B7D"/>
    <w:rsid w:val="00B32668"/>
    <w:rsid w:val="00B34B01"/>
    <w:rsid w:val="00B34FC9"/>
    <w:rsid w:val="00B368D4"/>
    <w:rsid w:val="00B401ED"/>
    <w:rsid w:val="00B41430"/>
    <w:rsid w:val="00B41CCA"/>
    <w:rsid w:val="00B43FDF"/>
    <w:rsid w:val="00B46BA7"/>
    <w:rsid w:val="00B512BD"/>
    <w:rsid w:val="00B5197D"/>
    <w:rsid w:val="00B52FB9"/>
    <w:rsid w:val="00B539F7"/>
    <w:rsid w:val="00B55D62"/>
    <w:rsid w:val="00B60125"/>
    <w:rsid w:val="00B607A1"/>
    <w:rsid w:val="00B62AAF"/>
    <w:rsid w:val="00B62BF0"/>
    <w:rsid w:val="00B63093"/>
    <w:rsid w:val="00B6312A"/>
    <w:rsid w:val="00B637E7"/>
    <w:rsid w:val="00B63D3C"/>
    <w:rsid w:val="00B652D1"/>
    <w:rsid w:val="00B6652A"/>
    <w:rsid w:val="00B71648"/>
    <w:rsid w:val="00B74326"/>
    <w:rsid w:val="00B749A0"/>
    <w:rsid w:val="00B76263"/>
    <w:rsid w:val="00B7686F"/>
    <w:rsid w:val="00B770CD"/>
    <w:rsid w:val="00B77A1A"/>
    <w:rsid w:val="00B81F5A"/>
    <w:rsid w:val="00B826FE"/>
    <w:rsid w:val="00B851A6"/>
    <w:rsid w:val="00B867EB"/>
    <w:rsid w:val="00B91691"/>
    <w:rsid w:val="00B9296F"/>
    <w:rsid w:val="00B930E5"/>
    <w:rsid w:val="00B96551"/>
    <w:rsid w:val="00BA086A"/>
    <w:rsid w:val="00BA103C"/>
    <w:rsid w:val="00BA222E"/>
    <w:rsid w:val="00BA226A"/>
    <w:rsid w:val="00BA3CBE"/>
    <w:rsid w:val="00BA5FB3"/>
    <w:rsid w:val="00BA68E6"/>
    <w:rsid w:val="00BA7372"/>
    <w:rsid w:val="00BB07E7"/>
    <w:rsid w:val="00BB2D9F"/>
    <w:rsid w:val="00BB526D"/>
    <w:rsid w:val="00BB6C1D"/>
    <w:rsid w:val="00BC039B"/>
    <w:rsid w:val="00BC104A"/>
    <w:rsid w:val="00BC219E"/>
    <w:rsid w:val="00BC2BB6"/>
    <w:rsid w:val="00BC7F82"/>
    <w:rsid w:val="00BD03A8"/>
    <w:rsid w:val="00BD0687"/>
    <w:rsid w:val="00BD3851"/>
    <w:rsid w:val="00BD4A99"/>
    <w:rsid w:val="00BD5964"/>
    <w:rsid w:val="00BD5B15"/>
    <w:rsid w:val="00BD72D7"/>
    <w:rsid w:val="00BE3AD9"/>
    <w:rsid w:val="00BE5A40"/>
    <w:rsid w:val="00BF03C2"/>
    <w:rsid w:val="00BF37B9"/>
    <w:rsid w:val="00BF3DA4"/>
    <w:rsid w:val="00BF43E3"/>
    <w:rsid w:val="00BF6EAC"/>
    <w:rsid w:val="00BF721A"/>
    <w:rsid w:val="00C00B83"/>
    <w:rsid w:val="00C00C81"/>
    <w:rsid w:val="00C06ACB"/>
    <w:rsid w:val="00C12184"/>
    <w:rsid w:val="00C130BD"/>
    <w:rsid w:val="00C142FF"/>
    <w:rsid w:val="00C14FB5"/>
    <w:rsid w:val="00C15327"/>
    <w:rsid w:val="00C15676"/>
    <w:rsid w:val="00C16C2D"/>
    <w:rsid w:val="00C170DB"/>
    <w:rsid w:val="00C20992"/>
    <w:rsid w:val="00C2141C"/>
    <w:rsid w:val="00C23437"/>
    <w:rsid w:val="00C24C03"/>
    <w:rsid w:val="00C26C79"/>
    <w:rsid w:val="00C27049"/>
    <w:rsid w:val="00C27A57"/>
    <w:rsid w:val="00C30380"/>
    <w:rsid w:val="00C30835"/>
    <w:rsid w:val="00C3086C"/>
    <w:rsid w:val="00C33AB6"/>
    <w:rsid w:val="00C351F8"/>
    <w:rsid w:val="00C35E52"/>
    <w:rsid w:val="00C37FE2"/>
    <w:rsid w:val="00C50631"/>
    <w:rsid w:val="00C557D4"/>
    <w:rsid w:val="00C560CE"/>
    <w:rsid w:val="00C61436"/>
    <w:rsid w:val="00C648BC"/>
    <w:rsid w:val="00C65D98"/>
    <w:rsid w:val="00C7066E"/>
    <w:rsid w:val="00C8618E"/>
    <w:rsid w:val="00C87AA7"/>
    <w:rsid w:val="00C87B16"/>
    <w:rsid w:val="00C87E27"/>
    <w:rsid w:val="00C91997"/>
    <w:rsid w:val="00C92C03"/>
    <w:rsid w:val="00C95254"/>
    <w:rsid w:val="00C97697"/>
    <w:rsid w:val="00C97F7C"/>
    <w:rsid w:val="00CA0928"/>
    <w:rsid w:val="00CA6B67"/>
    <w:rsid w:val="00CA75A8"/>
    <w:rsid w:val="00CB08A2"/>
    <w:rsid w:val="00CB0CCE"/>
    <w:rsid w:val="00CB154A"/>
    <w:rsid w:val="00CB1DBA"/>
    <w:rsid w:val="00CB3A81"/>
    <w:rsid w:val="00CB683B"/>
    <w:rsid w:val="00CC0DE2"/>
    <w:rsid w:val="00CC2333"/>
    <w:rsid w:val="00CC4DE7"/>
    <w:rsid w:val="00CC53F6"/>
    <w:rsid w:val="00CD209E"/>
    <w:rsid w:val="00CD5C48"/>
    <w:rsid w:val="00CE03D8"/>
    <w:rsid w:val="00CE0DAD"/>
    <w:rsid w:val="00CE243C"/>
    <w:rsid w:val="00CE5493"/>
    <w:rsid w:val="00CE54E3"/>
    <w:rsid w:val="00CE6411"/>
    <w:rsid w:val="00CF0BA2"/>
    <w:rsid w:val="00CF2247"/>
    <w:rsid w:val="00CF2B93"/>
    <w:rsid w:val="00CF4177"/>
    <w:rsid w:val="00CF65EF"/>
    <w:rsid w:val="00D0057E"/>
    <w:rsid w:val="00D03F5A"/>
    <w:rsid w:val="00D04B37"/>
    <w:rsid w:val="00D105F6"/>
    <w:rsid w:val="00D1197E"/>
    <w:rsid w:val="00D13B1C"/>
    <w:rsid w:val="00D176BD"/>
    <w:rsid w:val="00D23E69"/>
    <w:rsid w:val="00D271BD"/>
    <w:rsid w:val="00D27E05"/>
    <w:rsid w:val="00D27EA8"/>
    <w:rsid w:val="00D31CF7"/>
    <w:rsid w:val="00D31DF6"/>
    <w:rsid w:val="00D35671"/>
    <w:rsid w:val="00D376A5"/>
    <w:rsid w:val="00D40CA4"/>
    <w:rsid w:val="00D416EF"/>
    <w:rsid w:val="00D43BB9"/>
    <w:rsid w:val="00D448D1"/>
    <w:rsid w:val="00D465AB"/>
    <w:rsid w:val="00D47044"/>
    <w:rsid w:val="00D501C5"/>
    <w:rsid w:val="00D524B8"/>
    <w:rsid w:val="00D53D2B"/>
    <w:rsid w:val="00D56524"/>
    <w:rsid w:val="00D5679F"/>
    <w:rsid w:val="00D56C58"/>
    <w:rsid w:val="00D60017"/>
    <w:rsid w:val="00D6069A"/>
    <w:rsid w:val="00D60AA1"/>
    <w:rsid w:val="00D62CF3"/>
    <w:rsid w:val="00D65EBD"/>
    <w:rsid w:val="00D669C9"/>
    <w:rsid w:val="00D73AA4"/>
    <w:rsid w:val="00D7763B"/>
    <w:rsid w:val="00D814F7"/>
    <w:rsid w:val="00D841B0"/>
    <w:rsid w:val="00D906DC"/>
    <w:rsid w:val="00D9180E"/>
    <w:rsid w:val="00D918BA"/>
    <w:rsid w:val="00D926C8"/>
    <w:rsid w:val="00D94F41"/>
    <w:rsid w:val="00DA2626"/>
    <w:rsid w:val="00DA76E7"/>
    <w:rsid w:val="00DA7FA5"/>
    <w:rsid w:val="00DB10D4"/>
    <w:rsid w:val="00DB3C44"/>
    <w:rsid w:val="00DB4437"/>
    <w:rsid w:val="00DB6BE8"/>
    <w:rsid w:val="00DB7A6C"/>
    <w:rsid w:val="00DC250E"/>
    <w:rsid w:val="00DC68F4"/>
    <w:rsid w:val="00DC7AB4"/>
    <w:rsid w:val="00DD1771"/>
    <w:rsid w:val="00DD4BC9"/>
    <w:rsid w:val="00DD7F37"/>
    <w:rsid w:val="00DE0131"/>
    <w:rsid w:val="00DE098F"/>
    <w:rsid w:val="00DE2BDB"/>
    <w:rsid w:val="00DE384F"/>
    <w:rsid w:val="00DE4567"/>
    <w:rsid w:val="00DE6332"/>
    <w:rsid w:val="00DF1C0C"/>
    <w:rsid w:val="00DF2CE3"/>
    <w:rsid w:val="00DF3F7E"/>
    <w:rsid w:val="00DF57CD"/>
    <w:rsid w:val="00DF67A9"/>
    <w:rsid w:val="00DF6C84"/>
    <w:rsid w:val="00DF7377"/>
    <w:rsid w:val="00DF7721"/>
    <w:rsid w:val="00E02117"/>
    <w:rsid w:val="00E07F78"/>
    <w:rsid w:val="00E1094D"/>
    <w:rsid w:val="00E11138"/>
    <w:rsid w:val="00E146E1"/>
    <w:rsid w:val="00E219CE"/>
    <w:rsid w:val="00E2367E"/>
    <w:rsid w:val="00E2475C"/>
    <w:rsid w:val="00E251E2"/>
    <w:rsid w:val="00E25F9D"/>
    <w:rsid w:val="00E270E2"/>
    <w:rsid w:val="00E27D9E"/>
    <w:rsid w:val="00E33049"/>
    <w:rsid w:val="00E33085"/>
    <w:rsid w:val="00E402EE"/>
    <w:rsid w:val="00E4431B"/>
    <w:rsid w:val="00E47D6C"/>
    <w:rsid w:val="00E50C32"/>
    <w:rsid w:val="00E51898"/>
    <w:rsid w:val="00E525DC"/>
    <w:rsid w:val="00E52A94"/>
    <w:rsid w:val="00E53680"/>
    <w:rsid w:val="00E54072"/>
    <w:rsid w:val="00E543C8"/>
    <w:rsid w:val="00E54D2F"/>
    <w:rsid w:val="00E63942"/>
    <w:rsid w:val="00E63D64"/>
    <w:rsid w:val="00E66EC1"/>
    <w:rsid w:val="00E6712B"/>
    <w:rsid w:val="00E730B6"/>
    <w:rsid w:val="00E75EDB"/>
    <w:rsid w:val="00E77310"/>
    <w:rsid w:val="00E77393"/>
    <w:rsid w:val="00E8088A"/>
    <w:rsid w:val="00E83DA5"/>
    <w:rsid w:val="00E860DC"/>
    <w:rsid w:val="00E920B7"/>
    <w:rsid w:val="00E92E25"/>
    <w:rsid w:val="00E95785"/>
    <w:rsid w:val="00E959B5"/>
    <w:rsid w:val="00E95E7E"/>
    <w:rsid w:val="00EA1F4F"/>
    <w:rsid w:val="00EA1FDA"/>
    <w:rsid w:val="00EA66BC"/>
    <w:rsid w:val="00EB00AF"/>
    <w:rsid w:val="00EB05D9"/>
    <w:rsid w:val="00EB1202"/>
    <w:rsid w:val="00EB5306"/>
    <w:rsid w:val="00EB5691"/>
    <w:rsid w:val="00EC3422"/>
    <w:rsid w:val="00EC4ED3"/>
    <w:rsid w:val="00EC7AD6"/>
    <w:rsid w:val="00ED65A1"/>
    <w:rsid w:val="00EE1A7B"/>
    <w:rsid w:val="00EE1F7F"/>
    <w:rsid w:val="00EE23BB"/>
    <w:rsid w:val="00EE460F"/>
    <w:rsid w:val="00EE73BF"/>
    <w:rsid w:val="00EF1998"/>
    <w:rsid w:val="00EF3225"/>
    <w:rsid w:val="00F001B7"/>
    <w:rsid w:val="00F03BAD"/>
    <w:rsid w:val="00F03E68"/>
    <w:rsid w:val="00F0748C"/>
    <w:rsid w:val="00F10486"/>
    <w:rsid w:val="00F10BF8"/>
    <w:rsid w:val="00F11CA0"/>
    <w:rsid w:val="00F15F4B"/>
    <w:rsid w:val="00F2289C"/>
    <w:rsid w:val="00F260D7"/>
    <w:rsid w:val="00F3665B"/>
    <w:rsid w:val="00F36FB5"/>
    <w:rsid w:val="00F41EFA"/>
    <w:rsid w:val="00F5190B"/>
    <w:rsid w:val="00F5306C"/>
    <w:rsid w:val="00F53796"/>
    <w:rsid w:val="00F550BE"/>
    <w:rsid w:val="00F55CD4"/>
    <w:rsid w:val="00F578AA"/>
    <w:rsid w:val="00F60718"/>
    <w:rsid w:val="00F607CD"/>
    <w:rsid w:val="00F6087D"/>
    <w:rsid w:val="00F60E6D"/>
    <w:rsid w:val="00F62BA3"/>
    <w:rsid w:val="00F66F42"/>
    <w:rsid w:val="00F7007E"/>
    <w:rsid w:val="00F70FE0"/>
    <w:rsid w:val="00F758E5"/>
    <w:rsid w:val="00F75B5D"/>
    <w:rsid w:val="00F800C4"/>
    <w:rsid w:val="00F80E85"/>
    <w:rsid w:val="00F8266B"/>
    <w:rsid w:val="00F85178"/>
    <w:rsid w:val="00F85C55"/>
    <w:rsid w:val="00F90E76"/>
    <w:rsid w:val="00F92A30"/>
    <w:rsid w:val="00F93657"/>
    <w:rsid w:val="00F9588E"/>
    <w:rsid w:val="00FA17A4"/>
    <w:rsid w:val="00FA3977"/>
    <w:rsid w:val="00FA7C6F"/>
    <w:rsid w:val="00FB1EC4"/>
    <w:rsid w:val="00FB25F1"/>
    <w:rsid w:val="00FB2EC6"/>
    <w:rsid w:val="00FB328E"/>
    <w:rsid w:val="00FB53D7"/>
    <w:rsid w:val="00FB6D7C"/>
    <w:rsid w:val="00FB767B"/>
    <w:rsid w:val="00FC1161"/>
    <w:rsid w:val="00FC15DB"/>
    <w:rsid w:val="00FC1C1B"/>
    <w:rsid w:val="00FC30DF"/>
    <w:rsid w:val="00FC5D94"/>
    <w:rsid w:val="00FC61BB"/>
    <w:rsid w:val="00FC7E00"/>
    <w:rsid w:val="00FD040E"/>
    <w:rsid w:val="00FD3342"/>
    <w:rsid w:val="00FD372D"/>
    <w:rsid w:val="00FD3B3C"/>
    <w:rsid w:val="00FD4AC6"/>
    <w:rsid w:val="00FD4CE0"/>
    <w:rsid w:val="00FD5249"/>
    <w:rsid w:val="00FD6A18"/>
    <w:rsid w:val="00FD7A13"/>
    <w:rsid w:val="00FD7D3A"/>
    <w:rsid w:val="00FE05E6"/>
    <w:rsid w:val="00FE2D84"/>
    <w:rsid w:val="00FE750A"/>
    <w:rsid w:val="00FF00B6"/>
    <w:rsid w:val="00FF2721"/>
    <w:rsid w:val="00FF4B17"/>
    <w:rsid w:val="00FF5B17"/>
    <w:rsid w:val="00FF6DCC"/>
    <w:rsid w:val="00FF74EE"/>
    <w:rsid w:val="00FF7BF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8B822E"/>
  <w15:docId w15:val="{CB050561-F7ED-4C4B-9001-BFB725A34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5"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AA0354"/>
    <w:rPr>
      <w:rFonts w:ascii="Times New Roman" w:eastAsia="Times New Roman" w:hAnsi="Times New Roman" w:cs="Times New Roman"/>
    </w:rPr>
  </w:style>
  <w:style w:type="paragraph" w:styleId="Heading1">
    <w:name w:val="heading 1"/>
    <w:basedOn w:val="Normal"/>
    <w:uiPriority w:val="1"/>
    <w:qFormat/>
    <w:rsid w:val="00AA22B0"/>
    <w:pPr>
      <w:spacing w:before="68" w:after="720"/>
      <w:ind w:left="130" w:right="130"/>
      <w:jc w:val="center"/>
      <w:outlineLvl w:val="0"/>
    </w:pPr>
    <w:rPr>
      <w:b/>
      <w:sz w:val="36"/>
    </w:rPr>
  </w:style>
  <w:style w:type="paragraph" w:styleId="Heading2">
    <w:name w:val="heading 2"/>
    <w:basedOn w:val="ListParagraph"/>
    <w:next w:val="Normal"/>
    <w:link w:val="Heading2Char"/>
    <w:uiPriority w:val="9"/>
    <w:unhideWhenUsed/>
    <w:qFormat/>
    <w:rsid w:val="002D43C0"/>
    <w:pPr>
      <w:numPr>
        <w:numId w:val="3"/>
      </w:numPr>
      <w:tabs>
        <w:tab w:val="left" w:pos="419"/>
      </w:tabs>
      <w:spacing w:before="360" w:after="240"/>
      <w:ind w:hanging="317"/>
      <w:outlineLvl w:val="1"/>
    </w:pPr>
    <w:rPr>
      <w:b/>
      <w:sz w:val="26"/>
    </w:rPr>
  </w:style>
  <w:style w:type="paragraph" w:styleId="Heading3">
    <w:name w:val="heading 3"/>
    <w:basedOn w:val="Normal"/>
    <w:next w:val="Normal"/>
    <w:link w:val="Heading3Char"/>
    <w:uiPriority w:val="9"/>
    <w:unhideWhenUsed/>
    <w:qFormat/>
    <w:rsid w:val="002D43C0"/>
    <w:pPr>
      <w:keepNext/>
      <w:keepLines/>
      <w:widowControl/>
      <w:spacing w:before="240" w:after="120"/>
      <w:outlineLvl w:val="2"/>
    </w:pPr>
    <w:rPr>
      <w:rFonts w:eastAsiaTheme="majorEastAsia" w:cstheme="majorBidi"/>
      <w:b/>
      <w:i/>
      <w:color w:val="000000" w:themeColor="text1"/>
      <w:sz w:val="24"/>
      <w:szCs w:val="24"/>
    </w:rPr>
  </w:style>
  <w:style w:type="paragraph" w:styleId="Heading4">
    <w:name w:val="heading 4"/>
    <w:basedOn w:val="ListParagraph"/>
    <w:next w:val="Normal"/>
    <w:link w:val="Heading4Char"/>
    <w:uiPriority w:val="9"/>
    <w:unhideWhenUsed/>
    <w:qFormat/>
    <w:rsid w:val="00F53796"/>
    <w:pPr>
      <w:numPr>
        <w:numId w:val="2"/>
      </w:numPr>
      <w:tabs>
        <w:tab w:val="left" w:pos="341"/>
      </w:tabs>
      <w:spacing w:before="202" w:after="120"/>
      <w:ind w:left="245" w:hanging="245"/>
      <w:outlineLvl w:val="3"/>
    </w:pPr>
    <w:rPr>
      <w:b/>
      <w:sz w:val="24"/>
    </w:rPr>
  </w:style>
  <w:style w:type="paragraph" w:styleId="Heading5">
    <w:name w:val="heading 5"/>
    <w:basedOn w:val="Normal"/>
    <w:next w:val="Normal"/>
    <w:link w:val="Heading5Char"/>
    <w:uiPriority w:val="5"/>
    <w:qFormat/>
    <w:rsid w:val="00E860DC"/>
    <w:pPr>
      <w:keepNext/>
      <w:widowControl/>
      <w:autoSpaceDE/>
      <w:autoSpaceDN/>
      <w:spacing w:before="320" w:after="120"/>
      <w:outlineLvl w:val="4"/>
    </w:pPr>
    <w:rPr>
      <w:b/>
      <w:bCs/>
      <w:iCs/>
      <w:szCs w:val="26"/>
    </w:rPr>
  </w:style>
  <w:style w:type="paragraph" w:styleId="Heading6">
    <w:name w:val="heading 6"/>
    <w:basedOn w:val="Normal"/>
    <w:next w:val="Normal"/>
    <w:link w:val="Heading6Char"/>
    <w:uiPriority w:val="9"/>
    <w:unhideWhenUsed/>
    <w:qFormat/>
    <w:rsid w:val="00A60E26"/>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DF1C0C"/>
    <w:pPr>
      <w:tabs>
        <w:tab w:val="left" w:pos="450"/>
        <w:tab w:val="right" w:leader="dot" w:pos="9350"/>
      </w:tabs>
      <w:spacing w:before="269"/>
      <w:ind w:left="100"/>
    </w:pPr>
    <w:rPr>
      <w:noProof/>
      <w:sz w:val="24"/>
    </w:rPr>
  </w:style>
  <w:style w:type="paragraph" w:styleId="TOC2">
    <w:name w:val="toc 2"/>
    <w:basedOn w:val="Normal"/>
    <w:uiPriority w:val="39"/>
    <w:qFormat/>
    <w:rsid w:val="00D94F41"/>
    <w:pPr>
      <w:tabs>
        <w:tab w:val="left" w:pos="1350"/>
        <w:tab w:val="right" w:leader="dot" w:pos="9350"/>
      </w:tabs>
      <w:spacing w:before="99"/>
      <w:ind w:left="1350" w:hanging="630"/>
    </w:pPr>
    <w:rPr>
      <w:noProof/>
      <w:sz w:val="24"/>
    </w:rPr>
  </w:style>
  <w:style w:type="paragraph" w:styleId="BodyText">
    <w:name w:val="Body Text"/>
    <w:basedOn w:val="Normal"/>
    <w:link w:val="BodyTextChar"/>
    <w:uiPriority w:val="1"/>
    <w:qFormat/>
    <w:rsid w:val="002D43C0"/>
    <w:pPr>
      <w:widowControl/>
      <w:spacing w:after="180"/>
    </w:pPr>
    <w:rPr>
      <w:sz w:val="24"/>
      <w:szCs w:val="24"/>
    </w:rPr>
  </w:style>
  <w:style w:type="paragraph" w:styleId="ListParagraph">
    <w:name w:val="List Paragraph"/>
    <w:basedOn w:val="Normal"/>
    <w:link w:val="ListParagraphChar"/>
    <w:uiPriority w:val="34"/>
    <w:qFormat/>
    <w:rsid w:val="002D43C0"/>
    <w:pPr>
      <w:keepLines/>
      <w:widowControl/>
      <w:ind w:left="936" w:hanging="360"/>
    </w:pPr>
  </w:style>
  <w:style w:type="paragraph" w:customStyle="1" w:styleId="TableParagraph">
    <w:name w:val="Table Paragraph"/>
    <w:basedOn w:val="Normal"/>
    <w:uiPriority w:val="1"/>
    <w:qFormat/>
    <w:rsid w:val="002D43C0"/>
    <w:pPr>
      <w:spacing w:before="38"/>
    </w:pPr>
  </w:style>
  <w:style w:type="character" w:styleId="CommentReference">
    <w:name w:val="annotation reference"/>
    <w:basedOn w:val="DefaultParagraphFont"/>
    <w:uiPriority w:val="99"/>
    <w:unhideWhenUsed/>
    <w:rsid w:val="002D43C0"/>
    <w:rPr>
      <w:sz w:val="16"/>
      <w:szCs w:val="16"/>
    </w:rPr>
  </w:style>
  <w:style w:type="paragraph" w:styleId="CommentText">
    <w:name w:val="annotation text"/>
    <w:basedOn w:val="Normal"/>
    <w:link w:val="CommentTextChar"/>
    <w:uiPriority w:val="99"/>
    <w:unhideWhenUsed/>
    <w:rsid w:val="002D43C0"/>
    <w:rPr>
      <w:sz w:val="20"/>
      <w:szCs w:val="20"/>
    </w:rPr>
  </w:style>
  <w:style w:type="character" w:customStyle="1" w:styleId="CommentTextChar">
    <w:name w:val="Comment Text Char"/>
    <w:basedOn w:val="DefaultParagraphFont"/>
    <w:link w:val="CommentText"/>
    <w:uiPriority w:val="99"/>
    <w:rsid w:val="002D43C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D43C0"/>
    <w:rPr>
      <w:b/>
      <w:bCs/>
    </w:rPr>
  </w:style>
  <w:style w:type="character" w:customStyle="1" w:styleId="CommentSubjectChar">
    <w:name w:val="Comment Subject Char"/>
    <w:basedOn w:val="CommentTextChar"/>
    <w:link w:val="CommentSubject"/>
    <w:uiPriority w:val="99"/>
    <w:semiHidden/>
    <w:rsid w:val="002D43C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D43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3C0"/>
    <w:rPr>
      <w:rFonts w:ascii="Segoe UI" w:eastAsia="Times New Roman" w:hAnsi="Segoe UI" w:cs="Segoe UI"/>
      <w:sz w:val="18"/>
      <w:szCs w:val="18"/>
    </w:rPr>
  </w:style>
  <w:style w:type="character" w:styleId="Hyperlink">
    <w:name w:val="Hyperlink"/>
    <w:basedOn w:val="DefaultParagraphFont"/>
    <w:uiPriority w:val="99"/>
    <w:unhideWhenUsed/>
    <w:rsid w:val="002D43C0"/>
    <w:rPr>
      <w:color w:val="0000FF" w:themeColor="hyperlink"/>
      <w:u w:val="single"/>
    </w:rPr>
  </w:style>
  <w:style w:type="paragraph" w:styleId="FootnoteText">
    <w:name w:val="footnote text"/>
    <w:basedOn w:val="Normal"/>
    <w:link w:val="FootnoteTextChar"/>
    <w:uiPriority w:val="99"/>
    <w:unhideWhenUsed/>
    <w:rsid w:val="002D43C0"/>
    <w:rPr>
      <w:sz w:val="20"/>
      <w:szCs w:val="20"/>
    </w:rPr>
  </w:style>
  <w:style w:type="character" w:customStyle="1" w:styleId="FootnoteTextChar">
    <w:name w:val="Footnote Text Char"/>
    <w:basedOn w:val="DefaultParagraphFont"/>
    <w:link w:val="FootnoteText"/>
    <w:uiPriority w:val="99"/>
    <w:rsid w:val="002D43C0"/>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2D43C0"/>
    <w:rPr>
      <w:vertAlign w:val="superscript"/>
    </w:rPr>
  </w:style>
  <w:style w:type="character" w:customStyle="1" w:styleId="tp-label">
    <w:name w:val="tp-label"/>
    <w:basedOn w:val="DefaultParagraphFont"/>
    <w:rsid w:val="002D43C0"/>
  </w:style>
  <w:style w:type="character" w:customStyle="1" w:styleId="Heading5Char">
    <w:name w:val="Heading 5 Char"/>
    <w:basedOn w:val="DefaultParagraphFont"/>
    <w:link w:val="Heading5"/>
    <w:uiPriority w:val="5"/>
    <w:rsid w:val="00E860DC"/>
    <w:rPr>
      <w:rFonts w:ascii="Times New Roman" w:eastAsia="Times New Roman" w:hAnsi="Times New Roman" w:cs="Times New Roman"/>
      <w:b/>
      <w:bCs/>
      <w:iCs/>
      <w:szCs w:val="26"/>
    </w:rPr>
  </w:style>
  <w:style w:type="paragraph" w:customStyle="1" w:styleId="Default">
    <w:name w:val="Default"/>
    <w:rsid w:val="002D43C0"/>
    <w:pPr>
      <w:widowControl/>
      <w:adjustRightInd w:val="0"/>
    </w:pPr>
    <w:rPr>
      <w:rFonts w:ascii="Arial" w:hAnsi="Arial" w:cs="Arial"/>
      <w:color w:val="000000"/>
      <w:sz w:val="24"/>
      <w:szCs w:val="24"/>
    </w:rPr>
  </w:style>
  <w:style w:type="paragraph" w:styleId="TOCHeading">
    <w:name w:val="TOC Heading"/>
    <w:basedOn w:val="Heading1"/>
    <w:next w:val="Normal"/>
    <w:uiPriority w:val="39"/>
    <w:unhideWhenUsed/>
    <w:qFormat/>
    <w:rsid w:val="002D43C0"/>
    <w:pPr>
      <w:keepNext/>
      <w:keepLines/>
      <w:widowControl/>
      <w:autoSpaceDE/>
      <w:autoSpaceDN/>
      <w:spacing w:before="240" w:line="259" w:lineRule="auto"/>
      <w:ind w:left="0"/>
      <w:outlineLvl w:val="9"/>
    </w:pPr>
    <w:rPr>
      <w:rFonts w:asciiTheme="majorHAnsi" w:eastAsiaTheme="majorEastAsia" w:hAnsiTheme="majorHAnsi" w:cstheme="majorBidi"/>
      <w:b w:val="0"/>
      <w:bCs/>
      <w:color w:val="365F91" w:themeColor="accent1" w:themeShade="BF"/>
      <w:sz w:val="32"/>
      <w:szCs w:val="32"/>
    </w:rPr>
  </w:style>
  <w:style w:type="character" w:customStyle="1" w:styleId="Heading3Char">
    <w:name w:val="Heading 3 Char"/>
    <w:basedOn w:val="DefaultParagraphFont"/>
    <w:link w:val="Heading3"/>
    <w:uiPriority w:val="9"/>
    <w:rsid w:val="002D43C0"/>
    <w:rPr>
      <w:rFonts w:ascii="Times New Roman" w:hAnsi="Times New Roman" w:eastAsiaTheme="majorEastAsia" w:cstheme="majorBidi"/>
      <w:b/>
      <w:i/>
      <w:color w:val="000000" w:themeColor="text1"/>
      <w:sz w:val="24"/>
      <w:szCs w:val="24"/>
    </w:rPr>
  </w:style>
  <w:style w:type="paragraph" w:styleId="NormalWeb">
    <w:name w:val="Normal (Web)"/>
    <w:basedOn w:val="Normal"/>
    <w:uiPriority w:val="99"/>
    <w:semiHidden/>
    <w:unhideWhenUsed/>
    <w:rsid w:val="002D43C0"/>
    <w:pPr>
      <w:widowControl/>
      <w:autoSpaceDE/>
      <w:autoSpaceDN/>
      <w:spacing w:before="100" w:beforeAutospacing="1" w:after="100" w:afterAutospacing="1"/>
    </w:pPr>
    <w:rPr>
      <w:rFonts w:eastAsiaTheme="minorHAnsi"/>
      <w:sz w:val="24"/>
      <w:szCs w:val="24"/>
    </w:rPr>
  </w:style>
  <w:style w:type="character" w:styleId="Emphasis">
    <w:name w:val="Emphasis"/>
    <w:basedOn w:val="DefaultParagraphFont"/>
    <w:uiPriority w:val="20"/>
    <w:qFormat/>
    <w:rsid w:val="002D43C0"/>
    <w:rPr>
      <w:i/>
      <w:iCs/>
    </w:rPr>
  </w:style>
  <w:style w:type="character" w:customStyle="1" w:styleId="BodyTextChar">
    <w:name w:val="Body Text Char"/>
    <w:basedOn w:val="DefaultParagraphFont"/>
    <w:link w:val="BodyText"/>
    <w:uiPriority w:val="1"/>
    <w:rsid w:val="002D43C0"/>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2D43C0"/>
    <w:rPr>
      <w:sz w:val="20"/>
      <w:szCs w:val="20"/>
    </w:rPr>
  </w:style>
  <w:style w:type="character" w:customStyle="1" w:styleId="EndnoteTextChar">
    <w:name w:val="Endnote Text Char"/>
    <w:basedOn w:val="DefaultParagraphFont"/>
    <w:link w:val="EndnoteText"/>
    <w:uiPriority w:val="99"/>
    <w:semiHidden/>
    <w:rsid w:val="002D43C0"/>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2D43C0"/>
    <w:rPr>
      <w:vertAlign w:val="superscript"/>
    </w:rPr>
  </w:style>
  <w:style w:type="paragraph" w:styleId="Header">
    <w:name w:val="header"/>
    <w:basedOn w:val="Normal"/>
    <w:link w:val="HeaderChar"/>
    <w:uiPriority w:val="99"/>
    <w:unhideWhenUsed/>
    <w:rsid w:val="002D43C0"/>
    <w:pPr>
      <w:tabs>
        <w:tab w:val="center" w:pos="4680"/>
        <w:tab w:val="right" w:pos="9360"/>
      </w:tabs>
    </w:pPr>
  </w:style>
  <w:style w:type="character" w:customStyle="1" w:styleId="HeaderChar">
    <w:name w:val="Header Char"/>
    <w:basedOn w:val="DefaultParagraphFont"/>
    <w:link w:val="Header"/>
    <w:uiPriority w:val="99"/>
    <w:rsid w:val="002D43C0"/>
    <w:rPr>
      <w:rFonts w:ascii="Times New Roman" w:eastAsia="Times New Roman" w:hAnsi="Times New Roman" w:cs="Times New Roman"/>
    </w:rPr>
  </w:style>
  <w:style w:type="paragraph" w:styleId="Footer">
    <w:name w:val="footer"/>
    <w:basedOn w:val="Normal"/>
    <w:link w:val="FooterChar"/>
    <w:uiPriority w:val="99"/>
    <w:unhideWhenUsed/>
    <w:rsid w:val="002D43C0"/>
    <w:pPr>
      <w:tabs>
        <w:tab w:val="center" w:pos="4680"/>
        <w:tab w:val="right" w:pos="9360"/>
      </w:tabs>
    </w:pPr>
  </w:style>
  <w:style w:type="character" w:customStyle="1" w:styleId="FooterChar">
    <w:name w:val="Footer Char"/>
    <w:basedOn w:val="DefaultParagraphFont"/>
    <w:link w:val="Footer"/>
    <w:uiPriority w:val="99"/>
    <w:rsid w:val="002D43C0"/>
    <w:rPr>
      <w:rFonts w:ascii="Times New Roman" w:eastAsia="Times New Roman" w:hAnsi="Times New Roman" w:cs="Times New Roman"/>
    </w:rPr>
  </w:style>
  <w:style w:type="character" w:customStyle="1" w:styleId="Heading2Char">
    <w:name w:val="Heading 2 Char"/>
    <w:basedOn w:val="DefaultParagraphFont"/>
    <w:link w:val="Heading2"/>
    <w:uiPriority w:val="9"/>
    <w:rsid w:val="002D43C0"/>
    <w:rPr>
      <w:rFonts w:ascii="Times New Roman" w:eastAsia="Times New Roman" w:hAnsi="Times New Roman" w:cs="Times New Roman"/>
      <w:b/>
      <w:sz w:val="26"/>
    </w:rPr>
  </w:style>
  <w:style w:type="paragraph" w:styleId="Caption">
    <w:name w:val="caption"/>
    <w:basedOn w:val="Normal"/>
    <w:next w:val="Normal"/>
    <w:uiPriority w:val="35"/>
    <w:unhideWhenUsed/>
    <w:qFormat/>
    <w:rsid w:val="002D43C0"/>
    <w:pPr>
      <w:keepNext/>
      <w:keepLines/>
      <w:widowControl/>
      <w:spacing w:before="240" w:after="120"/>
    </w:pPr>
    <w:rPr>
      <w:b/>
      <w:sz w:val="24"/>
    </w:rPr>
  </w:style>
  <w:style w:type="paragraph" w:styleId="TOC3">
    <w:name w:val="toc 3"/>
    <w:basedOn w:val="Normal"/>
    <w:next w:val="Normal"/>
    <w:autoRedefine/>
    <w:uiPriority w:val="39"/>
    <w:unhideWhenUsed/>
    <w:rsid w:val="002D43C0"/>
    <w:pPr>
      <w:spacing w:after="100"/>
      <w:ind w:left="440"/>
    </w:pPr>
  </w:style>
  <w:style w:type="paragraph" w:styleId="Title">
    <w:name w:val="Title"/>
    <w:basedOn w:val="Normal"/>
    <w:next w:val="Normal"/>
    <w:link w:val="TitleChar"/>
    <w:uiPriority w:val="10"/>
    <w:qFormat/>
    <w:rsid w:val="004D6EBE"/>
    <w:pPr>
      <w:keepNext/>
      <w:widowControl/>
      <w:contextualSpacing/>
    </w:pPr>
    <w:rPr>
      <w:rFonts w:eastAsiaTheme="majorEastAsia" w:cstheme="majorBidi"/>
      <w:spacing w:val="-10"/>
      <w:kern w:val="28"/>
      <w:sz w:val="36"/>
      <w:szCs w:val="56"/>
    </w:rPr>
  </w:style>
  <w:style w:type="character" w:customStyle="1" w:styleId="TitleChar">
    <w:name w:val="Title Char"/>
    <w:basedOn w:val="DefaultParagraphFont"/>
    <w:link w:val="Title"/>
    <w:uiPriority w:val="10"/>
    <w:rsid w:val="004D6EBE"/>
    <w:rPr>
      <w:rFonts w:ascii="Times New Roman" w:hAnsi="Times New Roman" w:eastAsiaTheme="majorEastAsia" w:cstheme="majorBidi"/>
      <w:spacing w:val="-10"/>
      <w:kern w:val="28"/>
      <w:sz w:val="36"/>
      <w:szCs w:val="56"/>
    </w:rPr>
  </w:style>
  <w:style w:type="character" w:customStyle="1" w:styleId="Heading4Char">
    <w:name w:val="Heading 4 Char"/>
    <w:basedOn w:val="DefaultParagraphFont"/>
    <w:link w:val="Heading4"/>
    <w:uiPriority w:val="9"/>
    <w:rsid w:val="00F53796"/>
    <w:rPr>
      <w:rFonts w:ascii="Times New Roman" w:eastAsia="Times New Roman" w:hAnsi="Times New Roman" w:cs="Times New Roman"/>
      <w:b/>
      <w:sz w:val="24"/>
    </w:rPr>
  </w:style>
  <w:style w:type="paragraph" w:styleId="ListBullet">
    <w:name w:val="List Bullet"/>
    <w:basedOn w:val="Normal"/>
    <w:uiPriority w:val="99"/>
    <w:unhideWhenUsed/>
    <w:rsid w:val="004D6EBE"/>
    <w:pPr>
      <w:tabs>
        <w:tab w:val="num" w:pos="360"/>
      </w:tabs>
      <w:ind w:left="360" w:hanging="360"/>
      <w:contextualSpacing/>
    </w:pPr>
  </w:style>
  <w:style w:type="paragraph" w:styleId="ListBullet2">
    <w:name w:val="List Bullet 2"/>
    <w:basedOn w:val="Normal"/>
    <w:uiPriority w:val="99"/>
    <w:unhideWhenUsed/>
    <w:rsid w:val="00AA0354"/>
    <w:pPr>
      <w:widowControl/>
      <w:numPr>
        <w:numId w:val="4"/>
      </w:numPr>
      <w:spacing w:after="180"/>
    </w:pPr>
    <w:rPr>
      <w:sz w:val="24"/>
    </w:rPr>
  </w:style>
  <w:style w:type="paragraph" w:styleId="BodyTextIndent">
    <w:name w:val="Body Text Indent"/>
    <w:basedOn w:val="BodyText"/>
    <w:link w:val="BodyTextIndentChar"/>
    <w:uiPriority w:val="99"/>
    <w:unhideWhenUsed/>
    <w:rsid w:val="00F53796"/>
    <w:pPr>
      <w:spacing w:before="180"/>
      <w:ind w:left="360"/>
    </w:pPr>
  </w:style>
  <w:style w:type="character" w:customStyle="1" w:styleId="BodyTextIndentChar">
    <w:name w:val="Body Text Indent Char"/>
    <w:basedOn w:val="DefaultParagraphFont"/>
    <w:link w:val="BodyTextIndent"/>
    <w:uiPriority w:val="99"/>
    <w:rsid w:val="00F53796"/>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D43C0"/>
    <w:rPr>
      <w:color w:val="800080" w:themeColor="followedHyperlink"/>
      <w:u w:val="single"/>
    </w:rPr>
  </w:style>
  <w:style w:type="paragraph" w:styleId="ListBullet3">
    <w:name w:val="List Bullet 3"/>
    <w:basedOn w:val="Normal"/>
    <w:uiPriority w:val="99"/>
    <w:unhideWhenUsed/>
    <w:rsid w:val="008437C5"/>
    <w:pPr>
      <w:widowControl/>
      <w:numPr>
        <w:numId w:val="6"/>
      </w:numPr>
      <w:spacing w:after="120"/>
      <w:ind w:left="1440"/>
    </w:pPr>
    <w:rPr>
      <w:sz w:val="24"/>
    </w:rPr>
  </w:style>
  <w:style w:type="paragraph" w:styleId="Revision">
    <w:name w:val="Revision"/>
    <w:hidden/>
    <w:uiPriority w:val="99"/>
    <w:semiHidden/>
    <w:rsid w:val="00A00553"/>
    <w:pPr>
      <w:widowControl/>
      <w:autoSpaceDE/>
      <w:autoSpaceDN/>
    </w:pPr>
    <w:rPr>
      <w:rFonts w:ascii="Times New Roman" w:eastAsia="Times New Roman" w:hAnsi="Times New Roman" w:cs="Times New Roman"/>
    </w:rPr>
  </w:style>
  <w:style w:type="paragraph" w:customStyle="1" w:styleId="Heading2-NoTOC">
    <w:name w:val="Heading 2 - No TOC"/>
    <w:basedOn w:val="Heading2"/>
    <w:uiPriority w:val="1"/>
    <w:qFormat/>
    <w:rsid w:val="00AA22B0"/>
    <w:pPr>
      <w:numPr>
        <w:numId w:val="0"/>
      </w:numPr>
      <w:spacing w:before="0"/>
      <w:ind w:left="418" w:hanging="317"/>
    </w:pPr>
    <w:rPr>
      <w:b w:val="0"/>
      <w:sz w:val="32"/>
      <w:szCs w:val="32"/>
    </w:rPr>
  </w:style>
  <w:style w:type="character" w:customStyle="1" w:styleId="Heading6Char">
    <w:name w:val="Heading 6 Char"/>
    <w:basedOn w:val="DefaultParagraphFont"/>
    <w:link w:val="Heading6"/>
    <w:uiPriority w:val="9"/>
    <w:rsid w:val="00A60E26"/>
    <w:rPr>
      <w:rFonts w:asciiTheme="majorHAnsi" w:eastAsiaTheme="majorEastAsia" w:hAnsiTheme="majorHAnsi" w:cstheme="majorBidi"/>
      <w:color w:val="243F60" w:themeColor="accent1" w:themeShade="7F"/>
    </w:rPr>
  </w:style>
  <w:style w:type="paragraph" w:styleId="ListNumber">
    <w:name w:val="List Number"/>
    <w:basedOn w:val="Normal"/>
    <w:uiPriority w:val="99"/>
    <w:unhideWhenUsed/>
    <w:rsid w:val="004E1371"/>
    <w:pPr>
      <w:widowControl/>
      <w:numPr>
        <w:numId w:val="5"/>
      </w:numPr>
      <w:spacing w:after="180"/>
      <w:contextualSpacing/>
    </w:pPr>
    <w:rPr>
      <w:sz w:val="24"/>
    </w:rPr>
  </w:style>
  <w:style w:type="paragraph" w:styleId="ListContinue2">
    <w:name w:val="List Continue 2"/>
    <w:basedOn w:val="Normal"/>
    <w:uiPriority w:val="99"/>
    <w:unhideWhenUsed/>
    <w:rsid w:val="00AA0354"/>
    <w:pPr>
      <w:spacing w:after="120"/>
      <w:ind w:left="720"/>
      <w:contextualSpacing/>
    </w:pPr>
    <w:rPr>
      <w:sz w:val="24"/>
    </w:rPr>
  </w:style>
  <w:style w:type="paragraph" w:styleId="ListContinue">
    <w:name w:val="List Continue"/>
    <w:basedOn w:val="Normal"/>
    <w:uiPriority w:val="99"/>
    <w:unhideWhenUsed/>
    <w:rsid w:val="004E1371"/>
    <w:pPr>
      <w:widowControl/>
      <w:spacing w:after="180"/>
      <w:ind w:left="360"/>
    </w:pPr>
    <w:rPr>
      <w:sz w:val="24"/>
    </w:rPr>
  </w:style>
  <w:style w:type="paragraph" w:customStyle="1" w:styleId="Note">
    <w:name w:val="Note"/>
    <w:basedOn w:val="Normal"/>
    <w:uiPriority w:val="1"/>
    <w:qFormat/>
    <w:rsid w:val="00FD4AC6"/>
    <w:pPr>
      <w:widowControl/>
      <w:spacing w:before="60" w:after="60"/>
    </w:pPr>
    <w:rPr>
      <w:sz w:val="20"/>
      <w:szCs w:val="20"/>
    </w:rPr>
  </w:style>
  <w:style w:type="character" w:styleId="UnresolvedMention">
    <w:name w:val="Unresolved Mention"/>
    <w:basedOn w:val="DefaultParagraphFont"/>
    <w:uiPriority w:val="99"/>
    <w:semiHidden/>
    <w:unhideWhenUsed/>
    <w:rsid w:val="00FB25F1"/>
    <w:rPr>
      <w:color w:val="605E5C"/>
      <w:shd w:val="clear" w:color="auto" w:fill="E1DFDD"/>
    </w:rPr>
  </w:style>
  <w:style w:type="table" w:styleId="GridTableLight">
    <w:name w:val="Grid Table Light"/>
    <w:basedOn w:val="TableNormal"/>
    <w:uiPriority w:val="40"/>
    <w:rsid w:val="00D94F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Continue4">
    <w:name w:val="List Continue 4"/>
    <w:basedOn w:val="Normal"/>
    <w:uiPriority w:val="99"/>
    <w:semiHidden/>
    <w:unhideWhenUsed/>
    <w:rsid w:val="00893119"/>
    <w:pPr>
      <w:spacing w:after="120"/>
      <w:ind w:left="1440"/>
      <w:contextualSpacing/>
    </w:pPr>
  </w:style>
  <w:style w:type="paragraph" w:styleId="ListBullet4">
    <w:name w:val="List Bullet 4"/>
    <w:basedOn w:val="ListBullet2"/>
    <w:uiPriority w:val="99"/>
    <w:semiHidden/>
    <w:unhideWhenUsed/>
    <w:rsid w:val="00893119"/>
    <w:pPr>
      <w:numPr>
        <w:numId w:val="0"/>
      </w:numPr>
      <w:ind w:left="2160" w:hanging="360"/>
    </w:pPr>
  </w:style>
  <w:style w:type="character" w:customStyle="1" w:styleId="cf01">
    <w:name w:val="cf01"/>
    <w:basedOn w:val="DefaultParagraphFont"/>
    <w:rsid w:val="00E11138"/>
    <w:rPr>
      <w:rFonts w:ascii="Segoe UI" w:hAnsi="Segoe UI" w:cs="Segoe UI" w:hint="default"/>
      <w:sz w:val="18"/>
      <w:szCs w:val="18"/>
    </w:rPr>
  </w:style>
  <w:style w:type="paragraph" w:customStyle="1" w:styleId="pf0">
    <w:name w:val="pf0"/>
    <w:basedOn w:val="Normal"/>
    <w:rsid w:val="00B6652A"/>
    <w:pPr>
      <w:widowControl/>
      <w:autoSpaceDE/>
      <w:autoSpaceDN/>
      <w:spacing w:before="100" w:beforeAutospacing="1" w:after="100" w:afterAutospacing="1"/>
    </w:pPr>
    <w:rPr>
      <w:sz w:val="24"/>
      <w:szCs w:val="24"/>
    </w:rPr>
  </w:style>
  <w:style w:type="paragraph" w:styleId="ListNumber2">
    <w:name w:val="List Number 2"/>
    <w:basedOn w:val="ListParagraph"/>
    <w:uiPriority w:val="99"/>
    <w:unhideWhenUsed/>
    <w:rsid w:val="008437C5"/>
    <w:pPr>
      <w:numPr>
        <w:numId w:val="1"/>
      </w:numPr>
      <w:tabs>
        <w:tab w:val="left" w:pos="920"/>
      </w:tabs>
      <w:spacing w:after="180"/>
      <w:ind w:left="720"/>
      <w:contextualSpacing/>
    </w:pPr>
    <w:rPr>
      <w:sz w:val="24"/>
      <w:szCs w:val="24"/>
    </w:rPr>
  </w:style>
  <w:style w:type="table" w:styleId="TableGrid">
    <w:name w:val="Table Grid"/>
    <w:basedOn w:val="TableNormal"/>
    <w:uiPriority w:val="59"/>
    <w:rsid w:val="008437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2E0091"/>
  </w:style>
  <w:style w:type="character" w:customStyle="1" w:styleId="ListParagraphChar">
    <w:name w:val="List Paragraph Char"/>
    <w:basedOn w:val="DefaultParagraphFont"/>
    <w:link w:val="ListParagraph"/>
    <w:uiPriority w:val="34"/>
    <w:locked/>
    <w:rsid w:val="00D841B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cms.gov/mcbs" TargetMode="External" /><Relationship Id="rId11" Type="http://schemas.openxmlformats.org/officeDocument/2006/relationships/hyperlink" Target="mailto:Mulrow-Edward@norc.org"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mailto:william.long@cms.hhs.gov"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yperlink" Target="mailto:mcbs@norc.org)%20"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cdc.gov/vaccines/hcp/acip-recs/index.html" TargetMode="External" /><Relationship Id="rId10" Type="http://schemas.openxmlformats.org/officeDocument/2006/relationships/hyperlink" Target="https://uscode.house.gov/view.xhtml?req=granuleid:USC-prelim-title12-section5493&amp;num=0&amp;edition=prelim" TargetMode="External" /><Relationship Id="rId11" Type="http://schemas.openxmlformats.org/officeDocument/2006/relationships/hyperlink" Target="https://www.rand.org/pubs/working_papers/WR1224.html" TargetMode="External" /><Relationship Id="rId12" Type="http://schemas.openxmlformats.org/officeDocument/2006/relationships/hyperlink" Target="https://www2.census.gov/programs-surveys/cps/techdocs/cpsmar23.pdf" TargetMode="External" /><Relationship Id="rId13" Type="http://schemas.openxmlformats.org/officeDocument/2006/relationships/hyperlink" Target="https://www.cms.gov/research-statistics-data-and-systems/research/mcbs/data-tables/744519414/mcbs-puf-characteristics-medicare-beneficiaries-low-income-subsidy-enrollment-status-2021" TargetMode="External" /><Relationship Id="rId14" Type="http://schemas.openxmlformats.org/officeDocument/2006/relationships/hyperlink" Target="https://www.hhs.gov/about/news/2023/06/12/fact-sheet-biden-harris-administration-announces-new-tools-lower-prescription-drug-costs-low-income-seniors-people-disabilities.html" TargetMode="External" /><Relationship Id="rId15" Type="http://schemas.openxmlformats.org/officeDocument/2006/relationships/hyperlink" Target="https://www.census.gov/topics/income-poverty/supplemental-poverty-measure/about.html" TargetMode="External" /><Relationship Id="rId16" Type="http://schemas.openxmlformats.org/officeDocument/2006/relationships/hyperlink" Target="https://www.census.gov/library/visualizations/2021/demo/poverty_measure-how.html" TargetMode="External" /><Relationship Id="rId17" Type="http://schemas.openxmlformats.org/officeDocument/2006/relationships/hyperlink" Target="https://www.consumerfinance.gov/data-research/research-reports/understanding-required-financial-assistance-in-medical-care/" TargetMode="External" /><Relationship Id="rId18" Type="http://schemas.openxmlformats.org/officeDocument/2006/relationships/hyperlink" Target="https://www.kff.org/health-costs/issue-brief/hospital-charity-care-how-it-works-and-why-it-matters/" TargetMode="External" /><Relationship Id="rId19" Type="http://schemas.openxmlformats.org/officeDocument/2006/relationships/hyperlink" Target="https://www.urban.org/sites/default/files/2022-10/HRMS-June-2022-survey.pdf" TargetMode="External" /><Relationship Id="rId2" Type="http://schemas.openxmlformats.org/officeDocument/2006/relationships/hyperlink" Target="https://files.kff.org/attachment/Topline-KFF-Health-Tracking-Poll-November-2023.pdf" TargetMode="External" /><Relationship Id="rId20" Type="http://schemas.openxmlformats.org/officeDocument/2006/relationships/hyperlink" Target="https://www.cms.gov/files/document/2021-mcbs-methodology-report.pdf" TargetMode="External" /><Relationship Id="rId3" Type="http://schemas.openxmlformats.org/officeDocument/2006/relationships/hyperlink" Target="https://www.cms.gov/data-research/research/medicare-current-beneficiary-survey/data-tables/2021-mcbs-puf-financial-well-being-medicare-beneficiaries" TargetMode="External" /><Relationship Id="rId4" Type="http://schemas.openxmlformats.org/officeDocument/2006/relationships/hyperlink" Target="https://mcbs-interactives.norc.org/financial-well-being/assets/" TargetMode="External" /><Relationship Id="rId5" Type="http://schemas.openxmlformats.org/officeDocument/2006/relationships/hyperlink" Target="https://www.census.gov/programs-surveys/sipp.html" TargetMode="External" /><Relationship Id="rId6" Type="http://schemas.openxmlformats.org/officeDocument/2006/relationships/hyperlink" Target="https://files.kff.org/attachment/TOPLINE-KFF-Health-Care-Debt-Survey-March-2022.pdf" TargetMode="External" /><Relationship Id="rId7" Type="http://schemas.openxmlformats.org/officeDocument/2006/relationships/hyperlink" Target="https://files.consumerfinance.gov/f/201405_cfpb_report_data-point_medical-debt-credit-scores.pdf" TargetMode="External" /><Relationship Id="rId8" Type="http://schemas.openxmlformats.org/officeDocument/2006/relationships/hyperlink" Target="https://www.federalreserve.gov/apps/scfcb/detail/-1/10235/X7510" TargetMode="External" /><Relationship Id="rId9" Type="http://schemas.openxmlformats.org/officeDocument/2006/relationships/hyperlink" Target="https://www.federalreserve.gov/publications/files/scf17.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CC980-DEF5-4262-B111-A88DCC24E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26</Pages>
  <Words>11750</Words>
  <Characters>66977</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CMS P-0015A 0938-0568_SSB</vt:lpstr>
    </vt:vector>
  </TitlesOfParts>
  <Company>NORC</Company>
  <LinksUpToDate>false</LinksUpToDate>
  <CharactersWithSpaces>78570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 P-0015A 0938-0568_SSB</dc:title>
  <dc:subject>MCBS 2025 Full Clearance Revision</dc:subject>
  <dc:creator>NORC</dc:creator>
  <cp:keywords>MCBS; ICR package; OMB clearance; supporting statement</cp:keywords>
  <cp:lastModifiedBy>Amanda Lynch (she/her)</cp:lastModifiedBy>
  <cp:revision>17</cp:revision>
  <cp:lastPrinted>2019-03-15T19:40:00Z</cp:lastPrinted>
  <dcterms:created xsi:type="dcterms:W3CDTF">2024-03-22T11:20:00Z</dcterms:created>
  <dcterms:modified xsi:type="dcterms:W3CDTF">2024-07-01T22:46:00Z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2018-05-10T00:00:00Z</vt:filetime>
  </property>
  <property fmtid="{D5CDD505-2E9C-101B-9397-08002B2CF9AE}" pid="3" name="Creator">
    <vt:lpwstr>Acrobat PDFMaker 11 for Word</vt:lpwstr>
  </property>
  <property fmtid="{D5CDD505-2E9C-101B-9397-08002B2CF9AE}" pid="4" name="LastSaved">
    <vt:filetime>2018-05-23T00:00:00Z</vt:filetime>
  </property>
  <property fmtid="{D5CDD505-2E9C-101B-9397-08002B2CF9AE}" pid="5" name="_NewReviewCycle">
    <vt:lpwstr/>
  </property>
</Properties>
</file>