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13D3" w:rsidRPr="00D547BB" w:rsidP="00D547BB" w14:paraId="5234A5DE" w14:textId="33BFAA55">
      <w:pPr>
        <w:pStyle w:val="Heading1"/>
        <w:spacing w:before="0" w:after="120"/>
        <w:jc w:val="center"/>
        <w:rPr>
          <w:rFonts w:ascii="Calibri" w:hAnsi="Calibri" w:cs="Calibri"/>
          <w:color w:val="auto"/>
          <w:sz w:val="36"/>
          <w:szCs w:val="36"/>
        </w:rPr>
      </w:pPr>
      <w:r w:rsidRPr="00D547BB">
        <w:rPr>
          <w:rFonts w:ascii="Calibri" w:hAnsi="Calibri" w:cs="Calibri"/>
          <w:color w:val="auto"/>
          <w:sz w:val="36"/>
          <w:szCs w:val="36"/>
        </w:rPr>
        <w:t>202</w:t>
      </w:r>
      <w:r w:rsidR="004C4B7B">
        <w:rPr>
          <w:rFonts w:ascii="Calibri" w:hAnsi="Calibri" w:cs="Calibri"/>
          <w:color w:val="auto"/>
          <w:sz w:val="36"/>
          <w:szCs w:val="36"/>
        </w:rPr>
        <w:t>5</w:t>
      </w:r>
      <w:r w:rsidRPr="00D547BB">
        <w:rPr>
          <w:rFonts w:ascii="Calibri" w:hAnsi="Calibri" w:cs="Calibri"/>
          <w:color w:val="auto"/>
          <w:sz w:val="36"/>
          <w:szCs w:val="36"/>
        </w:rPr>
        <w:t xml:space="preserve"> Full Clearance </w:t>
      </w:r>
      <w:r w:rsidR="00200F8C">
        <w:rPr>
          <w:rFonts w:ascii="Calibri" w:hAnsi="Calibri" w:cs="Calibri"/>
          <w:color w:val="auto"/>
          <w:sz w:val="36"/>
          <w:szCs w:val="36"/>
        </w:rPr>
        <w:t xml:space="preserve">60-Day to </w:t>
      </w:r>
      <w:r w:rsidRPr="00D547BB">
        <w:rPr>
          <w:rFonts w:ascii="Calibri" w:hAnsi="Calibri" w:cs="Calibri"/>
          <w:color w:val="auto"/>
          <w:sz w:val="36"/>
          <w:szCs w:val="36"/>
        </w:rPr>
        <w:t>30-Day Package Crosswalk</w:t>
      </w:r>
    </w:p>
    <w:p w:rsidR="00014286" w:rsidP="00626ABE" w14:paraId="389A0372" w14:textId="37857EB7">
      <w:pPr>
        <w:pStyle w:val="BodyText"/>
      </w:pPr>
      <w:r>
        <w:t>The crosswalk below details changes made to the 202</w:t>
      </w:r>
      <w:r w:rsidR="004C4B7B">
        <w:t>5</w:t>
      </w:r>
      <w:r>
        <w:t xml:space="preserve"> Full Clearance package </w:t>
      </w:r>
      <w:r w:rsidR="000C6C3D">
        <w:t xml:space="preserve">between the 60-day and 30-day comment periods. </w:t>
      </w:r>
      <w:r>
        <w:t xml:space="preserve"> </w:t>
      </w:r>
    </w:p>
    <w:tbl>
      <w:tblPr>
        <w:tblStyle w:val="TableGrid"/>
        <w:tblW w:w="5000" w:type="pct"/>
        <w:jc w:val="center"/>
        <w:tblLook w:val="04A0"/>
      </w:tblPr>
      <w:tblGrid>
        <w:gridCol w:w="2605"/>
        <w:gridCol w:w="3600"/>
        <w:gridCol w:w="3145"/>
      </w:tblGrid>
      <w:tr w14:paraId="52D0BA0C" w14:textId="77777777" w:rsidTr="005C25D2">
        <w:tblPrEx>
          <w:tblW w:w="5000" w:type="pct"/>
          <w:jc w:val="center"/>
          <w:tblLook w:val="04A0"/>
        </w:tblPrEx>
        <w:trPr>
          <w:cantSplit/>
          <w:tblHeader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E706BF" w:rsidRPr="00D547BB" w:rsidP="00626ABE" w14:paraId="48E8FE03" w14:textId="4F3026D9">
            <w:pPr>
              <w:pStyle w:val="TableHeading"/>
            </w:pPr>
            <w:r w:rsidRPr="00D547BB">
              <w:t>Section of Full Clearance Package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E706BF" w:rsidRPr="00D547BB" w:rsidP="00626ABE" w14:paraId="2D6592DB" w14:textId="48A9C754">
            <w:pPr>
              <w:pStyle w:val="TableHeading"/>
            </w:pPr>
            <w:r w:rsidRPr="00D547BB">
              <w:t>Page Number/</w:t>
            </w:r>
            <w:r w:rsidRPr="00D547BB">
              <w:t>Quex</w:t>
            </w:r>
            <w:r w:rsidRPr="00D547BB">
              <w:t xml:space="preserve"> Section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E706BF" w:rsidRPr="00D547BB" w:rsidP="00626ABE" w14:paraId="2CBFA643" w14:textId="7BEAC7EA">
            <w:pPr>
              <w:pStyle w:val="TableHeading"/>
            </w:pPr>
            <w:r w:rsidRPr="00D547BB">
              <w:t>Revision in 30-day Full Clearance Package</w:t>
            </w:r>
          </w:p>
        </w:tc>
      </w:tr>
      <w:tr w14:paraId="3B8C3808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276CA" w:rsidRPr="00404F03" w:rsidP="00626ABE" w14:paraId="51452442" w14:textId="26C077B8">
            <w:pPr>
              <w:pStyle w:val="TableText"/>
            </w:pPr>
            <w:bookmarkStart w:id="0" w:name="_Hlk137565962"/>
            <w:r>
              <w:t>Supporting Statement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276CA" w:rsidRPr="00404F03" w:rsidP="00626ABE" w14:paraId="648CC7B3" w14:textId="3AC1B31D">
            <w:pPr>
              <w:pStyle w:val="TableText"/>
            </w:pPr>
            <w:r>
              <w:t>Cover page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876AC3" w:rsidRPr="00404F03" w:rsidP="00626ABE" w14:paraId="07D61910" w14:textId="0E7E006B">
            <w:pPr>
              <w:pStyle w:val="TableText"/>
            </w:pPr>
            <w:r>
              <w:t>Updated date.</w:t>
            </w:r>
          </w:p>
        </w:tc>
      </w:tr>
      <w:tr w14:paraId="1C1C3F05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DD3040" w:rsidP="00DD3040" w14:paraId="0F9AD753" w14:textId="56E7C049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DD3040" w:rsidP="00DD3040" w14:paraId="42433CC1" w14:textId="6B158993">
            <w:pPr>
              <w:pStyle w:val="TableText"/>
            </w:pPr>
            <w:r>
              <w:t>List of Attachments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287E9B65" w14:textId="344BCAA8">
            <w:pPr>
              <w:pStyle w:val="TableText"/>
            </w:pPr>
            <w:r>
              <w:t>Removed Attachment 0: 60-Day Federal Register Notice.</w:t>
            </w:r>
          </w:p>
        </w:tc>
      </w:tr>
      <w:tr w14:paraId="6E9345AA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DD3040" w:rsidP="00DD3040" w14:paraId="7649B245" w14:textId="143A5C2D">
            <w:pPr>
              <w:pStyle w:val="TableText"/>
            </w:pPr>
            <w:bookmarkStart w:id="1" w:name="_Hlk170458253"/>
            <w:r>
              <w:t>Supporting Statement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DD3040" w:rsidRPr="000F29CA" w:rsidP="00DD3040" w14:paraId="720194A1" w14:textId="77777777">
            <w:pPr>
              <w:pStyle w:val="TableText"/>
            </w:pPr>
            <w:bookmarkStart w:id="2" w:name="OLE_LINK7"/>
            <w:r w:rsidRPr="000F29CA">
              <w:t>Background, page 3</w:t>
            </w:r>
          </w:p>
          <w:p w:rsidR="00DD3040" w:rsidP="00DD3040" w14:paraId="0448FB47" w14:textId="7C5E1373">
            <w:pPr>
              <w:pStyle w:val="TableText"/>
            </w:pPr>
            <w:bookmarkStart w:id="3" w:name="OLE_LINK13"/>
            <w:bookmarkStart w:id="4" w:name="OLE_LINK12"/>
            <w:bookmarkEnd w:id="2"/>
            <w:r w:rsidRPr="000F29CA">
              <w:t>Section A2, pages 11</w:t>
            </w:r>
            <w:bookmarkEnd w:id="3"/>
            <w:r w:rsidRPr="000F29CA">
              <w:t>-12</w:t>
            </w:r>
            <w:bookmarkEnd w:id="4"/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7EDC9028" w14:textId="63DC48FA">
            <w:pPr>
              <w:pStyle w:val="TableText"/>
            </w:pPr>
            <w:bookmarkStart w:id="5" w:name="OLE_LINK10"/>
            <w:bookmarkStart w:id="6" w:name="OLE_LINK15"/>
            <w:r>
              <w:rPr>
                <w:rFonts w:eastAsia="Times New Roman"/>
              </w:rPr>
              <w:t xml:space="preserve">Updated the </w:t>
            </w:r>
            <w:r w:rsidR="0061171E">
              <w:rPr>
                <w:rFonts w:eastAsia="Times New Roman"/>
              </w:rPr>
              <w:t>description</w:t>
            </w:r>
            <w:r>
              <w:rPr>
                <w:rFonts w:eastAsia="Times New Roman"/>
              </w:rPr>
              <w:t xml:space="preserve"> and </w:t>
            </w:r>
            <w:r w:rsidR="0061171E">
              <w:rPr>
                <w:rFonts w:eastAsia="Times New Roman"/>
              </w:rPr>
              <w:t>count</w:t>
            </w:r>
            <w:r>
              <w:rPr>
                <w:rFonts w:eastAsia="Times New Roman"/>
              </w:rPr>
              <w:t xml:space="preserve"> of items deleted and added to the redesigned Income and Assets Questionnaire (IAQ)</w:t>
            </w:r>
            <w:bookmarkEnd w:id="5"/>
            <w:r w:rsidR="003F42C7">
              <w:rPr>
                <w:rFonts w:eastAsia="Times New Roman"/>
              </w:rPr>
              <w:t>, including description of expanded medical debt series.</w:t>
            </w:r>
            <w:r>
              <w:rPr>
                <w:rFonts w:eastAsia="Times New Roman"/>
              </w:rPr>
              <w:t xml:space="preserve"> </w:t>
            </w:r>
            <w:bookmarkEnd w:id="6"/>
          </w:p>
        </w:tc>
      </w:tr>
      <w:bookmarkEnd w:id="1"/>
      <w:tr w14:paraId="26C5E053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797C39" w:rsidP="00626ABE" w14:paraId="7A8A8B59" w14:textId="457C7720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797C39" w:rsidP="00626ABE" w14:paraId="472B027B" w14:textId="77777777">
            <w:pPr>
              <w:pStyle w:val="TableText"/>
            </w:pPr>
            <w:bookmarkStart w:id="7" w:name="OLE_LINK11"/>
            <w:r>
              <w:t>Background, page 3</w:t>
            </w:r>
            <w:bookmarkEnd w:id="7"/>
          </w:p>
          <w:p w:rsidR="000F29CA" w:rsidRPr="00876AC3" w:rsidP="00626ABE" w14:paraId="3010C26E" w14:textId="23218660">
            <w:pPr>
              <w:pStyle w:val="TableText"/>
            </w:pPr>
            <w:r>
              <w:t>Section A2, pages 14-15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97C39" w:rsidP="00626ABE" w14:paraId="0DFFBB6C" w14:textId="5D6E8983">
            <w:pPr>
              <w:pStyle w:val="TableText"/>
              <w:rPr>
                <w:rFonts w:eastAsia="Times New Roman"/>
              </w:rPr>
            </w:pPr>
            <w:bookmarkStart w:id="8" w:name="OLE_LINK14"/>
            <w:r>
              <w:rPr>
                <w:rFonts w:eastAsia="Times New Roman"/>
              </w:rPr>
              <w:t>Added text and justification for</w:t>
            </w:r>
            <w:bookmarkStart w:id="9" w:name="OLE_LINK5"/>
            <w:r>
              <w:rPr>
                <w:rFonts w:eastAsia="Times New Roman"/>
              </w:rPr>
              <w:t xml:space="preserve"> new charity care coverage item</w:t>
            </w:r>
            <w:bookmarkEnd w:id="9"/>
            <w:r>
              <w:rPr>
                <w:rFonts w:eastAsia="Times New Roman"/>
              </w:rPr>
              <w:t xml:space="preserve">. Added text for the deletion of one item related to outstanding medical bills. </w:t>
            </w:r>
            <w:bookmarkEnd w:id="8"/>
          </w:p>
        </w:tc>
      </w:tr>
      <w:bookmarkEnd w:id="0"/>
      <w:tr w14:paraId="0AC98D4A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0F29CA" w:rsidP="000F29CA" w14:paraId="511E36E5" w14:textId="29FA7024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0F29CA" w:rsidP="000F29CA" w14:paraId="0E511653" w14:textId="77777777">
            <w:pPr>
              <w:pStyle w:val="TableText"/>
              <w:rPr>
                <w:color w:val="FF0000"/>
              </w:rPr>
            </w:pPr>
            <w:r>
              <w:t>Background, page 3</w:t>
            </w:r>
          </w:p>
          <w:p w:rsidR="000F29CA" w:rsidRPr="00797C39" w:rsidP="000F29CA" w14:paraId="57D22E11" w14:textId="77777777">
            <w:pPr>
              <w:pStyle w:val="TableText"/>
            </w:pPr>
            <w:r w:rsidRPr="00797C39">
              <w:t>Section A2, page 7</w:t>
            </w:r>
          </w:p>
          <w:p w:rsidR="000F29CA" w:rsidRPr="000F29CA" w:rsidP="000F29CA" w14:paraId="353E19B1" w14:textId="43621BB8">
            <w:pPr>
              <w:pStyle w:val="TableText"/>
            </w:pPr>
            <w:r w:rsidRPr="000F29CA">
              <w:t>Section A2, Tables A-2 &amp; A-3</w:t>
            </w:r>
          </w:p>
          <w:p w:rsidR="000F29CA" w:rsidRPr="005D343F" w:rsidP="000F29CA" w14:paraId="2A6C7B23" w14:textId="1C15CB29">
            <w:pPr>
              <w:pStyle w:val="TableText"/>
            </w:pPr>
            <w:r w:rsidRPr="005D343F">
              <w:t>Section A12, Table B-12</w:t>
            </w:r>
          </w:p>
          <w:p w:rsidR="000F29CA" w:rsidP="000F29CA" w14:paraId="0F2CD339" w14:textId="5A5FF6BF">
            <w:pPr>
              <w:pStyle w:val="TableText"/>
            </w:pPr>
            <w:r w:rsidRPr="005D343F">
              <w:t>Section A12, pages 23-25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0F29CA" w:rsidP="000F29CA" w14:paraId="45AFF7FD" w14:textId="503A9DA1">
            <w:pPr>
              <w:pStyle w:val="TableText"/>
            </w:pPr>
            <w:r>
              <w:rPr>
                <w:rFonts w:eastAsia="Times New Roman"/>
              </w:rPr>
              <w:t xml:space="preserve">Changes to respondent burden due to </w:t>
            </w:r>
            <w:r w:rsidR="0061171E">
              <w:rPr>
                <w:rFonts w:eastAsia="Times New Roman"/>
              </w:rPr>
              <w:t xml:space="preserve">expansion of </w:t>
            </w:r>
            <w:r>
              <w:rPr>
                <w:rFonts w:eastAsia="Times New Roman"/>
              </w:rPr>
              <w:t>medical debt items in IAQ.</w:t>
            </w:r>
          </w:p>
        </w:tc>
      </w:tr>
      <w:tr w14:paraId="7ECCA325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DD3040" w:rsidP="00DD3040" w14:paraId="1352810D" w14:textId="5C8D5AA3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DD3040" w:rsidRPr="00876AC3" w:rsidP="000F29CA" w14:paraId="5F2D7EED" w14:textId="7FC8D7FE">
            <w:pPr>
              <w:pStyle w:val="TableText"/>
            </w:pPr>
            <w:r w:rsidRPr="00797C39">
              <w:t xml:space="preserve">Section A2, </w:t>
            </w:r>
            <w:r w:rsidR="000F29CA">
              <w:t>Table A-1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6F6B3491" w14:textId="2A792BD1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Updated the summary of new items with additional items on medical debt and new item on charity care. </w:t>
            </w:r>
          </w:p>
        </w:tc>
      </w:tr>
      <w:tr w14:paraId="1ABBA347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3F42C7" w:rsidP="00DD3040" w14:paraId="677100DC" w14:textId="15E392ED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3F42C7" w:rsidRPr="00797C39" w:rsidP="000F29CA" w14:paraId="753AEC48" w14:textId="2A78AE4B">
            <w:pPr>
              <w:pStyle w:val="TableText"/>
            </w:pPr>
            <w:r>
              <w:t>Section A2, page 16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3F42C7" w:rsidP="00DD3040" w14:paraId="708789BA" w14:textId="3286F9CF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</w:rPr>
              <w:t>Added information on CMS’ continuous review of survey content quality.</w:t>
            </w:r>
          </w:p>
        </w:tc>
      </w:tr>
      <w:tr w14:paraId="1BAE9F8F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276CA" w:rsidRPr="00404F03" w:rsidP="00626ABE" w14:paraId="60533D14" w14:textId="024759D7">
            <w:pPr>
              <w:pStyle w:val="TableText"/>
            </w:pPr>
            <w:bookmarkStart w:id="10" w:name="OLE_LINK1"/>
            <w:r>
              <w:t>Supporting Statement A</w:t>
            </w:r>
            <w:bookmarkEnd w:id="10"/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7276CA" w:rsidRPr="00404F03" w:rsidP="00626ABE" w14:paraId="745B2159" w14:textId="4835BB50">
            <w:pPr>
              <w:pStyle w:val="TableText"/>
            </w:pPr>
            <w:bookmarkStart w:id="11" w:name="OLE_LINK2"/>
            <w:r w:rsidRPr="006961B4">
              <w:t>Section A8, page</w:t>
            </w:r>
            <w:bookmarkEnd w:id="11"/>
            <w:r w:rsidR="006961B4">
              <w:t>s 1</w:t>
            </w:r>
            <w:r w:rsidR="005D343F">
              <w:t>9</w:t>
            </w:r>
            <w:r w:rsidR="006961B4">
              <w:t>-</w:t>
            </w:r>
            <w:r w:rsidR="005D343F">
              <w:t>20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276CA" w:rsidRPr="00404F03" w:rsidP="00626ABE" w14:paraId="671B418D" w14:textId="3C5FE977">
            <w:pPr>
              <w:pStyle w:val="TableText"/>
            </w:pPr>
            <w:r>
              <w:t xml:space="preserve">Added information about the </w:t>
            </w:r>
            <w:r w:rsidR="006961B4">
              <w:t>3</w:t>
            </w:r>
            <w:r w:rsidRPr="006961B4">
              <w:t>0</w:t>
            </w:r>
            <w:r>
              <w:t xml:space="preserve">-day </w:t>
            </w:r>
            <w:r w:rsidR="000C6C3D">
              <w:t>comment period</w:t>
            </w:r>
            <w:r>
              <w:t xml:space="preserve"> and </w:t>
            </w:r>
            <w:r w:rsidR="00D408D5">
              <w:t xml:space="preserve">summarized CMS’ response to the </w:t>
            </w:r>
            <w:r w:rsidR="005D343F">
              <w:t>two</w:t>
            </w:r>
            <w:r w:rsidR="006961B4">
              <w:t xml:space="preserve"> </w:t>
            </w:r>
            <w:r>
              <w:t>comments received</w:t>
            </w:r>
            <w:r w:rsidR="000C6C3D">
              <w:t xml:space="preserve"> during the 60-day public comment period</w:t>
            </w:r>
            <w:r>
              <w:t>.</w:t>
            </w:r>
          </w:p>
        </w:tc>
      </w:tr>
      <w:tr w14:paraId="14F0E46C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3F42C7" w:rsidP="00626ABE" w14:paraId="539C3BA1" w14:textId="26C3AF25">
            <w:pPr>
              <w:pStyle w:val="TableText"/>
            </w:pPr>
            <w:r>
              <w:t>Supporting Statement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3F42C7" w:rsidRPr="006961B4" w:rsidP="00626ABE" w14:paraId="2BA8662F" w14:textId="41B090C0">
            <w:pPr>
              <w:pStyle w:val="TableText"/>
            </w:pPr>
            <w:r>
              <w:t>Section A14, page 24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3F42C7" w:rsidP="00626ABE" w14:paraId="7664D29E" w14:textId="7C8729A1">
            <w:pPr>
              <w:pStyle w:val="TableText"/>
            </w:pPr>
            <w:r>
              <w:t>Updated contract information for Option Year 3.</w:t>
            </w:r>
          </w:p>
        </w:tc>
      </w:tr>
      <w:tr w14:paraId="7A2046C9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3DBBEAD4" w14:textId="43CD1989">
            <w:pPr>
              <w:pStyle w:val="TableText"/>
            </w:pPr>
            <w:bookmarkStart w:id="12" w:name="OLE_LINK8"/>
            <w:r>
              <w:t>Supporting Statement B</w:t>
            </w:r>
            <w:bookmarkEnd w:id="12"/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6D2CA725" w14:textId="0E1B0D42">
            <w:pPr>
              <w:pStyle w:val="TableText"/>
            </w:pPr>
            <w:r>
              <w:t>Cover page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6515385D" w14:textId="3ED84C42">
            <w:pPr>
              <w:pStyle w:val="TableText"/>
              <w:rPr>
                <w:rFonts w:eastAsia="Times New Roman"/>
              </w:rPr>
            </w:pPr>
            <w:r>
              <w:t>Updated date.</w:t>
            </w:r>
          </w:p>
        </w:tc>
      </w:tr>
      <w:tr w14:paraId="155EEE13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2514BF3B" w14:textId="5AB28E73">
            <w:pPr>
              <w:pStyle w:val="TableText"/>
            </w:pPr>
            <w:bookmarkStart w:id="13" w:name="OLE_LINK9"/>
            <w:bookmarkStart w:id="14" w:name="_Hlk137566744"/>
            <w:r>
              <w:t>Supporting Statement B</w:t>
            </w:r>
            <w:bookmarkEnd w:id="13"/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27F8F8B3" w14:textId="0982DD71">
            <w:pPr>
              <w:pStyle w:val="TableText"/>
            </w:pPr>
            <w:r>
              <w:t>List of Attachments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1569C2B2" w14:textId="058234A6">
            <w:pPr>
              <w:pStyle w:val="TableText"/>
            </w:pPr>
            <w:r>
              <w:t>Removed Attachment 0: 60-Day Federal Register Notice.</w:t>
            </w:r>
          </w:p>
        </w:tc>
      </w:tr>
      <w:tr w14:paraId="0A7AC19F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2B6BE4BE" w14:textId="392FF61B">
            <w:pPr>
              <w:pStyle w:val="TableText"/>
            </w:pPr>
            <w:bookmarkStart w:id="15" w:name="OLE_LINK16"/>
            <w:bookmarkEnd w:id="14"/>
            <w:r>
              <w:t>Supporting Statement B</w:t>
            </w:r>
            <w:bookmarkEnd w:id="15"/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4AE126BE" w14:textId="77777777">
            <w:pPr>
              <w:pStyle w:val="TableText"/>
            </w:pPr>
            <w:r>
              <w:t>Section B, page 1</w:t>
            </w:r>
          </w:p>
          <w:p w:rsidR="007B3EBB" w:rsidRPr="004F087F" w:rsidP="007B2B67" w14:paraId="288547EB" w14:textId="77777777">
            <w:pPr>
              <w:pStyle w:val="TableText"/>
            </w:pPr>
            <w:bookmarkStart w:id="16" w:name="OLE_LINK19"/>
            <w:r w:rsidRPr="004F087F">
              <w:t>Section B2, page 10</w:t>
            </w:r>
          </w:p>
          <w:bookmarkEnd w:id="16"/>
          <w:p w:rsidR="007B3EBB" w:rsidP="007B2B67" w14:paraId="068A9F07" w14:textId="77777777">
            <w:pPr>
              <w:pStyle w:val="TableText"/>
            </w:pPr>
            <w:r w:rsidRPr="00171DBE">
              <w:t>Section B2, pages 1</w:t>
            </w:r>
            <w:r w:rsidRPr="00171DBE" w:rsidR="004F087F">
              <w:t>3</w:t>
            </w:r>
            <w:r w:rsidRPr="00171DBE">
              <w:t>-1</w:t>
            </w:r>
            <w:r w:rsidRPr="00171DBE" w:rsidR="004F087F">
              <w:t>4</w:t>
            </w:r>
          </w:p>
          <w:p w:rsidR="00171DBE" w:rsidP="00171DBE" w14:paraId="692018C1" w14:textId="2E8C6B7C">
            <w:pPr>
              <w:pStyle w:val="TableText"/>
            </w:pPr>
            <w:r>
              <w:t>Section B2, page 16-17</w:t>
            </w:r>
          </w:p>
          <w:p w:rsidR="00171DBE" w:rsidP="007B2B67" w14:paraId="65330F68" w14:textId="407BD54B">
            <w:pPr>
              <w:pStyle w:val="TableText"/>
            </w:pP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72E3066F" w14:textId="16142895">
            <w:pPr>
              <w:pStyle w:val="TableText"/>
            </w:pPr>
            <w:r>
              <w:rPr>
                <w:rFonts w:eastAsia="Times New Roman"/>
              </w:rPr>
              <w:t xml:space="preserve">Added text and justification for new charity care coverage item. Added text for the deletion of one item related to outstanding medical bills. Updated the </w:t>
            </w:r>
            <w:r w:rsidR="003F42C7">
              <w:rPr>
                <w:rFonts w:eastAsia="Times New Roman"/>
              </w:rPr>
              <w:t>description</w:t>
            </w:r>
            <w:r>
              <w:rPr>
                <w:rFonts w:eastAsia="Times New Roman"/>
              </w:rPr>
              <w:t xml:space="preserve"> and </w:t>
            </w:r>
            <w:r w:rsidR="003F42C7">
              <w:rPr>
                <w:rFonts w:eastAsia="Times New Roman"/>
              </w:rPr>
              <w:t>count</w:t>
            </w:r>
            <w:r>
              <w:rPr>
                <w:rFonts w:eastAsia="Times New Roman"/>
              </w:rPr>
              <w:t xml:space="preserve"> of items deleted and added to the redesigned Income and Assets Questionnaire (IAQ)</w:t>
            </w:r>
            <w:r w:rsidR="003F42C7">
              <w:rPr>
                <w:rFonts w:eastAsia="Times New Roman"/>
              </w:rPr>
              <w:t>, including description of expanded medical debt series</w:t>
            </w:r>
            <w:r>
              <w:rPr>
                <w:rFonts w:eastAsia="Times New Roman"/>
              </w:rPr>
              <w:t>.</w:t>
            </w:r>
          </w:p>
        </w:tc>
      </w:tr>
      <w:tr w14:paraId="11A7E208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4F087F" w:rsidP="007B2B67" w14:paraId="357DA25D" w14:textId="42D5AE6B">
            <w:pPr>
              <w:pStyle w:val="TableText"/>
            </w:pPr>
            <w:r>
              <w:t>Supporting Statement B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4F087F" w:rsidP="007B2B67" w14:paraId="2FCA9DC8" w14:textId="0D760045">
            <w:pPr>
              <w:pStyle w:val="TableText"/>
            </w:pPr>
            <w:r>
              <w:t>Section B, Table B.4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4F087F" w:rsidP="007B2B67" w14:paraId="0B13CCE3" w14:textId="65C63333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Updated to </w:t>
            </w:r>
            <w:r w:rsidR="003F42C7">
              <w:rPr>
                <w:rFonts w:eastAsia="Times New Roman"/>
              </w:rPr>
              <w:t>denote</w:t>
            </w:r>
            <w:r>
              <w:rPr>
                <w:rFonts w:eastAsia="Times New Roman"/>
              </w:rPr>
              <w:t xml:space="preserve"> </w:t>
            </w:r>
            <w:r w:rsidRPr="00D94F41">
              <w:t>Health Status and Functioning (HFQ)</w:t>
            </w:r>
            <w:r>
              <w:t xml:space="preserve"> </w:t>
            </w:r>
            <w:r w:rsidR="003F42C7">
              <w:t>as having a</w:t>
            </w:r>
            <w:r>
              <w:t xml:space="preserve"> </w:t>
            </w:r>
            <w:r w:rsidR="003F42C7">
              <w:t xml:space="preserve">requested </w:t>
            </w:r>
            <w:r>
              <w:t>revision</w:t>
            </w:r>
            <w:r w:rsidR="003F42C7">
              <w:t xml:space="preserve"> </w:t>
            </w:r>
            <w:r>
              <w:t>in the clearance.</w:t>
            </w:r>
          </w:p>
        </w:tc>
      </w:tr>
    </w:tbl>
    <w:p w:rsidR="00AD43DB" w:rsidP="00626ABE" w14:paraId="2867DEB1" w14:textId="77777777"/>
    <w:sectPr w:rsidSect="00D547BB">
      <w:headerReference w:type="default" r:id="rId5"/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74492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7BB" w:rsidP="00D547BB" w14:paraId="52AAC635" w14:textId="0ECD7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754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ABE" w:rsidP="00626ABE" w14:paraId="4A6123D6" w14:textId="78425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AAE" w:rsidRPr="00F00677" w:rsidP="00F94AAE" w14:paraId="23F89C05" w14:textId="35A3F37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202</w:t>
    </w:r>
    <w:r w:rsidR="00DD6971">
      <w:rPr>
        <w:sz w:val="36"/>
        <w:szCs w:val="36"/>
      </w:rPr>
      <w:t>3</w:t>
    </w:r>
    <w:r>
      <w:rPr>
        <w:sz w:val="36"/>
        <w:szCs w:val="36"/>
      </w:rPr>
      <w:t xml:space="preserve"> Full Clearance 30-Day Package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FEF213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F5688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EE36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714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9666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E868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21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6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C9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52B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F02D1"/>
    <w:multiLevelType w:val="hybridMultilevel"/>
    <w:tmpl w:val="AF9ED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14701">
    <w:abstractNumId w:val="10"/>
  </w:num>
  <w:num w:numId="2" w16cid:durableId="2123958478">
    <w:abstractNumId w:val="9"/>
  </w:num>
  <w:num w:numId="3" w16cid:durableId="1427774482">
    <w:abstractNumId w:val="7"/>
  </w:num>
  <w:num w:numId="4" w16cid:durableId="1008025919">
    <w:abstractNumId w:val="6"/>
  </w:num>
  <w:num w:numId="5" w16cid:durableId="1718894339">
    <w:abstractNumId w:val="5"/>
  </w:num>
  <w:num w:numId="6" w16cid:durableId="400981946">
    <w:abstractNumId w:val="4"/>
  </w:num>
  <w:num w:numId="7" w16cid:durableId="707141970">
    <w:abstractNumId w:val="8"/>
  </w:num>
  <w:num w:numId="8" w16cid:durableId="1499151758">
    <w:abstractNumId w:val="3"/>
  </w:num>
  <w:num w:numId="9" w16cid:durableId="1577275848">
    <w:abstractNumId w:val="2"/>
  </w:num>
  <w:num w:numId="10" w16cid:durableId="830829762">
    <w:abstractNumId w:val="1"/>
  </w:num>
  <w:num w:numId="11" w16cid:durableId="29329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CF"/>
    <w:rsid w:val="00014286"/>
    <w:rsid w:val="0001765E"/>
    <w:rsid w:val="000B4901"/>
    <w:rsid w:val="000C13D3"/>
    <w:rsid w:val="000C6C3D"/>
    <w:rsid w:val="000F1797"/>
    <w:rsid w:val="000F29CA"/>
    <w:rsid w:val="00115604"/>
    <w:rsid w:val="001156A3"/>
    <w:rsid w:val="00123897"/>
    <w:rsid w:val="00171DBE"/>
    <w:rsid w:val="00182E03"/>
    <w:rsid w:val="001B2B59"/>
    <w:rsid w:val="001B32DF"/>
    <w:rsid w:val="001C4812"/>
    <w:rsid w:val="001D4712"/>
    <w:rsid w:val="001F4F7C"/>
    <w:rsid w:val="00200F8C"/>
    <w:rsid w:val="002046E0"/>
    <w:rsid w:val="0025317B"/>
    <w:rsid w:val="002679EB"/>
    <w:rsid w:val="00284B6D"/>
    <w:rsid w:val="002B0158"/>
    <w:rsid w:val="002B525B"/>
    <w:rsid w:val="003271FC"/>
    <w:rsid w:val="00377846"/>
    <w:rsid w:val="00381B58"/>
    <w:rsid w:val="003B5345"/>
    <w:rsid w:val="003B774F"/>
    <w:rsid w:val="003C6BD6"/>
    <w:rsid w:val="003F42C7"/>
    <w:rsid w:val="003F7C6D"/>
    <w:rsid w:val="00404F03"/>
    <w:rsid w:val="00421C38"/>
    <w:rsid w:val="004C4B7B"/>
    <w:rsid w:val="004C6378"/>
    <w:rsid w:val="004C6731"/>
    <w:rsid w:val="004D1E90"/>
    <w:rsid w:val="004E357C"/>
    <w:rsid w:val="004F087F"/>
    <w:rsid w:val="00514AD0"/>
    <w:rsid w:val="005174E4"/>
    <w:rsid w:val="005471EE"/>
    <w:rsid w:val="00564CCF"/>
    <w:rsid w:val="005805F4"/>
    <w:rsid w:val="005A5D2E"/>
    <w:rsid w:val="005B49D2"/>
    <w:rsid w:val="005C25D2"/>
    <w:rsid w:val="005D343F"/>
    <w:rsid w:val="0061171E"/>
    <w:rsid w:val="00626ABE"/>
    <w:rsid w:val="0064408A"/>
    <w:rsid w:val="006847CE"/>
    <w:rsid w:val="00694C12"/>
    <w:rsid w:val="006961B4"/>
    <w:rsid w:val="006A27CA"/>
    <w:rsid w:val="006D640F"/>
    <w:rsid w:val="006E2DD4"/>
    <w:rsid w:val="007276CA"/>
    <w:rsid w:val="00734535"/>
    <w:rsid w:val="00797C39"/>
    <w:rsid w:val="007B2B67"/>
    <w:rsid w:val="007B3EBB"/>
    <w:rsid w:val="00807BA3"/>
    <w:rsid w:val="00847074"/>
    <w:rsid w:val="00857B21"/>
    <w:rsid w:val="0086419E"/>
    <w:rsid w:val="00876AC3"/>
    <w:rsid w:val="008B4692"/>
    <w:rsid w:val="008B61E1"/>
    <w:rsid w:val="008B6696"/>
    <w:rsid w:val="008C4137"/>
    <w:rsid w:val="008E0016"/>
    <w:rsid w:val="008F5991"/>
    <w:rsid w:val="008F5D13"/>
    <w:rsid w:val="009100F0"/>
    <w:rsid w:val="00930EB7"/>
    <w:rsid w:val="00976693"/>
    <w:rsid w:val="00990AFA"/>
    <w:rsid w:val="0099109C"/>
    <w:rsid w:val="009B64CD"/>
    <w:rsid w:val="009C0E0E"/>
    <w:rsid w:val="00A02E63"/>
    <w:rsid w:val="00A24706"/>
    <w:rsid w:val="00A477CC"/>
    <w:rsid w:val="00A530F6"/>
    <w:rsid w:val="00A53A6A"/>
    <w:rsid w:val="00A7482C"/>
    <w:rsid w:val="00A8058D"/>
    <w:rsid w:val="00AD43DB"/>
    <w:rsid w:val="00AF5926"/>
    <w:rsid w:val="00B11124"/>
    <w:rsid w:val="00B1700B"/>
    <w:rsid w:val="00B41380"/>
    <w:rsid w:val="00B4193D"/>
    <w:rsid w:val="00B84AD5"/>
    <w:rsid w:val="00C16ECC"/>
    <w:rsid w:val="00C30AEE"/>
    <w:rsid w:val="00C373E1"/>
    <w:rsid w:val="00C609A0"/>
    <w:rsid w:val="00C6204B"/>
    <w:rsid w:val="00C721A4"/>
    <w:rsid w:val="00C808C7"/>
    <w:rsid w:val="00C83855"/>
    <w:rsid w:val="00CB1BBA"/>
    <w:rsid w:val="00CC4078"/>
    <w:rsid w:val="00CE662A"/>
    <w:rsid w:val="00D3160D"/>
    <w:rsid w:val="00D35C12"/>
    <w:rsid w:val="00D408D5"/>
    <w:rsid w:val="00D51299"/>
    <w:rsid w:val="00D53A9D"/>
    <w:rsid w:val="00D547BB"/>
    <w:rsid w:val="00D676C9"/>
    <w:rsid w:val="00D7601D"/>
    <w:rsid w:val="00D842B1"/>
    <w:rsid w:val="00D91DDF"/>
    <w:rsid w:val="00D94F41"/>
    <w:rsid w:val="00DA7269"/>
    <w:rsid w:val="00DA793A"/>
    <w:rsid w:val="00DD3040"/>
    <w:rsid w:val="00DD6971"/>
    <w:rsid w:val="00DE0315"/>
    <w:rsid w:val="00DF35B4"/>
    <w:rsid w:val="00E13FFB"/>
    <w:rsid w:val="00E31281"/>
    <w:rsid w:val="00E706BF"/>
    <w:rsid w:val="00E7416D"/>
    <w:rsid w:val="00E95A2E"/>
    <w:rsid w:val="00F00677"/>
    <w:rsid w:val="00F01DE0"/>
    <w:rsid w:val="00F04EA3"/>
    <w:rsid w:val="00F106BE"/>
    <w:rsid w:val="00F207D5"/>
    <w:rsid w:val="00F5120F"/>
    <w:rsid w:val="00F94AAE"/>
    <w:rsid w:val="00FF5F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0E8C8"/>
  <w15:chartTrackingRefBased/>
  <w15:docId w15:val="{B825019E-4855-4677-A405-93FF5F6D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ABE"/>
  </w:style>
  <w:style w:type="paragraph" w:styleId="Heading1">
    <w:name w:val="heading 1"/>
    <w:basedOn w:val="Normal"/>
    <w:next w:val="Normal"/>
    <w:link w:val="Heading1Char"/>
    <w:uiPriority w:val="9"/>
    <w:qFormat/>
    <w:rsid w:val="00D54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AE"/>
  </w:style>
  <w:style w:type="paragraph" w:styleId="Footer">
    <w:name w:val="footer"/>
    <w:basedOn w:val="Normal"/>
    <w:link w:val="Foot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AE"/>
  </w:style>
  <w:style w:type="character" w:styleId="CommentReference">
    <w:name w:val="annotation reference"/>
    <w:basedOn w:val="DefaultParagraphFont"/>
    <w:uiPriority w:val="99"/>
    <w:semiHidden/>
    <w:unhideWhenUsed/>
    <w:rsid w:val="003B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1E9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54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626ABE"/>
    <w:pPr>
      <w:spacing w:after="18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6ABE"/>
    <w:rPr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626ABE"/>
    <w:pPr>
      <w:spacing w:before="40" w:after="40" w:line="240" w:lineRule="auto"/>
      <w:jc w:val="center"/>
    </w:pPr>
    <w:rPr>
      <w:b/>
      <w:i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26ABE"/>
    <w:rPr>
      <w:b/>
      <w:i/>
      <w:sz w:val="24"/>
    </w:rPr>
  </w:style>
  <w:style w:type="paragraph" w:customStyle="1" w:styleId="TableHeading">
    <w:name w:val="Table Heading"/>
    <w:basedOn w:val="BodyText"/>
    <w:qFormat/>
    <w:rsid w:val="00626ABE"/>
    <w:pPr>
      <w:spacing w:before="40" w:after="40"/>
      <w:jc w:val="center"/>
    </w:pPr>
    <w:rPr>
      <w:b/>
      <w:i/>
    </w:rPr>
  </w:style>
  <w:style w:type="paragraph" w:customStyle="1" w:styleId="TableText">
    <w:name w:val="Table Text"/>
    <w:basedOn w:val="BodyText"/>
    <w:qFormat/>
    <w:rsid w:val="00626ABE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29A9-1885-4EB0-AB2E-525DB982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Full Clearance 30-day Crosswalk</vt:lpstr>
    </vt:vector>
  </TitlesOfParts>
  <Manager>NORC at the University of Chicago</Manager>
  <Company>NORC at the University of Chicago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Full Clearance 30-day Crosswalk</dc:title>
  <dc:subject>30-day Crosswalk</dc:subject>
  <dc:creator>CMS</dc:creator>
  <cp:keywords>MCBS; ICR package; OMB clearance</cp:keywords>
  <cp:lastModifiedBy>Andrea Mayfield</cp:lastModifiedBy>
  <cp:revision>6</cp:revision>
  <dcterms:created xsi:type="dcterms:W3CDTF">2024-06-28T13:58:00Z</dcterms:created>
  <dcterms:modified xsi:type="dcterms:W3CDTF">2024-06-28T21:00:00Z</dcterms:modified>
</cp:coreProperties>
</file>