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Title"/>
        <w:spacing w:before="78"/>
        <w:ind w:left="194" w:right="51"/>
      </w:pPr>
      <w:bookmarkStart w:id="0" w:name="Notice Instructions for the Detailed Exp"/>
      <w:bookmarkEnd w:id="0"/>
      <w:r>
        <w:t>Notice</w:t>
      </w:r>
      <w:r>
        <w:rPr>
          <w:spacing w:val="-13"/>
        </w:rPr>
        <w:t xml:space="preserve"> </w:t>
      </w:r>
      <w:r>
        <w:t>Instructions</w:t>
      </w:r>
      <w:r>
        <w:rPr>
          <w:spacing w:val="-8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Detailed</w:t>
      </w:r>
      <w:r>
        <w:rPr>
          <w:spacing w:val="-14"/>
        </w:rPr>
        <w:t xml:space="preserve"> </w:t>
      </w:r>
      <w:r>
        <w:t>Explanation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Non-Coverage </w:t>
      </w:r>
      <w:bookmarkStart w:id="1" w:name="CMS-10124"/>
      <w:bookmarkEnd w:id="1"/>
      <w:r>
        <w:rPr>
          <w:spacing w:val="-2"/>
        </w:rPr>
        <w:t>(</w:t>
      </w:r>
      <w:r>
        <w:rPr>
          <w:spacing w:val="-2"/>
        </w:rPr>
        <w:t>DENC)</w:t>
      </w:r>
    </w:p>
    <w:p>
      <w:pPr>
        <w:pStyle w:val="Title"/>
      </w:pPr>
      <w:r>
        <w:rPr>
          <w:spacing w:val="-4"/>
        </w:rPr>
        <w:t>CMS-</w:t>
      </w:r>
      <w:r>
        <w:rPr>
          <w:spacing w:val="-2"/>
        </w:rPr>
        <w:t>10124</w:t>
      </w:r>
    </w:p>
    <w:p>
      <w:pPr>
        <w:pStyle w:val="BodyText"/>
        <w:spacing w:before="232"/>
        <w:rPr>
          <w:b/>
          <w:sz w:val="28"/>
        </w:rPr>
      </w:pPr>
    </w:p>
    <w:p>
      <w:pPr>
        <w:pStyle w:val="BodyText"/>
        <w:ind w:left="100" w:right="329"/>
      </w:pPr>
      <w:r>
        <w:t>A Medicare provider/plan (Medicare Advantage plans and cost plans, collectively referred to as “plans”) must deliver a completed copy of this notice to beneficiaries/enrollees</w:t>
      </w:r>
      <w:r>
        <w:rPr>
          <w:spacing w:val="-15"/>
        </w:rPr>
        <w:t xml:space="preserve"> </w:t>
      </w:r>
      <w:r>
        <w:t>receiving</w:t>
      </w:r>
      <w:r>
        <w:rPr>
          <w:spacing w:val="-12"/>
        </w:rPr>
        <w:t xml:space="preserve"> </w:t>
      </w:r>
      <w:r>
        <w:t>covered</w:t>
      </w:r>
      <w:r>
        <w:rPr>
          <w:spacing w:val="-10"/>
        </w:rPr>
        <w:t xml:space="preserve"> </w:t>
      </w:r>
      <w:r>
        <w:t>skilled</w:t>
      </w:r>
      <w:r>
        <w:rPr>
          <w:spacing w:val="-10"/>
        </w:rPr>
        <w:t xml:space="preserve"> </w:t>
      </w:r>
      <w:r>
        <w:t>nursing,</w:t>
      </w:r>
      <w:r>
        <w:rPr>
          <w:spacing w:val="-12"/>
        </w:rPr>
        <w:t xml:space="preserve"> </w:t>
      </w:r>
      <w:r>
        <w:t>home</w:t>
      </w:r>
      <w:r>
        <w:rPr>
          <w:spacing w:val="-12"/>
        </w:rPr>
        <w:t xml:space="preserve"> </w:t>
      </w:r>
      <w:r>
        <w:t>health,</w:t>
      </w:r>
      <w:r>
        <w:rPr>
          <w:spacing w:val="-10"/>
        </w:rPr>
        <w:t xml:space="preserve"> </w:t>
      </w:r>
      <w:r>
        <w:t>comprehensive outpatient rehabilitation facility, and hospice services upon notice from the Quality Improvement Organization (QIO) that the beneficiary/enrollee has appealed the termination of services in these settings. The DENC must be provided no later than close of business of the day of the QIO’s notification.</w:t>
      </w:r>
    </w:p>
    <w:p>
      <w:pPr>
        <w:pStyle w:val="BodyText"/>
      </w:pPr>
    </w:p>
    <w:p>
      <w:pPr>
        <w:pStyle w:val="BodyText"/>
        <w:ind w:left="100" w:right="329"/>
      </w:pPr>
      <w:r>
        <w:t>Providers/plans</w:t>
      </w:r>
      <w:r>
        <w:rPr>
          <w:spacing w:val="-4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sentences</w:t>
      </w:r>
      <w:r>
        <w:rPr>
          <w:spacing w:val="-7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plain English, understandable to beneficiaries/enrollees.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00"/>
      </w:pPr>
      <w:bookmarkStart w:id="2" w:name="Alterations to the DENC:  Providers/plan"/>
      <w:bookmarkEnd w:id="2"/>
      <w:r>
        <w:rPr>
          <w:b/>
        </w:rPr>
        <w:t>Alterations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DENC:</w:t>
      </w:r>
      <w:r>
        <w:rPr>
          <w:b/>
          <w:spacing w:val="40"/>
        </w:rPr>
        <w:t xml:space="preserve"> </w:t>
      </w:r>
      <w:r>
        <w:t>Providers/plans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logo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contact information on the top of the DENC. Text may not be moved to a second page to accommodate large logos, address headers, etc.</w:t>
      </w:r>
    </w:p>
    <w:p>
      <w:pPr>
        <w:pStyle w:val="BodyText"/>
        <w:spacing w:before="2"/>
      </w:pPr>
    </w:p>
    <w:p>
      <w:pPr>
        <w:pStyle w:val="BodyText"/>
        <w:ind w:left="100" w:right="313"/>
        <w:jc w:val="both"/>
      </w:pPr>
      <w:bookmarkStart w:id="3" w:name="Heading:  Insert contact information her"/>
      <w:bookmarkEnd w:id="3"/>
      <w:r>
        <w:rPr>
          <w:b/>
        </w:rPr>
        <w:t>Heading:</w:t>
      </w:r>
      <w:r>
        <w:rPr>
          <w:b/>
          <w:spacing w:val="40"/>
        </w:rPr>
        <w:t xml:space="preserve"> </w:t>
      </w:r>
      <w:r>
        <w:t>Insert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here.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telephone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 the provider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that delivers the notice</w:t>
      </w:r>
      <w:r>
        <w:rPr>
          <w:spacing w:val="-3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appear</w:t>
      </w:r>
      <w:r>
        <w:rPr>
          <w:spacing w:val="-5"/>
        </w:rPr>
        <w:t xml:space="preserve"> </w:t>
      </w:r>
      <w:r>
        <w:t>above the title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form.</w:t>
      </w:r>
      <w:r>
        <w:rPr>
          <w:spacing w:val="40"/>
        </w:rPr>
        <w:t xml:space="preserve"> </w:t>
      </w:r>
      <w:r>
        <w:t>The entity’s registered logo is not required but may be used.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>
          <w:b/>
        </w:rPr>
        <w:t>Date:</w:t>
      </w:r>
      <w:r>
        <w:rPr>
          <w:b/>
          <w:spacing w:val="57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generated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plan.</w:t>
      </w:r>
    </w:p>
    <w:p>
      <w:pPr>
        <w:pStyle w:val="BodyText"/>
        <w:spacing w:before="276"/>
        <w:ind w:left="100"/>
        <w:jc w:val="both"/>
      </w:pPr>
      <w:r>
        <w:rPr>
          <w:b/>
        </w:rPr>
        <w:t>Patient</w:t>
      </w:r>
      <w:r>
        <w:rPr>
          <w:b/>
          <w:spacing w:val="-11"/>
        </w:rPr>
        <w:t xml:space="preserve"> </w:t>
      </w:r>
      <w:r>
        <w:rPr>
          <w:b/>
        </w:rPr>
        <w:t>Name:</w:t>
      </w:r>
      <w:r>
        <w:rPr>
          <w:b/>
          <w:spacing w:val="54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beneficiary’s/enrollee’s</w:t>
      </w:r>
      <w:r>
        <w:rPr>
          <w:spacing w:val="-7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last</w:t>
      </w:r>
      <w:r>
        <w:rPr>
          <w:spacing w:val="-9"/>
        </w:rPr>
        <w:t xml:space="preserve"> </w:t>
      </w:r>
      <w:r>
        <w:rPr>
          <w:spacing w:val="-2"/>
        </w:rPr>
        <w:t>name.</w:t>
      </w:r>
    </w:p>
    <w:p>
      <w:pPr>
        <w:pStyle w:val="BodyText"/>
        <w:spacing w:before="276"/>
        <w:ind w:left="100" w:right="329"/>
      </w:pPr>
      <w:r>
        <w:rPr>
          <w:b/>
        </w:rPr>
        <w:t>Member</w:t>
      </w:r>
      <w:r>
        <w:rPr>
          <w:b/>
          <w:spacing w:val="-8"/>
        </w:rPr>
        <w:t xml:space="preserve"> </w:t>
      </w:r>
      <w:r>
        <w:rPr>
          <w:b/>
        </w:rPr>
        <w:t>number:</w:t>
      </w:r>
      <w:r>
        <w:rPr>
          <w:b/>
          <w:spacing w:val="35"/>
        </w:rPr>
        <w:t xml:space="preserve"> </w:t>
      </w:r>
      <w:r>
        <w:t>Fill</w:t>
      </w:r>
      <w:r>
        <w:rPr>
          <w:spacing w:val="-1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beneficiary’s/enrollee’s</w:t>
      </w:r>
      <w:r>
        <w:rPr>
          <w:spacing w:val="-8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record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identification number.</w:t>
      </w:r>
      <w:r>
        <w:rPr>
          <w:spacing w:val="40"/>
        </w:rPr>
        <w:t xml:space="preserve"> </w:t>
      </w:r>
      <w:r>
        <w:t>The beneficiary’s/enrollee’s MBI number must not be used.</w:t>
      </w:r>
    </w:p>
    <w:p>
      <w:pPr>
        <w:pStyle w:val="BodyText"/>
        <w:spacing w:before="276"/>
        <w:ind w:left="100" w:right="329"/>
      </w:pPr>
      <w:r>
        <w:rPr>
          <w:b/>
        </w:rPr>
        <w:t>{Insert</w:t>
      </w:r>
      <w:r>
        <w:rPr>
          <w:b/>
          <w:spacing w:val="-9"/>
        </w:rPr>
        <w:t xml:space="preserve"> </w:t>
      </w:r>
      <w:r>
        <w:rPr>
          <w:b/>
        </w:rPr>
        <w:t>type}</w:t>
      </w:r>
      <w:r>
        <w:t>:</w:t>
      </w:r>
      <w:r>
        <w:rPr>
          <w:spacing w:val="-5"/>
        </w:rPr>
        <w:t xml:space="preserve"> </w:t>
      </w:r>
      <w:r>
        <w:t>Insert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kind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terminated,</w:t>
      </w:r>
      <w:r>
        <w:rPr>
          <w:spacing w:val="-5"/>
        </w:rPr>
        <w:t xml:space="preserve"> </w:t>
      </w:r>
      <w:r>
        <w:t>i.e.,</w:t>
      </w:r>
      <w:r>
        <w:rPr>
          <w:spacing w:val="-5"/>
        </w:rPr>
        <w:t xml:space="preserve"> </w:t>
      </w:r>
      <w:r>
        <w:t>skilled</w:t>
      </w:r>
      <w:r>
        <w:rPr>
          <w:spacing w:val="-9"/>
        </w:rPr>
        <w:t xml:space="preserve"> </w:t>
      </w:r>
      <w:r>
        <w:t>nursing,</w:t>
      </w:r>
      <w:r>
        <w:rPr>
          <w:spacing w:val="-7"/>
        </w:rPr>
        <w:t xml:space="preserve"> </w:t>
      </w:r>
      <w:r>
        <w:t>home health, comprehensive outpatient rehabilitation service, or hospice.</w:t>
      </w:r>
    </w:p>
    <w:p>
      <w:pPr>
        <w:pStyle w:val="BodyText"/>
      </w:pPr>
    </w:p>
    <w:p>
      <w:pPr>
        <w:pStyle w:val="BodyText"/>
        <w:ind w:left="100" w:right="329"/>
      </w:pPr>
      <w:r>
        <w:rPr>
          <w:b/>
        </w:rPr>
        <w:t>Bullet</w:t>
      </w:r>
      <w:r>
        <w:rPr>
          <w:b/>
          <w:spacing w:val="-3"/>
        </w:rPr>
        <w:t xml:space="preserve"> </w:t>
      </w:r>
      <w:r>
        <w:rPr>
          <w:b/>
        </w:rPr>
        <w:t>#</w:t>
      </w:r>
      <w:r>
        <w:rPr>
          <w:b/>
          <w:spacing w:val="-2"/>
        </w:rPr>
        <w:t xml:space="preserve"> </w:t>
      </w:r>
      <w:r>
        <w:rPr>
          <w:b/>
        </w:rPr>
        <w:t>1:</w:t>
      </w:r>
      <w:r>
        <w:rPr>
          <w:b/>
          <w:spacing w:val="4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facts</w:t>
      </w:r>
      <w:r>
        <w:rPr>
          <w:spacing w:val="-7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decision:</w:t>
      </w:r>
      <w:r>
        <w:rPr>
          <w:spacing w:val="-6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information that describes the current functioning and progress of the beneficiary/enrollee with respect to the services being provided.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00" w:right="329"/>
      </w:pPr>
      <w:r>
        <w:rPr>
          <w:b/>
        </w:rPr>
        <w:t>Bullet</w:t>
      </w:r>
      <w:r>
        <w:rPr>
          <w:b/>
          <w:spacing w:val="-3"/>
        </w:rPr>
        <w:t xml:space="preserve"> </w:t>
      </w:r>
      <w:r>
        <w:rPr>
          <w:b/>
        </w:rPr>
        <w:t>#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4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why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longer</w:t>
      </w:r>
      <w:r>
        <w:rPr>
          <w:spacing w:val="-8"/>
        </w:rPr>
        <w:t xml:space="preserve"> </w:t>
      </w:r>
      <w:r>
        <w:t>covered.</w:t>
      </w:r>
      <w:r>
        <w:rPr>
          <w:spacing w:val="-6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in the detailed and specific reasons why services are either no longer reasonable or necessary for the beneficiary/enrollee or are no longer covered according to the Medicare guidelines.</w:t>
      </w:r>
      <w:r>
        <w:rPr>
          <w:spacing w:val="40"/>
        </w:rPr>
        <w:t xml:space="preserve"> </w:t>
      </w:r>
      <w:r>
        <w:t>Describe how the beneficiary/enrollee does not meet these</w:t>
      </w:r>
    </w:p>
    <w:p>
      <w:pPr>
        <w:spacing w:after="0"/>
        <w:sectPr>
          <w:footerReference w:type="default" r:id="rId4"/>
          <w:type w:val="continuous"/>
          <w:pgSz w:w="12240" w:h="15840"/>
          <w:pgMar w:top="1740" w:right="1280" w:bottom="1480" w:left="1220" w:header="0" w:footer="1298"/>
          <w:pgNumType w:start="1"/>
          <w:cols w:space="720"/>
        </w:sectPr>
      </w:pPr>
    </w:p>
    <w:p>
      <w:pPr>
        <w:pStyle w:val="BodyText"/>
        <w:spacing w:before="79"/>
        <w:ind w:left="100"/>
      </w:pPr>
      <w:r>
        <w:rPr>
          <w:spacing w:val="-2"/>
        </w:rPr>
        <w:t>guidelines.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00" w:right="329"/>
      </w:pPr>
      <w:r>
        <w:rPr>
          <w:b/>
        </w:rPr>
        <w:t>Bullet # 3:</w:t>
      </w:r>
      <w:r>
        <w:rPr>
          <w:b/>
          <w:spacing w:val="40"/>
        </w:rPr>
        <w:t xml:space="preserve"> </w:t>
      </w:r>
      <w:r>
        <w:t>(plans only) Specify the plan policy used in the decision if the notice is delivered to a health plan enrollee:</w:t>
      </w:r>
      <w:r>
        <w:rPr>
          <w:spacing w:val="40"/>
        </w:rPr>
        <w:t xml:space="preserve"> </w:t>
      </w:r>
      <w:r>
        <w:t>Fill in the reasons services are no longer covered 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plan’s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guidelines,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applicable.</w:t>
      </w:r>
      <w:r>
        <w:rPr>
          <w:spacing w:val="3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enrollee</w:t>
      </w:r>
      <w:r>
        <w:rPr>
          <w:spacing w:val="-2"/>
        </w:rPr>
        <w:t xml:space="preserve"> </w:t>
      </w:r>
      <w:r>
        <w:t>does not meet these guidelines.</w:t>
      </w:r>
      <w:r>
        <w:rPr>
          <w:spacing w:val="40"/>
        </w:rPr>
        <w:t xml:space="preserve"> </w:t>
      </w:r>
      <w:r>
        <w:t>If the plan relied exclusively on Medicare coverage guidelines, please explain that here.</w:t>
      </w:r>
    </w:p>
    <w:p>
      <w:pPr>
        <w:pStyle w:val="BodyText"/>
      </w:pPr>
    </w:p>
    <w:p>
      <w:pPr>
        <w:spacing w:before="1"/>
        <w:ind w:left="100" w:right="0" w:firstLine="0"/>
        <w:jc w:val="both"/>
        <w:rPr>
          <w:b/>
          <w:i/>
          <w:sz w:val="24"/>
        </w:rPr>
      </w:pPr>
      <w:r>
        <w:rPr>
          <w:b/>
          <w:i/>
          <w:color w:val="000000"/>
          <w:sz w:val="24"/>
          <w:highlight w:val="yellow"/>
        </w:rPr>
        <w:t>Special</w:t>
      </w:r>
      <w:r>
        <w:rPr>
          <w:b/>
          <w:i/>
          <w:color w:val="000000"/>
          <w:spacing w:val="-2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instructions</w:t>
      </w:r>
      <w:r>
        <w:rPr>
          <w:b/>
          <w:i/>
          <w:color w:val="000000"/>
          <w:spacing w:val="-2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for</w:t>
      </w:r>
      <w:r>
        <w:rPr>
          <w:b/>
          <w:i/>
          <w:color w:val="000000"/>
          <w:spacing w:val="-3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repeat</w:t>
      </w:r>
      <w:r>
        <w:rPr>
          <w:b/>
          <w:i/>
          <w:color w:val="000000"/>
          <w:spacing w:val="-6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appeals</w:t>
      </w:r>
      <w:r>
        <w:rPr>
          <w:b/>
          <w:i/>
          <w:color w:val="000000"/>
          <w:spacing w:val="-1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within</w:t>
      </w:r>
      <w:r>
        <w:rPr>
          <w:b/>
          <w:i/>
          <w:color w:val="000000"/>
          <w:spacing w:val="-3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the</w:t>
      </w:r>
      <w:r>
        <w:rPr>
          <w:b/>
          <w:i/>
          <w:color w:val="000000"/>
          <w:spacing w:val="-2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same</w:t>
      </w:r>
      <w:r>
        <w:rPr>
          <w:b/>
          <w:i/>
          <w:color w:val="000000"/>
          <w:spacing w:val="-2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episode</w:t>
      </w:r>
      <w:r>
        <w:rPr>
          <w:b/>
          <w:i/>
          <w:color w:val="000000"/>
          <w:spacing w:val="-4"/>
          <w:sz w:val="24"/>
          <w:highlight w:val="yellow"/>
        </w:rPr>
        <w:t xml:space="preserve"> </w:t>
      </w:r>
      <w:r>
        <w:rPr>
          <w:b/>
          <w:i/>
          <w:color w:val="000000"/>
          <w:sz w:val="24"/>
          <w:highlight w:val="yellow"/>
        </w:rPr>
        <w:t>of</w:t>
      </w:r>
      <w:r>
        <w:rPr>
          <w:b/>
          <w:i/>
          <w:color w:val="000000"/>
          <w:spacing w:val="-3"/>
          <w:sz w:val="24"/>
          <w:highlight w:val="yellow"/>
        </w:rPr>
        <w:t xml:space="preserve"> </w:t>
      </w:r>
      <w:r>
        <w:rPr>
          <w:b/>
          <w:i/>
          <w:color w:val="000000"/>
          <w:spacing w:val="-2"/>
          <w:sz w:val="24"/>
          <w:highlight w:val="yellow"/>
        </w:rPr>
        <w:t>care:</w:t>
      </w:r>
    </w:p>
    <w:p>
      <w:pPr>
        <w:pStyle w:val="BodyText"/>
        <w:spacing w:before="254"/>
        <w:ind w:left="100" w:right="98"/>
        <w:jc w:val="both"/>
      </w:pPr>
      <w:r>
        <w:rPr>
          <w:color w:val="000000"/>
          <w:highlight w:val="yellow"/>
        </w:rPr>
        <w:t>If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enrollee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has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previously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received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a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favorable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QIO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appeal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decision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during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current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spacing w:val="-5"/>
        </w:rPr>
        <w:t xml:space="preserve"> </w:t>
      </w:r>
      <w:r>
        <w:rPr>
          <w:color w:val="000000"/>
          <w:highlight w:val="yellow"/>
        </w:rPr>
        <w:t>episode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of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care,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detail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specific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change(s)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in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enrollee’s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condition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since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previous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appeal that provide the basis for this decision to terminate services.</w:t>
      </w:r>
    </w:p>
    <w:p>
      <w:pPr>
        <w:pStyle w:val="BodyText"/>
      </w:pPr>
    </w:p>
    <w:p>
      <w:pPr>
        <w:pStyle w:val="BodyText"/>
        <w:ind w:left="100" w:right="329"/>
      </w:pPr>
      <w:r>
        <w:rPr>
          <w:b/>
        </w:rPr>
        <w:t xml:space="preserve">If the beneficiary/enrollee would like a copy of the policy: </w:t>
      </w:r>
      <w:r>
        <w:t>If the plan has not provided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Medicare</w:t>
      </w:r>
      <w:r>
        <w:rPr>
          <w:spacing w:val="-6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decide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termination</w:t>
      </w:r>
      <w:r>
        <w:rPr>
          <w:spacing w:val="-6"/>
        </w:rPr>
        <w:t xml:space="preserve"> </w:t>
      </w:r>
      <w:r>
        <w:t>date,</w:t>
      </w:r>
      <w:r>
        <w:rPr>
          <w:spacing w:val="-4"/>
        </w:rPr>
        <w:t xml:space="preserve"> </w:t>
      </w:r>
      <w:r>
        <w:t>inform the beneficiary/enrollee how and where to obtain the policy.</w:t>
      </w:r>
      <w:r>
        <w:rPr>
          <w:spacing w:val="40"/>
        </w:rPr>
        <w:t xml:space="preserve"> </w:t>
      </w:r>
      <w:r>
        <w:t>Provide a telephone number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beneficiaries/enrollees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QIO.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</w:p>
    <w:p>
      <w:pPr>
        <w:spacing w:before="0" w:line="249" w:lineRule="auto"/>
        <w:ind w:left="220" w:right="329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According to the Paperwork Reduction Act of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1995, no persons are required to respond to a collection of information unless it displays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valid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OMB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control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number.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sz w:val="18"/>
        </w:rPr>
        <w:t>The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valid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OMB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control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number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for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this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information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collection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is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0938–0953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pacing w:val="36"/>
          <w:sz w:val="18"/>
        </w:rPr>
        <w:t xml:space="preserve"> </w:t>
      </w:r>
      <w:r>
        <w:rPr>
          <w:rFonts w:ascii="Times New Roman" w:hAnsi="Times New Roman"/>
          <w:sz w:val="18"/>
        </w:rPr>
        <w:t>The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time required to complete this information collection is estimated to average </w:t>
      </w:r>
      <w:r>
        <w:rPr>
          <w:rFonts w:ascii="Times New Roman" w:hAnsi="Times New Roman"/>
          <w:b/>
          <w:sz w:val="18"/>
        </w:rPr>
        <w:t xml:space="preserve">1.25 hours </w:t>
      </w:r>
      <w:r>
        <w:rPr>
          <w:rFonts w:ascii="Times New Roman" w:hAnsi="Times New Roman"/>
          <w:sz w:val="18"/>
        </w:rPr>
        <w:t>per response, including the time to review instructions,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search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existing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data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resources,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gather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the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data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needed,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and complete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and review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the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information collection.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rFonts w:ascii="Times New Roman" w:hAnsi="Times New Roman"/>
          <w:sz w:val="18"/>
        </w:rPr>
        <w:t>If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you have comments concerning the accuracy of the time estimate(s) or suggestions for improving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this form, please write to: CMS, 7500 Security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Boulevard, Attention: PRA Reports Clearance Officer, Mail Stop C4-26-05, Baltimore, Maryland 21244-1850.</w:t>
      </w:r>
    </w:p>
    <w:sectPr>
      <w:pgSz w:w="12240" w:h="15840"/>
      <w:pgMar w:top="1740" w:right="1280" w:bottom="1480" w:left="1220" w:header="0" w:footer="129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Arial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9094513</wp:posOffset>
              </wp:positionV>
              <wp:extent cx="2091055" cy="16700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9105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Instructions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CMS-10124-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DENC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64.65pt;height:13.15pt;margin-top:716.1pt;margin-left:71pt;mso-position-horizontal-relative:page;mso-position-vertical-relative:page;position:absolute;z-index:-251657216" filled="f" stroked="f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Form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Instructions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CMS-10124-</w:t>
                    </w:r>
                    <w:r>
                      <w:rPr>
                        <w:spacing w:val="-4"/>
                        <w:sz w:val="20"/>
                      </w:rPr>
                      <w:t>DENC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5014976</wp:posOffset>
              </wp:positionH>
              <wp:positionV relativeFrom="page">
                <wp:posOffset>9094513</wp:posOffset>
              </wp:positionV>
              <wp:extent cx="1702435" cy="16700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7024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OMB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Approval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No. 0938-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0953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_x0000_s2050" type="#_x0000_t202" style="width:134.05pt;height:13.15pt;margin-top:716.1pt;margin-left:394.88pt;mso-position-horizontal-relative:page;mso-position-vertical-relative:page;position:absolute;z-index:-251655168" filled="f" stroked="f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OMB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Approval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No. 0938-</w:t>
                    </w:r>
                    <w:r>
                      <w:rPr>
                        <w:spacing w:val="-4"/>
                        <w:sz w:val="20"/>
                      </w:rPr>
                      <w:t>0953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1"/>
      <w:ind w:left="140"/>
      <w:jc w:val="center"/>
    </w:pPr>
    <w:rPr>
      <w:rFonts w:ascii="Arial" w:eastAsia="Arial" w:hAnsi="Arial" w:cs="Arial"/>
      <w:b/>
      <w:b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CMS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Detailed Explanation of Non-Coverage Instructions</dc:title>
  <dc:subject>Detailed Explanation of Non-coverage (DENC)</dc:subject>
  <dc:creator>CMS/CPC/MEAG/DAP</dc:creator>
  <cp:keywords>DENC, Detailed Explanation of Non-coverage, coverage termination, health plan</cp:keywords>
  <cp:revision>0</cp:revision>
  <dcterms:created xsi:type="dcterms:W3CDTF">2024-07-13T02:02:20Z</dcterms:created>
  <dcterms:modified xsi:type="dcterms:W3CDTF">2024-07-13T02:02:20Z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2024-07-13T00:00:00Z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D:20140528145543</vt:lpwstr>
  </property>
  <property fmtid="{D5CDD505-2E9C-101B-9397-08002B2CF9AE}" pid="7" name="_NewReviewCycle">
    <vt:lpwstr/>
  </property>
</Properties>
</file>