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8AD" w14:paraId="13AD0DC4" w14:textId="02131C7C">
      <w:pPr>
        <w:spacing w:after="0" w:line="259" w:lineRule="auto"/>
        <w:ind w:left="22" w:right="4"/>
        <w:jc w:val="center"/>
      </w:pPr>
      <w:r>
        <w:rPr>
          <w:b/>
          <w:sz w:val="28"/>
        </w:rPr>
        <w:t>Supporting Statement – Part A</w:t>
      </w:r>
    </w:p>
    <w:p w:rsidR="001E18AD" w14:paraId="13AD0DC5" w14:textId="77777777">
      <w:pPr>
        <w:spacing w:after="0" w:line="259" w:lineRule="auto"/>
        <w:ind w:left="68" w:firstLine="0"/>
        <w:jc w:val="center"/>
      </w:pPr>
      <w:r>
        <w:rPr>
          <w:b/>
          <w:sz w:val="28"/>
        </w:rPr>
        <w:t xml:space="preserve"> </w:t>
      </w:r>
    </w:p>
    <w:p w:rsidR="001E18AD" w:rsidRPr="00C918C8" w:rsidP="00C918C8" w14:paraId="13AD0DC6" w14:textId="10081479">
      <w:pPr>
        <w:spacing w:after="0" w:line="259" w:lineRule="auto"/>
        <w:ind w:left="22"/>
        <w:jc w:val="center"/>
        <w:rPr>
          <w:b/>
          <w:sz w:val="28"/>
        </w:rPr>
      </w:pPr>
      <w:r>
        <w:rPr>
          <w:b/>
          <w:sz w:val="28"/>
        </w:rPr>
        <w:t xml:space="preserve">Rebate Reduction Requests </w:t>
      </w:r>
      <w:r w:rsidR="00C918C8">
        <w:rPr>
          <w:b/>
          <w:sz w:val="28"/>
        </w:rPr>
        <w:t>under</w:t>
      </w:r>
    </w:p>
    <w:p w:rsidR="001E18AD" w14:paraId="13AD0DC7" w14:textId="01794889">
      <w:pPr>
        <w:spacing w:after="0" w:line="259" w:lineRule="auto"/>
        <w:ind w:left="22" w:right="3"/>
        <w:jc w:val="center"/>
      </w:pPr>
      <w:r>
        <w:rPr>
          <w:b/>
          <w:sz w:val="28"/>
        </w:rPr>
        <w:t>Sections 11</w:t>
      </w:r>
      <w:r w:rsidR="0056565D">
        <w:rPr>
          <w:b/>
          <w:sz w:val="28"/>
        </w:rPr>
        <w:t>1</w:t>
      </w:r>
      <w:r>
        <w:rPr>
          <w:b/>
          <w:sz w:val="28"/>
        </w:rPr>
        <w:t>01 and 11</w:t>
      </w:r>
      <w:r w:rsidR="0056565D">
        <w:rPr>
          <w:b/>
          <w:sz w:val="28"/>
        </w:rPr>
        <w:t>1</w:t>
      </w:r>
      <w:r>
        <w:rPr>
          <w:b/>
          <w:sz w:val="28"/>
        </w:rPr>
        <w:t xml:space="preserve">02 of the Inflation Reduction Act  </w:t>
      </w:r>
    </w:p>
    <w:p w:rsidR="001E18AD" w14:paraId="13AD0DC8" w14:textId="2187CBB0">
      <w:pPr>
        <w:spacing w:after="0" w:line="259" w:lineRule="auto"/>
        <w:ind w:left="22" w:right="2"/>
        <w:jc w:val="center"/>
      </w:pPr>
      <w:r>
        <w:rPr>
          <w:b/>
          <w:sz w:val="28"/>
        </w:rPr>
        <w:t>(CMS-</w:t>
      </w:r>
      <w:r w:rsidR="009530D5">
        <w:rPr>
          <w:b/>
          <w:sz w:val="28"/>
        </w:rPr>
        <w:t>10858</w:t>
      </w:r>
      <w:r>
        <w:rPr>
          <w:b/>
          <w:sz w:val="28"/>
        </w:rPr>
        <w:t xml:space="preserve">, OMB </w:t>
      </w:r>
      <w:r w:rsidR="009530D5">
        <w:rPr>
          <w:b/>
          <w:sz w:val="28"/>
        </w:rPr>
        <w:t>0938</w:t>
      </w:r>
      <w:r>
        <w:rPr>
          <w:b/>
          <w:sz w:val="28"/>
        </w:rPr>
        <w:t xml:space="preserve">-NEW) </w:t>
      </w:r>
      <w:r w:rsidR="00322442">
        <w:rPr>
          <w:b/>
          <w:sz w:val="28"/>
        </w:rPr>
        <w:t xml:space="preserve"> </w:t>
      </w:r>
    </w:p>
    <w:p w:rsidR="001E18AD" w14:paraId="13AD0DC9" w14:textId="77777777">
      <w:pPr>
        <w:spacing w:after="0" w:line="259" w:lineRule="auto"/>
        <w:ind w:left="0" w:firstLine="0"/>
      </w:pPr>
      <w:r>
        <w:t xml:space="preserve"> </w:t>
      </w:r>
    </w:p>
    <w:p w:rsidR="001E18AD" w14:paraId="13AD0DCC" w14:textId="77DDD682">
      <w:pPr>
        <w:ind w:left="-5" w:right="2"/>
      </w:pPr>
      <w:r>
        <w:t>Under the authority in sections 11</w:t>
      </w:r>
      <w:r w:rsidR="0056565D">
        <w:t>1</w:t>
      </w:r>
      <w:r>
        <w:t>01 and 11</w:t>
      </w:r>
      <w:r w:rsidR="0056565D">
        <w:t>1</w:t>
      </w:r>
      <w:r>
        <w:t xml:space="preserve">02 of the Inflation Reduction Act of 2022 (P.L. </w:t>
      </w:r>
    </w:p>
    <w:p w:rsidR="002374D2" w:rsidP="002374D2" w14:paraId="13AD0DD0" w14:textId="54C16531">
      <w:pPr>
        <w:ind w:left="-5" w:right="2"/>
      </w:pPr>
      <w:r>
        <w:t>117-169), the Centers for Medicare &amp; Medicaid Services (CMS) is implementing the Medicare</w:t>
      </w:r>
      <w:r w:rsidR="0056565D">
        <w:t xml:space="preserve"> Part B </w:t>
      </w:r>
      <w:r>
        <w:t xml:space="preserve">Drug </w:t>
      </w:r>
      <w:r w:rsidR="0056565D">
        <w:t>Inflation Rebate</w:t>
      </w:r>
      <w:r>
        <w:t xml:space="preserve"> Program </w:t>
      </w:r>
      <w:r w:rsidR="0056565D">
        <w:t>and the Medicare Part D Drug Inflation Rebate Program</w:t>
      </w:r>
      <w:r>
        <w:t xml:space="preserve"> codified in </w:t>
      </w:r>
      <w:r w:rsidR="0056565D">
        <w:t>section 1847A(</w:t>
      </w:r>
      <w:r w:rsidR="0056565D">
        <w:t>i</w:t>
      </w:r>
      <w:r w:rsidR="0056565D">
        <w:t>)</w:t>
      </w:r>
      <w:r>
        <w:t xml:space="preserve"> </w:t>
      </w:r>
      <w:r w:rsidR="0056565D">
        <w:t>and section 1</w:t>
      </w:r>
      <w:r>
        <w:t>8</w:t>
      </w:r>
      <w:r w:rsidR="0056565D">
        <w:t>60D-14B</w:t>
      </w:r>
      <w:r>
        <w:t xml:space="preserve"> of the Social Security Act (“the Act”)</w:t>
      </w:r>
      <w:r w:rsidR="0056565D">
        <w:t>, respectively</w:t>
      </w:r>
      <w:r>
        <w:t xml:space="preserve">. </w:t>
      </w:r>
    </w:p>
    <w:p w:rsidR="009C0FBB" w:rsidP="002374D2" w14:paraId="14291574" w14:textId="77777777">
      <w:pPr>
        <w:ind w:left="-5" w:right="2"/>
      </w:pPr>
    </w:p>
    <w:p w:rsidR="009C0FBB" w:rsidP="004F380A" w14:paraId="190086BB" w14:textId="53D54EF8">
      <w:pPr>
        <w:spacing w:after="181"/>
        <w:ind w:left="-15" w:right="2" w:firstLine="0"/>
      </w:pPr>
      <w:r>
        <w:t>The purpose of this information collection request (ICR) is for CMS to collect information from manufacturers of Part B rebatable biosimilar biological products and generic Part D rebatable drug</w:t>
      </w:r>
      <w:r w:rsidR="00063369">
        <w:t>s</w:t>
      </w:r>
      <w:r>
        <w:t xml:space="preserve"> and biosimilars that are requesting rebate reductions to inform CMS’ determinations regarding such rebate reduction requests. As discussed in the </w:t>
      </w:r>
      <w:r>
        <w:rPr>
          <w:szCs w:val="24"/>
        </w:rPr>
        <w:t>Medicare Part B Drug Inflation Rebate Program Revised Guidance (“</w:t>
      </w:r>
      <w:r>
        <w:t>Part B revised guidance”)</w:t>
      </w:r>
      <w:r w:rsidRPr="00107CCB">
        <w:rPr>
          <w:rStyle w:val="FootnoteReference"/>
        </w:rPr>
        <w:t xml:space="preserve"> </w:t>
      </w:r>
      <w:r>
        <w:rPr>
          <w:rStyle w:val="FootnoteReference"/>
        </w:rPr>
        <w:footnoteReference w:id="3"/>
      </w:r>
      <w:r>
        <w:t xml:space="preserve"> (p. 77), for purposes of this information collection, to identify the manufacturer that is responsible for a Part B rebatable drug, CMS will use the same approach used to identify the manufacturer that is responsible for reporting Average Sales Price (ASP) data in accordance with section 1847A(c)(6) of the Act. As discussed in the </w:t>
      </w:r>
      <w:r>
        <w:rPr>
          <w:szCs w:val="24"/>
        </w:rPr>
        <w:t>Medicare Part D Drug Inflation Rebate Program Revised Guidance</w:t>
      </w:r>
      <w:r>
        <w:t xml:space="preserve"> (“Part D revised guidance”)</w:t>
      </w:r>
      <w:r w:rsidRPr="00107CCB">
        <w:rPr>
          <w:rStyle w:val="FootnoteReference"/>
        </w:rPr>
        <w:t xml:space="preserve"> </w:t>
      </w:r>
      <w:r>
        <w:rPr>
          <w:rStyle w:val="FootnoteReference"/>
        </w:rPr>
        <w:footnoteReference w:id="4"/>
      </w:r>
      <w:r>
        <w:t xml:space="preserve"> (p. 65), for purposes of this information collection, to identify the manufacturer that is responsible for a Part D rebatable drug, CMS will use the same approach used by the Medicaid Drug Rebate Program (MDRP) under section 1927(k)(5) of the Act. </w:t>
      </w:r>
    </w:p>
    <w:p w:rsidR="009C0FBB" w:rsidP="009C0FBB" w14:paraId="443D73C6" w14:textId="77777777">
      <w:pPr>
        <w:spacing w:after="181"/>
        <w:ind w:left="-5" w:right="2"/>
      </w:pPr>
      <w:r>
        <w:t>This ICR includes the following forms:</w:t>
      </w:r>
    </w:p>
    <w:p w:rsidR="009C0FBB" w:rsidP="009C0FBB" w14:paraId="048F437B" w14:textId="77777777">
      <w:pPr>
        <w:pStyle w:val="ListParagraph"/>
        <w:numPr>
          <w:ilvl w:val="0"/>
          <w:numId w:val="9"/>
        </w:numPr>
        <w:spacing w:after="181"/>
        <w:ind w:right="2"/>
      </w:pPr>
      <w:r>
        <w:t>Severe Supply Chain Disruption Rebate Reduction Request Form (Appendix A)</w:t>
      </w:r>
    </w:p>
    <w:p w:rsidR="009C0FBB" w:rsidP="009C0FBB" w14:paraId="071C8347" w14:textId="77777777">
      <w:pPr>
        <w:pStyle w:val="ListParagraph"/>
        <w:numPr>
          <w:ilvl w:val="0"/>
          <w:numId w:val="9"/>
        </w:numPr>
        <w:spacing w:after="181"/>
        <w:ind w:right="2"/>
      </w:pPr>
      <w:r>
        <w:t>Severe Supply Chain Disruption Rebate Reduction Extension Request Form (Appendix B)</w:t>
      </w:r>
    </w:p>
    <w:p w:rsidR="009C0FBB" w:rsidP="009C0FBB" w14:paraId="6BE4FA1B" w14:textId="77777777">
      <w:pPr>
        <w:pStyle w:val="ListParagraph"/>
        <w:numPr>
          <w:ilvl w:val="0"/>
          <w:numId w:val="9"/>
        </w:numPr>
        <w:spacing w:after="181"/>
        <w:ind w:right="2"/>
      </w:pPr>
      <w:r>
        <w:t>Likely to be in Shortage Rebate Reduction Request Form (Appendix C)</w:t>
      </w:r>
    </w:p>
    <w:p w:rsidR="009C0FBB" w:rsidP="009C0FBB" w14:paraId="4A5BCA4E" w14:textId="77777777">
      <w:pPr>
        <w:pStyle w:val="ListParagraph"/>
        <w:numPr>
          <w:ilvl w:val="0"/>
          <w:numId w:val="9"/>
        </w:numPr>
        <w:spacing w:after="181"/>
        <w:ind w:right="2"/>
      </w:pPr>
      <w:r>
        <w:t>Likely to be in Shortage Rebate Reduction Extension Request Form (Appendix D)</w:t>
      </w:r>
    </w:p>
    <w:p w:rsidR="009C0FBB" w:rsidP="009C0FBB" w14:paraId="673F7DE9" w14:textId="3E6CECC6">
      <w:pPr>
        <w:ind w:left="-5" w:right="2"/>
      </w:pPr>
      <w:r>
        <w:t xml:space="preserve">To fulfill the statutory requirements for information collection and program burden, </w:t>
      </w:r>
      <w:r w:rsidRPr="00EE7512">
        <w:t xml:space="preserve">CMS is requesting OMB approval for this </w:t>
      </w:r>
      <w:r>
        <w:t>n</w:t>
      </w:r>
      <w:r w:rsidRPr="00EE7512">
        <w:t xml:space="preserve">ew </w:t>
      </w:r>
      <w:r>
        <w:t>c</w:t>
      </w:r>
      <w:r w:rsidRPr="00EE7512">
        <w:t xml:space="preserve">ollection that focuses on information </w:t>
      </w:r>
      <w:r>
        <w:t>that manufacturers must submit to</w:t>
      </w:r>
      <w:r w:rsidRPr="00EE7512">
        <w:t xml:space="preserve"> </w:t>
      </w:r>
      <w:r>
        <w:t>CMS for the agency to consider a reduction to the rebate amount owed by a manufacturer for a severe supply chain disruption or when a sole source generic Part D rebatable drug is likely to be in shortage.</w:t>
      </w:r>
    </w:p>
    <w:p w:rsidR="00A93FE5" w:rsidP="002374D2" w14:paraId="7F43C9DE" w14:textId="04E65549">
      <w:pPr>
        <w:ind w:left="-5" w:right="2"/>
      </w:pPr>
    </w:p>
    <w:p w:rsidR="00A93FE5" w:rsidRPr="00FB0C17" w:rsidP="00A93FE5" w14:paraId="3D26CE0D" w14:textId="77777777">
      <w:pPr>
        <w:spacing w:after="0" w:line="259" w:lineRule="auto"/>
        <w:ind w:left="-5"/>
      </w:pPr>
      <w:r>
        <w:rPr>
          <w:b/>
        </w:rPr>
        <w:t>A.</w:t>
      </w:r>
      <w:r>
        <w:rPr>
          <w:rFonts w:ascii="Arial" w:eastAsia="Arial" w:hAnsi="Arial" w:cs="Arial"/>
          <w:b/>
        </w:rPr>
        <w:t xml:space="preserve"> </w:t>
      </w:r>
      <w:r w:rsidRPr="00FB0C17">
        <w:rPr>
          <w:b/>
          <w:u w:val="single"/>
        </w:rPr>
        <w:t>Background</w:t>
      </w:r>
      <w:r>
        <w:rPr>
          <w:b/>
        </w:rPr>
        <w:t xml:space="preserve">  </w:t>
      </w:r>
    </w:p>
    <w:p w:rsidR="003825AC" w:rsidP="00D57F6F" w14:paraId="6C1E6BF9" w14:textId="77777777">
      <w:pPr>
        <w:ind w:left="0" w:right="2" w:firstLine="0"/>
      </w:pPr>
    </w:p>
    <w:p w:rsidR="00246624" w:rsidRPr="00191BE8" w:rsidP="00191BE8" w14:paraId="5EFAE4AF" w14:textId="6F7EAE99">
      <w:pPr>
        <w:ind w:left="0" w:right="2"/>
        <w:rPr>
          <w:i/>
          <w:iCs/>
        </w:rPr>
      </w:pPr>
      <w:r w:rsidRPr="00191BE8">
        <w:rPr>
          <w:i/>
          <w:iCs/>
        </w:rPr>
        <w:t xml:space="preserve">Medicare </w:t>
      </w:r>
      <w:r w:rsidRPr="00191BE8">
        <w:rPr>
          <w:i/>
          <w:iCs/>
        </w:rPr>
        <w:t>Part B</w:t>
      </w:r>
      <w:r w:rsidRPr="00191BE8">
        <w:rPr>
          <w:i/>
          <w:iCs/>
        </w:rPr>
        <w:t xml:space="preserve"> Drug Inflation Rebate Program </w:t>
      </w:r>
    </w:p>
    <w:p w:rsidR="00191BE8" w:rsidRPr="00191BE8" w:rsidP="00191BE8" w14:paraId="733F95ED" w14:textId="77777777">
      <w:pPr>
        <w:ind w:left="0" w:right="2"/>
        <w:rPr>
          <w:b/>
          <w:bCs/>
          <w:i/>
          <w:iCs/>
        </w:rPr>
      </w:pPr>
    </w:p>
    <w:p w:rsidR="002374D2" w:rsidP="002374D2" w14:paraId="5719D840" w14:textId="7C0A3017">
      <w:pPr>
        <w:ind w:left="-5" w:right="2"/>
      </w:pPr>
      <w:r w:rsidRPr="008C6228">
        <w:rPr>
          <w:szCs w:val="24"/>
        </w:rPr>
        <w:t>In accordance with section 1847A(</w:t>
      </w:r>
      <w:r w:rsidRPr="008C6228">
        <w:rPr>
          <w:szCs w:val="24"/>
        </w:rPr>
        <w:t>i</w:t>
      </w:r>
      <w:r w:rsidRPr="008C6228">
        <w:rPr>
          <w:szCs w:val="24"/>
        </w:rPr>
        <w:t>) of the Act, for calendar quarters beginning January 1, 2023, a manufacturer of a Part B rebatable drug will owe a rebate, to be deposited in the Federal Supplementary Medical Insurance Trust Fund, if the amount specified in section 1847A(</w:t>
      </w:r>
      <w:r w:rsidRPr="008C6228">
        <w:rPr>
          <w:szCs w:val="24"/>
        </w:rPr>
        <w:t>i</w:t>
      </w:r>
      <w:r w:rsidRPr="008C6228">
        <w:rPr>
          <w:szCs w:val="24"/>
        </w:rPr>
        <w:t>)(3)(A)(ii)(I) of the Act exceeds the inflation-adjusted payment amount, which is calculated as set forth in section 1847A(</w:t>
      </w:r>
      <w:r w:rsidRPr="008C6228">
        <w:rPr>
          <w:szCs w:val="24"/>
        </w:rPr>
        <w:t>i</w:t>
      </w:r>
      <w:r w:rsidRPr="008C6228">
        <w:rPr>
          <w:szCs w:val="24"/>
        </w:rPr>
        <w:t>)(3)(C) of the Act</w:t>
      </w:r>
      <w:r w:rsidR="008C6228">
        <w:rPr>
          <w:szCs w:val="24"/>
        </w:rPr>
        <w:t>.</w:t>
      </w:r>
      <w:r w:rsidR="00895670">
        <w:rPr>
          <w:szCs w:val="24"/>
        </w:rPr>
        <w:t xml:space="preserve"> </w:t>
      </w:r>
      <w:r w:rsidRPr="00BA0BF2" w:rsidR="000B0552">
        <w:rPr>
          <w:szCs w:val="24"/>
        </w:rPr>
        <w:t xml:space="preserve">As defined in </w:t>
      </w:r>
      <w:r w:rsidR="00FB0C17">
        <w:rPr>
          <w:szCs w:val="24"/>
        </w:rPr>
        <w:t>s</w:t>
      </w:r>
      <w:r w:rsidRPr="00BA0BF2" w:rsidR="000B0552">
        <w:rPr>
          <w:szCs w:val="24"/>
        </w:rPr>
        <w:t xml:space="preserve">ection </w:t>
      </w:r>
      <w:r w:rsidR="001F076E">
        <w:rPr>
          <w:szCs w:val="24"/>
        </w:rPr>
        <w:t>1847A(</w:t>
      </w:r>
      <w:r w:rsidR="001F076E">
        <w:rPr>
          <w:szCs w:val="24"/>
        </w:rPr>
        <w:t>i</w:t>
      </w:r>
      <w:r w:rsidR="001F076E">
        <w:rPr>
          <w:szCs w:val="24"/>
        </w:rPr>
        <w:t>)(2)(A)</w:t>
      </w:r>
      <w:r w:rsidR="000B0552">
        <w:rPr>
          <w:szCs w:val="24"/>
        </w:rPr>
        <w:t xml:space="preserve"> of the Act, a</w:t>
      </w:r>
      <w:r w:rsidR="00895670">
        <w:rPr>
          <w:szCs w:val="24"/>
        </w:rPr>
        <w:t xml:space="preserve"> </w:t>
      </w:r>
      <w:r w:rsidR="00EB59E1">
        <w:rPr>
          <w:szCs w:val="24"/>
        </w:rPr>
        <w:t>“</w:t>
      </w:r>
      <w:r w:rsidRPr="00895670" w:rsidR="00895670">
        <w:rPr>
          <w:szCs w:val="24"/>
        </w:rPr>
        <w:t>Part B rebatable drug” means a single-source drug or biological product (as defined section 1847A(c)(6)(D)), including a biosimilar biological product (as defined section 1847A(c)(6)(H)) but excluding a qualifying biosimilar biological product (as defined section 1847A(b)(8)(B)(iii)), for which payment is made under Part B, except such term shall not include such a drug or biological product if, as determined by the Secretary, the average total allowed charges for such drug or biological pro</w:t>
      </w:r>
      <w:r w:rsidR="005267E0">
        <w:rPr>
          <w:szCs w:val="24"/>
        </w:rPr>
        <w:t xml:space="preserve">duct </w:t>
      </w:r>
      <w:r w:rsidRPr="00895670" w:rsidR="00895670">
        <w:rPr>
          <w:szCs w:val="24"/>
        </w:rPr>
        <w:t>under Part B for a year per individual that uses such a drug or biological product are less than the applicable threshold; or that is a vaccine described in subparagraph (A) or (B) of section 1861(s)(10)</w:t>
      </w:r>
      <w:r w:rsidR="005267E0">
        <w:rPr>
          <w:szCs w:val="24"/>
        </w:rPr>
        <w:t xml:space="preserve"> of the Act</w:t>
      </w:r>
      <w:r w:rsidRPr="00895670" w:rsidR="00895670">
        <w:rPr>
          <w:szCs w:val="24"/>
        </w:rPr>
        <w:t>.</w:t>
      </w:r>
      <w:r w:rsidRPr="008C6228">
        <w:rPr>
          <w:szCs w:val="24"/>
        </w:rPr>
        <w:t xml:space="preserve"> </w:t>
      </w:r>
      <w:r w:rsidR="003825AC">
        <w:t>S</w:t>
      </w:r>
      <w:r w:rsidRPr="003825AC" w:rsidR="003825AC">
        <w:t>ection 1847A(</w:t>
      </w:r>
      <w:r w:rsidRPr="003825AC" w:rsidR="003825AC">
        <w:t>i</w:t>
      </w:r>
      <w:r w:rsidRPr="003825AC" w:rsidR="003825AC">
        <w:t>)(3)(G)</w:t>
      </w:r>
      <w:r w:rsidR="005223F0">
        <w:t>(ii)</w:t>
      </w:r>
      <w:r w:rsidRPr="003825AC" w:rsidR="003825AC">
        <w:t xml:space="preserve"> of the Act</w:t>
      </w:r>
      <w:r w:rsidR="003825AC">
        <w:t xml:space="preserve"> </w:t>
      </w:r>
      <w:r w:rsidR="00D71034">
        <w:t>requires</w:t>
      </w:r>
      <w:r w:rsidRPr="003825AC" w:rsidR="003825AC">
        <w:t xml:space="preserve"> CMS </w:t>
      </w:r>
      <w:r w:rsidR="003825AC">
        <w:t>to</w:t>
      </w:r>
      <w:r w:rsidRPr="003825AC" w:rsidR="003825AC">
        <w:t xml:space="preserve"> reduce or waive </w:t>
      </w:r>
      <w:r w:rsidR="005223F0">
        <w:t xml:space="preserve">the rebate amount </w:t>
      </w:r>
      <w:r w:rsidRPr="003825AC" w:rsidR="003825AC">
        <w:t xml:space="preserve">for a Part B rebatable biosimilar </w:t>
      </w:r>
      <w:r w:rsidR="00174968">
        <w:t>biological product</w:t>
      </w:r>
      <w:r w:rsidR="00D71034">
        <w:t xml:space="preserve"> </w:t>
      </w:r>
      <w:r w:rsidRPr="003825AC" w:rsidR="003825AC">
        <w:t xml:space="preserve">when there is a severe supply chain disruption </w:t>
      </w:r>
      <w:r w:rsidRPr="003825AC" w:rsidR="00BE69AC">
        <w:t xml:space="preserve">during </w:t>
      </w:r>
      <w:r w:rsidR="005223F0">
        <w:t>a</w:t>
      </w:r>
      <w:r w:rsidRPr="003825AC" w:rsidR="00BE69AC">
        <w:t xml:space="preserve"> calendar quarter</w:t>
      </w:r>
      <w:r w:rsidR="00BE69AC">
        <w:t>, such as a disruption</w:t>
      </w:r>
      <w:r w:rsidRPr="003825AC" w:rsidR="003825AC">
        <w:t xml:space="preserve"> caused by a natural disaster or other unique or unexpected event.</w:t>
      </w:r>
    </w:p>
    <w:p w:rsidR="00246624" w:rsidP="002374D2" w14:paraId="612FFC71" w14:textId="77777777">
      <w:pPr>
        <w:ind w:left="-5" w:right="2"/>
      </w:pPr>
    </w:p>
    <w:p w:rsidR="009B430B" w:rsidP="002374D2" w14:paraId="1E7DD97A" w14:textId="33CAA408">
      <w:pPr>
        <w:ind w:left="-5" w:right="2"/>
      </w:pPr>
      <w:r>
        <w:t xml:space="preserve">As described in section 50.12 of the </w:t>
      </w:r>
      <w:r w:rsidR="00D822A6">
        <w:rPr>
          <w:szCs w:val="24"/>
        </w:rPr>
        <w:t>Part B revised guidance</w:t>
      </w:r>
      <w:r w:rsidR="00D822A6">
        <w:t xml:space="preserve">, </w:t>
      </w:r>
      <w:r>
        <w:t>to receive consideration for a rebate reduction when there is a severe supply chain disruption during a calendar quarter</w:t>
      </w:r>
      <w:r w:rsidRPr="00AD6000" w:rsidR="00AD6000">
        <w:t xml:space="preserve">, the manufacturer of a </w:t>
      </w:r>
      <w:r w:rsidR="009F08BE">
        <w:t xml:space="preserve">Part B rebatable </w:t>
      </w:r>
      <w:r w:rsidRPr="00AD6000" w:rsidR="00AD6000">
        <w:t xml:space="preserve">biosimilar </w:t>
      </w:r>
      <w:r w:rsidR="009F08BE">
        <w:t xml:space="preserve">biological product </w:t>
      </w:r>
      <w:r w:rsidRPr="00AD6000" w:rsidR="00AD6000">
        <w:t xml:space="preserve">must submit </w:t>
      </w:r>
      <w:r w:rsidRPr="00AD6000" w:rsidR="009F08BE">
        <w:t xml:space="preserve">to CMS </w:t>
      </w:r>
      <w:r w:rsidRPr="00AD6000" w:rsidR="00AD6000">
        <w:t>a request for a reduction of the rebate amount owed.</w:t>
      </w:r>
      <w:r w:rsidR="008E0AA5">
        <w:t xml:space="preserve"> </w:t>
      </w:r>
      <w:r w:rsidRPr="000B66BD" w:rsidR="000B66BD">
        <w:t xml:space="preserve">CMS has defined a severe supply chain disruption to mean a change in production or distribution that is reasonably likely to lead to a significant reduction in the U.S. supply of a Part B rebatable biosimilar </w:t>
      </w:r>
      <w:r w:rsidR="00C3658E">
        <w:t>biological product</w:t>
      </w:r>
      <w:r w:rsidRPr="000B66BD" w:rsidR="000B66BD">
        <w:t xml:space="preserve">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w:t>
      </w:r>
      <w:r w:rsidRPr="000B66BD" w:rsidR="00D822A6">
        <w:t xml:space="preserve">, </w:t>
      </w:r>
      <w:r w:rsidRPr="000B66BD" w:rsidR="000B66BD">
        <w:t>or insignificant changes made in the manufacturing process for the drug.</w:t>
      </w:r>
      <w:r w:rsidR="000B66BD">
        <w:t xml:space="preserve"> </w:t>
      </w:r>
      <w:r w:rsidRPr="001F1592" w:rsidR="001F1592">
        <w:t xml:space="preserve">As further described in section 50.12 of the </w:t>
      </w:r>
      <w:r w:rsidR="00224566">
        <w:t>Part B revised guidance</w:t>
      </w:r>
      <w:r w:rsidRPr="001F1592" w:rsidR="001F1592">
        <w:t xml:space="preserve">, if a manufacturer of a Part B rebatable biosimilar </w:t>
      </w:r>
      <w:r w:rsidR="00174968">
        <w:t>biological product</w:t>
      </w:r>
      <w:r w:rsidRPr="001F1592" w:rsidR="001F1592">
        <w:t xml:space="preserve"> is granted a reduction of the rebate amount owed as a result of a severe supply chain disruption during a calendar quarter that continues into the fifth calendar quarter after the start of the natural disaster or other unique or unexpected event, the manufacturer may submit a</w:t>
      </w:r>
      <w:r w:rsidR="00FD55F3">
        <w:t>n extension</w:t>
      </w:r>
      <w:r w:rsidRPr="001F1592" w:rsidR="001F1592">
        <w:t xml:space="preserve"> request for a reduction of the rebate amount for the fifth through eighth calendar quarters.</w:t>
      </w:r>
      <w:r w:rsidRPr="00B86A2F" w:rsidR="00B86A2F">
        <w:t xml:space="preserve"> </w:t>
      </w:r>
    </w:p>
    <w:p w:rsidR="009B430B" w:rsidP="002374D2" w14:paraId="2EE23420" w14:textId="77777777">
      <w:pPr>
        <w:ind w:left="-5" w:right="2"/>
      </w:pPr>
    </w:p>
    <w:p w:rsidR="001F1592" w:rsidP="002374D2" w14:paraId="642E6917" w14:textId="57931AFC">
      <w:pPr>
        <w:ind w:left="-5" w:right="2"/>
      </w:pPr>
      <w:r>
        <w:t xml:space="preserve">This ICR does not address rebate reductions for Part B rebatable drugs currently in shortage, which are determined based on the Food and Drug Administration (FDA) drug and biological product shortage lists under section 506E of the Federal Food, Drug and Cosmetic (FD&amp;C) Act and, therefore, do not require the submission of a rebate reduction request. For more information </w:t>
      </w:r>
      <w:r>
        <w:t>on how CMS will reduce the rebate amount for a Part B rebatable drug described as currently in shortage on an FDA shortage list, please refer to section 50.11 of the Part B revised guidance.</w:t>
      </w:r>
      <w:r>
        <w:rPr>
          <w:rStyle w:val="FootnoteReference"/>
        </w:rPr>
        <w:footnoteReference w:id="5"/>
      </w:r>
    </w:p>
    <w:p w:rsidR="003825AC" w:rsidRPr="00191BE8" w:rsidP="00D822A6" w14:paraId="48A38DE5" w14:textId="77777777">
      <w:pPr>
        <w:ind w:left="0" w:right="2" w:firstLine="0"/>
        <w:rPr>
          <w:i/>
          <w:iCs/>
        </w:rPr>
      </w:pPr>
    </w:p>
    <w:p w:rsidR="00246624" w:rsidRPr="00191BE8" w:rsidP="00191BE8" w14:paraId="7BC4EA9C" w14:textId="63952C43">
      <w:pPr>
        <w:ind w:left="0" w:right="2"/>
        <w:rPr>
          <w:i/>
          <w:iCs/>
        </w:rPr>
      </w:pPr>
      <w:r w:rsidRPr="00191BE8">
        <w:rPr>
          <w:i/>
          <w:iCs/>
        </w:rPr>
        <w:t xml:space="preserve">Medicare </w:t>
      </w:r>
      <w:r w:rsidRPr="00191BE8">
        <w:rPr>
          <w:i/>
          <w:iCs/>
        </w:rPr>
        <w:t>Part D</w:t>
      </w:r>
      <w:r w:rsidRPr="00191BE8">
        <w:rPr>
          <w:i/>
          <w:iCs/>
        </w:rPr>
        <w:t xml:space="preserve"> Drug Inflation Rebate Program</w:t>
      </w:r>
    </w:p>
    <w:p w:rsidR="00191BE8" w:rsidRPr="00191BE8" w:rsidP="00191BE8" w14:paraId="3644996A" w14:textId="77777777">
      <w:pPr>
        <w:ind w:left="0" w:right="2"/>
        <w:rPr>
          <w:b/>
          <w:bCs/>
          <w:i/>
          <w:iCs/>
        </w:rPr>
      </w:pPr>
    </w:p>
    <w:p w:rsidR="00172D0F" w:rsidP="00172D0F" w14:paraId="4055E7A1" w14:textId="2A8EFD8E">
      <w:pPr>
        <w:ind w:left="-5" w:right="2"/>
      </w:pPr>
      <w:r w:rsidRPr="00BA0BF2">
        <w:rPr>
          <w:szCs w:val="24"/>
        </w:rPr>
        <w:t xml:space="preserve">In accordance with </w:t>
      </w:r>
      <w:r w:rsidRPr="00BA0BF2" w:rsidR="002374D2">
        <w:rPr>
          <w:szCs w:val="24"/>
        </w:rPr>
        <w:t>Section 1860D-14B of the Act</w:t>
      </w:r>
      <w:r w:rsidRPr="00BA0BF2">
        <w:rPr>
          <w:szCs w:val="24"/>
        </w:rPr>
        <w:t xml:space="preserve">, for each </w:t>
      </w:r>
      <w:r w:rsidR="00D55F72">
        <w:rPr>
          <w:szCs w:val="24"/>
        </w:rPr>
        <w:t xml:space="preserve">12-month </w:t>
      </w:r>
      <w:r w:rsidRPr="00BA0BF2">
        <w:rPr>
          <w:szCs w:val="24"/>
        </w:rPr>
        <w:t>applicable period,</w:t>
      </w:r>
      <w:r w:rsidR="00D55F72">
        <w:rPr>
          <w:szCs w:val="24"/>
        </w:rPr>
        <w:t xml:space="preserve"> starting with the applicable period beginning October 1, 2022,</w:t>
      </w:r>
      <w:r w:rsidRPr="00BA0BF2">
        <w:rPr>
          <w:szCs w:val="24"/>
        </w:rPr>
        <w:t xml:space="preserve"> a manufacturer of a Part D rebatable drug will owe a rebate, to be deposited in the Federal Supplementary Medical Insurance Trust Fund, if the </w:t>
      </w:r>
      <w:r w:rsidR="00D55F72">
        <w:rPr>
          <w:szCs w:val="24"/>
        </w:rPr>
        <w:t xml:space="preserve">annual manufacturer price </w:t>
      </w:r>
      <w:r w:rsidR="0089436B">
        <w:rPr>
          <w:szCs w:val="24"/>
        </w:rPr>
        <w:t xml:space="preserve">of the </w:t>
      </w:r>
      <w:r w:rsidRPr="00BA0BF2" w:rsidR="0089436B">
        <w:rPr>
          <w:szCs w:val="24"/>
        </w:rPr>
        <w:t xml:space="preserve">Part D rebatable drug </w:t>
      </w:r>
      <w:r w:rsidR="00D55F72">
        <w:rPr>
          <w:szCs w:val="24"/>
        </w:rPr>
        <w:t xml:space="preserve">exceeds the inflation-adjusted payment amount. </w:t>
      </w:r>
      <w:r w:rsidRPr="00BA0BF2">
        <w:rPr>
          <w:szCs w:val="24"/>
        </w:rPr>
        <w:t>As defined in Section 1860D-</w:t>
      </w:r>
      <w:r w:rsidR="008B1587">
        <w:rPr>
          <w:szCs w:val="24"/>
        </w:rPr>
        <w:t>14B(g)(1)</w:t>
      </w:r>
      <w:r w:rsidRPr="00BA0BF2">
        <w:rPr>
          <w:szCs w:val="24"/>
        </w:rPr>
        <w:t xml:space="preserve"> of the Act, a “Part D rebatable drug” means, with respect to an applicable period, a drug or biological </w:t>
      </w:r>
      <w:r w:rsidR="00E36BC6">
        <w:rPr>
          <w:sz w:val="23"/>
          <w:szCs w:val="23"/>
        </w:rPr>
        <w:t>described at section 1860D-14B(g)(1)(C)</w:t>
      </w:r>
      <w:r>
        <w:rPr>
          <w:rStyle w:val="FootnoteReference"/>
          <w:sz w:val="23"/>
          <w:szCs w:val="23"/>
        </w:rPr>
        <w:footnoteReference w:id="6"/>
      </w:r>
      <w:r w:rsidR="00E36BC6">
        <w:rPr>
          <w:sz w:val="23"/>
          <w:szCs w:val="23"/>
        </w:rPr>
        <w:t xml:space="preserve"> </w:t>
      </w:r>
      <w:r w:rsidRPr="00BA0BF2">
        <w:rPr>
          <w:szCs w:val="24"/>
        </w:rPr>
        <w:t xml:space="preserve">that is a covered Part D drug as defined </w:t>
      </w:r>
      <w:r w:rsidR="008B1587">
        <w:rPr>
          <w:szCs w:val="24"/>
        </w:rPr>
        <w:t>under section 1860D-2(e)</w:t>
      </w:r>
      <w:r w:rsidRPr="00BA0BF2">
        <w:rPr>
          <w:szCs w:val="24"/>
        </w:rPr>
        <w:t>.</w:t>
      </w:r>
      <w:r>
        <w:t xml:space="preserve"> </w:t>
      </w:r>
      <w:r w:rsidR="00E97291">
        <w:t xml:space="preserve">A generic drug is only subject to the Part D drug inflation rebate if it is a sole source generic. </w:t>
      </w:r>
      <w:r w:rsidRPr="00CF4692" w:rsidR="00CF4692">
        <w:t>The definition of a Part D rebatable drug does not include a drug or biological if, as determined by the Secretary, the “average annual total cost” for such drug or biological under Part D for a year per individual that uses such a drug or biological is less than the applicable threshold.</w:t>
      </w:r>
      <w:r w:rsidR="00CF4692">
        <w:t xml:space="preserve"> </w:t>
      </w:r>
      <w:r w:rsidRPr="003825AC" w:rsidR="003825AC">
        <w:t>Section 1860D-14B(b)(1)(C)</w:t>
      </w:r>
      <w:r w:rsidR="003825AC">
        <w:t>(ii)</w:t>
      </w:r>
      <w:r w:rsidRPr="003825AC" w:rsidR="003825AC">
        <w:t xml:space="preserve"> of the Act </w:t>
      </w:r>
      <w:r w:rsidR="00E36EC2">
        <w:t>requires</w:t>
      </w:r>
      <w:r w:rsidRPr="003825AC" w:rsidR="003825AC">
        <w:t xml:space="preserve"> CMS to reduce or waive inflation rebates for a </w:t>
      </w:r>
      <w:r w:rsidR="000029F7">
        <w:t xml:space="preserve">generic </w:t>
      </w:r>
      <w:r w:rsidRPr="003825AC" w:rsidR="003825AC">
        <w:t xml:space="preserve">Part D rebatable drug </w:t>
      </w:r>
      <w:r w:rsidR="000029F7">
        <w:t xml:space="preserve">or biosimilar </w:t>
      </w:r>
      <w:r w:rsidRPr="003737E8" w:rsidR="003737E8">
        <w:t xml:space="preserve">when CMS determines </w:t>
      </w:r>
      <w:r w:rsidRPr="003825AC" w:rsidR="003825AC">
        <w:t>there is a severe supply chain disruption</w:t>
      </w:r>
      <w:r w:rsidRPr="003737E8" w:rsidR="003737E8">
        <w:t xml:space="preserve"> during the applicable period</w:t>
      </w:r>
      <w:r w:rsidRPr="003825AC" w:rsidR="003825AC">
        <w:t>, such as a disruption caused by a natural disaster or other unique or unexpected event</w:t>
      </w:r>
      <w:r w:rsidR="00174968">
        <w:t>.</w:t>
      </w:r>
      <w:r w:rsidRPr="00174968" w:rsidR="00174968">
        <w:t xml:space="preserve"> </w:t>
      </w:r>
      <w:r w:rsidRPr="003825AC" w:rsidR="00174968">
        <w:t>Section 1860D-14B(b)(1)(C)</w:t>
      </w:r>
      <w:r w:rsidR="00174968">
        <w:t>(iii)</w:t>
      </w:r>
      <w:r w:rsidRPr="003825AC" w:rsidR="00174968">
        <w:t xml:space="preserve"> of the Act </w:t>
      </w:r>
      <w:r w:rsidR="00713D14">
        <w:t>further requires</w:t>
      </w:r>
      <w:r w:rsidRPr="003737E8" w:rsidR="003737E8">
        <w:t xml:space="preserve"> </w:t>
      </w:r>
      <w:r w:rsidR="004D74AE">
        <w:t>C</w:t>
      </w:r>
      <w:r w:rsidRPr="003825AC" w:rsidR="004D74AE">
        <w:t xml:space="preserve">MS to reduce or waive inflation rebates for a </w:t>
      </w:r>
      <w:r w:rsidR="004D74AE">
        <w:t xml:space="preserve">generic Part D </w:t>
      </w:r>
      <w:r w:rsidRPr="003825AC" w:rsidR="004D74AE">
        <w:t>rebatable drug</w:t>
      </w:r>
      <w:r w:rsidR="004D74AE">
        <w:t xml:space="preserve"> </w:t>
      </w:r>
      <w:r w:rsidRPr="003737E8" w:rsidR="003737E8">
        <w:t>when</w:t>
      </w:r>
      <w:r w:rsidRPr="003825AC" w:rsidR="003825AC">
        <w:t xml:space="preserve"> CMS determines that without such </w:t>
      </w:r>
      <w:r w:rsidRPr="003737E8" w:rsidR="003737E8">
        <w:t xml:space="preserve">a </w:t>
      </w:r>
      <w:r w:rsidRPr="003825AC" w:rsidR="003825AC">
        <w:t xml:space="preserve">reduction or waiver, </w:t>
      </w:r>
      <w:r w:rsidR="004D74AE">
        <w:t>such</w:t>
      </w:r>
      <w:r w:rsidRPr="003825AC" w:rsidR="003825AC">
        <w:t xml:space="preserve"> drug is likely to be described as in shortage </w:t>
      </w:r>
      <w:r w:rsidRPr="003737E8" w:rsidR="003737E8">
        <w:t>during a subsequent applicable period</w:t>
      </w:r>
      <w:r w:rsidRPr="003825AC" w:rsidR="003825AC">
        <w:t>.</w:t>
      </w:r>
      <w:r>
        <w:t xml:space="preserve"> </w:t>
      </w:r>
    </w:p>
    <w:p w:rsidR="00172D0F" w:rsidP="00172D0F" w14:paraId="5A74E4FC" w14:textId="77777777">
      <w:pPr>
        <w:ind w:left="-5" w:right="2"/>
      </w:pPr>
    </w:p>
    <w:p w:rsidR="001F1592" w:rsidP="00172D0F" w14:paraId="4AFCC910" w14:textId="53751C2B">
      <w:pPr>
        <w:ind w:left="-5" w:right="2"/>
      </w:pPr>
      <w:bookmarkStart w:id="0" w:name="_Hlk162593995"/>
      <w:bookmarkStart w:id="1" w:name="_Hlk162594023"/>
      <w:r>
        <w:t>As described in section 40.5.2 of the</w:t>
      </w:r>
      <w:r w:rsidRPr="00D23EF6">
        <w:t xml:space="preserve"> </w:t>
      </w:r>
      <w:r>
        <w:t xml:space="preserve">Part D revised guidance, </w:t>
      </w:r>
      <w:bookmarkEnd w:id="0"/>
      <w:r>
        <w:t>to receive consideration for a rebate reduction when there is a severe supply chain disruption during an applicable period,</w:t>
      </w:r>
      <w:bookmarkEnd w:id="1"/>
      <w:r w:rsidR="00AD6000">
        <w:t xml:space="preserve"> </w:t>
      </w:r>
      <w:r w:rsidR="00D23EF6">
        <w:t>the manufacturer of a generic Part D rebatable drug or biosimilar m</w:t>
      </w:r>
      <w:r w:rsidR="00AD6000">
        <w:t>ust</w:t>
      </w:r>
      <w:r w:rsidR="00D23EF6">
        <w:t xml:space="preserve"> submit </w:t>
      </w:r>
      <w:r w:rsidR="009F08BE">
        <w:t xml:space="preserve">to CMS </w:t>
      </w:r>
      <w:r w:rsidR="00246624">
        <w:t xml:space="preserve">a request </w:t>
      </w:r>
      <w:r w:rsidRPr="00AD6000" w:rsidR="00AD6000">
        <w:t>for a reduction of the rebate amount owed.</w:t>
      </w:r>
      <w:r w:rsidR="00D23EF6">
        <w:t xml:space="preserve"> </w:t>
      </w:r>
      <w:r w:rsidRPr="00C3658E" w:rsidR="00C3658E">
        <w:t xml:space="preserve">CMS has defined a severe supply chain disruption to mean a change in production or distribution that is reasonably likely to lead to a significant reduction in the U.S. supply of a </w:t>
      </w:r>
      <w:r w:rsidR="00C3658E">
        <w:t xml:space="preserve">generic </w:t>
      </w:r>
      <w:r w:rsidRPr="00C3658E" w:rsidR="00C3658E">
        <w:t xml:space="preserve">Part </w:t>
      </w:r>
      <w:r w:rsidR="00C3658E">
        <w:t>D</w:t>
      </w:r>
      <w:r w:rsidRPr="00C3658E" w:rsidR="00C3658E">
        <w:t xml:space="preserve"> rebatable </w:t>
      </w:r>
      <w:r w:rsidR="00C3658E">
        <w:t>drug or biosimilar</w:t>
      </w:r>
      <w:r w:rsidRPr="00C3658E" w:rsidR="00C3658E">
        <w:t xml:space="preserve">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 </w:t>
      </w:r>
      <w:r>
        <w:t>I</w:t>
      </w:r>
      <w:r w:rsidRPr="001F1592">
        <w:t>f a manufacturer of a generic Part D rebatable drug or biosimilar is granted a reduction of the rebate amount owed as a result of a severe supply chain disruption during an applicable period</w:t>
      </w:r>
      <w:r w:rsidR="00597ED5">
        <w:t xml:space="preserve"> and the severe supply chain </w:t>
      </w:r>
      <w:r w:rsidR="00597ED5">
        <w:t xml:space="preserve">disruption </w:t>
      </w:r>
      <w:r w:rsidRPr="001F1592">
        <w:t xml:space="preserve">continues into a second applicable period after the start of the natural disaster or other unique or unexpected event, the manufacturer may submit </w:t>
      </w:r>
      <w:r w:rsidR="009E0D77">
        <w:t>a</w:t>
      </w:r>
      <w:r w:rsidRPr="001F1592">
        <w:t xml:space="preserve"> request for a</w:t>
      </w:r>
      <w:r w:rsidR="009E0D77">
        <w:t>n extension of the</w:t>
      </w:r>
      <w:r w:rsidRPr="001F1592">
        <w:t xml:space="preserve"> reduction of the rebate amount for that second applicable period</w:t>
      </w:r>
      <w:r w:rsidR="0006554F">
        <w:t>.</w:t>
      </w:r>
    </w:p>
    <w:p w:rsidR="00172D0F" w:rsidP="00172D0F" w14:paraId="198A967E" w14:textId="77777777">
      <w:pPr>
        <w:ind w:left="-5" w:right="2"/>
      </w:pPr>
    </w:p>
    <w:p w:rsidR="001F1592" w14:paraId="0CBDC05F" w14:textId="345DC84C">
      <w:pPr>
        <w:spacing w:after="181"/>
        <w:ind w:left="-5" w:right="2"/>
      </w:pPr>
      <w:r>
        <w:t xml:space="preserve">As described in </w:t>
      </w:r>
      <w:r w:rsidRPr="00D23EF6">
        <w:t>40.5.</w:t>
      </w:r>
      <w:r>
        <w:t>3</w:t>
      </w:r>
      <w:r w:rsidRPr="00D23EF6">
        <w:t xml:space="preserve"> of the </w:t>
      </w:r>
      <w:r w:rsidR="001E3FA5">
        <w:t>Part D revised guidance</w:t>
      </w:r>
      <w:r w:rsidRPr="00D23EF6">
        <w:t>, to receive consideration for a rebate reduction when</w:t>
      </w:r>
      <w:r>
        <w:t xml:space="preserve"> </w:t>
      </w:r>
      <w:r w:rsidR="0020043E">
        <w:t>a</w:t>
      </w:r>
      <w:r>
        <w:t xml:space="preserve"> generic </w:t>
      </w:r>
      <w:r w:rsidR="0020043E">
        <w:t xml:space="preserve">Part D rebatable </w:t>
      </w:r>
      <w:r>
        <w:t>drug is likely to be in shortage in a subsequent applicable period</w:t>
      </w:r>
      <w:r w:rsidR="009F08BE">
        <w:t>,</w:t>
      </w:r>
      <w:r w:rsidRPr="009F08BE" w:rsidR="009F08BE">
        <w:t xml:space="preserve"> the manufacturer of </w:t>
      </w:r>
      <w:r w:rsidR="009F08BE">
        <w:t>such</w:t>
      </w:r>
      <w:r w:rsidRPr="009F08BE" w:rsidR="009F08BE">
        <w:t xml:space="preserve"> generic drug</w:t>
      </w:r>
      <w:r w:rsidR="009F08BE">
        <w:t xml:space="preserve"> must submit </w:t>
      </w:r>
      <w:r w:rsidR="0020043E">
        <w:t xml:space="preserve">to CMS </w:t>
      </w:r>
      <w:r w:rsidR="009F08BE">
        <w:t>a request</w:t>
      </w:r>
      <w:r w:rsidR="0020043E">
        <w:t xml:space="preserve"> for a reduction of the rebate amount owed</w:t>
      </w:r>
      <w:r>
        <w:t>.</w:t>
      </w:r>
      <w:r w:rsidR="00172D0F">
        <w:t xml:space="preserve"> </w:t>
      </w:r>
      <w:r>
        <w:t>I</w:t>
      </w:r>
      <w:r w:rsidRPr="001F1592">
        <w:t xml:space="preserve">f a manufacturer of a generic Part D rebatable drug is granted a reduction of the rebate amount owed when CMS determines the drug is likely to be in shortage during a subsequent applicable period, and the manufacturer expects the likelihood of shortage to continue into a second applicable period, the manufacturer may submit </w:t>
      </w:r>
      <w:r w:rsidR="009E0D77">
        <w:t>a</w:t>
      </w:r>
      <w:r w:rsidRPr="001F1592">
        <w:t xml:space="preserve"> request for a</w:t>
      </w:r>
      <w:r w:rsidR="009E0D77">
        <w:t>n extension of the</w:t>
      </w:r>
      <w:r w:rsidRPr="001F1592">
        <w:t xml:space="preserve"> reduction of the rebate amount for that second applicable period.   </w:t>
      </w:r>
    </w:p>
    <w:p w:rsidR="00725941" w:rsidP="00725941" w14:paraId="6D11FBEF" w14:textId="37355AB6">
      <w:pPr>
        <w:ind w:left="-5" w:right="2"/>
      </w:pPr>
      <w:r>
        <w:t>This ICR does not address rebate reductions for Part D rebatable drugs currently in shortage, which are determined based on the FDA drug and biological product shortage lists under section 506E of the FD&amp;C Act and, therefore, do not require the submission of a rebate reduction request. For more information on how CMS will reduce the rebate amount for a Part D rebatable drug described as currently in shortage on an FDA shortage list, please refer to section 40.5.1 of the Part D revised guidance.</w:t>
      </w:r>
      <w:r>
        <w:rPr>
          <w:rStyle w:val="FootnoteReference"/>
        </w:rPr>
        <w:footnoteReference w:id="7"/>
      </w:r>
    </w:p>
    <w:p w:rsidR="008452AA" w14:paraId="0CD9E5FA" w14:textId="1303B3F2">
      <w:pPr>
        <w:spacing w:after="181"/>
        <w:ind w:left="-5" w:right="2"/>
      </w:pPr>
    </w:p>
    <w:p w:rsidR="001E18AD" w14:paraId="13AD0DEC" w14:textId="77777777">
      <w:pPr>
        <w:spacing w:after="0" w:line="259" w:lineRule="auto"/>
        <w:ind w:left="-5"/>
      </w:pPr>
      <w:r>
        <w:rPr>
          <w:b/>
        </w:rPr>
        <w:t>B.</w:t>
      </w:r>
      <w:r>
        <w:rPr>
          <w:rFonts w:ascii="Arial" w:eastAsia="Arial" w:hAnsi="Arial" w:cs="Arial"/>
          <w:b/>
        </w:rPr>
        <w:t xml:space="preserve"> </w:t>
      </w:r>
      <w:r>
        <w:rPr>
          <w:b/>
          <w:u w:val="single" w:color="000000"/>
        </w:rPr>
        <w:t>Justification</w:t>
      </w:r>
      <w:r>
        <w:rPr>
          <w:b/>
        </w:rPr>
        <w:t xml:space="preserve"> </w:t>
      </w:r>
    </w:p>
    <w:p w:rsidR="001E18AD" w14:paraId="13AD0DED" w14:textId="77777777">
      <w:pPr>
        <w:spacing w:after="14" w:line="259" w:lineRule="auto"/>
        <w:ind w:left="0" w:firstLine="0"/>
      </w:pPr>
      <w:r>
        <w:t xml:space="preserve"> </w:t>
      </w:r>
    </w:p>
    <w:p w:rsidR="001E18AD" w:rsidP="008427A8" w14:paraId="13AD0DEF" w14:textId="43120A3C">
      <w:pPr>
        <w:pStyle w:val="Heading1"/>
        <w:ind w:left="-5"/>
      </w:pPr>
      <w:r>
        <w:t xml:space="preserve">1. Need and Legal Basis </w:t>
      </w:r>
    </w:p>
    <w:p w:rsidR="001E18AD" w14:paraId="13AD0DF0" w14:textId="77777777">
      <w:pPr>
        <w:spacing w:after="0" w:line="259" w:lineRule="auto"/>
        <w:ind w:left="0" w:firstLine="0"/>
      </w:pPr>
      <w:r>
        <w:t xml:space="preserve"> </w:t>
      </w:r>
    </w:p>
    <w:p w:rsidR="00B1188A" w14:paraId="16DE62A1" w14:textId="7E8225BE">
      <w:pPr>
        <w:ind w:left="-5" w:right="2"/>
      </w:pPr>
      <w:r>
        <w:t xml:space="preserve">The </w:t>
      </w:r>
      <w:r w:rsidR="00FD0A6B">
        <w:t>Act</w:t>
      </w:r>
      <w:r>
        <w:t xml:space="preserve"> requires that CMS reduce or waive the rebate amount for a Part B biosimilar biological product and generic Part D rebatable drug or biosimilar when CMS determines there is a severe supply chain disruption, such as a disruption caused by a natural disaster or other unique or unexpected event during a calendar quarter or applicable period, respectively. The statute also requires that CMS reduce or waive the rebate amount for a generic Part D rebatable drug if CMS determines that without such reduction or waiver, the drug is likely to be described as in shortage on the shortage list </w:t>
      </w:r>
      <w:r w:rsidRPr="003737E8">
        <w:t>in effect under section 506E of the FD&amp;C Act</w:t>
      </w:r>
      <w:r>
        <w:t xml:space="preserve"> during a subsequent applicable period. </w:t>
      </w:r>
      <w:r w:rsidR="009A07A6">
        <w:t xml:space="preserve">CMS does not have </w:t>
      </w:r>
      <w:r>
        <w:t xml:space="preserve">the </w:t>
      </w:r>
      <w:r w:rsidR="009A07A6">
        <w:t xml:space="preserve">information necessary to determine whether </w:t>
      </w:r>
      <w:r>
        <w:t xml:space="preserve">or when </w:t>
      </w:r>
      <w:r w:rsidR="009A07A6">
        <w:t xml:space="preserve">manufacturers of </w:t>
      </w:r>
      <w:r w:rsidR="000928B8">
        <w:t xml:space="preserve">Part B </w:t>
      </w:r>
      <w:r w:rsidR="3176FD89">
        <w:t>rebatable biosimilar biological product</w:t>
      </w:r>
      <w:r w:rsidR="366A22CE">
        <w:t>s</w:t>
      </w:r>
      <w:r w:rsidR="3176FD89">
        <w:t xml:space="preserve"> </w:t>
      </w:r>
      <w:r w:rsidR="000928B8">
        <w:t xml:space="preserve">and </w:t>
      </w:r>
      <w:r w:rsidR="5B5E622A">
        <w:t>generic</w:t>
      </w:r>
      <w:r w:rsidR="000928B8">
        <w:t xml:space="preserve"> Part D </w:t>
      </w:r>
      <w:r w:rsidR="009A07A6">
        <w:t xml:space="preserve">rebatable drugs </w:t>
      </w:r>
      <w:r w:rsidR="00413D52">
        <w:t xml:space="preserve">or biosimilars </w:t>
      </w:r>
      <w:r>
        <w:t>experience</w:t>
      </w:r>
      <w:r w:rsidR="009A07A6">
        <w:t xml:space="preserve"> a severe supply chain disruption or </w:t>
      </w:r>
      <w:r w:rsidR="58643073">
        <w:t>whether or when a generic Part D rebatable drug</w:t>
      </w:r>
      <w:r w:rsidR="05DEF743">
        <w:t xml:space="preserve"> is</w:t>
      </w:r>
      <w:r w:rsidR="009A07A6">
        <w:t xml:space="preserve"> likely </w:t>
      </w:r>
      <w:r w:rsidR="3FD98A56">
        <w:t>to be in</w:t>
      </w:r>
      <w:r w:rsidR="00992E8B">
        <w:t xml:space="preserve"> </w:t>
      </w:r>
      <w:r w:rsidR="009A07A6">
        <w:t>shortage</w:t>
      </w:r>
      <w:r>
        <w:t>,</w:t>
      </w:r>
      <w:r w:rsidR="009A07A6">
        <w:t xml:space="preserve"> as required by sections </w:t>
      </w:r>
      <w:r w:rsidRPr="003825AC" w:rsidR="009A07A6">
        <w:t>1847A(</w:t>
      </w:r>
      <w:r w:rsidRPr="003825AC" w:rsidR="009A07A6">
        <w:t>i</w:t>
      </w:r>
      <w:r w:rsidRPr="003825AC" w:rsidR="009A07A6">
        <w:t>)(3)(G)</w:t>
      </w:r>
      <w:r w:rsidR="009A07A6">
        <w:t>(ii),</w:t>
      </w:r>
      <w:r w:rsidR="00514E04">
        <w:t xml:space="preserve"> </w:t>
      </w:r>
      <w:r w:rsidRPr="003825AC" w:rsidR="009A07A6">
        <w:t>1860D-14B(b)(1)(C)</w:t>
      </w:r>
      <w:r w:rsidR="009A07A6">
        <w:t>(ii), and</w:t>
      </w:r>
      <w:r w:rsidR="00514E04">
        <w:t xml:space="preserve"> </w:t>
      </w:r>
      <w:r w:rsidRPr="003825AC" w:rsidR="009A07A6">
        <w:t>1860D-14B(b)(1)(C)</w:t>
      </w:r>
      <w:r w:rsidR="009A07A6">
        <w:t xml:space="preserve">(iii) of the Act. </w:t>
      </w:r>
      <w:r>
        <w:t>Key elements of</w:t>
      </w:r>
      <w:r w:rsidR="00692E91">
        <w:rPr>
          <w:color w:val="000000" w:themeColor="text1"/>
        </w:rPr>
        <w:t xml:space="preserve"> information</w:t>
      </w:r>
      <w:r w:rsidR="00793F18">
        <w:rPr>
          <w:color w:val="000000" w:themeColor="text1"/>
        </w:rPr>
        <w:t xml:space="preserve"> and supporting documentation</w:t>
      </w:r>
      <w:r w:rsidR="00692E91">
        <w:rPr>
          <w:color w:val="000000" w:themeColor="text1"/>
        </w:rPr>
        <w:t xml:space="preserve"> </w:t>
      </w:r>
      <w:r w:rsidR="00667F46">
        <w:rPr>
          <w:color w:val="000000" w:themeColor="text1"/>
        </w:rPr>
        <w:t xml:space="preserve">needed for CMS to </w:t>
      </w:r>
      <w:r w:rsidR="00667F46">
        <w:rPr>
          <w:color w:val="000000" w:themeColor="text1"/>
        </w:rPr>
        <w:t>make a determination</w:t>
      </w:r>
      <w:r w:rsidR="00667F46">
        <w:rPr>
          <w:color w:val="000000" w:themeColor="text1"/>
        </w:rPr>
        <w:t xml:space="preserve"> regarding</w:t>
      </w:r>
      <w:r w:rsidR="00692E91">
        <w:rPr>
          <w:color w:val="000000" w:themeColor="text1"/>
        </w:rPr>
        <w:t xml:space="preserve"> </w:t>
      </w:r>
      <w:r w:rsidR="00143AE7">
        <w:rPr>
          <w:color w:val="000000" w:themeColor="text1"/>
        </w:rPr>
        <w:t xml:space="preserve">a </w:t>
      </w:r>
      <w:r w:rsidR="00692E91">
        <w:rPr>
          <w:color w:val="000000" w:themeColor="text1"/>
        </w:rPr>
        <w:t>severe supply chain disruption and the likelihood of a future shortage</w:t>
      </w:r>
      <w:r w:rsidRPr="4143736D" w:rsidR="00692E91">
        <w:rPr>
          <w:color w:val="000000" w:themeColor="text1"/>
        </w:rPr>
        <w:t xml:space="preserve"> are held by </w:t>
      </w:r>
      <w:r w:rsidR="00692E91">
        <w:rPr>
          <w:color w:val="000000" w:themeColor="text1"/>
        </w:rPr>
        <w:t>m</w:t>
      </w:r>
      <w:r w:rsidRPr="4143736D" w:rsidR="00692E91">
        <w:rPr>
          <w:color w:val="000000" w:themeColor="text1"/>
        </w:rPr>
        <w:t>anufacturer</w:t>
      </w:r>
      <w:r w:rsidR="00692E91">
        <w:rPr>
          <w:color w:val="000000" w:themeColor="text1"/>
        </w:rPr>
        <w:t>s</w:t>
      </w:r>
      <w:r w:rsidRPr="4143736D" w:rsidR="00692E91">
        <w:rPr>
          <w:color w:val="000000" w:themeColor="text1"/>
        </w:rPr>
        <w:t xml:space="preserve"> and are not available to CMS.</w:t>
      </w:r>
      <w:r w:rsidR="00692E91">
        <w:rPr>
          <w:color w:val="000000" w:themeColor="text1"/>
        </w:rPr>
        <w:t xml:space="preserve"> </w:t>
      </w:r>
      <w:r w:rsidR="00E44519">
        <w:t>For</w:t>
      </w:r>
      <w:r w:rsidR="008B3F53">
        <w:t xml:space="preserve"> CMS to determine whether there is a severe supply chain disruption or </w:t>
      </w:r>
      <w:r w:rsidR="00992E8B">
        <w:t>a likely</w:t>
      </w:r>
      <w:r w:rsidR="008B3F53">
        <w:t xml:space="preserve"> future shortage, </w:t>
      </w:r>
      <w:r w:rsidR="00E44519">
        <w:t xml:space="preserve">in accordance with sections </w:t>
      </w:r>
      <w:r w:rsidRPr="003825AC" w:rsidR="00E44519">
        <w:t>1847A(</w:t>
      </w:r>
      <w:r w:rsidRPr="003825AC" w:rsidR="00E44519">
        <w:t>i</w:t>
      </w:r>
      <w:r w:rsidRPr="003825AC" w:rsidR="00E44519">
        <w:t>)(3)(G)</w:t>
      </w:r>
      <w:r w:rsidR="00793F18">
        <w:t>(ii),</w:t>
      </w:r>
      <w:r w:rsidR="00514E04">
        <w:t xml:space="preserve"> </w:t>
      </w:r>
      <w:r w:rsidRPr="003825AC" w:rsidR="00E44519">
        <w:t>1860D-14B(b)(1)(C)</w:t>
      </w:r>
      <w:r w:rsidR="00E44519">
        <w:t>(ii)</w:t>
      </w:r>
      <w:r w:rsidR="00793F18">
        <w:t>, and</w:t>
      </w:r>
      <w:r w:rsidR="00514E04">
        <w:t xml:space="preserve"> </w:t>
      </w:r>
      <w:r w:rsidRPr="003825AC" w:rsidR="00793F18">
        <w:t>1860D-14B(b)(1)(C)</w:t>
      </w:r>
      <w:r w:rsidR="00793F18">
        <w:t xml:space="preserve">(iii) </w:t>
      </w:r>
      <w:r w:rsidR="00E44519">
        <w:t xml:space="preserve">of the Act, </w:t>
      </w:r>
      <w:r w:rsidR="00B45FC6">
        <w:t xml:space="preserve">a </w:t>
      </w:r>
      <w:r w:rsidR="008B3F53">
        <w:t>manufacturer must submit</w:t>
      </w:r>
      <w:r w:rsidR="00E44519">
        <w:t xml:space="preserve"> </w:t>
      </w:r>
      <w:r w:rsidR="00B45FC6">
        <w:t xml:space="preserve">a request </w:t>
      </w:r>
      <w:r w:rsidR="007D05C6">
        <w:t xml:space="preserve">and supporting documentation </w:t>
      </w:r>
      <w:r w:rsidR="00D51B56">
        <w:t>(</w:t>
      </w:r>
      <w:r w:rsidR="003F62CE">
        <w:t xml:space="preserve">as described in </w:t>
      </w:r>
      <w:r w:rsidR="00D51B56">
        <w:t>Appendix A, B, C, and D</w:t>
      </w:r>
      <w:r w:rsidR="003F62CE">
        <w:t>, as applicable</w:t>
      </w:r>
      <w:r w:rsidR="00D51B56">
        <w:t xml:space="preserve">) </w:t>
      </w:r>
      <w:r w:rsidR="00B45FC6">
        <w:t xml:space="preserve">to </w:t>
      </w:r>
      <w:r w:rsidR="00E44519">
        <w:t>CMS</w:t>
      </w:r>
      <w:r w:rsidR="008B3F53">
        <w:t xml:space="preserve"> </w:t>
      </w:r>
      <w:r w:rsidR="00B45FC6">
        <w:t>to receive consideration for a rebate reduction.</w:t>
      </w:r>
      <w:r w:rsidR="00692E91">
        <w:t xml:space="preserve"> </w:t>
      </w:r>
    </w:p>
    <w:p w:rsidR="001E18AD" w14:paraId="13AD0DF2" w14:textId="1DD62142">
      <w:pPr>
        <w:spacing w:after="16" w:line="259" w:lineRule="auto"/>
        <w:ind w:left="0" w:firstLine="0"/>
      </w:pPr>
    </w:p>
    <w:p w:rsidR="001E18AD" w14:paraId="13AD0DF3" w14:textId="71F9D7DC">
      <w:pPr>
        <w:pStyle w:val="Heading1"/>
        <w:ind w:left="-5"/>
      </w:pPr>
      <w:r>
        <w:t xml:space="preserve">2.  Information Users </w:t>
      </w:r>
    </w:p>
    <w:p w:rsidR="001E18AD" w14:paraId="13AD0DF4" w14:textId="77777777">
      <w:pPr>
        <w:spacing w:after="0" w:line="259" w:lineRule="auto"/>
        <w:ind w:left="0" w:firstLine="0"/>
      </w:pPr>
      <w:r>
        <w:t xml:space="preserve"> </w:t>
      </w:r>
    </w:p>
    <w:p w:rsidR="001E18AD" w14:paraId="13AD0DF5" w14:textId="027FD91D">
      <w:pPr>
        <w:ind w:left="-5" w:right="2"/>
      </w:pPr>
      <w:r>
        <w:t>Section</w:t>
      </w:r>
      <w:r w:rsidR="00483DE9">
        <w:t xml:space="preserve">s </w:t>
      </w:r>
      <w:r w:rsidRPr="003825AC" w:rsidR="00483DE9">
        <w:t>1847A(</w:t>
      </w:r>
      <w:r w:rsidRPr="003825AC" w:rsidR="00483DE9">
        <w:t>i</w:t>
      </w:r>
      <w:r w:rsidRPr="003825AC" w:rsidR="00483DE9">
        <w:t>)</w:t>
      </w:r>
      <w:r w:rsidR="00F2402C">
        <w:t>(3)(G)(ii</w:t>
      </w:r>
      <w:r w:rsidRPr="003825AC" w:rsidR="00483DE9">
        <w:t xml:space="preserve">) </w:t>
      </w:r>
      <w:r w:rsidR="00483DE9">
        <w:t xml:space="preserve">and </w:t>
      </w:r>
      <w:r w:rsidRPr="002374D2" w:rsidR="00483DE9">
        <w:t>1860D-14B</w:t>
      </w:r>
      <w:r w:rsidR="001444A9">
        <w:t>(b)</w:t>
      </w:r>
      <w:r w:rsidR="00F2402C">
        <w:t>(1)(C)(ii)</w:t>
      </w:r>
      <w:r w:rsidR="00483DE9">
        <w:t xml:space="preserve"> </w:t>
      </w:r>
      <w:r>
        <w:t xml:space="preserve">of the Act </w:t>
      </w:r>
      <w:r w:rsidR="006D03F4">
        <w:t>require</w:t>
      </w:r>
      <w:r w:rsidR="00F2402C">
        <w:t xml:space="preserve"> </w:t>
      </w:r>
      <w:r w:rsidR="005E170E">
        <w:t>CMS to reduce or waive the rebate amount for a Part B biosimilar biological product and generic Part D rebatable drug or biosimilar when CMS determines there is a severe supply chain disruption, such as a disruption caused by a natural disaster or other unique or unexpected event during a calendar quarter or applicable period, respectively.</w:t>
      </w:r>
      <w:r w:rsidR="00483DE9">
        <w:t xml:space="preserve"> Section </w:t>
      </w:r>
      <w:r w:rsidRPr="002374D2" w:rsidR="00483DE9">
        <w:t>1860D-14B</w:t>
      </w:r>
      <w:r w:rsidR="001444A9">
        <w:t>(b)</w:t>
      </w:r>
      <w:r w:rsidR="00F2402C">
        <w:t>(1)(C)(iii)</w:t>
      </w:r>
      <w:r w:rsidR="00483DE9">
        <w:t xml:space="preserve"> of the Act </w:t>
      </w:r>
      <w:r w:rsidR="006D03F4">
        <w:t xml:space="preserve">requires </w:t>
      </w:r>
      <w:r w:rsidR="00483DE9">
        <w:t xml:space="preserve">CMS to </w:t>
      </w:r>
      <w:r w:rsidR="00B70EF6">
        <w:t xml:space="preserve">reduce or </w:t>
      </w:r>
      <w:r w:rsidR="006D03F4">
        <w:t xml:space="preserve">waive the rebate amount owed by a manufacturer if CMS </w:t>
      </w:r>
      <w:r w:rsidR="00483DE9">
        <w:t>determine</w:t>
      </w:r>
      <w:r w:rsidR="006D03F4">
        <w:t>s</w:t>
      </w:r>
      <w:r w:rsidR="00483DE9">
        <w:t xml:space="preserve"> that without </w:t>
      </w:r>
      <w:r w:rsidR="00BF61BA">
        <w:t xml:space="preserve">such </w:t>
      </w:r>
      <w:r w:rsidR="00483DE9">
        <w:t>reduction</w:t>
      </w:r>
      <w:r w:rsidR="00DC0C4F">
        <w:t xml:space="preserve"> or waiver</w:t>
      </w:r>
      <w:r w:rsidR="00483DE9">
        <w:t xml:space="preserve">, </w:t>
      </w:r>
      <w:r w:rsidR="00BF61BA">
        <w:t xml:space="preserve">the </w:t>
      </w:r>
      <w:r w:rsidR="00A75641">
        <w:t xml:space="preserve">manufacturer’s </w:t>
      </w:r>
      <w:r w:rsidR="00483DE9">
        <w:t>generic Part D rebatable drug is likely to be in sho</w:t>
      </w:r>
      <w:r w:rsidR="00CF78E3">
        <w:t>r</w:t>
      </w:r>
      <w:r w:rsidR="00483DE9">
        <w:t>tage in a subsequent applicable period</w:t>
      </w:r>
      <w:r w:rsidR="00CF78E3">
        <w:t xml:space="preserve">. </w:t>
      </w:r>
      <w:r>
        <w:t xml:space="preserve">CMS will use the </w:t>
      </w:r>
      <w:r w:rsidR="00A75641">
        <w:t xml:space="preserve">information submitted </w:t>
      </w:r>
      <w:r w:rsidR="0B41317A">
        <w:t xml:space="preserve">electronically through a secure platform </w:t>
      </w:r>
      <w:r w:rsidR="00A75641">
        <w:t xml:space="preserve">by </w:t>
      </w:r>
      <w:r w:rsidR="008037E8">
        <w:t xml:space="preserve">a </w:t>
      </w:r>
      <w:r w:rsidR="00A75641">
        <w:t>manufacturer</w:t>
      </w:r>
      <w:r w:rsidR="008037E8">
        <w:t xml:space="preserve"> requesting a reduction</w:t>
      </w:r>
      <w:r w:rsidR="006566EC">
        <w:t xml:space="preserve"> </w:t>
      </w:r>
      <w:r w:rsidR="00A75641">
        <w:t xml:space="preserve"> </w:t>
      </w:r>
      <w:r>
        <w:t xml:space="preserve">to </w:t>
      </w:r>
      <w:r w:rsidR="00681BA9">
        <w:t xml:space="preserve">determine whether a Part B rebatable biosimilar product </w:t>
      </w:r>
      <w:r w:rsidR="00BF61BA">
        <w:t xml:space="preserve">or </w:t>
      </w:r>
      <w:r w:rsidR="00681BA9">
        <w:t>generic Part D rebatable drug or biosimilar is eligible for a reduction in the rebate amount.</w:t>
      </w:r>
    </w:p>
    <w:p w:rsidR="001E18AD" w14:paraId="13AD0DF6" w14:textId="77777777">
      <w:pPr>
        <w:spacing w:after="14" w:line="259" w:lineRule="auto"/>
        <w:ind w:left="0" w:firstLine="0"/>
      </w:pPr>
      <w:r>
        <w:t xml:space="preserve"> </w:t>
      </w:r>
    </w:p>
    <w:p w:rsidR="001E18AD" w14:paraId="13AD0DF7" w14:textId="18DB04F8">
      <w:pPr>
        <w:pStyle w:val="Heading1"/>
        <w:ind w:left="-5"/>
      </w:pPr>
      <w:r>
        <w:t xml:space="preserve">3.  Use of Information Technology </w:t>
      </w:r>
    </w:p>
    <w:p w:rsidR="001E18AD" w14:paraId="13AD0DF8" w14:textId="77777777">
      <w:pPr>
        <w:spacing w:after="0" w:line="259" w:lineRule="auto"/>
        <w:ind w:left="0" w:firstLine="0"/>
      </w:pPr>
      <w:r>
        <w:t xml:space="preserve"> </w:t>
      </w:r>
    </w:p>
    <w:p w:rsidR="00F23FF8" w:rsidP="00F23FF8" w14:paraId="06DD0B5A" w14:textId="3F13AEB5">
      <w:pPr>
        <w:ind w:left="-5" w:right="2"/>
      </w:pPr>
      <w:r>
        <w:t>A m</w:t>
      </w:r>
      <w:r w:rsidR="00C87D04">
        <w:t xml:space="preserve">anufacturer should complete </w:t>
      </w:r>
      <w:r>
        <w:t>a rebate reduction request</w:t>
      </w:r>
      <w:r w:rsidR="00C87D04">
        <w:t xml:space="preserve">, if applicable, </w:t>
      </w:r>
      <w:r>
        <w:t xml:space="preserve">by </w:t>
      </w:r>
      <w:r w:rsidR="00534C06">
        <w:t xml:space="preserve">first </w:t>
      </w:r>
      <w:r>
        <w:t xml:space="preserve">emailing </w:t>
      </w:r>
      <w:hyperlink r:id="rId9" w:history="1">
        <w:r w:rsidRPr="004C1FA3">
          <w:rPr>
            <w:rStyle w:val="Hyperlink"/>
          </w:rPr>
          <w:t>IRARebateandNegotiation@cms.hhs.gov</w:t>
        </w:r>
      </w:hyperlink>
      <w:r>
        <w:t xml:space="preserve"> to indicate its intention to submit a request for a reduction in the rebate amount. Within 5 business days of receipt, CMS will respond by providing the manufacturer with (1) a </w:t>
      </w:r>
      <w:r w:rsidR="00175FB9">
        <w:t xml:space="preserve">PDF </w:t>
      </w:r>
      <w:r w:rsidR="00900F58">
        <w:t>of</w:t>
      </w:r>
      <w:r>
        <w:t xml:space="preserve"> the rebate reduction request form</w:t>
      </w:r>
      <w:r w:rsidR="004C7741">
        <w:t xml:space="preserve"> (</w:t>
      </w:r>
      <w:r>
        <w:t xml:space="preserve">available </w:t>
      </w:r>
      <w:r w:rsidR="00256A07">
        <w:t>as</w:t>
      </w:r>
      <w:r>
        <w:t xml:space="preserve"> Appendix </w:t>
      </w:r>
      <w:r w:rsidR="004C7741">
        <w:t xml:space="preserve">A, B, </w:t>
      </w:r>
      <w:r>
        <w:t>C</w:t>
      </w:r>
      <w:r w:rsidR="004C7741">
        <w:t>, and D</w:t>
      </w:r>
      <w:r>
        <w:t xml:space="preserve"> of this </w:t>
      </w:r>
      <w:r w:rsidR="004C7741">
        <w:t>ICR)</w:t>
      </w:r>
      <w:r>
        <w:t xml:space="preserve">, and (2) access to a Box folder, or similar </w:t>
      </w:r>
      <w:r w:rsidR="00C16D3B">
        <w:t xml:space="preserve">secure </w:t>
      </w:r>
      <w:r w:rsidR="00AC53FF">
        <w:t xml:space="preserve">file sharing management platform </w:t>
      </w:r>
      <w:r>
        <w:t>approved by CMS, specific to the manufacturer’s request.</w:t>
      </w:r>
      <w:r w:rsidRPr="000E0F91" w:rsidR="000E0F91">
        <w:rPr>
          <w:szCs w:val="24"/>
        </w:rPr>
        <w:t xml:space="preserve"> </w:t>
      </w:r>
      <w:r w:rsidRPr="008046F1" w:rsidR="008046F1">
        <w:rPr>
          <w:szCs w:val="24"/>
        </w:rPr>
        <w:t>CMS continues to evaluate options for manufacturer form submissions and may revise the submission method in the future.</w:t>
      </w:r>
    </w:p>
    <w:p w:rsidR="00F23FF8" w14:paraId="22D004BD" w14:textId="77777777">
      <w:pPr>
        <w:ind w:left="-5" w:right="2"/>
      </w:pPr>
    </w:p>
    <w:p w:rsidR="00C04E0F" w:rsidP="00C04E0F" w14:paraId="2DED6F20" w14:textId="054CD533">
      <w:pPr>
        <w:spacing w:after="0" w:line="240" w:lineRule="auto"/>
        <w:rPr>
          <w:szCs w:val="24"/>
        </w:rPr>
      </w:pPr>
      <w:r w:rsidRPr="00277387">
        <w:rPr>
          <w:szCs w:val="24"/>
        </w:rPr>
        <w:t xml:space="preserve">A rebate reduction request must be submitted by an authorized representative of the </w:t>
      </w:r>
      <w:r>
        <w:rPr>
          <w:szCs w:val="24"/>
        </w:rPr>
        <w:t>manufacturer of the Part B rebatable biosimilar biological product or generic Part D rebatable drug or biosimilar.</w:t>
      </w:r>
      <w:r w:rsidRPr="00277387">
        <w:rPr>
          <w:szCs w:val="24"/>
        </w:rPr>
        <w:t xml:space="preserve"> </w:t>
      </w:r>
      <w:r w:rsidRPr="00683AF9">
        <w:rPr>
          <w:szCs w:val="24"/>
        </w:rPr>
        <w:t xml:space="preserve">An authorized representative includes (1) the chief executive officer (CEO) of the </w:t>
      </w:r>
      <w:r>
        <w:rPr>
          <w:szCs w:val="24"/>
        </w:rPr>
        <w:t>m</w:t>
      </w:r>
      <w:r w:rsidRPr="00683AF9">
        <w:rPr>
          <w:szCs w:val="24"/>
        </w:rPr>
        <w:t xml:space="preserve">anufacturer, (2) the chief financial officer (CFO) of the </w:t>
      </w:r>
      <w:r>
        <w:rPr>
          <w:szCs w:val="24"/>
        </w:rPr>
        <w:t>m</w:t>
      </w:r>
      <w:r w:rsidRPr="00683AF9">
        <w:rPr>
          <w:szCs w:val="24"/>
        </w:rPr>
        <w:t>anufacturer, (3) an individual other than a CEO or CFO, who has authority equivalent to a CEO or a CFO, or (4) an individual with the directly delegated authority as an authorized representative to perform the certification on behalf of one of the individuals mentioned in (1) through (3).</w:t>
      </w:r>
    </w:p>
    <w:p w:rsidR="001E18AD" w:rsidP="00BB00BB" w14:paraId="13AD0DFC" w14:textId="4F9A8C98">
      <w:pPr>
        <w:spacing w:after="0" w:line="259" w:lineRule="auto"/>
        <w:ind w:left="720" w:firstLine="0"/>
      </w:pPr>
    </w:p>
    <w:p w:rsidR="001E18AD" w14:paraId="13AD0DFD" w14:textId="255A4B21">
      <w:pPr>
        <w:pStyle w:val="Heading1"/>
        <w:ind w:left="-5"/>
      </w:pPr>
      <w:r>
        <w:t xml:space="preserve">4.  Duplication of Efforts  </w:t>
      </w:r>
    </w:p>
    <w:p w:rsidR="001E18AD" w14:paraId="13AD0DFE" w14:textId="77777777">
      <w:pPr>
        <w:spacing w:after="0" w:line="259" w:lineRule="auto"/>
        <w:ind w:left="0" w:firstLine="0"/>
      </w:pPr>
      <w:r>
        <w:t xml:space="preserve"> </w:t>
      </w:r>
    </w:p>
    <w:p w:rsidR="001E18AD" w14:paraId="13AD0DFF" w14:textId="2BB6A512">
      <w:pPr>
        <w:ind w:left="-5" w:right="2"/>
      </w:pPr>
      <w:r>
        <w:t>The information collection o</w:t>
      </w:r>
      <w:r w:rsidR="00177A88">
        <w:t>n</w:t>
      </w:r>
      <w:r>
        <w:t xml:space="preserve"> </w:t>
      </w:r>
      <w:r w:rsidR="00177A88">
        <w:t xml:space="preserve">whether a manufacturer submitted a notification to FDA to report an interruption in manufacturing as specified under section 506C of the </w:t>
      </w:r>
      <w:r w:rsidR="001C166E">
        <w:t>FD&amp;C Act</w:t>
      </w:r>
      <w:r w:rsidR="00177A88">
        <w:t xml:space="preserve"> (“506C notification”) is information already collected </w:t>
      </w:r>
      <w:r w:rsidR="008D3CAB">
        <w:t xml:space="preserve">by FDA. However, </w:t>
      </w:r>
      <w:r w:rsidR="00D31BF7">
        <w:t>not all manufacturers submitting a rebate reduction request may trigger the statutory requirements for submission of 506C notifications to FDA. In addition</w:t>
      </w:r>
      <w:r w:rsidR="008D3CAB">
        <w:t xml:space="preserve">, </w:t>
      </w:r>
      <w:r w:rsidR="002F7539">
        <w:t xml:space="preserve">506C notifications submitted to FDA by manufacturers are not made publicly available. </w:t>
      </w:r>
      <w:r w:rsidR="007333C0">
        <w:t xml:space="preserve">As such, CMS believes the manufacturer is best positioned to submit a timely copy of the 506C notification to CMS. </w:t>
      </w:r>
      <w:r w:rsidR="00914CE1">
        <w:t xml:space="preserve">Other information collected </w:t>
      </w:r>
      <w:r w:rsidRPr="00914CE1" w:rsidR="00914CE1">
        <w:t>do</w:t>
      </w:r>
      <w:r w:rsidR="00914CE1">
        <w:t>es</w:t>
      </w:r>
      <w:r w:rsidRPr="00914CE1" w:rsidR="00914CE1">
        <w:t xml:space="preserve"> not duplicate any </w:t>
      </w:r>
      <w:r w:rsidR="00E831E9">
        <w:t>existing</w:t>
      </w:r>
      <w:r w:rsidRPr="00914CE1" w:rsidR="00914CE1">
        <w:t xml:space="preserve"> information collection</w:t>
      </w:r>
      <w:r w:rsidR="00914CE1">
        <w:t xml:space="preserve"> </w:t>
      </w:r>
      <w:r w:rsidR="00E831E9">
        <w:t xml:space="preserve">efforts </w:t>
      </w:r>
      <w:r w:rsidR="00914CE1">
        <w:t xml:space="preserve">and </w:t>
      </w:r>
      <w:r w:rsidR="00E831E9">
        <w:t>cannot be obtained from other sources</w:t>
      </w:r>
      <w:r w:rsidRPr="00914CE1" w:rsidR="00914CE1">
        <w:t>.</w:t>
      </w:r>
      <w:r w:rsidR="008D3CAB">
        <w:t xml:space="preserve"> </w:t>
      </w:r>
      <w:r>
        <w:t xml:space="preserve"> </w:t>
      </w:r>
    </w:p>
    <w:p w:rsidR="001E18AD" w14:paraId="13AD0E00" w14:textId="77777777">
      <w:pPr>
        <w:spacing w:after="14" w:line="259" w:lineRule="auto"/>
        <w:ind w:left="0" w:firstLine="0"/>
      </w:pPr>
      <w:r>
        <w:t xml:space="preserve"> </w:t>
      </w:r>
    </w:p>
    <w:p w:rsidR="001E18AD" w14:paraId="13AD0E01" w14:textId="35AC6E9C">
      <w:pPr>
        <w:pStyle w:val="Heading1"/>
        <w:ind w:left="-5"/>
      </w:pPr>
      <w:r>
        <w:t xml:space="preserve">5.  Small Businesses </w:t>
      </w:r>
    </w:p>
    <w:p w:rsidR="001E18AD" w14:paraId="13AD0E02" w14:textId="77777777">
      <w:pPr>
        <w:spacing w:after="0" w:line="259" w:lineRule="auto"/>
        <w:ind w:left="0" w:firstLine="0"/>
      </w:pPr>
      <w:r>
        <w:t xml:space="preserve"> </w:t>
      </w:r>
    </w:p>
    <w:p w:rsidR="00D74FFE" w:rsidP="00D74FFE" w14:paraId="0E4CA332" w14:textId="6C2935CC">
      <w:pPr>
        <w:ind w:left="-5" w:right="2"/>
      </w:pPr>
      <w:r>
        <w:t xml:space="preserve">The impact of this collection on a manufacturer is estimated to be the same regardless of the size of the manufacturer. </w:t>
      </w:r>
      <w:r w:rsidR="00296186">
        <w:t xml:space="preserve">To minimize burden, CMS is </w:t>
      </w:r>
      <w:r w:rsidRPr="00296186" w:rsidR="00296186">
        <w:t xml:space="preserve">allowing manufacturers to submit one request </w:t>
      </w:r>
      <w:r w:rsidR="003B366F">
        <w:t>per severe supply chain disruption or likely shortage, as applicable</w:t>
      </w:r>
      <w:r>
        <w:t xml:space="preserve">, </w:t>
      </w:r>
      <w:r w:rsidRPr="00296186">
        <w:t>for multiple affected products</w:t>
      </w:r>
      <w:r>
        <w:t>.</w:t>
      </w:r>
    </w:p>
    <w:p w:rsidR="00952737" w:rsidP="00952737" w14:paraId="19BDAC07" w14:textId="2D1D6B44">
      <w:pPr>
        <w:ind w:left="-5" w:right="2"/>
      </w:pPr>
    </w:p>
    <w:p w:rsidR="001E18AD" w14:paraId="13AD0E06" w14:textId="1400EAD6">
      <w:pPr>
        <w:pStyle w:val="Heading1"/>
        <w:ind w:left="-5"/>
      </w:pPr>
      <w:r>
        <w:t xml:space="preserve">6.  Less Frequent Collection </w:t>
      </w:r>
    </w:p>
    <w:p w:rsidR="001E18AD" w14:paraId="13AD0E07" w14:textId="77777777">
      <w:pPr>
        <w:spacing w:after="0" w:line="259" w:lineRule="auto"/>
        <w:ind w:left="0" w:firstLine="0"/>
      </w:pPr>
      <w:r>
        <w:t xml:space="preserve"> </w:t>
      </w:r>
    </w:p>
    <w:p w:rsidR="001E18AD" w14:paraId="13AD0E08" w14:textId="1F15BB01">
      <w:pPr>
        <w:ind w:left="-5" w:right="2"/>
      </w:pPr>
      <w:r>
        <w:t xml:space="preserve">Should CMS forgo this information request, CMS would have </w:t>
      </w:r>
      <w:r w:rsidR="00221A53">
        <w:t>limited information</w:t>
      </w:r>
      <w:r>
        <w:t xml:space="preserve"> to </w:t>
      </w:r>
      <w:r>
        <w:t>make a determination</w:t>
      </w:r>
      <w:r>
        <w:t xml:space="preserve"> regarding whether a severe supply chain disruption has occurred or whether a generic Part D rebatable drug is likely to be in shortage</w:t>
      </w:r>
      <w:r w:rsidR="00E47D3C">
        <w:t xml:space="preserve"> for purposes of </w:t>
      </w:r>
      <w:r w:rsidR="00801486">
        <w:t>reducing the rebate amount</w:t>
      </w:r>
      <w:r>
        <w:t xml:space="preserve">. </w:t>
      </w:r>
      <w:r w:rsidRPr="00FA6C8D" w:rsidR="00FA6C8D">
        <w:t xml:space="preserve">By </w:t>
      </w:r>
      <w:r w:rsidR="00FA6C8D">
        <w:t>allowing manufacturers to submit one request for multiple affect</w:t>
      </w:r>
      <w:r w:rsidR="003D43FF">
        <w:t>ed</w:t>
      </w:r>
      <w:r w:rsidR="00FA6C8D">
        <w:t xml:space="preserve"> products</w:t>
      </w:r>
      <w:r w:rsidRPr="00FA6C8D" w:rsidR="00FA6C8D">
        <w:t>,</w:t>
      </w:r>
      <w:r w:rsidR="00801486">
        <w:t xml:space="preserve"> if applicable,</w:t>
      </w:r>
      <w:r w:rsidRPr="00FA6C8D" w:rsidR="00FA6C8D">
        <w:t xml:space="preserve"> CMS seeks to alleviate </w:t>
      </w:r>
      <w:r w:rsidR="00B0441D">
        <w:t>more frequent collection</w:t>
      </w:r>
      <w:r w:rsidR="00FA6C8D">
        <w:t xml:space="preserve">. </w:t>
      </w:r>
      <w:r w:rsidR="009337BD">
        <w:t xml:space="preserve">This information cannot be collected less frequently because a manufacturer electing to request a reduction in the rebate amount must only </w:t>
      </w:r>
      <w:r w:rsidR="00C87D04">
        <w:t>submit the information once</w:t>
      </w:r>
      <w:r w:rsidR="002241C3">
        <w:t xml:space="preserve"> as part</w:t>
      </w:r>
      <w:r w:rsidR="00C87D04">
        <w:t xml:space="preserve"> of </w:t>
      </w:r>
      <w:r w:rsidR="002241C3">
        <w:t>a rebate reduction request</w:t>
      </w:r>
      <w:r w:rsidR="009337BD">
        <w:t xml:space="preserve">. If </w:t>
      </w:r>
      <w:r w:rsidR="00121C40">
        <w:t xml:space="preserve">CMS grants the rebate reduction request and the manufacturer elects to request an extension of the rebate reduction, the manufacturer must submit </w:t>
      </w:r>
      <w:r w:rsidR="00E47D3C">
        <w:t>updated information once as part of an</w:t>
      </w:r>
      <w:r w:rsidR="002241C3">
        <w:t xml:space="preserve"> extension request</w:t>
      </w:r>
      <w:r w:rsidR="00E47D3C">
        <w:t>, if applicable</w:t>
      </w:r>
      <w:r w:rsidR="002241C3">
        <w:t>.</w:t>
      </w:r>
    </w:p>
    <w:p w:rsidR="001E18AD" w14:paraId="13AD0E09" w14:textId="7124EBE2">
      <w:pPr>
        <w:spacing w:after="16" w:line="259" w:lineRule="auto"/>
        <w:ind w:left="0" w:firstLine="0"/>
      </w:pPr>
    </w:p>
    <w:p w:rsidR="001E18AD" w14:paraId="13AD0E0A" w14:textId="77777777">
      <w:pPr>
        <w:pStyle w:val="Heading1"/>
        <w:ind w:left="-5"/>
      </w:pPr>
      <w:r>
        <w:t xml:space="preserve">7.  Special Circumstances </w:t>
      </w:r>
    </w:p>
    <w:p w:rsidR="001E18AD" w14:paraId="13AD0E0B" w14:textId="77777777">
      <w:pPr>
        <w:spacing w:after="0" w:line="259" w:lineRule="auto"/>
        <w:ind w:left="0" w:firstLine="0"/>
      </w:pPr>
      <w:r>
        <w:t xml:space="preserve"> </w:t>
      </w:r>
    </w:p>
    <w:p w:rsidR="00D54BDE" w:rsidP="00D54BDE" w14:paraId="6D96C856" w14:textId="39312785">
      <w:pPr>
        <w:spacing w:after="0"/>
      </w:pPr>
      <w:r>
        <w:t xml:space="preserve">Information collected through the rebate reduction request forms may contain proprietary, trade secret, or other confidential information. </w:t>
      </w:r>
      <w:r w:rsidR="004715D4">
        <w:t>CMS will keep confidential,</w:t>
      </w:r>
      <w:r w:rsidRPr="00D30284" w:rsidR="004715D4">
        <w:t xml:space="preserve"> </w:t>
      </w:r>
      <w:r w:rsidR="004715D4">
        <w:t>to the extent allowable under law, any requests for a rebate reduction, including supporting documentation. I</w:t>
      </w:r>
      <w:r w:rsidRPr="00464979" w:rsidR="004715D4">
        <w:t xml:space="preserve">nformation </w:t>
      </w:r>
      <w:r w:rsidR="004715D4">
        <w:t xml:space="preserve">provided as part of a request for a rebate reduction </w:t>
      </w:r>
      <w:r w:rsidRPr="00464979" w:rsidR="004715D4">
        <w:t xml:space="preserve">that </w:t>
      </w:r>
      <w:r w:rsidR="004715D4">
        <w:t xml:space="preserve">the submitter indicates </w:t>
      </w:r>
      <w:r w:rsidRPr="00464979" w:rsidR="004715D4">
        <w:t xml:space="preserve">is a trade secret or confidential commercial or financial information will be protected </w:t>
      </w:r>
      <w:r w:rsidRPr="00464979" w:rsidR="004715D4">
        <w:t>from disclosure</w:t>
      </w:r>
      <w:r w:rsidR="0019384B">
        <w:t>,</w:t>
      </w:r>
      <w:r w:rsidR="0019384B">
        <w:t xml:space="preserve"> to the extent allowable by law,</w:t>
      </w:r>
      <w:r w:rsidRPr="00464979" w:rsidR="004715D4">
        <w:t xml:space="preserve"> if the information meets the requirements set forth under Exemptions 3 and/or 4 of the Freedom of Information Act (FOIA)</w:t>
      </w:r>
      <w:r w:rsidRPr="24AE88FA">
        <w:t xml:space="preserve"> (5 U.S.C. § 552(b)(</w:t>
      </w:r>
      <w:r>
        <w:t xml:space="preserve">3), </w:t>
      </w:r>
      <w:r w:rsidRPr="24AE88FA">
        <w:t>(4)).</w:t>
      </w:r>
      <w:r>
        <w:rPr>
          <w:rStyle w:val="FootnoteReference"/>
        </w:rPr>
        <w:footnoteReference w:id="8"/>
      </w:r>
      <w:r w:rsidRPr="24AE88FA">
        <w:t xml:space="preserve"> </w:t>
      </w:r>
    </w:p>
    <w:p w:rsidR="001E18AD" w:rsidP="00A2337D" w14:paraId="13AD0E0D" w14:textId="247CF011">
      <w:pPr>
        <w:ind w:left="-5" w:right="2"/>
      </w:pPr>
    </w:p>
    <w:p w:rsidR="001E18AD" w14:paraId="13AD0E0E" w14:textId="77777777">
      <w:pPr>
        <w:ind w:left="-5" w:right="2"/>
      </w:pPr>
      <w:r>
        <w:t xml:space="preserve">There are no special circumstances that would require this information collection to be conducted in a manner that requires respondents to: </w:t>
      </w:r>
    </w:p>
    <w:p w:rsidR="001E18AD" w14:paraId="13AD0E0F" w14:textId="77777777">
      <w:pPr>
        <w:spacing w:after="6" w:line="259" w:lineRule="auto"/>
        <w:ind w:left="0" w:firstLine="0"/>
      </w:pPr>
      <w:r>
        <w:t xml:space="preserve"> </w:t>
      </w:r>
    </w:p>
    <w:p w:rsidR="001E18AD" w14:paraId="13AD0E10" w14:textId="7ADBBB05">
      <w:pPr>
        <w:numPr>
          <w:ilvl w:val="0"/>
          <w:numId w:val="2"/>
        </w:numPr>
        <w:ind w:right="2" w:hanging="360"/>
      </w:pPr>
      <w:r>
        <w:t>Report information to the agency more often than quarterly;</w:t>
      </w:r>
      <w:r>
        <w:rPr>
          <w:rFonts w:ascii="Calibri" w:eastAsia="Calibri" w:hAnsi="Calibri" w:cs="Calibri"/>
        </w:rPr>
        <w:t xml:space="preserve"> </w:t>
      </w:r>
    </w:p>
    <w:p w:rsidR="001E18AD" w14:paraId="13AD0E11" w14:textId="77777777">
      <w:pPr>
        <w:numPr>
          <w:ilvl w:val="0"/>
          <w:numId w:val="2"/>
        </w:numPr>
        <w:ind w:right="2" w:hanging="360"/>
      </w:pPr>
      <w:r>
        <w:t xml:space="preserve">Prepare a written response to a collection of information in fewer than 30 days after receipt of it; </w:t>
      </w:r>
      <w:r>
        <w:rPr>
          <w:rFonts w:ascii="Calibri" w:eastAsia="Calibri" w:hAnsi="Calibri" w:cs="Calibri"/>
        </w:rPr>
        <w:t xml:space="preserve"> </w:t>
      </w:r>
    </w:p>
    <w:p w:rsidR="001E18AD" w14:paraId="13AD0E12" w14:textId="77777777">
      <w:pPr>
        <w:numPr>
          <w:ilvl w:val="0"/>
          <w:numId w:val="2"/>
        </w:numPr>
        <w:ind w:right="2" w:hanging="360"/>
      </w:pPr>
      <w:r>
        <w:t>Submit more than an original and two copies of any document;</w:t>
      </w:r>
      <w:r>
        <w:rPr>
          <w:rFonts w:ascii="Calibri" w:eastAsia="Calibri" w:hAnsi="Calibri" w:cs="Calibri"/>
        </w:rPr>
        <w:t xml:space="preserve"> </w:t>
      </w:r>
    </w:p>
    <w:p w:rsidR="001E18AD" w14:paraId="13AD0E13" w14:textId="6812950A">
      <w:pPr>
        <w:numPr>
          <w:ilvl w:val="0"/>
          <w:numId w:val="2"/>
        </w:numPr>
        <w:ind w:right="2" w:hanging="360"/>
      </w:pPr>
      <w:r>
        <w:t>Retain records, other than health, medical, government contract, grant-in-aid, or tax records for more than three years;</w:t>
      </w:r>
      <w:r w:rsidR="00796D6D">
        <w:rPr>
          <w:rFonts w:ascii="Calibri" w:eastAsia="Calibri" w:hAnsi="Calibri" w:cs="Calibri"/>
        </w:rPr>
        <w:t xml:space="preserve"> </w:t>
      </w:r>
    </w:p>
    <w:p w:rsidR="001E18AD" w14:paraId="13AD0E14" w14:textId="77777777">
      <w:pPr>
        <w:numPr>
          <w:ilvl w:val="0"/>
          <w:numId w:val="2"/>
        </w:numPr>
        <w:ind w:right="2" w:hanging="360"/>
      </w:pPr>
      <w:r>
        <w:t>Collect data in connection with a statistical survey that is not designed to produce valid and reliable results that can be generalized to the universe of study;</w:t>
      </w:r>
      <w:r>
        <w:rPr>
          <w:rFonts w:ascii="Calibri" w:eastAsia="Calibri" w:hAnsi="Calibri" w:cs="Calibri"/>
        </w:rPr>
        <w:t xml:space="preserve"> </w:t>
      </w:r>
    </w:p>
    <w:p w:rsidR="001E18AD" w14:paraId="13AD0E15" w14:textId="77777777">
      <w:pPr>
        <w:numPr>
          <w:ilvl w:val="0"/>
          <w:numId w:val="2"/>
        </w:numPr>
        <w:ind w:right="2" w:hanging="360"/>
      </w:pPr>
      <w:r>
        <w:t>Use a statistical data classification that has not been reviewed and approved by OMB;</w:t>
      </w:r>
      <w:r>
        <w:rPr>
          <w:rFonts w:ascii="Calibri" w:eastAsia="Calibri" w:hAnsi="Calibri" w:cs="Calibri"/>
        </w:rPr>
        <w:t xml:space="preserve"> </w:t>
      </w:r>
    </w:p>
    <w:p w:rsidR="007A5AA5" w:rsidP="007A5AA5" w14:paraId="3617962D" w14:textId="77777777">
      <w:pPr>
        <w:numPr>
          <w:ilvl w:val="0"/>
          <w:numId w:val="2"/>
        </w:numPr>
        <w:ind w:right="2"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p>
    <w:p w:rsidR="001E18AD" w:rsidP="007A5AA5" w14:paraId="13AD0E17" w14:textId="0B4A226E">
      <w:pPr>
        <w:numPr>
          <w:ilvl w:val="0"/>
          <w:numId w:val="2"/>
        </w:numPr>
        <w:ind w:right="2" w:hanging="360"/>
      </w:pPr>
      <w:r>
        <w:t xml:space="preserve">Submit proprietary, trade secret, or other confidential information unless the agency can demonstrate that it has instituted procedures to protect the </w:t>
      </w:r>
      <w:r w:rsidR="007A5AA5">
        <w:t xml:space="preserve">information’s </w:t>
      </w:r>
      <w:r>
        <w:t>confidentiality to the extent permitted by law.</w:t>
      </w:r>
      <w:r w:rsidRPr="007A5AA5">
        <w:rPr>
          <w:rFonts w:ascii="Calibri" w:eastAsia="Calibri" w:hAnsi="Calibri" w:cs="Calibri"/>
        </w:rPr>
        <w:t xml:space="preserve"> </w:t>
      </w:r>
    </w:p>
    <w:p w:rsidR="001E18AD" w14:paraId="13AD0E18" w14:textId="77777777">
      <w:pPr>
        <w:spacing w:after="12" w:line="259" w:lineRule="auto"/>
        <w:ind w:left="720" w:firstLine="0"/>
      </w:pPr>
      <w:r>
        <w:rPr>
          <w:rFonts w:ascii="Calibri" w:eastAsia="Calibri" w:hAnsi="Calibri" w:cs="Calibri"/>
        </w:rPr>
        <w:t xml:space="preserve"> </w:t>
      </w:r>
    </w:p>
    <w:p w:rsidR="001E18AD" w:rsidP="00A2337D" w14:paraId="13AD0E19" w14:textId="77777777">
      <w:pPr>
        <w:pStyle w:val="Heading1"/>
      </w:pPr>
      <w:r w:rsidRPr="00BB00BB">
        <w:t xml:space="preserve">8.  Federal Register/Outside Consultation </w:t>
      </w:r>
    </w:p>
    <w:p w:rsidR="001E18AD" w14:paraId="13AD0E1A" w14:textId="77777777">
      <w:pPr>
        <w:spacing w:after="0" w:line="259" w:lineRule="auto"/>
        <w:ind w:left="0" w:firstLine="0"/>
      </w:pPr>
      <w:r>
        <w:t xml:space="preserve"> </w:t>
      </w:r>
    </w:p>
    <w:p w:rsidR="006F2E34" w:rsidP="006F2E34" w14:paraId="78305E0D" w14:textId="4E2A3D32">
      <w:pPr>
        <w:ind w:left="-5" w:right="2"/>
        <w:rPr>
          <w:szCs w:val="24"/>
        </w:rPr>
      </w:pPr>
      <w:r>
        <w:t xml:space="preserve">A 60-day notice was published in the Federal Register on </w:t>
      </w:r>
      <w:r w:rsidRPr="006F2E34" w:rsidR="001C166E">
        <w:t xml:space="preserve">January </w:t>
      </w:r>
      <w:r w:rsidRPr="006F2E34">
        <w:t>29</w:t>
      </w:r>
      <w:r w:rsidRPr="006F2E34" w:rsidR="001C166E">
        <w:t xml:space="preserve">, </w:t>
      </w:r>
      <w:r w:rsidRPr="006F2E34" w:rsidR="00FB0C17">
        <w:t>2024</w:t>
      </w:r>
      <w:r>
        <w:t xml:space="preserve"> (89 FR 5548). </w:t>
      </w:r>
      <w:r w:rsidRPr="001A7877">
        <w:rPr>
          <w:szCs w:val="24"/>
        </w:rPr>
        <w:t xml:space="preserve">CMS received </w:t>
      </w:r>
      <w:r w:rsidR="004A04CD">
        <w:rPr>
          <w:szCs w:val="24"/>
        </w:rPr>
        <w:t xml:space="preserve">six </w:t>
      </w:r>
      <w:r w:rsidRPr="001A7877">
        <w:rPr>
          <w:szCs w:val="24"/>
        </w:rPr>
        <w:t xml:space="preserve">comments from </w:t>
      </w:r>
      <w:r w:rsidR="004A04CD">
        <w:rPr>
          <w:szCs w:val="24"/>
        </w:rPr>
        <w:t>six</w:t>
      </w:r>
      <w:r>
        <w:rPr>
          <w:szCs w:val="24"/>
        </w:rPr>
        <w:t xml:space="preserve"> </w:t>
      </w:r>
      <w:r w:rsidRPr="001A7877">
        <w:rPr>
          <w:szCs w:val="24"/>
        </w:rPr>
        <w:t xml:space="preserve">entities in response to the 60-day notice. </w:t>
      </w:r>
      <w:r>
        <w:rPr>
          <w:szCs w:val="24"/>
        </w:rPr>
        <w:t xml:space="preserve">Of the </w:t>
      </w:r>
      <w:r w:rsidR="004A04CD">
        <w:rPr>
          <w:szCs w:val="24"/>
        </w:rPr>
        <w:t>six</w:t>
      </w:r>
      <w:r>
        <w:rPr>
          <w:szCs w:val="24"/>
        </w:rPr>
        <w:t xml:space="preserve"> comments, </w:t>
      </w:r>
      <w:r w:rsidR="004A04CD">
        <w:rPr>
          <w:szCs w:val="24"/>
        </w:rPr>
        <w:t>five</w:t>
      </w:r>
      <w:r>
        <w:rPr>
          <w:szCs w:val="24"/>
        </w:rPr>
        <w:t xml:space="preserve"> were relevant to this ICR. </w:t>
      </w:r>
      <w:r w:rsidRPr="001A7877">
        <w:rPr>
          <w:szCs w:val="24"/>
        </w:rPr>
        <w:t>The comments identified issues/themes/concerns includ</w:t>
      </w:r>
      <w:r>
        <w:rPr>
          <w:szCs w:val="24"/>
        </w:rPr>
        <w:t>ing</w:t>
      </w:r>
      <w:r w:rsidRPr="001A7877">
        <w:rPr>
          <w:szCs w:val="24"/>
        </w:rPr>
        <w:t xml:space="preserve"> but not limited </w:t>
      </w:r>
      <w:r w:rsidRPr="001A7877">
        <w:rPr>
          <w:szCs w:val="24"/>
        </w:rPr>
        <w:t>to</w:t>
      </w:r>
      <w:r>
        <w:rPr>
          <w:szCs w:val="24"/>
        </w:rPr>
        <w:t>:</w:t>
      </w:r>
      <w:r>
        <w:rPr>
          <w:szCs w:val="24"/>
        </w:rPr>
        <w:t xml:space="preserve"> </w:t>
      </w:r>
      <w:r w:rsidR="00193C75">
        <w:rPr>
          <w:szCs w:val="24"/>
        </w:rPr>
        <w:t>the burden on manufacturers to report the requested information</w:t>
      </w:r>
      <w:r w:rsidR="00695642">
        <w:rPr>
          <w:szCs w:val="24"/>
        </w:rPr>
        <w:t>, duplication with information collected by FDA,</w:t>
      </w:r>
      <w:r w:rsidR="00193C75">
        <w:rPr>
          <w:szCs w:val="24"/>
        </w:rPr>
        <w:t xml:space="preserve"> and the process and format for submitting the requested information</w:t>
      </w:r>
      <w:r>
        <w:rPr>
          <w:szCs w:val="24"/>
        </w:rPr>
        <w:t xml:space="preserve">. </w:t>
      </w:r>
    </w:p>
    <w:p w:rsidR="001E18AD" w14:paraId="13AD0E1C" w14:textId="7294FEFF">
      <w:pPr>
        <w:spacing w:after="16" w:line="259" w:lineRule="auto"/>
        <w:ind w:left="0" w:firstLine="0"/>
      </w:pPr>
    </w:p>
    <w:p w:rsidR="006F2E34" w:rsidRPr="00193C75" w14:paraId="53627BD9" w14:textId="6BEBD603">
      <w:pPr>
        <w:spacing w:after="16" w:line="259" w:lineRule="auto"/>
        <w:ind w:left="0" w:firstLine="0"/>
        <w:rPr>
          <w:szCs w:val="24"/>
        </w:rPr>
      </w:pPr>
      <w:r w:rsidRPr="004F380A">
        <w:rPr>
          <w:szCs w:val="24"/>
        </w:rPr>
        <w:t xml:space="preserve">A 30-day notice </w:t>
      </w:r>
      <w:r w:rsidR="0019384B">
        <w:rPr>
          <w:szCs w:val="24"/>
        </w:rPr>
        <w:t xml:space="preserve">was </w:t>
      </w:r>
      <w:r w:rsidR="0009189B">
        <w:rPr>
          <w:szCs w:val="24"/>
        </w:rPr>
        <w:t xml:space="preserve">published in the Federal Register on </w:t>
      </w:r>
      <w:r w:rsidRPr="004F380A">
        <w:rPr>
          <w:szCs w:val="24"/>
        </w:rPr>
        <w:t xml:space="preserve">June </w:t>
      </w:r>
      <w:r w:rsidRPr="000D3333">
        <w:rPr>
          <w:szCs w:val="24"/>
        </w:rPr>
        <w:t xml:space="preserve">3, 2024 </w:t>
      </w:r>
      <w:r w:rsidRPr="000D3333" w:rsidR="0009189B">
        <w:rPr>
          <w:szCs w:val="24"/>
        </w:rPr>
        <w:t>(</w:t>
      </w:r>
      <w:r w:rsidRPr="000D3333" w:rsidR="00F42C14">
        <w:rPr>
          <w:szCs w:val="24"/>
        </w:rPr>
        <w:t xml:space="preserve">89 </w:t>
      </w:r>
      <w:r w:rsidRPr="000D3333" w:rsidR="0009189B">
        <w:rPr>
          <w:szCs w:val="24"/>
        </w:rPr>
        <w:t xml:space="preserve">FR </w:t>
      </w:r>
      <w:r w:rsidRPr="000D3333" w:rsidR="00F42C14">
        <w:rPr>
          <w:szCs w:val="24"/>
        </w:rPr>
        <w:t>47563</w:t>
      </w:r>
      <w:r w:rsidRPr="000D3333" w:rsidR="0009189B">
        <w:rPr>
          <w:szCs w:val="24"/>
        </w:rPr>
        <w:t>).</w:t>
      </w:r>
      <w:r w:rsidR="00690125">
        <w:rPr>
          <w:szCs w:val="24"/>
        </w:rPr>
        <w:t xml:space="preserve"> CMS received one out-of-scope comment on this ICR. </w:t>
      </w:r>
      <w:r w:rsidRPr="001A7877" w:rsidR="00690125">
        <w:rPr>
          <w:szCs w:val="24"/>
        </w:rPr>
        <w:t xml:space="preserve">Attached as a supplemental document in this </w:t>
      </w:r>
      <w:r w:rsidR="00690125">
        <w:rPr>
          <w:szCs w:val="24"/>
        </w:rPr>
        <w:t>ICR</w:t>
      </w:r>
      <w:r w:rsidRPr="001A7877" w:rsidR="00690125">
        <w:rPr>
          <w:szCs w:val="24"/>
        </w:rPr>
        <w:t xml:space="preserve"> is </w:t>
      </w:r>
      <w:r w:rsidR="00690125">
        <w:rPr>
          <w:szCs w:val="24"/>
        </w:rPr>
        <w:t xml:space="preserve">a summary of comments and </w:t>
      </w:r>
      <w:r w:rsidRPr="001A7877" w:rsidR="00690125">
        <w:rPr>
          <w:szCs w:val="24"/>
        </w:rPr>
        <w:t>our re</w:t>
      </w:r>
      <w:r w:rsidR="00690125">
        <w:rPr>
          <w:szCs w:val="24"/>
        </w:rPr>
        <w:t>sponses.</w:t>
      </w:r>
      <w:r w:rsidRPr="00690125" w:rsidR="00690125">
        <w:t xml:space="preserve"> </w:t>
      </w:r>
      <w:r w:rsidR="00690125">
        <w:t>A crosswalk document describing the changes from the 30-day package to the current package is also attached.</w:t>
      </w:r>
    </w:p>
    <w:p w:rsidR="00C918C8" w14:paraId="05AEE80E" w14:textId="77777777">
      <w:pPr>
        <w:spacing w:after="16" w:line="259" w:lineRule="auto"/>
        <w:ind w:left="0" w:firstLine="0"/>
      </w:pPr>
    </w:p>
    <w:p w:rsidR="00C918C8" w14:paraId="3BF0F444" w14:textId="76B0C8DD">
      <w:pPr>
        <w:spacing w:after="16" w:line="259" w:lineRule="auto"/>
        <w:ind w:left="0" w:firstLine="0"/>
        <w:rPr>
          <w:i/>
          <w:iCs/>
        </w:rPr>
      </w:pPr>
      <w:r>
        <w:rPr>
          <w:i/>
          <w:iCs/>
        </w:rPr>
        <w:t>Outside Consultation</w:t>
      </w:r>
    </w:p>
    <w:p w:rsidR="00C918C8" w:rsidRPr="00C918C8" w14:paraId="33A370C5" w14:textId="341AF2F3">
      <w:pPr>
        <w:spacing w:after="16" w:line="259" w:lineRule="auto"/>
        <w:ind w:left="0" w:firstLine="0"/>
      </w:pPr>
      <w:r>
        <w:t>In the develop</w:t>
      </w:r>
      <w:r w:rsidR="00321F09">
        <w:t>ment</w:t>
      </w:r>
      <w:r>
        <w:t xml:space="preserve"> of the </w:t>
      </w:r>
      <w:r w:rsidR="001C166E">
        <w:t xml:space="preserve">Information Collection Request for the </w:t>
      </w:r>
      <w:r w:rsidR="00321F09">
        <w:t>Rebate Reduction Request</w:t>
      </w:r>
      <w:r w:rsidR="001C166E">
        <w:t xml:space="preserve"> forms</w:t>
      </w:r>
      <w:r w:rsidR="00321F09">
        <w:t>, CMS sought input from other federal agencies, such as FDA.</w:t>
      </w:r>
    </w:p>
    <w:p w:rsidR="00331402" w14:paraId="059C5933" w14:textId="77777777">
      <w:pPr>
        <w:spacing w:after="16" w:line="259" w:lineRule="auto"/>
        <w:ind w:left="0" w:firstLine="0"/>
      </w:pPr>
    </w:p>
    <w:p w:rsidR="001E18AD" w14:paraId="13AD0E1D" w14:textId="4BBC64BE">
      <w:pPr>
        <w:pStyle w:val="Heading1"/>
        <w:ind w:left="-5"/>
      </w:pPr>
      <w:r>
        <w:t xml:space="preserve">9.  Payments/Gifts to Respondents </w:t>
      </w:r>
    </w:p>
    <w:p w:rsidR="001E18AD" w14:paraId="13AD0E1E" w14:textId="77777777">
      <w:pPr>
        <w:spacing w:after="0" w:line="259" w:lineRule="auto"/>
        <w:ind w:left="0" w:firstLine="0"/>
      </w:pPr>
      <w:r>
        <w:t xml:space="preserve"> </w:t>
      </w:r>
    </w:p>
    <w:p w:rsidR="001E18AD" w14:paraId="13AD0E21" w14:textId="5C245251">
      <w:pPr>
        <w:ind w:left="-5" w:right="2"/>
      </w:pPr>
      <w:r>
        <w:t xml:space="preserve">No payments or gifts will be given to respondents for completing the information collection. </w:t>
      </w:r>
      <w:r w:rsidR="00E252ED">
        <w:t>A</w:t>
      </w:r>
      <w:r w:rsidR="004E6F0A">
        <w:t xml:space="preserve"> manufacturer</w:t>
      </w:r>
      <w:r w:rsidR="00E252ED">
        <w:t xml:space="preserve"> must submit</w:t>
      </w:r>
      <w:r w:rsidR="004E6F0A">
        <w:t xml:space="preserve"> a request</w:t>
      </w:r>
      <w:r w:rsidR="00633255">
        <w:t xml:space="preserve"> and supporting documentation</w:t>
      </w:r>
      <w:r w:rsidR="004E6F0A">
        <w:t xml:space="preserve"> </w:t>
      </w:r>
      <w:r w:rsidR="00E252ED">
        <w:t xml:space="preserve">to CMS to receive consideration </w:t>
      </w:r>
      <w:r w:rsidR="004E6F0A">
        <w:t>for a reduction in the rebate amount owed.</w:t>
      </w:r>
    </w:p>
    <w:p w:rsidR="001E18AD" w14:paraId="13AD0E22" w14:textId="77777777">
      <w:pPr>
        <w:spacing w:after="16" w:line="259" w:lineRule="auto"/>
        <w:ind w:left="0" w:firstLine="0"/>
      </w:pPr>
      <w:r>
        <w:t xml:space="preserve"> </w:t>
      </w:r>
    </w:p>
    <w:p w:rsidR="001E18AD" w14:paraId="13AD0E23" w14:textId="77777777">
      <w:pPr>
        <w:pStyle w:val="Heading1"/>
        <w:ind w:left="-5"/>
      </w:pPr>
      <w:r>
        <w:t xml:space="preserve">10. Confidentiality </w:t>
      </w:r>
    </w:p>
    <w:p w:rsidR="001E18AD" w14:paraId="13AD0E24" w14:textId="77777777">
      <w:pPr>
        <w:spacing w:after="0" w:line="259" w:lineRule="auto"/>
        <w:ind w:left="0" w:firstLine="0"/>
      </w:pPr>
      <w:r>
        <w:t xml:space="preserve"> </w:t>
      </w:r>
    </w:p>
    <w:p w:rsidR="00C3125E" w:rsidP="00C3125E" w14:paraId="61EC6AD0" w14:textId="78AB1A68">
      <w:pPr>
        <w:pStyle w:val="BodyText"/>
        <w:kinsoku w:val="0"/>
        <w:overflowPunct w:val="0"/>
      </w:pPr>
      <w:r>
        <w:t xml:space="preserve">As discussed in section 50.12 of Part B </w:t>
      </w:r>
      <w:r w:rsidR="007B64F8">
        <w:t>revised</w:t>
      </w:r>
      <w:r>
        <w:t xml:space="preserve"> guidance and sections 40.5.2 and 40.5.3 of Part D </w:t>
      </w:r>
      <w:r w:rsidR="007B64F8">
        <w:t>revised</w:t>
      </w:r>
      <w:r>
        <w:t xml:space="preserve"> guidance, </w:t>
      </w:r>
      <w:r w:rsidR="006060A1">
        <w:t>CMS will keep confidential,</w:t>
      </w:r>
      <w:r w:rsidRPr="00D30284" w:rsidR="006060A1">
        <w:t xml:space="preserve"> </w:t>
      </w:r>
      <w:r w:rsidR="006060A1">
        <w:t>to the extent allowable under law, any requests for a rebate reduction, including supporting documentation. I</w:t>
      </w:r>
      <w:r w:rsidRPr="00464979" w:rsidR="006060A1">
        <w:rPr>
          <w:rFonts w:eastAsia="Times New Roman"/>
        </w:rPr>
        <w:t xml:space="preserve">nformation </w:t>
      </w:r>
      <w:r w:rsidR="006060A1">
        <w:rPr>
          <w:rFonts w:eastAsia="Times New Roman"/>
        </w:rPr>
        <w:t xml:space="preserve">provided as part of a request for a rebate reduction </w:t>
      </w:r>
      <w:r w:rsidRPr="00464979" w:rsidR="006060A1">
        <w:rPr>
          <w:rFonts w:eastAsia="Times New Roman"/>
        </w:rPr>
        <w:t xml:space="preserve">that </w:t>
      </w:r>
      <w:r w:rsidR="006060A1">
        <w:rPr>
          <w:rFonts w:eastAsia="Times New Roman"/>
        </w:rPr>
        <w:t xml:space="preserve">the submitter indicates </w:t>
      </w:r>
      <w:r w:rsidRPr="00464979" w:rsidR="006060A1">
        <w:rPr>
          <w:rFonts w:eastAsia="Times New Roman"/>
        </w:rPr>
        <w:t>is a trade secret or confidential commercial or financial information will be protected from disclosure if the information meets the requirements set forth under Exemptions 3 and/or 4 of the FOIA</w:t>
      </w:r>
      <w:r w:rsidRPr="24AE88FA" w:rsidR="006060A1">
        <w:t xml:space="preserve"> (5 U.S.C. § 552(b)(</w:t>
      </w:r>
      <w:r w:rsidR="006060A1">
        <w:t xml:space="preserve">3), </w:t>
      </w:r>
      <w:r w:rsidRPr="24AE88FA" w:rsidR="006060A1">
        <w:t>(4)).</w:t>
      </w:r>
      <w:r>
        <w:rPr>
          <w:rStyle w:val="FootnoteReference"/>
        </w:rPr>
        <w:footnoteReference w:id="9"/>
      </w:r>
      <w:r>
        <w:t xml:space="preserve"> </w:t>
      </w:r>
      <w:r w:rsidRPr="002B4A2F">
        <w:t>In addition to the protections under  FOIA for trade secrets and commercial or financial information obtained from a person that is privileged or confidential, the Trade Secrets Act at 18 U.S.C. § 1905 requires executive branch employees to protect such information. CMS will protect confidential and proprietary information as required by applicable law.</w:t>
      </w:r>
    </w:p>
    <w:p w:rsidR="006060A1" w:rsidP="00AF7720" w14:paraId="3757A6E8" w14:textId="77777777"/>
    <w:p w:rsidR="001E18AD" w:rsidP="00A2337D" w14:paraId="13AD0E28" w14:textId="1002237F">
      <w:pPr>
        <w:pStyle w:val="Heading1"/>
      </w:pPr>
      <w:r w:rsidRPr="00BB00BB">
        <w:t xml:space="preserve">11. Sensitive Questions </w:t>
      </w:r>
    </w:p>
    <w:p w:rsidR="001E18AD" w14:paraId="13AD0E29" w14:textId="77777777">
      <w:pPr>
        <w:spacing w:after="0" w:line="259" w:lineRule="auto"/>
        <w:ind w:left="0" w:firstLine="0"/>
      </w:pPr>
      <w:r>
        <w:t xml:space="preserve"> </w:t>
      </w:r>
    </w:p>
    <w:p w:rsidR="001E18AD" w14:paraId="13AD0E2A" w14:textId="1DB3F7C9">
      <w:pPr>
        <w:ind w:left="-5" w:right="2"/>
      </w:pPr>
      <w:r>
        <w:t>There are no sensitive questions associated with this collection.</w:t>
      </w:r>
    </w:p>
    <w:p w:rsidR="001E18AD" w14:paraId="13AD0E2B" w14:textId="77777777">
      <w:pPr>
        <w:spacing w:after="16" w:line="259" w:lineRule="auto"/>
        <w:ind w:left="0" w:firstLine="0"/>
      </w:pPr>
      <w:r>
        <w:t xml:space="preserve">  </w:t>
      </w:r>
    </w:p>
    <w:p w:rsidR="001E18AD" w14:paraId="13AD0E2C" w14:textId="30D39018">
      <w:pPr>
        <w:pStyle w:val="Heading1"/>
        <w:ind w:left="-5"/>
      </w:pPr>
      <w:r>
        <w:t>12. Burden Estimates (Hours &amp; Wages)</w:t>
      </w:r>
    </w:p>
    <w:p w:rsidR="001E18AD" w14:paraId="13AD0E2D" w14:textId="77777777">
      <w:pPr>
        <w:spacing w:after="0" w:line="259" w:lineRule="auto"/>
        <w:ind w:left="0" w:firstLine="0"/>
      </w:pPr>
      <w:r>
        <w:t xml:space="preserve"> </w:t>
      </w:r>
    </w:p>
    <w:p w:rsidR="00204BD6" w:rsidP="003853F0" w14:paraId="2642AC77" w14:textId="73F656D4">
      <w:pPr>
        <w:tabs>
          <w:tab w:val="left" w:pos="720"/>
        </w:tabs>
        <w:suppressAutoHyphens/>
        <w:spacing w:line="240" w:lineRule="atLeast"/>
        <w:ind w:left="0" w:firstLine="0"/>
      </w:pPr>
      <w:r>
        <w:t xml:space="preserve">A manufacturer must complete and submit the information requested on the applicable </w:t>
      </w:r>
      <w:r w:rsidRPr="003853F0">
        <w:t>Severe Supply Chain Disruption Rebate Reduction Request Form (Appendix A)</w:t>
      </w:r>
      <w:r>
        <w:t xml:space="preserve"> or Likely to be in Shortage Rebate Reduction Request Form (Appendix C) for </w:t>
      </w:r>
      <w:r w:rsidR="00762188">
        <w:t xml:space="preserve">CMS to </w:t>
      </w:r>
      <w:r w:rsidR="00762188">
        <w:t>make a determination</w:t>
      </w:r>
      <w:r w:rsidR="00762188">
        <w:t xml:space="preserve"> regarding a severe supply chain disruption or likelihood of a future shortage</w:t>
      </w:r>
      <w:r w:rsidR="003D138F">
        <w:t>, respectively</w:t>
      </w:r>
      <w:r w:rsidR="009645B0">
        <w:t>. After submission, a manufacturer may be</w:t>
      </w:r>
      <w:r w:rsidR="00482AF6">
        <w:t xml:space="preserve"> considered for a reduction </w:t>
      </w:r>
      <w:r w:rsidR="00040685">
        <w:t>of</w:t>
      </w:r>
      <w:r w:rsidR="00482AF6">
        <w:t xml:space="preserve"> the rebate amount</w:t>
      </w:r>
      <w:r w:rsidR="00040685">
        <w:t xml:space="preserve"> owed</w:t>
      </w:r>
      <w:r w:rsidR="00482AF6">
        <w:t xml:space="preserve"> </w:t>
      </w:r>
      <w:r w:rsidR="00110C4B">
        <w:t xml:space="preserve">for </w:t>
      </w:r>
      <w:r w:rsidR="00482AF6">
        <w:t>their applicable Part B rebatable biosimilar biological product(s)</w:t>
      </w:r>
      <w:r w:rsidR="00A8750D">
        <w:t xml:space="preserve"> </w:t>
      </w:r>
      <w:r w:rsidR="00F73E12">
        <w:t>and/</w:t>
      </w:r>
      <w:r w:rsidR="00482AF6">
        <w:t>or generic Part D rebatable drug(s) or biosimilar(s)</w:t>
      </w:r>
      <w:r w:rsidR="00A8750D">
        <w:t xml:space="preserve"> for a severe supply chain disruption or </w:t>
      </w:r>
      <w:r w:rsidR="001D7DD1">
        <w:t xml:space="preserve">for their applicable generic Part D rebatable drug(s) for a </w:t>
      </w:r>
      <w:r w:rsidR="00A8750D">
        <w:t>likelihood of a future shortage</w:t>
      </w:r>
      <w:r w:rsidR="00482AF6">
        <w:t>.</w:t>
      </w:r>
      <w:r w:rsidR="005A06D1">
        <w:t xml:space="preserve"> </w:t>
      </w:r>
      <w:r w:rsidR="000F7857">
        <w:t xml:space="preserve">For </w:t>
      </w:r>
      <w:r w:rsidR="009E361A">
        <w:t>th</w:t>
      </w:r>
      <w:r w:rsidR="008C05F7">
        <w:t xml:space="preserve">e </w:t>
      </w:r>
      <w:r w:rsidR="00110C4B">
        <w:t>purposes</w:t>
      </w:r>
      <w:r w:rsidR="008C05F7">
        <w:t xml:space="preserve"> of this </w:t>
      </w:r>
      <w:r>
        <w:t>burden estimate</w:t>
      </w:r>
      <w:r w:rsidR="009C4CE7">
        <w:t xml:space="preserve"> and</w:t>
      </w:r>
      <w:r w:rsidR="00110C1E">
        <w:t xml:space="preserve"> cost to federal government</w:t>
      </w:r>
      <w:r w:rsidR="000F7857">
        <w:t xml:space="preserve">, </w:t>
      </w:r>
      <w:r w:rsidR="009E361A">
        <w:t>Ap</w:t>
      </w:r>
      <w:r w:rsidR="000F7857">
        <w:t xml:space="preserve">pendix A and </w:t>
      </w:r>
      <w:r>
        <w:t xml:space="preserve">Appendix </w:t>
      </w:r>
      <w:r w:rsidR="000F7857">
        <w:t xml:space="preserve">C are </w:t>
      </w:r>
      <w:r w:rsidR="00110C4B">
        <w:t xml:space="preserve">collectively </w:t>
      </w:r>
      <w:r w:rsidR="009E361A">
        <w:t>referred to as the “Rebate Reduction Request Form”</w:t>
      </w:r>
      <w:r w:rsidR="000F7857">
        <w:t xml:space="preserve"> due to CMS approximating the estimates for each form </w:t>
      </w:r>
      <w:r w:rsidR="003B366F">
        <w:t xml:space="preserve">to be </w:t>
      </w:r>
      <w:r w:rsidR="000F7857">
        <w:t xml:space="preserve">similar due to the questions on the forms requiring about the same amount of time for a manufacturer to collect and submit </w:t>
      </w:r>
      <w:r w:rsidR="00A8750D">
        <w:t>the information on the applicable form.</w:t>
      </w:r>
    </w:p>
    <w:p w:rsidR="00204BD6" w:rsidP="00204BD6" w14:paraId="188A4924" w14:textId="77777777">
      <w:pPr>
        <w:tabs>
          <w:tab w:val="left" w:pos="720"/>
        </w:tabs>
        <w:suppressAutoHyphens/>
        <w:spacing w:line="240" w:lineRule="atLeast"/>
      </w:pPr>
    </w:p>
    <w:p w:rsidR="00CE530C" w:rsidP="003853F0" w14:paraId="0A93BD37" w14:textId="5C96EFDD">
      <w:pPr>
        <w:tabs>
          <w:tab w:val="left" w:pos="720"/>
        </w:tabs>
        <w:suppressAutoHyphens/>
        <w:spacing w:line="240" w:lineRule="atLeast"/>
      </w:pPr>
      <w:r>
        <w:t>A</w:t>
      </w:r>
      <w:r w:rsidR="00204BD6">
        <w:t xml:space="preserve"> manufacturer </w:t>
      </w:r>
      <w:r w:rsidR="56A16B2B">
        <w:t>that</w:t>
      </w:r>
      <w:r w:rsidR="000616BE">
        <w:t xml:space="preserve"> </w:t>
      </w:r>
      <w:r w:rsidR="00204BD6">
        <w:t>is granted a reduction of the rebate amount owed</w:t>
      </w:r>
      <w:r w:rsidR="00040685">
        <w:t xml:space="preserve"> </w:t>
      </w:r>
      <w:r w:rsidR="00B82CB2">
        <w:t>and seeks an extension of the reduction</w:t>
      </w:r>
      <w:r w:rsidR="00204BD6">
        <w:t xml:space="preserve"> must complete and submit the information requested on the applicable </w:t>
      </w:r>
      <w:r w:rsidR="00040685">
        <w:t xml:space="preserve">Severe Supply Chain </w:t>
      </w:r>
      <w:r w:rsidR="002A1EF4">
        <w:t xml:space="preserve">Disruption </w:t>
      </w:r>
      <w:r w:rsidR="00040685">
        <w:t>Rebate Reduction Extension Request Form (</w:t>
      </w:r>
      <w:r>
        <w:t>Appendix B</w:t>
      </w:r>
      <w:r w:rsidR="00040685">
        <w:t xml:space="preserve">) or Likely to be in Shortage Rebate Reduction Extension Request Form (Appendix </w:t>
      </w:r>
      <w:r w:rsidR="00FA0BEB">
        <w:t>D</w:t>
      </w:r>
      <w:r w:rsidR="00040685">
        <w:t xml:space="preserve">) </w:t>
      </w:r>
      <w:r w:rsidR="00040685">
        <w:t>in order to</w:t>
      </w:r>
      <w:r w:rsidR="00040685">
        <w:t xml:space="preserve"> be considered for an extension </w:t>
      </w:r>
      <w:r w:rsidR="00147E41">
        <w:t>of the rebate reduction.</w:t>
      </w:r>
      <w:r>
        <w:t xml:space="preserve"> </w:t>
      </w:r>
      <w:r w:rsidR="009E361A">
        <w:t xml:space="preserve">For the </w:t>
      </w:r>
      <w:r w:rsidR="00D23A95">
        <w:t>purposes</w:t>
      </w:r>
      <w:r w:rsidR="009E361A">
        <w:t xml:space="preserve"> </w:t>
      </w:r>
      <w:r w:rsidR="00371A87">
        <w:t xml:space="preserve">of </w:t>
      </w:r>
      <w:r w:rsidR="008C05F7">
        <w:t xml:space="preserve">this </w:t>
      </w:r>
      <w:r w:rsidR="0049620D">
        <w:t>burden estimate</w:t>
      </w:r>
      <w:r w:rsidR="00110C1E">
        <w:t xml:space="preserve"> and cost to federal government</w:t>
      </w:r>
      <w:r w:rsidR="009E361A">
        <w:t xml:space="preserve">, Appendix B and D are </w:t>
      </w:r>
      <w:r w:rsidR="00D23A95">
        <w:t xml:space="preserve">collectively </w:t>
      </w:r>
      <w:r w:rsidR="009E361A">
        <w:t xml:space="preserve">referred to as the “Rebate Reduction Extension Request Form” </w:t>
      </w:r>
      <w:r w:rsidR="0049620D">
        <w:t xml:space="preserve">due to CMS approximating the estimates for each form </w:t>
      </w:r>
      <w:r w:rsidR="003B366F">
        <w:t xml:space="preserve">to be </w:t>
      </w:r>
      <w:r w:rsidR="0049620D">
        <w:t>similar due to the questions on the forms requiring about the same amount of time for a manufacturer to collect and submit the information on the applicable form</w:t>
      </w:r>
      <w:r>
        <w:t xml:space="preserve">. </w:t>
      </w:r>
    </w:p>
    <w:p w:rsidR="00CE530C" w:rsidP="003853F0" w14:paraId="6F19E26B" w14:textId="77777777">
      <w:pPr>
        <w:tabs>
          <w:tab w:val="left" w:pos="720"/>
        </w:tabs>
        <w:suppressAutoHyphens/>
        <w:spacing w:line="240" w:lineRule="atLeast"/>
      </w:pPr>
    </w:p>
    <w:p w:rsidR="00204BD6" w:rsidP="003853F0" w14:paraId="52D8EE34" w14:textId="60CE8D91">
      <w:pPr>
        <w:tabs>
          <w:tab w:val="left" w:pos="720"/>
        </w:tabs>
        <w:suppressAutoHyphens/>
        <w:spacing w:line="240" w:lineRule="atLeast"/>
      </w:pPr>
      <w:r>
        <w:t xml:space="preserve">The burden estimates for the information collection required for </w:t>
      </w:r>
      <w:r w:rsidR="00335445">
        <w:t xml:space="preserve">the </w:t>
      </w:r>
      <w:r w:rsidR="00E56CE3">
        <w:t>Rebate Reduction Request Form and the Rebate Reduction Extension Request Form</w:t>
      </w:r>
      <w:r>
        <w:t xml:space="preserve"> are detailed in this section.</w:t>
      </w:r>
    </w:p>
    <w:p w:rsidR="001E18AD" w:rsidP="003853F0" w14:paraId="13AD0E30" w14:textId="439742C2">
      <w:pPr>
        <w:tabs>
          <w:tab w:val="left" w:pos="720"/>
        </w:tabs>
        <w:suppressAutoHyphens/>
        <w:spacing w:line="240" w:lineRule="atLeast"/>
      </w:pPr>
      <w:r>
        <w:t xml:space="preserve"> </w:t>
      </w:r>
    </w:p>
    <w:p w:rsidR="00F73E12" w14:paraId="5C2D5D73" w14:textId="2D8F312A">
      <w:pPr>
        <w:ind w:left="-5" w:right="2"/>
      </w:pPr>
      <w:r>
        <w:t>To derive w</w:t>
      </w:r>
      <w:r w:rsidR="00C87D04">
        <w:t>age estimates</w:t>
      </w:r>
      <w:r>
        <w:t>, CMS used data</w:t>
      </w:r>
      <w:r w:rsidR="00F10063">
        <w:t xml:space="preserve"> </w:t>
      </w:r>
      <w:r w:rsidR="00C87D04">
        <w:t>from the Bureau of Labor Statistics</w:t>
      </w:r>
      <w:r w:rsidR="000C0292">
        <w:t xml:space="preserve">’ </w:t>
      </w:r>
      <w:r w:rsidRPr="000C0292" w:rsidR="000C0292">
        <w:t>May</w:t>
      </w:r>
      <w:r w:rsidR="00727054">
        <w:t xml:space="preserve"> 2023 </w:t>
      </w:r>
      <w:r w:rsidRPr="000C0292" w:rsidR="000C0292">
        <w:t>National Industry-Specific Occupational Employment and Wage Estimates</w:t>
      </w:r>
      <w:r w:rsidR="000C0292">
        <w:t xml:space="preserve"> for Pharmaceutical and Medicine Manufacturing</w:t>
      </w:r>
      <w:r>
        <w:rPr>
          <w:vertAlign w:val="superscript"/>
        </w:rPr>
        <w:footnoteReference w:id="10"/>
      </w:r>
      <w:r w:rsidR="00C87D04">
        <w:t xml:space="preserve"> </w:t>
      </w:r>
      <w:r>
        <w:t>to derive</w:t>
      </w:r>
      <w:r w:rsidR="00C87D04">
        <w:t xml:space="preserve"> average labor costs (including a 100 percent increase for fringe benefits and overhead) for estimating the burden associated with </w:t>
      </w:r>
      <w:r w:rsidR="00D90266">
        <w:t xml:space="preserve">collecting the information needed to </w:t>
      </w:r>
      <w:r>
        <w:t>complete</w:t>
      </w:r>
      <w:r w:rsidR="00D90266">
        <w:t xml:space="preserve"> and submit </w:t>
      </w:r>
      <w:r w:rsidR="00C87D04">
        <w:t xml:space="preserve">the </w:t>
      </w:r>
      <w:r w:rsidR="00F10063">
        <w:t>applicable Rebate Reduction Request Form or Rebate Reduction Extension Request</w:t>
      </w:r>
      <w:r w:rsidR="00881F01">
        <w:t xml:space="preserve"> Form</w:t>
      </w:r>
      <w:r w:rsidR="009D1FF2">
        <w:t>.</w:t>
      </w:r>
    </w:p>
    <w:p w:rsidR="00762188" w14:paraId="5325397B" w14:textId="77777777">
      <w:pPr>
        <w:ind w:left="-5" w:right="2"/>
      </w:pPr>
    </w:p>
    <w:p w:rsidR="005523AE" w14:paraId="7AD48864" w14:textId="18E736FA">
      <w:pPr>
        <w:ind w:left="-5" w:right="2"/>
      </w:pPr>
      <w:r>
        <w:t>CMS will allow manufacturers to submit one request for</w:t>
      </w:r>
      <w:r w:rsidR="000616BE">
        <w:t>m</w:t>
      </w:r>
      <w:r>
        <w:t xml:space="preserve"> for multiple affected products</w:t>
      </w:r>
      <w:r w:rsidR="00987EDC">
        <w:t>,</w:t>
      </w:r>
      <w:r w:rsidR="000B4E59">
        <w:t xml:space="preserve"> </w:t>
      </w:r>
      <w:r w:rsidR="00AF1F00">
        <w:t xml:space="preserve">which </w:t>
      </w:r>
      <w:r w:rsidR="008A6C30">
        <w:t xml:space="preserve">is expected to </w:t>
      </w:r>
      <w:r w:rsidR="000B4E59">
        <w:t xml:space="preserve">reduce </w:t>
      </w:r>
      <w:r w:rsidR="008A6C30">
        <w:t xml:space="preserve">manufacturer </w:t>
      </w:r>
      <w:r w:rsidR="000B4E59">
        <w:t>burden</w:t>
      </w:r>
      <w:r w:rsidR="00AF1F00">
        <w:t xml:space="preserve"> by not requiring multiple forms</w:t>
      </w:r>
      <w:r w:rsidR="00CE530C">
        <w:t xml:space="preserve"> and </w:t>
      </w:r>
      <w:r w:rsidR="00AF1F00">
        <w:t xml:space="preserve">submissions for drugs affected by the same </w:t>
      </w:r>
      <w:r w:rsidR="008A6C30">
        <w:t>event or circumstance</w:t>
      </w:r>
      <w:r w:rsidR="000B4E59">
        <w:t>.</w:t>
      </w:r>
      <w:r w:rsidR="00AF1F00">
        <w:t xml:space="preserve"> </w:t>
      </w:r>
      <w:r>
        <w:t xml:space="preserve">CMS believes that the manufacturer is </w:t>
      </w:r>
      <w:r w:rsidR="0019384B">
        <w:t xml:space="preserve">well </w:t>
      </w:r>
      <w:r>
        <w:t xml:space="preserve">positioned to provide the requested information as some of the information needed for CMS to </w:t>
      </w:r>
      <w:r>
        <w:t>make a determination</w:t>
      </w:r>
      <w:r w:rsidR="00942525">
        <w:t xml:space="preserve"> in accordance with sections </w:t>
      </w:r>
      <w:r w:rsidRPr="003825AC" w:rsidR="00942525">
        <w:t>1847A(</w:t>
      </w:r>
      <w:r w:rsidRPr="003825AC" w:rsidR="00942525">
        <w:t>i</w:t>
      </w:r>
      <w:r w:rsidRPr="003825AC" w:rsidR="00942525">
        <w:t>)(3)(G)</w:t>
      </w:r>
      <w:r w:rsidR="00C914A3">
        <w:t>(ii)</w:t>
      </w:r>
      <w:r w:rsidRPr="003825AC" w:rsidR="00942525">
        <w:t xml:space="preserve"> </w:t>
      </w:r>
      <w:r w:rsidR="00942525">
        <w:t xml:space="preserve">and </w:t>
      </w:r>
      <w:r w:rsidRPr="003825AC" w:rsidR="00942525">
        <w:t>1860D-14B(b)(1)(C)</w:t>
      </w:r>
      <w:r w:rsidR="00942525">
        <w:t>(ii)</w:t>
      </w:r>
      <w:r w:rsidR="00C914A3">
        <w:t>-(iii)</w:t>
      </w:r>
      <w:r w:rsidRPr="003825AC" w:rsidR="00942525">
        <w:t xml:space="preserve"> </w:t>
      </w:r>
      <w:r w:rsidR="00942525">
        <w:t>of the Act</w:t>
      </w:r>
      <w:r>
        <w:t xml:space="preserve"> </w:t>
      </w:r>
      <w:r w:rsidR="00A8750D">
        <w:t>is</w:t>
      </w:r>
      <w:r>
        <w:t xml:space="preserve"> not</w:t>
      </w:r>
      <w:r w:rsidR="00987EDC">
        <w:t xml:space="preserve"> otherwise</w:t>
      </w:r>
      <w:r>
        <w:t xml:space="preserve"> available to CMS</w:t>
      </w:r>
      <w:r w:rsidR="719BDA3E">
        <w:t xml:space="preserve"> in the normal course</w:t>
      </w:r>
      <w:r w:rsidR="00FA0BEB">
        <w:t>. Thus, the manufacturer is</w:t>
      </w:r>
      <w:r w:rsidR="00942525">
        <w:t xml:space="preserve"> required to </w:t>
      </w:r>
      <w:r w:rsidR="00FA0BEB">
        <w:t>s</w:t>
      </w:r>
      <w:r w:rsidR="00942525">
        <w:t>ubmit</w:t>
      </w:r>
      <w:r w:rsidR="00FA0BEB">
        <w:t xml:space="preserve"> a request and supporting documentation on the applicable forms</w:t>
      </w:r>
      <w:r w:rsidR="00942525">
        <w:t xml:space="preserve"> in order to receive consideration for a rebate reduction.</w:t>
      </w:r>
    </w:p>
    <w:p w:rsidR="001E18AD" w14:paraId="13AD0E32" w14:textId="4734AA9F">
      <w:pPr>
        <w:spacing w:after="0" w:line="259" w:lineRule="auto"/>
        <w:ind w:left="0" w:firstLine="0"/>
      </w:pPr>
    </w:p>
    <w:p w:rsidR="0087622C" w:rsidRPr="00677625" w:rsidP="001C7450" w14:paraId="016877CF" w14:textId="6BEFD14B">
      <w:pPr>
        <w:pStyle w:val="Heading2"/>
      </w:pPr>
      <w:r>
        <w:t>Estimated Burde</w:t>
      </w:r>
      <w:r w:rsidR="00712DE7">
        <w:t>n</w:t>
      </w:r>
      <w:r>
        <w:t xml:space="preserve"> for </w:t>
      </w:r>
      <w:r>
        <w:t>Rebate Reduction Request Form</w:t>
      </w:r>
    </w:p>
    <w:p w:rsidR="0087622C" w:rsidP="0087622C" w14:paraId="1FC8E25E" w14:textId="7A4B6510">
      <w:pPr>
        <w:tabs>
          <w:tab w:val="left" w:pos="720"/>
        </w:tabs>
        <w:suppressAutoHyphens/>
        <w:spacing w:line="240" w:lineRule="atLeast"/>
        <w:rPr>
          <w:color w:val="000000" w:themeColor="text1"/>
        </w:rPr>
      </w:pPr>
      <w:r>
        <w:t>The estimated me</w:t>
      </w:r>
      <w:r w:rsidR="00A32C14">
        <w:t>di</w:t>
      </w:r>
      <w:r>
        <w:t xml:space="preserve">an hourly wage, the adjusted hourly wage (cost per hour) to include the cost of fringe benefits and overhead, total burden hours, and total cost to submit the </w:t>
      </w:r>
      <w:r w:rsidR="00543CC0">
        <w:t>Rebate Reduction Request Form</w:t>
      </w:r>
      <w:r w:rsidR="00296DEF">
        <w:t xml:space="preserve"> are presented in Table 1</w:t>
      </w:r>
      <w:r>
        <w:t>.</w:t>
      </w:r>
      <w:r w:rsidR="00543CC0">
        <w:t xml:space="preserve"> </w:t>
      </w:r>
      <w:r>
        <w:t>Al</w:t>
      </w:r>
      <w:r>
        <w:rPr>
          <w:color w:val="000000" w:themeColor="text1"/>
        </w:rPr>
        <w:t>though CMS estimates the impact on a manufacturer to be the same regardless of the size of the manufacturer, t</w:t>
      </w:r>
      <w:r>
        <w:t>here is some uncertainty to the estimate in Table 1 as some manufacturers may take less time</w:t>
      </w:r>
      <w:r w:rsidR="008E3CED">
        <w:t xml:space="preserve"> to compile all the information needed to complete and submit the Rebate Reduction Request Form, especially if the manufacturer has already compiled and submitted </w:t>
      </w:r>
      <w:r w:rsidR="003D583E">
        <w:t>some of this information</w:t>
      </w:r>
      <w:r w:rsidR="008E3CED">
        <w:t xml:space="preserve"> to the </w:t>
      </w:r>
      <w:r w:rsidR="003D583E">
        <w:t>FDA, which</w:t>
      </w:r>
      <w:r w:rsidR="008E3CED">
        <w:t xml:space="preserve"> collects related information through the 506C notification process,</w:t>
      </w:r>
      <w:r>
        <w:rPr>
          <w:rStyle w:val="FootnoteReference"/>
        </w:rPr>
        <w:footnoteReference w:id="11"/>
      </w:r>
      <w:r>
        <w:t xml:space="preserve"> while other</w:t>
      </w:r>
      <w:r w:rsidR="00136503">
        <w:t xml:space="preserve"> manufacturers</w:t>
      </w:r>
      <w:r>
        <w:t xml:space="preserve"> </w:t>
      </w:r>
      <w:r w:rsidR="008E3CED">
        <w:t xml:space="preserve">may </w:t>
      </w:r>
      <w:r>
        <w:t>take more</w:t>
      </w:r>
      <w:r w:rsidR="008E3CED">
        <w:t xml:space="preserve"> time</w:t>
      </w:r>
      <w:r>
        <w:rPr>
          <w:color w:val="000000" w:themeColor="text1"/>
        </w:rPr>
        <w:t>. Given this uncertainty, the burden estimate</w:t>
      </w:r>
      <w:r w:rsidR="008E3CED">
        <w:rPr>
          <w:color w:val="000000" w:themeColor="text1"/>
        </w:rPr>
        <w:t>s</w:t>
      </w:r>
      <w:r>
        <w:rPr>
          <w:color w:val="000000" w:themeColor="text1"/>
        </w:rPr>
        <w:t xml:space="preserve"> from Table 1 (base estimate</w:t>
      </w:r>
      <w:r w:rsidR="008E3CED">
        <w:rPr>
          <w:color w:val="000000" w:themeColor="text1"/>
        </w:rPr>
        <w:t>s</w:t>
      </w:r>
      <w:r>
        <w:rPr>
          <w:color w:val="000000" w:themeColor="text1"/>
        </w:rPr>
        <w:t xml:space="preserve">) </w:t>
      </w:r>
      <w:r w:rsidR="008E3CED">
        <w:rPr>
          <w:color w:val="000000" w:themeColor="text1"/>
        </w:rPr>
        <w:t>are</w:t>
      </w:r>
      <w:r>
        <w:rPr>
          <w:color w:val="000000" w:themeColor="text1"/>
        </w:rPr>
        <w:t xml:space="preserve"> provided along with a high estimate and a low estimate in Table 2.</w:t>
      </w:r>
    </w:p>
    <w:p w:rsidR="00942525" w:rsidP="0087622C" w14:paraId="54F18668" w14:textId="77777777">
      <w:pPr>
        <w:tabs>
          <w:tab w:val="left" w:pos="720"/>
        </w:tabs>
        <w:suppressAutoHyphens/>
        <w:spacing w:line="240" w:lineRule="atLeast"/>
        <w:rPr>
          <w:color w:val="000000" w:themeColor="text1"/>
        </w:rPr>
      </w:pPr>
    </w:p>
    <w:p w:rsidR="00942525" w:rsidP="00942525" w14:paraId="6E20F985" w14:textId="3AC9E78F">
      <w:pPr>
        <w:ind w:left="-5" w:right="2"/>
      </w:pPr>
      <w:r>
        <w:t xml:space="preserve">CMS estimates that </w:t>
      </w:r>
      <w:r w:rsidR="00136503">
        <w:t>few</w:t>
      </w:r>
      <w:r>
        <w:t xml:space="preserve"> manufacturers will submit a Rebate Reduction Request F</w:t>
      </w:r>
      <w:r w:rsidR="002A6CD3">
        <w:t>or</w:t>
      </w:r>
      <w:r>
        <w:t>m</w:t>
      </w:r>
      <w:r w:rsidR="00136503">
        <w:t xml:space="preserve"> due to the </w:t>
      </w:r>
      <w:r w:rsidRPr="00712305" w:rsidR="00712305">
        <w:t xml:space="preserve">statutory specifications regarding eligible </w:t>
      </w:r>
      <w:r w:rsidR="009A2BC3">
        <w:t xml:space="preserve">rebatable </w:t>
      </w:r>
      <w:r w:rsidRPr="00712305" w:rsidR="00712305">
        <w:t>drugs, as well as the</w:t>
      </w:r>
      <w:r w:rsidR="00712305">
        <w:t xml:space="preserve"> </w:t>
      </w:r>
      <w:r w:rsidR="00136503">
        <w:t>policy criteria established in revised inflation rebate program guidance</w:t>
      </w:r>
      <w:r>
        <w:t xml:space="preserve">. </w:t>
      </w:r>
      <w:r w:rsidR="005E32F6">
        <w:t>CMS anticipates collecting a total of 10</w:t>
      </w:r>
      <w:r w:rsidR="001D6B72">
        <w:t xml:space="preserve"> Rebate </w:t>
      </w:r>
      <w:r w:rsidR="00C74E80">
        <w:t>Reduction</w:t>
      </w:r>
      <w:r w:rsidR="001D6B72">
        <w:t xml:space="preserve"> Request F</w:t>
      </w:r>
      <w:r w:rsidR="005E32F6">
        <w:t>orms per year</w:t>
      </w:r>
      <w:r w:rsidR="00335BE3">
        <w:t xml:space="preserve">. </w:t>
      </w:r>
      <w:r w:rsidR="008927F9">
        <w:t xml:space="preserve">Two additional low estimates and one high estimate are provided in Table 1 below to illustrate the possible variability for this burden estimate </w:t>
      </w:r>
      <w:r w:rsidR="00335BE3">
        <w:t>of multiple forms submitted.</w:t>
      </w:r>
    </w:p>
    <w:p w:rsidR="0087622C" w:rsidP="0087622C" w14:paraId="78A10364" w14:textId="649E393A">
      <w:pPr>
        <w:rPr>
          <w:color w:val="000000" w:themeColor="text1"/>
        </w:rPr>
      </w:pPr>
    </w:p>
    <w:p w:rsidR="001E18AD" w:rsidP="003853F0" w14:paraId="13AD0E38" w14:textId="1835CAB3">
      <w:pPr>
        <w:spacing w:after="0" w:line="259" w:lineRule="auto"/>
        <w:ind w:left="0" w:firstLine="0"/>
      </w:pPr>
      <w:r>
        <w:t xml:space="preserve">CMS expects </w:t>
      </w:r>
      <w:r w:rsidR="004D0694">
        <w:t>a</w:t>
      </w:r>
      <w:r>
        <w:t xml:space="preserve"> </w:t>
      </w:r>
      <w:r w:rsidR="004325C5">
        <w:t>m</w:t>
      </w:r>
      <w:r>
        <w:t xml:space="preserve">anufacturer will have a team preparing the </w:t>
      </w:r>
      <w:r w:rsidR="004325C5">
        <w:t>Rebate Reduction Request Form</w:t>
      </w:r>
      <w:r>
        <w:t xml:space="preserve">. CMS expects this team to consist of </w:t>
      </w:r>
      <w:r w:rsidR="0023748F">
        <w:t xml:space="preserve">chief executives, </w:t>
      </w:r>
      <w:r>
        <w:t>lawyers,</w:t>
      </w:r>
      <w:r w:rsidR="00543CC0">
        <w:t xml:space="preserve"> </w:t>
      </w:r>
      <w:r w:rsidR="004325C5">
        <w:t>pharmacist</w:t>
      </w:r>
      <w:r w:rsidR="00543CC0">
        <w:t>s</w:t>
      </w:r>
      <w:r>
        <w:t>,</w:t>
      </w:r>
      <w:r w:rsidR="00543CC0">
        <w:t xml:space="preserve"> </w:t>
      </w:r>
      <w:r>
        <w:t>and business operation</w:t>
      </w:r>
      <w:r w:rsidR="00BC023B">
        <w:t>s</w:t>
      </w:r>
      <w:r>
        <w:t xml:space="preserve"> specialists. The estimate</w:t>
      </w:r>
      <w:r w:rsidR="00543CC0">
        <w:t>s</w:t>
      </w:r>
      <w:r>
        <w:t xml:space="preserve"> below account for the burden of preparing and submitting the </w:t>
      </w:r>
      <w:r w:rsidR="00B920DE">
        <w:t>Rebate Reduction Request</w:t>
      </w:r>
      <w:r>
        <w:t xml:space="preserve"> Form</w:t>
      </w:r>
      <w:r w:rsidR="00960409">
        <w:t>:</w:t>
      </w:r>
    </w:p>
    <w:p w:rsidR="00960409" w:rsidP="003853F0" w14:paraId="0C500EA2" w14:textId="77777777">
      <w:pPr>
        <w:ind w:right="2"/>
      </w:pPr>
    </w:p>
    <w:p w:rsidR="001E18AD" w:rsidP="003853F0" w14:paraId="13AD0E39" w14:textId="42276B1D">
      <w:pPr>
        <w:numPr>
          <w:ilvl w:val="0"/>
          <w:numId w:val="2"/>
        </w:numPr>
        <w:ind w:right="2" w:hanging="360"/>
      </w:pPr>
      <w:r>
        <w:t>CMS estimates it will take a business operation</w:t>
      </w:r>
      <w:r w:rsidR="00BC023B">
        <w:t>s</w:t>
      </w:r>
      <w:r>
        <w:t xml:space="preserve"> specialist, or a team of business operations specialists, </w:t>
      </w:r>
      <w:r w:rsidR="00D45BD4">
        <w:t>16</w:t>
      </w:r>
      <w:r>
        <w:t xml:space="preserve"> hours, on average, at $</w:t>
      </w:r>
      <w:r w:rsidR="00A33F7A">
        <w:t>89.88</w:t>
      </w:r>
      <w:r>
        <w:t xml:space="preserve"> per hour, to </w:t>
      </w:r>
      <w:r w:rsidR="006F6518">
        <w:t>collect information</w:t>
      </w:r>
      <w:r w:rsidR="000047A0">
        <w:t xml:space="preserve"> </w:t>
      </w:r>
      <w:r w:rsidR="00843B09">
        <w:t xml:space="preserve">and provide brief explanations </w:t>
      </w:r>
      <w:r w:rsidR="006F6518">
        <w:t>detailing the specifics of the severe supply chain disruption or likely shortage</w:t>
      </w:r>
      <w:r w:rsidR="001B622F">
        <w:t>, including determining changes in drug production and distribution and when supply is expected to meet demand</w:t>
      </w:r>
      <w:r>
        <w:t>.</w:t>
      </w:r>
      <w:r w:rsidR="00543E31">
        <w:t xml:space="preserve"> The business operations specialist, or team, will also submit information on how the manufacturer plans to resolve or mitigate the severe supply chain disruption or likely shortage.</w:t>
      </w:r>
      <w:r>
        <w:t xml:space="preserve"> CMS also expects this business operation</w:t>
      </w:r>
      <w:r w:rsidR="007445C3">
        <w:t>s</w:t>
      </w:r>
      <w:r>
        <w:t xml:space="preserve"> specialist, or team, to </w:t>
      </w:r>
      <w:r w:rsidR="000047A0">
        <w:t>compile supporting documentation</w:t>
      </w:r>
      <w:r w:rsidR="00CE67EE">
        <w:t xml:space="preserve"> </w:t>
      </w:r>
      <w:r w:rsidR="000047A0">
        <w:t xml:space="preserve">providing evidence of the severe supply chain disruption and likely shortage </w:t>
      </w:r>
      <w:r>
        <w:t xml:space="preserve">and </w:t>
      </w:r>
      <w:r w:rsidR="00843B09">
        <w:t>submit such information as part of their request to CMS.</w:t>
      </w:r>
    </w:p>
    <w:p w:rsidR="001E18AD" w:rsidP="003853F0" w14:paraId="13AD0E3A" w14:textId="514782E4">
      <w:pPr>
        <w:numPr>
          <w:ilvl w:val="0"/>
          <w:numId w:val="2"/>
        </w:numPr>
        <w:ind w:right="2" w:hanging="360"/>
      </w:pPr>
      <w:r>
        <w:t xml:space="preserve">CMS also estimates it will take </w:t>
      </w:r>
      <w:r w:rsidR="004325C5">
        <w:t xml:space="preserve">a </w:t>
      </w:r>
      <w:r>
        <w:t>pharmacist</w:t>
      </w:r>
      <w:r w:rsidR="00621781">
        <w:t>, or team of pharmacists</w:t>
      </w:r>
      <w:r>
        <w:t xml:space="preserve">, </w:t>
      </w:r>
      <w:r w:rsidR="00D45BD4">
        <w:t>8</w:t>
      </w:r>
      <w:r>
        <w:t xml:space="preserve"> hours, on average, </w:t>
      </w:r>
      <w:r w:rsidR="00B52666">
        <w:t>at $</w:t>
      </w:r>
      <w:r w:rsidR="00A33F7A">
        <w:t>126.98</w:t>
      </w:r>
      <w:r w:rsidR="00B52666">
        <w:t xml:space="preserve"> per hour, </w:t>
      </w:r>
      <w:r>
        <w:t xml:space="preserve">to </w:t>
      </w:r>
      <w:r w:rsidR="00F967C4">
        <w:t xml:space="preserve">evaluate the impact and duration of </w:t>
      </w:r>
      <w:r w:rsidR="003D583E">
        <w:t xml:space="preserve">a </w:t>
      </w:r>
      <w:r w:rsidR="00F967C4">
        <w:t>severe supply chain disruption or determine the likelihood of</w:t>
      </w:r>
      <w:r w:rsidR="003D583E">
        <w:t xml:space="preserve"> shortage and anticipated duration of the potential shortage</w:t>
      </w:r>
      <w:r>
        <w:t>.</w:t>
      </w:r>
    </w:p>
    <w:p w:rsidR="001E18AD" w:rsidP="003853F0" w14:paraId="13AD0E3D" w14:textId="0F884EC5">
      <w:pPr>
        <w:numPr>
          <w:ilvl w:val="0"/>
          <w:numId w:val="2"/>
        </w:numPr>
        <w:ind w:right="2" w:hanging="360"/>
      </w:pPr>
      <w:r>
        <w:t xml:space="preserve">CMS estimates it will take a lawyer, or team of lawyers, </w:t>
      </w:r>
      <w:r w:rsidR="001B622F">
        <w:t xml:space="preserve">5 </w:t>
      </w:r>
      <w:r>
        <w:t>hours, on average, at $</w:t>
      </w:r>
      <w:r w:rsidR="00A33F7A">
        <w:t>230.00</w:t>
      </w:r>
      <w:r w:rsidR="00284829">
        <w:t xml:space="preserve"> </w:t>
      </w:r>
      <w:r>
        <w:t xml:space="preserve">per hour, to </w:t>
      </w:r>
      <w:r w:rsidR="00641966">
        <w:t xml:space="preserve">review the submission and </w:t>
      </w:r>
      <w:r w:rsidR="00EA3533">
        <w:t>determine which information, if any, on the form or in the supporting documentation is considered proprietary and protected under Exemption</w:t>
      </w:r>
      <w:r w:rsidR="00712DE7">
        <w:t xml:space="preserve"> 3 and/or Exemption</w:t>
      </w:r>
      <w:r w:rsidR="00EA3533">
        <w:t xml:space="preserve"> 4 of the Freedom of Information Act</w:t>
      </w:r>
      <w:r>
        <w:t xml:space="preserve">. </w:t>
      </w:r>
    </w:p>
    <w:p w:rsidR="001E18AD" w:rsidP="003853F0" w14:paraId="13AD0E3F" w14:textId="532D07F7">
      <w:pPr>
        <w:numPr>
          <w:ilvl w:val="0"/>
          <w:numId w:val="2"/>
        </w:numPr>
        <w:ind w:right="2" w:hanging="360"/>
      </w:pPr>
      <w:r>
        <w:t xml:space="preserve">CMS estimates that it will take a Chief Executive, on average, </w:t>
      </w:r>
      <w:r w:rsidR="001B622F">
        <w:t xml:space="preserve">2 </w:t>
      </w:r>
      <w:r>
        <w:t>hours, at $</w:t>
      </w:r>
      <w:r w:rsidR="00B52666">
        <w:t>230.00</w:t>
      </w:r>
      <w:r>
        <w:t xml:space="preserve"> per hour, to review the </w:t>
      </w:r>
      <w:r w:rsidR="00E3233E">
        <w:t xml:space="preserve">Rebate Reduction Request Form and supporting documentation and certify the </w:t>
      </w:r>
      <w:r w:rsidR="000509EE">
        <w:t>submission</w:t>
      </w:r>
      <w:r>
        <w:t>. Certification must be done by the (1) CEO, (2) CFO, (3) an individual other than a CEO or CFO, who has authority equivalent to a CEO or a CFO, or (4) an individual with the directly delegated authority to perform the certification on behalf of one of the individuals mentioned in (1) through (3).</w:t>
      </w:r>
    </w:p>
    <w:p w:rsidR="001E18AD" w14:paraId="13AD0E40" w14:textId="77777777">
      <w:pPr>
        <w:spacing w:after="0" w:line="259" w:lineRule="auto"/>
        <w:ind w:left="0" w:firstLine="0"/>
      </w:pPr>
      <w:r>
        <w:t xml:space="preserve"> </w:t>
      </w:r>
    </w:p>
    <w:p w:rsidR="001E18AD" w14:paraId="13AD0E41" w14:textId="489A73CA">
      <w:pPr>
        <w:ind w:left="-5" w:right="2"/>
      </w:pPr>
      <w:r>
        <w:t xml:space="preserve">The cost estimates for </w:t>
      </w:r>
      <w:r w:rsidR="006F22EA">
        <w:t>one-time costs are presented</w:t>
      </w:r>
      <w:r>
        <w:t xml:space="preserve"> in Table 1 below. </w:t>
      </w:r>
      <w:r w:rsidR="00BD2B93">
        <w:t xml:space="preserve">For the anticipated 10 Rebate Reduction Request Form submissions, </w:t>
      </w:r>
      <w:r>
        <w:t>CMS estimates a total burden of</w:t>
      </w:r>
      <w:r w:rsidR="006F22EA">
        <w:t xml:space="preserve"> </w:t>
      </w:r>
      <w:r w:rsidR="00EC1D0A">
        <w:t>310</w:t>
      </w:r>
      <w:r>
        <w:t xml:space="preserve"> hours</w:t>
      </w:r>
      <w:r w:rsidR="006F22EA">
        <w:t xml:space="preserve"> (</w:t>
      </w:r>
      <w:r w:rsidR="00EC1D0A">
        <w:t>31</w:t>
      </w:r>
      <w:r w:rsidR="006F22EA">
        <w:t xml:space="preserve"> hrs. per form submitted * 10 forms submitted)</w:t>
      </w:r>
      <w:r>
        <w:t xml:space="preserve"> and total cost of </w:t>
      </w:r>
      <w:r w:rsidRPr="000C0292" w:rsidR="000C0292">
        <w:t>$</w:t>
      </w:r>
      <w:r w:rsidR="00894D16">
        <w:t>40,639.20</w:t>
      </w:r>
      <w:r w:rsidR="006F22EA">
        <w:t xml:space="preserve"> </w:t>
      </w:r>
      <w:r w:rsidR="00BD2B93">
        <w:t xml:space="preserve">for all 10 developed and submitted forms </w:t>
      </w:r>
      <w:r w:rsidR="00894D16">
        <w:t>(</w:t>
      </w:r>
      <w:r w:rsidRPr="003351FB" w:rsidR="003351FB">
        <w:t>$</w:t>
      </w:r>
      <w:r w:rsidR="00894D16">
        <w:t>4,063.92</w:t>
      </w:r>
      <w:r w:rsidR="00BD2B93">
        <w:t xml:space="preserve"> per form * 10 forms submitted)</w:t>
      </w:r>
      <w:r>
        <w:t>.</w:t>
      </w:r>
    </w:p>
    <w:p w:rsidR="001E18AD" w14:paraId="13AD0E42" w14:textId="77777777">
      <w:pPr>
        <w:spacing w:after="0" w:line="259" w:lineRule="auto"/>
        <w:ind w:left="58" w:firstLine="0"/>
        <w:jc w:val="center"/>
      </w:pPr>
      <w:r>
        <w:rPr>
          <w:b/>
        </w:rPr>
        <w:t xml:space="preserve"> </w:t>
      </w:r>
    </w:p>
    <w:p w:rsidR="001E18AD" w:rsidP="003853F0" w14:paraId="13AD0E44" w14:textId="02EF90DE">
      <w:pPr>
        <w:pStyle w:val="Heading1"/>
        <w:ind w:left="284"/>
        <w:jc w:val="center"/>
      </w:pPr>
      <w:r>
        <w:t>TABLE 1: SUMMARY OF I</w:t>
      </w:r>
      <w:r w:rsidR="00DF1441">
        <w:t>CR</w:t>
      </w:r>
      <w:r w:rsidR="009D1FF2">
        <w:t xml:space="preserve"> BURDEN </w:t>
      </w:r>
      <w:r>
        <w:t xml:space="preserve">FOR DEVELOPING </w:t>
      </w:r>
      <w:r w:rsidR="000D5C9B">
        <w:t>AND SUBMITTING</w:t>
      </w:r>
      <w:r w:rsidR="00752A9F">
        <w:t xml:space="preserve"> </w:t>
      </w:r>
      <w:r w:rsidR="00D8305B">
        <w:t>REBATE REDUCTION REQUEST FORM</w:t>
      </w:r>
      <w:r w:rsidR="00752A9F">
        <w:t>(S)</w:t>
      </w:r>
    </w:p>
    <w:tbl>
      <w:tblPr>
        <w:tblStyle w:val="TableGrid"/>
        <w:tblW w:w="9352" w:type="dxa"/>
        <w:jc w:val="center"/>
        <w:tblInd w:w="0" w:type="dxa"/>
        <w:tblLayout w:type="fixed"/>
        <w:tblCellMar>
          <w:top w:w="62" w:type="dxa"/>
          <w:left w:w="115" w:type="dxa"/>
          <w:right w:w="38" w:type="dxa"/>
        </w:tblCellMar>
        <w:tblLook w:val="04A0"/>
      </w:tblPr>
      <w:tblGrid>
        <w:gridCol w:w="1975"/>
        <w:gridCol w:w="1080"/>
        <w:gridCol w:w="990"/>
        <w:gridCol w:w="900"/>
        <w:gridCol w:w="1530"/>
        <w:gridCol w:w="990"/>
        <w:gridCol w:w="1887"/>
      </w:tblGrid>
      <w:tr w14:paraId="13AD0E53" w14:textId="77777777" w:rsidTr="003853F0">
        <w:tblPrEx>
          <w:tblW w:w="9352" w:type="dxa"/>
          <w:jc w:val="center"/>
          <w:tblInd w:w="0" w:type="dxa"/>
          <w:tblLayout w:type="fixed"/>
          <w:tblCellMar>
            <w:top w:w="62" w:type="dxa"/>
            <w:left w:w="115" w:type="dxa"/>
            <w:right w:w="38" w:type="dxa"/>
          </w:tblCellMar>
          <w:tblLook w:val="04A0"/>
        </w:tblPrEx>
        <w:trPr>
          <w:trHeight w:val="1012"/>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FA0BEB" w:rsidP="00621781" w14:paraId="13AD0E45" w14:textId="4CD2A63D">
            <w:pPr>
              <w:spacing w:after="0" w:line="259" w:lineRule="auto"/>
              <w:ind w:left="0" w:right="80" w:firstLine="0"/>
              <w:jc w:val="center"/>
            </w:pPr>
            <w:r>
              <w:rPr>
                <w:b/>
              </w:rPr>
              <w:t>Occupation</w:t>
            </w:r>
          </w:p>
          <w:p w:rsidR="00FA0BEB" w:rsidP="00621781" w14:paraId="13AD0E46" w14:textId="48405B5C">
            <w:pPr>
              <w:spacing w:after="0" w:line="259" w:lineRule="auto"/>
              <w:ind w:left="0" w:right="76" w:firstLine="0"/>
              <w:jc w:val="center"/>
            </w:pPr>
            <w:r>
              <w:rPr>
                <w:b/>
              </w:rPr>
              <w:t>Title</w:t>
            </w:r>
          </w:p>
        </w:tc>
        <w:tc>
          <w:tcPr>
            <w:tcW w:w="1080" w:type="dxa"/>
            <w:tcBorders>
              <w:top w:val="single" w:sz="4" w:space="0" w:color="000000"/>
              <w:left w:val="single" w:sz="4" w:space="0" w:color="000000"/>
              <w:bottom w:val="single" w:sz="4" w:space="0" w:color="000000"/>
              <w:right w:val="single" w:sz="4" w:space="0" w:color="000000"/>
            </w:tcBorders>
            <w:vAlign w:val="center"/>
          </w:tcPr>
          <w:p w:rsidR="00FA0BEB" w:rsidP="003853F0" w14:paraId="13AD0E48" w14:textId="504F53FF">
            <w:pPr>
              <w:spacing w:after="0" w:line="259" w:lineRule="auto"/>
              <w:ind w:left="0" w:right="78" w:firstLine="0"/>
              <w:jc w:val="center"/>
            </w:pPr>
            <w:r>
              <w:rPr>
                <w:b/>
              </w:rPr>
              <w:t>Me</w:t>
            </w:r>
            <w:r w:rsidR="00A32C14">
              <w:rPr>
                <w:b/>
              </w:rPr>
              <w:t>di</w:t>
            </w:r>
            <w:r>
              <w:rPr>
                <w:b/>
              </w:rPr>
              <w:t>an Hourly</w:t>
            </w:r>
          </w:p>
          <w:p w:rsidR="00FA0BEB" w:rsidP="00621781" w14:paraId="13AD0E49" w14:textId="42EAF12B">
            <w:pPr>
              <w:spacing w:after="0" w:line="259" w:lineRule="auto"/>
              <w:ind w:left="0" w:right="76" w:firstLine="0"/>
              <w:jc w:val="center"/>
            </w:pPr>
            <w:r>
              <w:rPr>
                <w:b/>
              </w:rPr>
              <w:t>Wage</w:t>
            </w:r>
          </w:p>
        </w:tc>
        <w:tc>
          <w:tcPr>
            <w:tcW w:w="990" w:type="dxa"/>
            <w:tcBorders>
              <w:top w:val="single" w:sz="4" w:space="0" w:color="000000"/>
              <w:left w:val="single" w:sz="4" w:space="0" w:color="000000"/>
              <w:bottom w:val="single" w:sz="4" w:space="0" w:color="000000"/>
              <w:right w:val="single" w:sz="4" w:space="0" w:color="000000"/>
            </w:tcBorders>
            <w:vAlign w:val="center"/>
          </w:tcPr>
          <w:p w:rsidR="00FA0BEB" w:rsidP="00621781" w14:paraId="13AD0E4A" w14:textId="0101E20B">
            <w:pPr>
              <w:spacing w:after="0" w:line="259" w:lineRule="auto"/>
              <w:ind w:left="0" w:firstLine="0"/>
              <w:jc w:val="center"/>
            </w:pPr>
            <w:r>
              <w:rPr>
                <w:b/>
              </w:rPr>
              <w:t>Cost per hour</w:t>
            </w:r>
            <w:r w:rsidRPr="13B0BCA9">
              <w:rPr>
                <w:i/>
                <w:iCs/>
                <w:color w:val="000000" w:themeColor="text1"/>
                <w:sz w:val="20"/>
                <w:szCs w:val="20"/>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0BEB" w:rsidP="00621781" w14:paraId="47579AE5" w14:textId="2FF9CB0D">
            <w:pPr>
              <w:spacing w:after="0" w:line="259" w:lineRule="auto"/>
              <w:ind w:left="0" w:firstLine="0"/>
              <w:jc w:val="center"/>
              <w:rPr>
                <w:b/>
              </w:rPr>
            </w:pPr>
            <w:r>
              <w:rPr>
                <w:b/>
              </w:rPr>
              <w:t># Hours</w:t>
            </w:r>
          </w:p>
        </w:tc>
        <w:tc>
          <w:tcPr>
            <w:tcW w:w="1530" w:type="dxa"/>
            <w:tcBorders>
              <w:top w:val="single" w:sz="4" w:space="0" w:color="000000"/>
              <w:left w:val="single" w:sz="4" w:space="0" w:color="000000"/>
              <w:bottom w:val="single" w:sz="4" w:space="0" w:color="000000"/>
              <w:right w:val="single" w:sz="4" w:space="0" w:color="000000"/>
            </w:tcBorders>
            <w:vAlign w:val="center"/>
          </w:tcPr>
          <w:p w:rsidR="00FA0BEB" w:rsidP="00621781" w14:paraId="51F96C37" w14:textId="15E81EDF">
            <w:pPr>
              <w:spacing w:after="0" w:line="259" w:lineRule="auto"/>
              <w:ind w:left="0" w:firstLine="0"/>
              <w:jc w:val="center"/>
              <w:rPr>
                <w:b/>
              </w:rPr>
            </w:pPr>
            <w:r>
              <w:rPr>
                <w:b/>
              </w:rPr>
              <w:t># Respondents</w:t>
            </w:r>
          </w:p>
        </w:tc>
        <w:tc>
          <w:tcPr>
            <w:tcW w:w="990" w:type="dxa"/>
            <w:tcBorders>
              <w:top w:val="single" w:sz="4" w:space="0" w:color="000000"/>
              <w:left w:val="single" w:sz="4" w:space="0" w:color="000000"/>
              <w:bottom w:val="single" w:sz="4" w:space="0" w:color="000000"/>
              <w:right w:val="single" w:sz="4" w:space="0" w:color="000000"/>
            </w:tcBorders>
            <w:vAlign w:val="center"/>
          </w:tcPr>
          <w:p w:rsidR="00FA0BEB" w:rsidP="003853F0" w14:paraId="13AD0E4C" w14:textId="6753A8CB">
            <w:pPr>
              <w:spacing w:after="0" w:line="259" w:lineRule="auto"/>
              <w:ind w:left="0" w:firstLine="0"/>
              <w:jc w:val="center"/>
            </w:pPr>
            <w:r>
              <w:rPr>
                <w:b/>
              </w:rPr>
              <w:t>Total Burden Hours</w:t>
            </w:r>
          </w:p>
        </w:tc>
        <w:tc>
          <w:tcPr>
            <w:tcW w:w="1887" w:type="dxa"/>
            <w:tcBorders>
              <w:top w:val="single" w:sz="4" w:space="0" w:color="000000"/>
              <w:left w:val="single" w:sz="4" w:space="0" w:color="000000"/>
              <w:bottom w:val="single" w:sz="4" w:space="0" w:color="000000"/>
              <w:right w:val="single" w:sz="4" w:space="0" w:color="000000"/>
            </w:tcBorders>
            <w:vAlign w:val="center"/>
          </w:tcPr>
          <w:p w:rsidR="00FA0BEB" w:rsidP="00621781" w14:paraId="13AD0E52" w14:textId="037853EA">
            <w:pPr>
              <w:spacing w:after="0" w:line="259" w:lineRule="auto"/>
              <w:ind w:left="0" w:right="74" w:firstLine="0"/>
              <w:jc w:val="center"/>
            </w:pPr>
            <w:r>
              <w:rPr>
                <w:b/>
              </w:rPr>
              <w:t>Total Cost</w:t>
            </w:r>
          </w:p>
        </w:tc>
      </w:tr>
      <w:tr w14:paraId="13AD0E5D" w14:textId="77777777" w:rsidTr="003853F0">
        <w:tblPrEx>
          <w:tblW w:w="9352" w:type="dxa"/>
          <w:jc w:val="center"/>
          <w:tblInd w:w="0" w:type="dxa"/>
          <w:tblLayout w:type="fixed"/>
          <w:tblCellMar>
            <w:top w:w="62" w:type="dxa"/>
            <w:left w:w="115" w:type="dxa"/>
            <w:right w:w="38" w:type="dxa"/>
          </w:tblCellMar>
          <w:tblLook w:val="04A0"/>
        </w:tblPrEx>
        <w:trPr>
          <w:trHeight w:val="1114"/>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D45BD4" w:rsidP="003853F0" w14:paraId="13AD0E56" w14:textId="7C888709">
            <w:pPr>
              <w:spacing w:after="0" w:line="259" w:lineRule="auto"/>
              <w:ind w:left="0" w:firstLine="0"/>
              <w:jc w:val="center"/>
            </w:pPr>
            <w:r>
              <w:t>Business Operations Specialist(s) (13-1</w:t>
            </w:r>
            <w:r w:rsidR="00064204">
              <w:t>000</w:t>
            </w:r>
            <w: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D45BD4" w:rsidP="003853F0" w14:paraId="13AD0E57" w14:textId="488BA718">
            <w:pPr>
              <w:spacing w:after="0" w:line="259" w:lineRule="auto"/>
              <w:ind w:left="0" w:firstLine="0"/>
              <w:jc w:val="center"/>
            </w:pPr>
            <w:r>
              <w:t>$</w:t>
            </w:r>
            <w:r w:rsidR="00A33F7A">
              <w:t>44.94</w:t>
            </w:r>
          </w:p>
        </w:tc>
        <w:tc>
          <w:tcPr>
            <w:tcW w:w="990" w:type="dxa"/>
            <w:tcBorders>
              <w:top w:val="single" w:sz="4" w:space="0" w:color="000000"/>
              <w:left w:val="single" w:sz="4" w:space="0" w:color="000000"/>
              <w:bottom w:val="single" w:sz="4" w:space="0" w:color="000000"/>
              <w:right w:val="single" w:sz="4" w:space="0" w:color="000000"/>
            </w:tcBorders>
            <w:vAlign w:val="center"/>
          </w:tcPr>
          <w:p w:rsidR="00D45BD4" w:rsidP="003853F0" w14:paraId="13AD0E58" w14:textId="6BF4231C">
            <w:pPr>
              <w:spacing w:after="0" w:line="259" w:lineRule="auto"/>
              <w:ind w:left="0" w:firstLine="0"/>
              <w:jc w:val="center"/>
            </w:pPr>
            <w:r>
              <w:t>$</w:t>
            </w:r>
            <w:r w:rsidR="00A33F7A">
              <w:t>89.88</w:t>
            </w:r>
          </w:p>
        </w:tc>
        <w:tc>
          <w:tcPr>
            <w:tcW w:w="900" w:type="dxa"/>
            <w:tcBorders>
              <w:top w:val="single" w:sz="4" w:space="0" w:color="000000"/>
              <w:left w:val="single" w:sz="4" w:space="0" w:color="000000"/>
              <w:bottom w:val="single" w:sz="4" w:space="0" w:color="000000"/>
              <w:right w:val="single" w:sz="4" w:space="0" w:color="000000"/>
            </w:tcBorders>
            <w:vAlign w:val="center"/>
          </w:tcPr>
          <w:p w:rsidR="00D45BD4" w:rsidP="00D45BD4" w14:paraId="4104746D" w14:textId="43F3DADB">
            <w:pPr>
              <w:spacing w:after="0" w:line="259" w:lineRule="auto"/>
              <w:ind w:left="0" w:right="77" w:firstLine="0"/>
              <w:jc w:val="center"/>
            </w:pPr>
            <w:r>
              <w:t>16</w:t>
            </w:r>
          </w:p>
        </w:tc>
        <w:tc>
          <w:tcPr>
            <w:tcW w:w="1530" w:type="dxa"/>
            <w:tcBorders>
              <w:top w:val="single" w:sz="4" w:space="0" w:color="000000"/>
              <w:left w:val="single" w:sz="4" w:space="0" w:color="000000"/>
              <w:bottom w:val="single" w:sz="4" w:space="0" w:color="000000"/>
              <w:right w:val="single" w:sz="4" w:space="0" w:color="000000"/>
            </w:tcBorders>
            <w:vAlign w:val="center"/>
          </w:tcPr>
          <w:p w:rsidR="00D45BD4" w:rsidP="00D45BD4" w14:paraId="3781BFC6" w14:textId="1619D99C">
            <w:pPr>
              <w:spacing w:after="0" w:line="259" w:lineRule="auto"/>
              <w:ind w:left="0" w:right="77" w:firstLine="0"/>
              <w:jc w:val="center"/>
            </w:pPr>
            <w:r>
              <w:t>1</w:t>
            </w:r>
            <w:r w:rsidR="00AA7BE7">
              <w:t>0</w:t>
            </w:r>
          </w:p>
        </w:tc>
        <w:tc>
          <w:tcPr>
            <w:tcW w:w="990" w:type="dxa"/>
            <w:tcBorders>
              <w:top w:val="single" w:sz="4" w:space="0" w:color="000000"/>
              <w:left w:val="single" w:sz="4" w:space="0" w:color="000000"/>
              <w:bottom w:val="single" w:sz="4" w:space="0" w:color="000000"/>
              <w:right w:val="single" w:sz="4" w:space="0" w:color="000000"/>
            </w:tcBorders>
            <w:vAlign w:val="center"/>
          </w:tcPr>
          <w:p w:rsidR="00D45BD4" w:rsidP="00D45BD4" w14:paraId="13AD0E59" w14:textId="6E91D6FE">
            <w:pPr>
              <w:spacing w:after="0" w:line="259" w:lineRule="auto"/>
              <w:ind w:left="0" w:right="77" w:firstLine="0"/>
              <w:jc w:val="center"/>
            </w:pPr>
            <w:r>
              <w:t>16</w:t>
            </w:r>
          </w:p>
        </w:tc>
        <w:tc>
          <w:tcPr>
            <w:tcW w:w="1887" w:type="dxa"/>
            <w:tcBorders>
              <w:top w:val="single" w:sz="4" w:space="0" w:color="000000"/>
              <w:left w:val="single" w:sz="4" w:space="0" w:color="000000"/>
              <w:bottom w:val="single" w:sz="4" w:space="0" w:color="000000"/>
              <w:right w:val="single" w:sz="4" w:space="0" w:color="000000"/>
            </w:tcBorders>
            <w:vAlign w:val="center"/>
          </w:tcPr>
          <w:p w:rsidR="00D45BD4" w:rsidP="006A3EAF" w14:paraId="13AD0E5C" w14:textId="7836B837">
            <w:pPr>
              <w:spacing w:after="0" w:line="240" w:lineRule="auto"/>
              <w:ind w:left="0" w:firstLine="0"/>
              <w:jc w:val="center"/>
            </w:pPr>
            <w:r>
              <w:t>$</w:t>
            </w:r>
            <w:r w:rsidR="00A33F7A">
              <w:t>14,380.80</w:t>
            </w:r>
          </w:p>
        </w:tc>
      </w:tr>
      <w:tr w14:paraId="13AD0E65" w14:textId="77777777" w:rsidTr="003853F0">
        <w:tblPrEx>
          <w:tblW w:w="9352" w:type="dxa"/>
          <w:jc w:val="center"/>
          <w:tblInd w:w="0" w:type="dxa"/>
          <w:tblLayout w:type="fixed"/>
          <w:tblCellMar>
            <w:top w:w="62" w:type="dxa"/>
            <w:left w:w="115" w:type="dxa"/>
            <w:right w:w="38" w:type="dxa"/>
          </w:tblCellMar>
          <w:tblLook w:val="04A0"/>
        </w:tblPrEx>
        <w:trPr>
          <w:trHeight w:val="562"/>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D45BD4" w:rsidP="003853F0" w14:paraId="13AD0E5E" w14:textId="67172D63">
            <w:pPr>
              <w:spacing w:after="0" w:line="259" w:lineRule="auto"/>
              <w:ind w:left="0" w:firstLine="0"/>
              <w:jc w:val="center"/>
            </w:pPr>
            <w:r>
              <w:t>Pharmacist(s) (29-1051)</w:t>
            </w:r>
          </w:p>
        </w:tc>
        <w:tc>
          <w:tcPr>
            <w:tcW w:w="1080" w:type="dxa"/>
            <w:tcBorders>
              <w:top w:val="single" w:sz="4" w:space="0" w:color="000000"/>
              <w:left w:val="single" w:sz="4" w:space="0" w:color="000000"/>
              <w:bottom w:val="single" w:sz="4" w:space="0" w:color="000000"/>
              <w:right w:val="single" w:sz="4" w:space="0" w:color="000000"/>
            </w:tcBorders>
            <w:vAlign w:val="center"/>
          </w:tcPr>
          <w:p w:rsidR="00D45BD4" w:rsidP="003853F0" w14:paraId="13AD0E5F" w14:textId="38520251">
            <w:pPr>
              <w:spacing w:after="0" w:line="259" w:lineRule="auto"/>
              <w:ind w:left="0" w:firstLine="0"/>
              <w:jc w:val="center"/>
            </w:pPr>
            <w:r>
              <w:t>$</w:t>
            </w:r>
            <w:r w:rsidR="00A33F7A">
              <w:t>63.49</w:t>
            </w:r>
          </w:p>
        </w:tc>
        <w:tc>
          <w:tcPr>
            <w:tcW w:w="990" w:type="dxa"/>
            <w:tcBorders>
              <w:top w:val="single" w:sz="4" w:space="0" w:color="000000"/>
              <w:left w:val="single" w:sz="4" w:space="0" w:color="000000"/>
              <w:bottom w:val="single" w:sz="4" w:space="0" w:color="000000"/>
              <w:right w:val="single" w:sz="4" w:space="0" w:color="000000"/>
            </w:tcBorders>
            <w:vAlign w:val="center"/>
          </w:tcPr>
          <w:p w:rsidR="00D45BD4" w:rsidP="003853F0" w14:paraId="13AD0E60" w14:textId="659D99C0">
            <w:pPr>
              <w:spacing w:after="0" w:line="259" w:lineRule="auto"/>
              <w:ind w:left="0" w:firstLine="0"/>
              <w:jc w:val="center"/>
            </w:pPr>
            <w:r>
              <w:t>$</w:t>
            </w:r>
            <w:r w:rsidR="00A33F7A">
              <w:t>126.98</w:t>
            </w:r>
          </w:p>
        </w:tc>
        <w:tc>
          <w:tcPr>
            <w:tcW w:w="900" w:type="dxa"/>
            <w:tcBorders>
              <w:top w:val="single" w:sz="4" w:space="0" w:color="000000"/>
              <w:left w:val="single" w:sz="4" w:space="0" w:color="000000"/>
              <w:bottom w:val="single" w:sz="4" w:space="0" w:color="000000"/>
              <w:right w:val="single" w:sz="4" w:space="0" w:color="000000"/>
            </w:tcBorders>
            <w:vAlign w:val="center"/>
          </w:tcPr>
          <w:p w:rsidR="00D45BD4" w:rsidP="00D45BD4" w14:paraId="11C4F84B" w14:textId="2937E62F">
            <w:pPr>
              <w:spacing w:after="0" w:line="259" w:lineRule="auto"/>
              <w:ind w:left="0" w:right="77" w:firstLine="0"/>
              <w:jc w:val="center"/>
            </w:pPr>
            <w:r>
              <w:t>8</w:t>
            </w:r>
          </w:p>
        </w:tc>
        <w:tc>
          <w:tcPr>
            <w:tcW w:w="1530" w:type="dxa"/>
            <w:tcBorders>
              <w:top w:val="single" w:sz="4" w:space="0" w:color="000000"/>
              <w:left w:val="single" w:sz="4" w:space="0" w:color="000000"/>
              <w:bottom w:val="single" w:sz="4" w:space="0" w:color="000000"/>
              <w:right w:val="single" w:sz="4" w:space="0" w:color="000000"/>
            </w:tcBorders>
            <w:vAlign w:val="center"/>
          </w:tcPr>
          <w:p w:rsidR="00D45BD4" w:rsidP="00D45BD4" w14:paraId="21D35307" w14:textId="78BDEA58">
            <w:pPr>
              <w:spacing w:after="0" w:line="259" w:lineRule="auto"/>
              <w:ind w:left="0" w:right="77" w:firstLine="0"/>
              <w:jc w:val="center"/>
            </w:pPr>
            <w:r>
              <w:t>1</w:t>
            </w:r>
            <w:r w:rsidR="00AA7BE7">
              <w:t>0</w:t>
            </w:r>
          </w:p>
        </w:tc>
        <w:tc>
          <w:tcPr>
            <w:tcW w:w="990" w:type="dxa"/>
            <w:tcBorders>
              <w:top w:val="single" w:sz="4" w:space="0" w:color="000000"/>
              <w:left w:val="single" w:sz="4" w:space="0" w:color="000000"/>
              <w:bottom w:val="single" w:sz="4" w:space="0" w:color="000000"/>
              <w:right w:val="single" w:sz="4" w:space="0" w:color="000000"/>
            </w:tcBorders>
            <w:vAlign w:val="center"/>
          </w:tcPr>
          <w:p w:rsidR="00D45BD4" w:rsidP="00D45BD4" w14:paraId="13AD0E61" w14:textId="3737684F">
            <w:pPr>
              <w:spacing w:after="0" w:line="259" w:lineRule="auto"/>
              <w:ind w:left="0" w:right="77" w:firstLine="0"/>
              <w:jc w:val="center"/>
            </w:pPr>
            <w:r>
              <w:t>8</w:t>
            </w:r>
          </w:p>
        </w:tc>
        <w:tc>
          <w:tcPr>
            <w:tcW w:w="1887" w:type="dxa"/>
            <w:tcBorders>
              <w:top w:val="single" w:sz="4" w:space="0" w:color="000000"/>
              <w:left w:val="single" w:sz="4" w:space="0" w:color="000000"/>
              <w:bottom w:val="single" w:sz="4" w:space="0" w:color="000000"/>
              <w:right w:val="single" w:sz="4" w:space="0" w:color="000000"/>
            </w:tcBorders>
            <w:vAlign w:val="center"/>
          </w:tcPr>
          <w:p w:rsidR="00D45BD4" w:rsidP="006A3EAF" w14:paraId="13AD0E64" w14:textId="79068246">
            <w:pPr>
              <w:spacing w:after="0" w:line="240" w:lineRule="auto"/>
              <w:ind w:left="0" w:firstLine="0"/>
              <w:jc w:val="center"/>
            </w:pPr>
            <w:r>
              <w:t>$</w:t>
            </w:r>
            <w:r w:rsidR="00A33F7A">
              <w:t>10,158.40</w:t>
            </w:r>
          </w:p>
        </w:tc>
      </w:tr>
      <w:tr w14:paraId="13AD0EA3" w14:textId="77777777" w:rsidTr="003853F0">
        <w:tblPrEx>
          <w:tblW w:w="9352" w:type="dxa"/>
          <w:jc w:val="center"/>
          <w:tblInd w:w="0" w:type="dxa"/>
          <w:tblLayout w:type="fixed"/>
          <w:tblCellMar>
            <w:top w:w="62" w:type="dxa"/>
            <w:left w:w="115" w:type="dxa"/>
            <w:right w:w="38" w:type="dxa"/>
          </w:tblCellMar>
          <w:tblLook w:val="04A0"/>
        </w:tblPrEx>
        <w:trPr>
          <w:trHeight w:val="562"/>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D45BD4" w:rsidP="003853F0" w14:paraId="13AD0E9C" w14:textId="6EB83766">
            <w:pPr>
              <w:spacing w:after="0" w:line="259" w:lineRule="auto"/>
              <w:ind w:left="0" w:firstLine="0"/>
              <w:jc w:val="center"/>
            </w:pPr>
            <w:r>
              <w:t>Lawyer(s) (23</w:t>
            </w:r>
            <w:r w:rsidR="00064204">
              <w:t>-</w:t>
            </w:r>
            <w:r>
              <w:t>1011)</w:t>
            </w:r>
          </w:p>
        </w:tc>
        <w:tc>
          <w:tcPr>
            <w:tcW w:w="1080" w:type="dxa"/>
            <w:tcBorders>
              <w:top w:val="single" w:sz="4" w:space="0" w:color="000000"/>
              <w:left w:val="single" w:sz="4" w:space="0" w:color="000000"/>
              <w:bottom w:val="single" w:sz="4" w:space="0" w:color="000000"/>
              <w:right w:val="single" w:sz="4" w:space="0" w:color="000000"/>
            </w:tcBorders>
            <w:vAlign w:val="center"/>
          </w:tcPr>
          <w:p w:rsidR="00D45BD4" w:rsidP="003853F0" w14:paraId="13AD0E9D" w14:textId="5C0F18E9">
            <w:pPr>
              <w:spacing w:after="0" w:line="259" w:lineRule="auto"/>
              <w:ind w:left="0" w:firstLine="0"/>
              <w:jc w:val="center"/>
            </w:pPr>
            <w:r>
              <w:t>$</w:t>
            </w:r>
            <w:r w:rsidR="00A33F7A">
              <w:t>115.00</w:t>
            </w:r>
          </w:p>
        </w:tc>
        <w:tc>
          <w:tcPr>
            <w:tcW w:w="990" w:type="dxa"/>
            <w:tcBorders>
              <w:top w:val="single" w:sz="4" w:space="0" w:color="000000"/>
              <w:left w:val="single" w:sz="4" w:space="0" w:color="000000"/>
              <w:bottom w:val="single" w:sz="4" w:space="0" w:color="000000"/>
              <w:right w:val="single" w:sz="4" w:space="0" w:color="000000"/>
            </w:tcBorders>
            <w:vAlign w:val="center"/>
          </w:tcPr>
          <w:p w:rsidR="00D45BD4" w:rsidP="003853F0" w14:paraId="13AD0E9E" w14:textId="75323982">
            <w:pPr>
              <w:spacing w:after="0" w:line="259" w:lineRule="auto"/>
              <w:ind w:left="0" w:firstLine="0"/>
              <w:jc w:val="center"/>
            </w:pPr>
            <w:r>
              <w:t>$</w:t>
            </w:r>
            <w:r w:rsidR="00A33F7A">
              <w:t>230.00</w:t>
            </w:r>
          </w:p>
        </w:tc>
        <w:tc>
          <w:tcPr>
            <w:tcW w:w="900" w:type="dxa"/>
            <w:tcBorders>
              <w:top w:val="single" w:sz="4" w:space="0" w:color="000000"/>
              <w:left w:val="single" w:sz="4" w:space="0" w:color="000000"/>
              <w:bottom w:val="single" w:sz="4" w:space="0" w:color="000000"/>
              <w:right w:val="single" w:sz="4" w:space="0" w:color="000000"/>
            </w:tcBorders>
            <w:vAlign w:val="center"/>
          </w:tcPr>
          <w:p w:rsidR="00D45BD4" w:rsidP="00D45BD4" w14:paraId="424F3C25" w14:textId="0731A27F">
            <w:pPr>
              <w:spacing w:after="0" w:line="259" w:lineRule="auto"/>
              <w:ind w:left="0" w:right="77" w:firstLine="0"/>
              <w:jc w:val="center"/>
            </w:pPr>
            <w:r>
              <w:t>5</w:t>
            </w:r>
          </w:p>
        </w:tc>
        <w:tc>
          <w:tcPr>
            <w:tcW w:w="1530" w:type="dxa"/>
            <w:tcBorders>
              <w:top w:val="single" w:sz="4" w:space="0" w:color="000000"/>
              <w:left w:val="single" w:sz="4" w:space="0" w:color="000000"/>
              <w:bottom w:val="single" w:sz="4" w:space="0" w:color="000000"/>
              <w:right w:val="single" w:sz="4" w:space="0" w:color="000000"/>
            </w:tcBorders>
            <w:vAlign w:val="center"/>
          </w:tcPr>
          <w:p w:rsidR="00D45BD4" w:rsidP="00D45BD4" w14:paraId="7C994E38" w14:textId="28D42669">
            <w:pPr>
              <w:spacing w:after="0" w:line="259" w:lineRule="auto"/>
              <w:ind w:left="0" w:right="77" w:firstLine="0"/>
              <w:jc w:val="center"/>
            </w:pPr>
            <w:r>
              <w:t>1</w:t>
            </w:r>
            <w:r w:rsidR="00AA7BE7">
              <w:t>0</w:t>
            </w:r>
          </w:p>
        </w:tc>
        <w:tc>
          <w:tcPr>
            <w:tcW w:w="990" w:type="dxa"/>
            <w:tcBorders>
              <w:top w:val="single" w:sz="4" w:space="0" w:color="000000"/>
              <w:left w:val="single" w:sz="4" w:space="0" w:color="000000"/>
              <w:bottom w:val="single" w:sz="4" w:space="0" w:color="000000"/>
              <w:right w:val="single" w:sz="4" w:space="0" w:color="000000"/>
            </w:tcBorders>
            <w:vAlign w:val="center"/>
          </w:tcPr>
          <w:p w:rsidR="00D45BD4" w:rsidP="00D45BD4" w14:paraId="13AD0E9F" w14:textId="1633A3A0">
            <w:pPr>
              <w:spacing w:after="0" w:line="259" w:lineRule="auto"/>
              <w:ind w:left="0" w:right="77" w:firstLine="0"/>
              <w:jc w:val="center"/>
            </w:pPr>
            <w:r>
              <w:t>5</w:t>
            </w:r>
          </w:p>
        </w:tc>
        <w:tc>
          <w:tcPr>
            <w:tcW w:w="1887" w:type="dxa"/>
            <w:tcBorders>
              <w:top w:val="single" w:sz="4" w:space="0" w:color="000000"/>
              <w:left w:val="single" w:sz="4" w:space="0" w:color="000000"/>
              <w:bottom w:val="single" w:sz="4" w:space="0" w:color="000000"/>
              <w:right w:val="single" w:sz="4" w:space="0" w:color="000000"/>
            </w:tcBorders>
            <w:vAlign w:val="center"/>
          </w:tcPr>
          <w:p w:rsidR="00D45BD4" w:rsidP="003853F0" w14:paraId="13AD0EA2" w14:textId="5F453D34">
            <w:pPr>
              <w:spacing w:after="0" w:line="259" w:lineRule="auto"/>
              <w:ind w:left="0" w:firstLine="0"/>
              <w:jc w:val="center"/>
            </w:pPr>
            <w:r>
              <w:t>$</w:t>
            </w:r>
            <w:r w:rsidR="00A33F7A">
              <w:t>11,500.00</w:t>
            </w:r>
          </w:p>
        </w:tc>
      </w:tr>
      <w:tr w14:paraId="13AD0EAB"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1975" w:type="dxa"/>
            <w:tcBorders>
              <w:top w:val="single" w:sz="4" w:space="0" w:color="000000"/>
              <w:left w:val="single" w:sz="4" w:space="0" w:color="000000"/>
              <w:bottom w:val="single" w:sz="24" w:space="0" w:color="000000"/>
              <w:right w:val="single" w:sz="4" w:space="0" w:color="000000"/>
            </w:tcBorders>
            <w:vAlign w:val="center"/>
          </w:tcPr>
          <w:p w:rsidR="00D45BD4" w:rsidP="003853F0" w14:paraId="13AD0EA4" w14:textId="4CA294CD">
            <w:pPr>
              <w:spacing w:after="0" w:line="259" w:lineRule="auto"/>
              <w:ind w:left="0" w:firstLine="0"/>
              <w:jc w:val="center"/>
            </w:pPr>
            <w:r>
              <w:t>Chief Executive (11-1011)</w:t>
            </w:r>
          </w:p>
        </w:tc>
        <w:tc>
          <w:tcPr>
            <w:tcW w:w="1080" w:type="dxa"/>
            <w:tcBorders>
              <w:top w:val="single" w:sz="4" w:space="0" w:color="000000"/>
              <w:left w:val="single" w:sz="4" w:space="0" w:color="000000"/>
              <w:bottom w:val="single" w:sz="24" w:space="0" w:color="000000"/>
              <w:right w:val="single" w:sz="4" w:space="0" w:color="000000"/>
            </w:tcBorders>
            <w:vAlign w:val="center"/>
          </w:tcPr>
          <w:p w:rsidR="00D45BD4" w:rsidP="003853F0" w14:paraId="13AD0EA5" w14:textId="102A10D3">
            <w:pPr>
              <w:spacing w:after="0" w:line="259" w:lineRule="auto"/>
              <w:ind w:left="0" w:firstLine="0"/>
              <w:jc w:val="center"/>
            </w:pPr>
            <w:r>
              <w:t>$1</w:t>
            </w:r>
            <w:r w:rsidR="00B52666">
              <w:t>15.00</w:t>
            </w:r>
          </w:p>
        </w:tc>
        <w:tc>
          <w:tcPr>
            <w:tcW w:w="990" w:type="dxa"/>
            <w:tcBorders>
              <w:top w:val="single" w:sz="4" w:space="0" w:color="000000"/>
              <w:left w:val="single" w:sz="4" w:space="0" w:color="000000"/>
              <w:bottom w:val="single" w:sz="24" w:space="0" w:color="000000"/>
              <w:right w:val="single" w:sz="4" w:space="0" w:color="000000"/>
            </w:tcBorders>
            <w:vAlign w:val="center"/>
          </w:tcPr>
          <w:p w:rsidR="00D45BD4" w:rsidP="003853F0" w14:paraId="13AD0EA6" w14:textId="65326B7F">
            <w:pPr>
              <w:spacing w:after="0" w:line="259" w:lineRule="auto"/>
              <w:ind w:left="0" w:firstLine="0"/>
              <w:jc w:val="center"/>
            </w:pPr>
            <w:r>
              <w:t>$</w:t>
            </w:r>
            <w:r w:rsidR="00B52666">
              <w:t>230.00</w:t>
            </w:r>
          </w:p>
        </w:tc>
        <w:tc>
          <w:tcPr>
            <w:tcW w:w="900" w:type="dxa"/>
            <w:tcBorders>
              <w:top w:val="single" w:sz="4" w:space="0" w:color="000000"/>
              <w:left w:val="single" w:sz="4" w:space="0" w:color="000000"/>
              <w:bottom w:val="single" w:sz="24" w:space="0" w:color="000000"/>
              <w:right w:val="single" w:sz="4" w:space="0" w:color="000000"/>
            </w:tcBorders>
            <w:vAlign w:val="center"/>
          </w:tcPr>
          <w:p w:rsidR="00D45BD4" w:rsidP="00D45BD4" w14:paraId="62C6FE81" w14:textId="185C47B3">
            <w:pPr>
              <w:spacing w:after="0" w:line="259" w:lineRule="auto"/>
              <w:ind w:left="0" w:right="77" w:firstLine="0"/>
              <w:jc w:val="center"/>
            </w:pPr>
            <w:r>
              <w:t>2</w:t>
            </w:r>
          </w:p>
        </w:tc>
        <w:tc>
          <w:tcPr>
            <w:tcW w:w="1530" w:type="dxa"/>
            <w:tcBorders>
              <w:top w:val="single" w:sz="4" w:space="0" w:color="000000"/>
              <w:left w:val="single" w:sz="4" w:space="0" w:color="000000"/>
              <w:bottom w:val="single" w:sz="24" w:space="0" w:color="000000"/>
              <w:right w:val="single" w:sz="4" w:space="0" w:color="000000"/>
            </w:tcBorders>
            <w:vAlign w:val="center"/>
          </w:tcPr>
          <w:p w:rsidR="00D45BD4" w:rsidP="00D45BD4" w14:paraId="2A74086E" w14:textId="6DD2481C">
            <w:pPr>
              <w:spacing w:after="0" w:line="259" w:lineRule="auto"/>
              <w:ind w:left="0" w:right="77" w:firstLine="0"/>
              <w:jc w:val="center"/>
            </w:pPr>
            <w:r>
              <w:t>1</w:t>
            </w:r>
            <w:r w:rsidR="00AA7BE7">
              <w:t>0</w:t>
            </w:r>
          </w:p>
        </w:tc>
        <w:tc>
          <w:tcPr>
            <w:tcW w:w="990" w:type="dxa"/>
            <w:tcBorders>
              <w:top w:val="single" w:sz="4" w:space="0" w:color="000000"/>
              <w:left w:val="single" w:sz="4" w:space="0" w:color="000000"/>
              <w:bottom w:val="single" w:sz="24" w:space="0" w:color="000000"/>
              <w:right w:val="single" w:sz="4" w:space="0" w:color="000000"/>
            </w:tcBorders>
            <w:vAlign w:val="center"/>
          </w:tcPr>
          <w:p w:rsidR="00D45BD4" w:rsidP="00D45BD4" w14:paraId="13AD0EA7" w14:textId="27376596">
            <w:pPr>
              <w:spacing w:after="0" w:line="259" w:lineRule="auto"/>
              <w:ind w:left="0" w:right="77" w:firstLine="0"/>
              <w:jc w:val="center"/>
            </w:pPr>
            <w:r>
              <w:t>2</w:t>
            </w:r>
          </w:p>
        </w:tc>
        <w:tc>
          <w:tcPr>
            <w:tcW w:w="1887" w:type="dxa"/>
            <w:tcBorders>
              <w:top w:val="single" w:sz="4" w:space="0" w:color="000000"/>
              <w:left w:val="single" w:sz="4" w:space="0" w:color="000000"/>
              <w:bottom w:val="single" w:sz="24" w:space="0" w:color="000000"/>
              <w:right w:val="single" w:sz="4" w:space="0" w:color="000000"/>
            </w:tcBorders>
            <w:vAlign w:val="center"/>
          </w:tcPr>
          <w:p w:rsidR="00D45BD4" w:rsidP="003853F0" w14:paraId="13AD0EAA" w14:textId="3C5C0704">
            <w:pPr>
              <w:spacing w:after="0" w:line="259" w:lineRule="auto"/>
              <w:ind w:left="0" w:firstLine="0"/>
              <w:jc w:val="center"/>
            </w:pPr>
            <w:r>
              <w:t>$</w:t>
            </w:r>
            <w:r w:rsidR="00B52666">
              <w:t>4,600.00</w:t>
            </w:r>
          </w:p>
        </w:tc>
      </w:tr>
      <w:tr w14:paraId="46B52CF5"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1975"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6FF7F53C" w14:textId="54C1C79C">
            <w:pPr>
              <w:spacing w:after="0" w:line="259" w:lineRule="auto"/>
              <w:ind w:left="0" w:firstLine="0"/>
              <w:jc w:val="center"/>
              <w:rPr>
                <w:b/>
              </w:rPr>
            </w:pPr>
            <w:r w:rsidRPr="005E32F6">
              <w:rPr>
                <w:b/>
              </w:rPr>
              <w:t>Total (</w:t>
            </w:r>
            <w:r>
              <w:rPr>
                <w:b/>
              </w:rPr>
              <w:t>10</w:t>
            </w:r>
            <w:r w:rsidRPr="005E32F6">
              <w:rPr>
                <w:b/>
              </w:rPr>
              <w:t xml:space="preserve"> </w:t>
            </w:r>
            <w:r>
              <w:rPr>
                <w:b/>
              </w:rPr>
              <w:t>Forms</w:t>
            </w:r>
            <w:r w:rsidRPr="005E32F6">
              <w:rPr>
                <w:b/>
              </w:rPr>
              <w:t>)</w:t>
            </w:r>
          </w:p>
        </w:tc>
        <w:tc>
          <w:tcPr>
            <w:tcW w:w="1080"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1687E993" w14:textId="291397CC">
            <w:pPr>
              <w:spacing w:after="0" w:line="259" w:lineRule="auto"/>
              <w:ind w:left="0" w:firstLine="0"/>
              <w:jc w:val="center"/>
              <w:rPr>
                <w:b/>
              </w:rPr>
            </w:pPr>
            <w:r w:rsidRPr="008E2636">
              <w:rPr>
                <w:b/>
              </w:rPr>
              <w:t>-</w:t>
            </w:r>
          </w:p>
        </w:tc>
        <w:tc>
          <w:tcPr>
            <w:tcW w:w="990"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771859BB" w14:textId="6FB324B4">
            <w:pPr>
              <w:spacing w:after="0" w:line="259" w:lineRule="auto"/>
              <w:ind w:left="0" w:firstLine="0"/>
              <w:jc w:val="center"/>
              <w:rPr>
                <w:b/>
              </w:rPr>
            </w:pPr>
            <w:r w:rsidRPr="008E2636">
              <w:rPr>
                <w:b/>
              </w:rPr>
              <w:t>-</w:t>
            </w:r>
          </w:p>
        </w:tc>
        <w:tc>
          <w:tcPr>
            <w:tcW w:w="900"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7C375703" w14:textId="4694050D">
            <w:pPr>
              <w:spacing w:after="0" w:line="259" w:lineRule="auto"/>
              <w:ind w:left="0" w:right="77" w:firstLine="0"/>
              <w:jc w:val="center"/>
              <w:rPr>
                <w:b/>
              </w:rPr>
            </w:pPr>
            <w:r>
              <w:rPr>
                <w:b/>
              </w:rPr>
              <w:t>310</w:t>
            </w:r>
          </w:p>
        </w:tc>
        <w:tc>
          <w:tcPr>
            <w:tcW w:w="1530"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7212067F" w14:textId="3792A0B6">
            <w:pPr>
              <w:spacing w:after="0" w:line="259" w:lineRule="auto"/>
              <w:ind w:left="0" w:right="77" w:firstLine="0"/>
              <w:jc w:val="center"/>
              <w:rPr>
                <w:b/>
              </w:rPr>
            </w:pPr>
            <w:r>
              <w:rPr>
                <w:b/>
              </w:rPr>
              <w:t>10</w:t>
            </w:r>
          </w:p>
        </w:tc>
        <w:tc>
          <w:tcPr>
            <w:tcW w:w="990"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38903272" w14:textId="0F2C298E">
            <w:pPr>
              <w:spacing w:after="0" w:line="259" w:lineRule="auto"/>
              <w:ind w:left="0" w:right="77" w:firstLine="0"/>
              <w:jc w:val="center"/>
              <w:rPr>
                <w:b/>
              </w:rPr>
            </w:pPr>
            <w:r>
              <w:rPr>
                <w:b/>
              </w:rPr>
              <w:t>310</w:t>
            </w:r>
          </w:p>
        </w:tc>
        <w:tc>
          <w:tcPr>
            <w:tcW w:w="1887" w:type="dxa"/>
            <w:tcBorders>
              <w:top w:val="single" w:sz="24" w:space="0" w:color="000000"/>
              <w:left w:val="single" w:sz="24" w:space="0" w:color="000000"/>
              <w:bottom w:val="single" w:sz="24" w:space="0" w:color="000000"/>
              <w:right w:val="single" w:sz="24" w:space="0" w:color="000000"/>
            </w:tcBorders>
            <w:vAlign w:val="center"/>
          </w:tcPr>
          <w:p w:rsidR="00AA7BE7" w:rsidRPr="003853F0" w:rsidP="00AA7BE7" w14:paraId="0EEC0015" w14:textId="08AAAA98">
            <w:pPr>
              <w:spacing w:after="0" w:line="240" w:lineRule="auto"/>
              <w:ind w:left="0" w:firstLine="0"/>
              <w:jc w:val="center"/>
              <w:rPr>
                <w:b/>
              </w:rPr>
            </w:pPr>
            <w:r>
              <w:rPr>
                <w:b/>
              </w:rPr>
              <w:t>$</w:t>
            </w:r>
            <w:r w:rsidR="00A33F7A">
              <w:rPr>
                <w:b/>
              </w:rPr>
              <w:t>40,639.20</w:t>
            </w:r>
          </w:p>
        </w:tc>
      </w:tr>
      <w:tr w14:paraId="78500FC1"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AA7BE7" w:rsidRPr="005E32F6" w:rsidP="00AA7BE7" w14:paraId="4CB9BC11" w14:textId="4254BDAF">
            <w:pPr>
              <w:spacing w:after="0" w:line="259" w:lineRule="auto"/>
              <w:ind w:left="0" w:firstLine="0"/>
              <w:jc w:val="center"/>
              <w:rPr>
                <w:b/>
              </w:rPr>
            </w:pPr>
            <w:r w:rsidRPr="005E32F6">
              <w:rPr>
                <w:b/>
              </w:rPr>
              <w:t>Total (</w:t>
            </w:r>
            <w:r>
              <w:rPr>
                <w:b/>
              </w:rPr>
              <w:t>1</w:t>
            </w:r>
            <w:r w:rsidRPr="005E32F6">
              <w:rPr>
                <w:b/>
              </w:rPr>
              <w:t xml:space="preserve"> </w:t>
            </w:r>
            <w:r>
              <w:rPr>
                <w:b/>
              </w:rPr>
              <w:t>Form</w:t>
            </w:r>
            <w:r w:rsidRPr="005E32F6">
              <w:rPr>
                <w:b/>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AA7BE7" w:rsidRPr="008E2636" w:rsidP="00AA7BE7" w14:paraId="0C70B491" w14:textId="47FDBD9D">
            <w:pPr>
              <w:spacing w:after="0" w:line="259" w:lineRule="auto"/>
              <w:ind w:left="0" w:firstLine="0"/>
              <w:jc w:val="center"/>
              <w:rPr>
                <w:b/>
              </w:rPr>
            </w:pPr>
            <w:r w:rsidRPr="003853F0">
              <w:rPr>
                <w:b/>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AA7BE7" w:rsidRPr="008E2636" w:rsidP="00AA7BE7" w14:paraId="5ACBD0BA" w14:textId="6C5FFE1C">
            <w:pPr>
              <w:spacing w:after="0" w:line="259" w:lineRule="auto"/>
              <w:ind w:left="0" w:firstLine="0"/>
              <w:jc w:val="center"/>
              <w:rPr>
                <w:b/>
              </w:rPr>
            </w:pPr>
            <w:r w:rsidRPr="003853F0">
              <w:rPr>
                <w:b/>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AA7BE7" w:rsidP="00AA7BE7" w14:paraId="5813564C" w14:textId="39A45C5A">
            <w:pPr>
              <w:spacing w:after="0" w:line="259" w:lineRule="auto"/>
              <w:ind w:left="0" w:right="77" w:firstLine="0"/>
              <w:jc w:val="center"/>
              <w:rPr>
                <w:b/>
              </w:rPr>
            </w:pPr>
            <w:r>
              <w:rPr>
                <w:b/>
              </w:rPr>
              <w:t>31</w:t>
            </w:r>
          </w:p>
        </w:tc>
        <w:tc>
          <w:tcPr>
            <w:tcW w:w="1530" w:type="dxa"/>
            <w:tcBorders>
              <w:top w:val="single" w:sz="4" w:space="0" w:color="000000"/>
              <w:left w:val="single" w:sz="4" w:space="0" w:color="000000"/>
              <w:bottom w:val="single" w:sz="4" w:space="0" w:color="000000"/>
              <w:right w:val="single" w:sz="4" w:space="0" w:color="000000"/>
            </w:tcBorders>
            <w:vAlign w:val="center"/>
          </w:tcPr>
          <w:p w:rsidR="00AA7BE7" w:rsidP="00AA7BE7" w14:paraId="78E27C92" w14:textId="7177BCFD">
            <w:pPr>
              <w:spacing w:after="0" w:line="259" w:lineRule="auto"/>
              <w:ind w:left="0" w:right="77" w:firstLine="0"/>
              <w:jc w:val="center"/>
              <w:rPr>
                <w:b/>
              </w:rPr>
            </w:pPr>
            <w:r>
              <w:rPr>
                <w:b/>
              </w:rPr>
              <w:t>1</w:t>
            </w:r>
          </w:p>
        </w:tc>
        <w:tc>
          <w:tcPr>
            <w:tcW w:w="990" w:type="dxa"/>
            <w:tcBorders>
              <w:top w:val="single" w:sz="4" w:space="0" w:color="000000"/>
              <w:left w:val="single" w:sz="4" w:space="0" w:color="000000"/>
              <w:bottom w:val="single" w:sz="4" w:space="0" w:color="000000"/>
              <w:right w:val="single" w:sz="4" w:space="0" w:color="000000"/>
            </w:tcBorders>
            <w:vAlign w:val="center"/>
          </w:tcPr>
          <w:p w:rsidR="00AA7BE7" w:rsidP="00AA7BE7" w14:paraId="23D1DA83" w14:textId="199A1D04">
            <w:pPr>
              <w:spacing w:after="0" w:line="259" w:lineRule="auto"/>
              <w:ind w:left="0" w:right="77" w:firstLine="0"/>
              <w:jc w:val="center"/>
              <w:rPr>
                <w:b/>
              </w:rPr>
            </w:pPr>
            <w:r>
              <w:rPr>
                <w:b/>
              </w:rPr>
              <w:t>31</w:t>
            </w:r>
          </w:p>
        </w:tc>
        <w:tc>
          <w:tcPr>
            <w:tcW w:w="1887" w:type="dxa"/>
            <w:tcBorders>
              <w:top w:val="single" w:sz="4" w:space="0" w:color="000000"/>
              <w:left w:val="single" w:sz="4" w:space="0" w:color="000000"/>
              <w:bottom w:val="single" w:sz="4" w:space="0" w:color="000000"/>
              <w:right w:val="single" w:sz="4" w:space="0" w:color="000000"/>
            </w:tcBorders>
            <w:vAlign w:val="center"/>
          </w:tcPr>
          <w:p w:rsidR="00AA7BE7" w:rsidP="00AA7BE7" w14:paraId="44B8959A" w14:textId="10A33756">
            <w:pPr>
              <w:spacing w:after="0" w:line="240" w:lineRule="auto"/>
              <w:ind w:left="0" w:firstLine="0"/>
              <w:jc w:val="center"/>
              <w:rPr>
                <w:b/>
              </w:rPr>
            </w:pPr>
            <w:r>
              <w:rPr>
                <w:b/>
              </w:rPr>
              <w:t>$</w:t>
            </w:r>
            <w:r w:rsidR="00A33F7A">
              <w:rPr>
                <w:b/>
              </w:rPr>
              <w:t>4,063.92</w:t>
            </w:r>
          </w:p>
        </w:tc>
      </w:tr>
      <w:tr w14:paraId="32E85EF1"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6A3EAF" w:rsidRPr="005E32F6" w:rsidP="006A3EAF" w14:paraId="180F3F74" w14:textId="23A62655">
            <w:pPr>
              <w:spacing w:after="0" w:line="259" w:lineRule="auto"/>
              <w:ind w:left="0" w:firstLine="0"/>
              <w:jc w:val="center"/>
              <w:rPr>
                <w:b/>
              </w:rPr>
            </w:pPr>
            <w:r w:rsidRPr="005E32F6">
              <w:rPr>
                <w:b/>
              </w:rPr>
              <w:t>Total (</w:t>
            </w:r>
            <w:r>
              <w:rPr>
                <w:b/>
              </w:rPr>
              <w:t>5</w:t>
            </w:r>
            <w:r w:rsidRPr="005E32F6">
              <w:rPr>
                <w:b/>
              </w:rPr>
              <w:t xml:space="preserve"> </w:t>
            </w:r>
            <w:r>
              <w:rPr>
                <w:b/>
              </w:rPr>
              <w:t>Forms</w:t>
            </w:r>
            <w:r w:rsidRPr="005E32F6">
              <w:rPr>
                <w:b/>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C020F8C" w14:textId="38195C67">
            <w:pPr>
              <w:spacing w:after="0" w:line="259" w:lineRule="auto"/>
              <w:ind w:left="0" w:firstLine="0"/>
              <w:jc w:val="center"/>
              <w:rPr>
                <w:b/>
              </w:rPr>
            </w:pPr>
            <w:r w:rsidRPr="003853F0">
              <w:rPr>
                <w:b/>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61B2F80" w14:textId="3FFAA6DF">
            <w:pPr>
              <w:spacing w:after="0" w:line="259" w:lineRule="auto"/>
              <w:ind w:left="0" w:firstLine="0"/>
              <w:jc w:val="center"/>
              <w:rPr>
                <w:b/>
              </w:rPr>
            </w:pPr>
            <w:r w:rsidRPr="003853F0">
              <w:rPr>
                <w:b/>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6A3EAF" w:rsidP="006A3EAF" w14:paraId="2BF9F979" w14:textId="0DE08F7B">
            <w:pPr>
              <w:spacing w:after="0" w:line="259" w:lineRule="auto"/>
              <w:ind w:left="0" w:right="77" w:firstLine="0"/>
              <w:jc w:val="center"/>
              <w:rPr>
                <w:b/>
              </w:rPr>
            </w:pPr>
            <w:r>
              <w:rPr>
                <w:b/>
              </w:rPr>
              <w:t>155</w:t>
            </w:r>
          </w:p>
        </w:tc>
        <w:tc>
          <w:tcPr>
            <w:tcW w:w="1530" w:type="dxa"/>
            <w:tcBorders>
              <w:top w:val="single" w:sz="4" w:space="0" w:color="000000"/>
              <w:left w:val="single" w:sz="4" w:space="0" w:color="000000"/>
              <w:bottom w:val="single" w:sz="4" w:space="0" w:color="000000"/>
              <w:right w:val="single" w:sz="4" w:space="0" w:color="000000"/>
            </w:tcBorders>
            <w:vAlign w:val="center"/>
          </w:tcPr>
          <w:p w:rsidR="006A3EAF" w:rsidP="006A3EAF" w14:paraId="2FE464BC" w14:textId="7AED2CAF">
            <w:pPr>
              <w:spacing w:after="0" w:line="259" w:lineRule="auto"/>
              <w:ind w:left="0" w:right="77" w:firstLine="0"/>
              <w:jc w:val="center"/>
              <w:rPr>
                <w:b/>
              </w:rPr>
            </w:pPr>
            <w:r>
              <w:rPr>
                <w:b/>
              </w:rPr>
              <w:t>5</w:t>
            </w:r>
          </w:p>
        </w:tc>
        <w:tc>
          <w:tcPr>
            <w:tcW w:w="990" w:type="dxa"/>
            <w:tcBorders>
              <w:top w:val="single" w:sz="4" w:space="0" w:color="000000"/>
              <w:left w:val="single" w:sz="4" w:space="0" w:color="000000"/>
              <w:bottom w:val="single" w:sz="4" w:space="0" w:color="000000"/>
              <w:right w:val="single" w:sz="4" w:space="0" w:color="000000"/>
            </w:tcBorders>
            <w:vAlign w:val="center"/>
          </w:tcPr>
          <w:p w:rsidR="006A3EAF" w:rsidP="006A3EAF" w14:paraId="67F9489A" w14:textId="77D82EF4">
            <w:pPr>
              <w:spacing w:after="0" w:line="259" w:lineRule="auto"/>
              <w:ind w:left="0" w:right="77" w:firstLine="0"/>
              <w:jc w:val="center"/>
              <w:rPr>
                <w:b/>
              </w:rPr>
            </w:pPr>
            <w:r>
              <w:rPr>
                <w:b/>
              </w:rPr>
              <w:t>155</w:t>
            </w:r>
          </w:p>
        </w:tc>
        <w:tc>
          <w:tcPr>
            <w:tcW w:w="1887" w:type="dxa"/>
            <w:tcBorders>
              <w:top w:val="single" w:sz="4" w:space="0" w:color="000000"/>
              <w:left w:val="single" w:sz="4" w:space="0" w:color="000000"/>
              <w:bottom w:val="single" w:sz="4" w:space="0" w:color="000000"/>
              <w:right w:val="single" w:sz="4" w:space="0" w:color="000000"/>
            </w:tcBorders>
            <w:vAlign w:val="center"/>
          </w:tcPr>
          <w:p w:rsidR="006A3EAF" w:rsidP="006A3EAF" w14:paraId="616320A6" w14:textId="31C558AA">
            <w:pPr>
              <w:spacing w:after="0" w:line="240" w:lineRule="auto"/>
              <w:ind w:left="0" w:firstLine="0"/>
              <w:jc w:val="center"/>
              <w:rPr>
                <w:b/>
              </w:rPr>
            </w:pPr>
            <w:r>
              <w:rPr>
                <w:b/>
              </w:rPr>
              <w:t>$</w:t>
            </w:r>
            <w:r w:rsidR="00A33F7A">
              <w:rPr>
                <w:b/>
              </w:rPr>
              <w:t>20,319.60</w:t>
            </w:r>
          </w:p>
        </w:tc>
      </w:tr>
      <w:tr w14:paraId="12820BE6" w14:textId="77777777" w:rsidTr="00AA7BE7">
        <w:tblPrEx>
          <w:tblW w:w="9352" w:type="dxa"/>
          <w:jc w:val="center"/>
          <w:tblInd w:w="0" w:type="dxa"/>
          <w:tblLayout w:type="fixed"/>
          <w:tblCellMar>
            <w:top w:w="62" w:type="dxa"/>
            <w:left w:w="115" w:type="dxa"/>
            <w:right w:w="38" w:type="dxa"/>
          </w:tblCellMar>
          <w:tblLook w:val="04A0"/>
        </w:tblPrEx>
        <w:trPr>
          <w:trHeight w:val="544"/>
          <w:jc w:val="center"/>
        </w:trPr>
        <w:tc>
          <w:tcPr>
            <w:tcW w:w="1975"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3AD0EAC" w14:textId="5D8B3C4A">
            <w:pPr>
              <w:spacing w:after="0" w:line="259" w:lineRule="auto"/>
              <w:ind w:left="0" w:firstLine="0"/>
              <w:jc w:val="center"/>
              <w:rPr>
                <w:b/>
              </w:rPr>
            </w:pPr>
            <w:r w:rsidRPr="005E32F6">
              <w:rPr>
                <w:b/>
              </w:rPr>
              <w:t>Total (</w:t>
            </w:r>
            <w:r>
              <w:rPr>
                <w:b/>
              </w:rPr>
              <w:t>15</w:t>
            </w:r>
            <w:r w:rsidRPr="005E32F6">
              <w:rPr>
                <w:b/>
              </w:rPr>
              <w:t xml:space="preserve"> </w:t>
            </w:r>
            <w:r>
              <w:rPr>
                <w:b/>
              </w:rPr>
              <w:t>Forms</w:t>
            </w:r>
            <w:r w:rsidRPr="005E32F6">
              <w:rPr>
                <w:b/>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3AD0EAD" w14:textId="4C13DB07">
            <w:pPr>
              <w:spacing w:after="0" w:line="259" w:lineRule="auto"/>
              <w:ind w:left="0" w:firstLine="0"/>
              <w:jc w:val="center"/>
              <w:rPr>
                <w:b/>
              </w:rPr>
            </w:pPr>
            <w:r w:rsidRPr="003853F0">
              <w:rPr>
                <w:b/>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3AD0EAE" w14:textId="053D0100">
            <w:pPr>
              <w:spacing w:after="0" w:line="259" w:lineRule="auto"/>
              <w:ind w:left="0" w:firstLine="0"/>
              <w:jc w:val="center"/>
              <w:rPr>
                <w:b/>
              </w:rPr>
            </w:pPr>
            <w:r w:rsidRPr="003853F0">
              <w:rPr>
                <w:b/>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2C715F19" w14:textId="67732450">
            <w:pPr>
              <w:spacing w:after="0" w:line="259" w:lineRule="auto"/>
              <w:ind w:left="0" w:right="77" w:firstLine="0"/>
              <w:jc w:val="center"/>
              <w:rPr>
                <w:b/>
              </w:rPr>
            </w:pPr>
            <w:r>
              <w:rPr>
                <w:b/>
              </w:rPr>
              <w:t>465</w:t>
            </w:r>
          </w:p>
        </w:tc>
        <w:tc>
          <w:tcPr>
            <w:tcW w:w="153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438F56E4" w14:textId="7CCE0E8A">
            <w:pPr>
              <w:spacing w:after="0" w:line="259" w:lineRule="auto"/>
              <w:ind w:left="0" w:right="77" w:firstLine="0"/>
              <w:jc w:val="center"/>
              <w:rPr>
                <w:b/>
              </w:rPr>
            </w:pPr>
            <w:r>
              <w:rPr>
                <w:b/>
              </w:rPr>
              <w:t>15</w:t>
            </w:r>
          </w:p>
        </w:tc>
        <w:tc>
          <w:tcPr>
            <w:tcW w:w="990"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3AD0EAF" w14:textId="4744F65E">
            <w:pPr>
              <w:spacing w:after="0" w:line="259" w:lineRule="auto"/>
              <w:ind w:left="0" w:right="77" w:firstLine="0"/>
              <w:jc w:val="center"/>
              <w:rPr>
                <w:b/>
              </w:rPr>
            </w:pPr>
            <w:r>
              <w:rPr>
                <w:b/>
              </w:rPr>
              <w:t>465</w:t>
            </w:r>
          </w:p>
        </w:tc>
        <w:tc>
          <w:tcPr>
            <w:tcW w:w="1887" w:type="dxa"/>
            <w:tcBorders>
              <w:top w:val="single" w:sz="4" w:space="0" w:color="000000"/>
              <w:left w:val="single" w:sz="4" w:space="0" w:color="000000"/>
              <w:bottom w:val="single" w:sz="4" w:space="0" w:color="000000"/>
              <w:right w:val="single" w:sz="4" w:space="0" w:color="000000"/>
            </w:tcBorders>
            <w:vAlign w:val="center"/>
          </w:tcPr>
          <w:p w:rsidR="006A3EAF" w:rsidRPr="003853F0" w:rsidP="006A3EAF" w14:paraId="13AD0EB2" w14:textId="22C87589">
            <w:pPr>
              <w:spacing w:after="0" w:line="259" w:lineRule="auto"/>
              <w:ind w:left="0" w:firstLine="0"/>
              <w:jc w:val="center"/>
              <w:rPr>
                <w:b/>
              </w:rPr>
            </w:pPr>
            <w:r>
              <w:rPr>
                <w:b/>
              </w:rPr>
              <w:t>$</w:t>
            </w:r>
            <w:r w:rsidR="00A33F7A">
              <w:rPr>
                <w:b/>
              </w:rPr>
              <w:t>60,958.80</w:t>
            </w:r>
          </w:p>
        </w:tc>
      </w:tr>
    </w:tbl>
    <w:p w:rsidR="001E18AD" w:rsidRPr="003853F0" w14:paraId="13AD0EBD" w14:textId="7B838B70">
      <w:pPr>
        <w:spacing w:after="0" w:line="250" w:lineRule="auto"/>
        <w:ind w:left="0" w:firstLine="0"/>
        <w:rPr>
          <w:i/>
        </w:rPr>
      </w:pPr>
      <w:r w:rsidRPr="13B0BCA9">
        <w:rPr>
          <w:i/>
          <w:iCs/>
          <w:color w:val="000000" w:themeColor="text1"/>
          <w:sz w:val="20"/>
          <w:szCs w:val="20"/>
        </w:rPr>
        <w:t>*</w:t>
      </w:r>
      <w:r>
        <w:rPr>
          <w:i/>
          <w:iCs/>
          <w:color w:val="000000" w:themeColor="text1"/>
          <w:sz w:val="20"/>
          <w:szCs w:val="20"/>
        </w:rPr>
        <w:t xml:space="preserve"> </w:t>
      </w:r>
      <w:r w:rsidR="00C87D04">
        <w:rPr>
          <w:i/>
          <w:sz w:val="20"/>
        </w:rPr>
        <w:t>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w:t>
      </w:r>
    </w:p>
    <w:p w:rsidR="001E18AD" w14:paraId="13AD0EBE" w14:textId="77777777">
      <w:pPr>
        <w:spacing w:after="16" w:line="259" w:lineRule="auto"/>
        <w:ind w:left="58" w:firstLine="0"/>
        <w:jc w:val="center"/>
      </w:pPr>
      <w:r>
        <w:rPr>
          <w:b/>
        </w:rPr>
        <w:t xml:space="preserve"> </w:t>
      </w:r>
    </w:p>
    <w:p w:rsidR="0089313D" w:rsidP="0089313D" w14:paraId="5D5AE6F1" w14:textId="6B605FC2">
      <w:r>
        <w:t>A</w:t>
      </w:r>
      <w:r w:rsidRPr="6B370752">
        <w:t xml:space="preserve">n additional low </w:t>
      </w:r>
      <w:r>
        <w:t xml:space="preserve">estimate </w:t>
      </w:r>
      <w:r w:rsidRPr="6B370752">
        <w:t>and high estimate is provided in Table 2 below</w:t>
      </w:r>
      <w:r>
        <w:t xml:space="preserve"> to illustrate the possible variability for this burden estimate</w:t>
      </w:r>
      <w:r w:rsidRPr="6B370752">
        <w:t>. To calculate the low estimate, the base estimate</w:t>
      </w:r>
      <w:r w:rsidR="00752A9F">
        <w:t>s</w:t>
      </w:r>
      <w:r w:rsidRPr="6B370752">
        <w:t xml:space="preserve"> </w:t>
      </w:r>
      <w:r w:rsidR="002723DB">
        <w:t>(Table 1 Total</w:t>
      </w:r>
      <w:r w:rsidR="00752A9F">
        <w:t>s</w:t>
      </w:r>
      <w:r w:rsidRPr="6B370752">
        <w:t>) ha</w:t>
      </w:r>
      <w:r w:rsidR="00752A9F">
        <w:t>ve</w:t>
      </w:r>
      <w:r w:rsidRPr="6B370752">
        <w:t xml:space="preserve"> been reduced by half for each labor category. For the high estimate, the required time and </w:t>
      </w:r>
      <w:r>
        <w:t>cost</w:t>
      </w:r>
      <w:r w:rsidRPr="6B370752">
        <w:t xml:space="preserve"> associated with each labor category</w:t>
      </w:r>
      <w:r>
        <w:t xml:space="preserve"> from the base estimate</w:t>
      </w:r>
      <w:r w:rsidR="00752A9F">
        <w:t>s</w:t>
      </w:r>
      <w:r w:rsidRPr="6B370752">
        <w:t xml:space="preserve"> ha</w:t>
      </w:r>
      <w:r w:rsidR="00752A9F">
        <w:t>ve</w:t>
      </w:r>
      <w:r w:rsidRPr="6B370752">
        <w:t xml:space="preserve"> been doubled.</w:t>
      </w:r>
    </w:p>
    <w:p w:rsidR="002E5375" w:rsidRPr="003853F0" w:rsidP="0089313D" w14:paraId="402662AB" w14:textId="77777777">
      <w:pPr>
        <w:rPr>
          <w:b/>
          <w:bCs/>
          <w:color w:val="000000" w:themeColor="text1"/>
        </w:rPr>
      </w:pPr>
    </w:p>
    <w:p w:rsidR="0089313D" w:rsidRPr="003853F0" w:rsidP="0089313D" w14:paraId="035A9E6B" w14:textId="3A1CB896">
      <w:pPr>
        <w:keepNext/>
        <w:jc w:val="center"/>
        <w:rPr>
          <w:b/>
          <w:bCs/>
          <w:color w:val="000000" w:themeColor="text1"/>
        </w:rPr>
      </w:pPr>
      <w:r w:rsidRPr="6B370752">
        <w:rPr>
          <w:b/>
          <w:bCs/>
          <w:color w:val="000000" w:themeColor="text1"/>
        </w:rPr>
        <w:t>TABLE 2: COST RANGE ESTIMATES</w:t>
      </w:r>
      <w:r>
        <w:rPr>
          <w:b/>
          <w:bCs/>
          <w:color w:val="000000" w:themeColor="text1"/>
        </w:rPr>
        <w:t xml:space="preserve"> FOR </w:t>
      </w:r>
      <w:r w:rsidR="00752A9F">
        <w:rPr>
          <w:b/>
          <w:bCs/>
          <w:color w:val="000000" w:themeColor="text1"/>
        </w:rPr>
        <w:t>DEVELOPING AND</w:t>
      </w:r>
      <w:r w:rsidR="004D3FB9">
        <w:rPr>
          <w:b/>
          <w:bCs/>
          <w:color w:val="000000" w:themeColor="text1"/>
        </w:rPr>
        <w:t xml:space="preserve"> </w:t>
      </w:r>
      <w:r w:rsidRPr="00E224DE" w:rsidR="004D0694">
        <w:rPr>
          <w:b/>
          <w:bCs/>
          <w:color w:val="000000" w:themeColor="text1"/>
        </w:rPr>
        <w:t>SUBMITTING</w:t>
      </w:r>
      <w:r w:rsidR="00752A9F">
        <w:rPr>
          <w:b/>
          <w:bCs/>
          <w:color w:val="000000" w:themeColor="text1"/>
        </w:rPr>
        <w:t xml:space="preserve"> </w:t>
      </w:r>
      <w:r w:rsidRPr="003853F0" w:rsidR="00E224DE">
        <w:rPr>
          <w:b/>
          <w:bCs/>
          <w:color w:val="000000" w:themeColor="text1"/>
        </w:rPr>
        <w:t>REBATE REDUCTION REQUEST FORM</w:t>
      </w:r>
      <w:r w:rsidR="00752A9F">
        <w:rPr>
          <w:b/>
          <w:bCs/>
          <w:color w:val="000000" w:themeColor="text1"/>
        </w:rPr>
        <w:t>(S)</w:t>
      </w:r>
    </w:p>
    <w:tbl>
      <w:tblPr>
        <w:tblW w:w="9360" w:type="dxa"/>
        <w:tblInd w:w="-8" w:type="dxa"/>
        <w:tblLayout w:type="fixed"/>
        <w:tblLook w:val="04A0"/>
      </w:tblPr>
      <w:tblGrid>
        <w:gridCol w:w="1710"/>
        <w:gridCol w:w="1440"/>
        <w:gridCol w:w="1440"/>
        <w:gridCol w:w="1440"/>
        <w:gridCol w:w="1620"/>
        <w:gridCol w:w="1710"/>
      </w:tblGrid>
      <w:tr w14:paraId="2A861624" w14:textId="77777777" w:rsidTr="006008AE">
        <w:tblPrEx>
          <w:tblW w:w="9360" w:type="dxa"/>
          <w:tblInd w:w="-8" w:type="dxa"/>
          <w:tblLayout w:type="fixed"/>
          <w:tblLook w:val="04A0"/>
        </w:tblPrEx>
        <w:trPr>
          <w:trHeight w:val="390"/>
          <w:tblHeader/>
        </w:trPr>
        <w:tc>
          <w:tcPr>
            <w:tcW w:w="1710" w:type="dxa"/>
            <w:tcBorders>
              <w:top w:val="single" w:sz="6" w:space="0" w:color="auto"/>
              <w:left w:val="single" w:sz="6" w:space="0" w:color="auto"/>
              <w:bottom w:val="single" w:sz="6" w:space="0" w:color="auto"/>
              <w:right w:val="single" w:sz="6" w:space="0" w:color="auto"/>
            </w:tcBorders>
            <w:vAlign w:val="center"/>
          </w:tcPr>
          <w:p w:rsidR="00752A9F" w:rsidP="00F56FD6" w14:paraId="467C33CE" w14:textId="77777777">
            <w:pPr>
              <w:keepNext/>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752A9F" w:rsidP="00F56FD6" w14:paraId="25DC43DF" w14:textId="2DEB530F">
            <w:pPr>
              <w:keepNext/>
              <w:jc w:val="center"/>
            </w:pPr>
            <w:r w:rsidRPr="6B370752">
              <w:rPr>
                <w:b/>
                <w:bCs/>
              </w:rPr>
              <w:t xml:space="preserve">Hours per </w:t>
            </w:r>
            <w:r w:rsidR="008F3518">
              <w:rPr>
                <w:b/>
                <w:bCs/>
              </w:rPr>
              <w:t>Form</w:t>
            </w:r>
            <w:r w:rsidRPr="6B370752">
              <w:rPr>
                <w:b/>
                <w:bCs/>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752A9F" w:rsidP="00F56FD6" w14:paraId="0E249A48" w14:textId="3B515B8F">
            <w:pPr>
              <w:keepNext/>
              <w:jc w:val="center"/>
            </w:pPr>
            <w:r w:rsidRPr="6B370752">
              <w:rPr>
                <w:b/>
                <w:bCs/>
              </w:rPr>
              <w:t xml:space="preserve">Cost per </w:t>
            </w:r>
            <w:r>
              <w:rPr>
                <w:b/>
                <w:bCs/>
              </w:rPr>
              <w:t>1 Form</w:t>
            </w:r>
          </w:p>
        </w:tc>
        <w:tc>
          <w:tcPr>
            <w:tcW w:w="1440" w:type="dxa"/>
            <w:tcBorders>
              <w:top w:val="single" w:sz="6" w:space="0" w:color="auto"/>
              <w:left w:val="single" w:sz="6" w:space="0" w:color="auto"/>
              <w:bottom w:val="single" w:sz="6" w:space="0" w:color="auto"/>
              <w:right w:val="single" w:sz="18" w:space="0" w:color="auto"/>
            </w:tcBorders>
            <w:vAlign w:val="center"/>
          </w:tcPr>
          <w:p w:rsidR="00752A9F" w:rsidP="00F56FD6" w14:paraId="2D3F6E96" w14:textId="78E8175D">
            <w:pPr>
              <w:keepNext/>
              <w:jc w:val="center"/>
            </w:pPr>
            <w:r w:rsidRPr="6B370752">
              <w:rPr>
                <w:b/>
                <w:bCs/>
              </w:rPr>
              <w:t xml:space="preserve">Cost per </w:t>
            </w:r>
            <w:r>
              <w:rPr>
                <w:b/>
                <w:bCs/>
              </w:rPr>
              <w:t>5 Forms</w:t>
            </w:r>
          </w:p>
        </w:tc>
        <w:tc>
          <w:tcPr>
            <w:tcW w:w="1620" w:type="dxa"/>
            <w:tcBorders>
              <w:top w:val="single" w:sz="18" w:space="0" w:color="auto"/>
              <w:left w:val="single" w:sz="18" w:space="0" w:color="auto"/>
              <w:bottom w:val="single" w:sz="18" w:space="0" w:color="auto"/>
              <w:right w:val="single" w:sz="18" w:space="0" w:color="auto"/>
            </w:tcBorders>
            <w:vAlign w:val="center"/>
          </w:tcPr>
          <w:p w:rsidR="00752A9F" w:rsidRPr="6B370752" w:rsidP="00F56FD6" w14:paraId="1DBA89F7" w14:textId="2A874290">
            <w:pPr>
              <w:keepNext/>
              <w:jc w:val="center"/>
              <w:rPr>
                <w:b/>
                <w:bCs/>
              </w:rPr>
            </w:pPr>
            <w:r w:rsidRPr="6B370752">
              <w:rPr>
                <w:b/>
                <w:bCs/>
              </w:rPr>
              <w:t xml:space="preserve">Cost per </w:t>
            </w:r>
            <w:r>
              <w:rPr>
                <w:b/>
                <w:bCs/>
              </w:rPr>
              <w:t>10 Forms</w:t>
            </w:r>
          </w:p>
        </w:tc>
        <w:tc>
          <w:tcPr>
            <w:tcW w:w="1710" w:type="dxa"/>
            <w:tcBorders>
              <w:top w:val="single" w:sz="6" w:space="0" w:color="auto"/>
              <w:left w:val="single" w:sz="18" w:space="0" w:color="auto"/>
              <w:bottom w:val="single" w:sz="6" w:space="0" w:color="auto"/>
              <w:right w:val="single" w:sz="6" w:space="0" w:color="auto"/>
            </w:tcBorders>
            <w:vAlign w:val="center"/>
          </w:tcPr>
          <w:p w:rsidR="00752A9F" w:rsidRPr="6B370752" w:rsidP="00F56FD6" w14:paraId="1322DED0" w14:textId="4DBD45AA">
            <w:pPr>
              <w:keepNext/>
              <w:jc w:val="center"/>
              <w:rPr>
                <w:b/>
                <w:bCs/>
              </w:rPr>
            </w:pPr>
            <w:r w:rsidRPr="6B370752">
              <w:rPr>
                <w:b/>
                <w:bCs/>
              </w:rPr>
              <w:t xml:space="preserve">Cost per </w:t>
            </w:r>
            <w:r>
              <w:rPr>
                <w:b/>
                <w:bCs/>
              </w:rPr>
              <w:t>15 Forms</w:t>
            </w:r>
          </w:p>
        </w:tc>
      </w:tr>
      <w:tr w14:paraId="34E334F5" w14:textId="77777777" w:rsidTr="006008AE">
        <w:tblPrEx>
          <w:tblW w:w="9360" w:type="dxa"/>
          <w:tblInd w:w="-8" w:type="dxa"/>
          <w:tblLayout w:type="fixed"/>
          <w:tblLook w:val="04A0"/>
        </w:tblPrEx>
        <w:trPr>
          <w:trHeight w:val="529"/>
          <w:tblHeader/>
        </w:trPr>
        <w:tc>
          <w:tcPr>
            <w:tcW w:w="1710" w:type="dxa"/>
            <w:tcBorders>
              <w:top w:val="single" w:sz="6" w:space="0" w:color="auto"/>
              <w:left w:val="single" w:sz="6" w:space="0" w:color="auto"/>
              <w:bottom w:val="single" w:sz="6" w:space="0" w:color="auto"/>
              <w:right w:val="single" w:sz="6" w:space="0" w:color="auto"/>
            </w:tcBorders>
            <w:vAlign w:val="center"/>
          </w:tcPr>
          <w:p w:rsidR="00685638" w:rsidP="00685638" w14:paraId="1E12029A" w14:textId="77777777">
            <w:pPr>
              <w:jc w:val="center"/>
            </w:pPr>
            <w:r w:rsidRPr="6B370752">
              <w:t>Low</w:t>
            </w:r>
            <w:r>
              <w:t xml:space="preserve"> Estimate</w:t>
            </w:r>
          </w:p>
        </w:tc>
        <w:tc>
          <w:tcPr>
            <w:tcW w:w="1440" w:type="dxa"/>
            <w:tcBorders>
              <w:top w:val="single" w:sz="6" w:space="0" w:color="auto"/>
              <w:left w:val="single" w:sz="6" w:space="0" w:color="auto"/>
              <w:bottom w:val="single" w:sz="6" w:space="0" w:color="auto"/>
              <w:right w:val="single" w:sz="6" w:space="0" w:color="auto"/>
            </w:tcBorders>
            <w:vAlign w:val="center"/>
          </w:tcPr>
          <w:p w:rsidR="00685638" w:rsidP="00685638" w14:paraId="33FA9700" w14:textId="59CBD084">
            <w:pPr>
              <w:jc w:val="center"/>
            </w:pPr>
            <w:r>
              <w:t>15.5</w:t>
            </w:r>
          </w:p>
        </w:tc>
        <w:tc>
          <w:tcPr>
            <w:tcW w:w="1440" w:type="dxa"/>
            <w:tcBorders>
              <w:top w:val="single" w:sz="6" w:space="0" w:color="auto"/>
              <w:left w:val="single" w:sz="6" w:space="0" w:color="auto"/>
              <w:bottom w:val="single" w:sz="6" w:space="0" w:color="auto"/>
              <w:right w:val="single" w:sz="6" w:space="0" w:color="auto"/>
            </w:tcBorders>
            <w:vAlign w:val="center"/>
          </w:tcPr>
          <w:p w:rsidR="00685638" w:rsidP="00685638" w14:paraId="2F7FB8A9" w14:textId="5C2D4E7C">
            <w:pPr>
              <w:jc w:val="center"/>
            </w:pPr>
            <w:r>
              <w:t>$</w:t>
            </w:r>
            <w:r w:rsidR="00A33F7A">
              <w:t>2,031.96</w:t>
            </w:r>
          </w:p>
        </w:tc>
        <w:tc>
          <w:tcPr>
            <w:tcW w:w="1440" w:type="dxa"/>
            <w:tcBorders>
              <w:top w:val="single" w:sz="6" w:space="0" w:color="auto"/>
              <w:left w:val="single" w:sz="6" w:space="0" w:color="auto"/>
              <w:bottom w:val="single" w:sz="6" w:space="0" w:color="auto"/>
              <w:right w:val="single" w:sz="18" w:space="0" w:color="auto"/>
            </w:tcBorders>
            <w:vAlign w:val="center"/>
          </w:tcPr>
          <w:p w:rsidR="00685638" w:rsidP="00685638" w14:paraId="51DC072E" w14:textId="5CCF1320">
            <w:pPr>
              <w:jc w:val="center"/>
            </w:pPr>
            <w:r>
              <w:t>$</w:t>
            </w:r>
            <w:r w:rsidR="00A33F7A">
              <w:t>10,159.80</w:t>
            </w:r>
          </w:p>
        </w:tc>
        <w:tc>
          <w:tcPr>
            <w:tcW w:w="1620" w:type="dxa"/>
            <w:tcBorders>
              <w:top w:val="single" w:sz="18" w:space="0" w:color="auto"/>
              <w:left w:val="single" w:sz="18" w:space="0" w:color="auto"/>
              <w:bottom w:val="single" w:sz="18" w:space="0" w:color="auto"/>
              <w:right w:val="single" w:sz="18" w:space="0" w:color="auto"/>
            </w:tcBorders>
            <w:vAlign w:val="center"/>
          </w:tcPr>
          <w:p w:rsidR="00685638" w:rsidP="00685638" w14:paraId="1D9B3792" w14:textId="43D31F7F">
            <w:pPr>
              <w:jc w:val="center"/>
            </w:pPr>
            <w:r>
              <w:t>$</w:t>
            </w:r>
            <w:r w:rsidR="00A33F7A">
              <w:t>20,319.60</w:t>
            </w:r>
          </w:p>
        </w:tc>
        <w:tc>
          <w:tcPr>
            <w:tcW w:w="1710" w:type="dxa"/>
            <w:tcBorders>
              <w:top w:val="single" w:sz="6" w:space="0" w:color="auto"/>
              <w:left w:val="single" w:sz="18" w:space="0" w:color="auto"/>
              <w:bottom w:val="single" w:sz="6" w:space="0" w:color="auto"/>
              <w:right w:val="single" w:sz="6" w:space="0" w:color="auto"/>
            </w:tcBorders>
            <w:vAlign w:val="center"/>
          </w:tcPr>
          <w:p w:rsidR="00685638" w:rsidP="00685638" w14:paraId="1B8658AB" w14:textId="4D2092E8">
            <w:pPr>
              <w:jc w:val="center"/>
            </w:pPr>
            <w:r>
              <w:t>$</w:t>
            </w:r>
            <w:r w:rsidR="00A33F7A">
              <w:t>30,479.40</w:t>
            </w:r>
          </w:p>
        </w:tc>
      </w:tr>
      <w:tr w14:paraId="1832167A" w14:textId="77777777" w:rsidTr="006008AE">
        <w:tblPrEx>
          <w:tblW w:w="9360" w:type="dxa"/>
          <w:tblInd w:w="-8" w:type="dxa"/>
          <w:tblLayout w:type="fixed"/>
          <w:tblLook w:val="04A0"/>
        </w:tblPrEx>
        <w:trPr>
          <w:trHeight w:val="565"/>
          <w:tblHeader/>
        </w:trPr>
        <w:tc>
          <w:tcPr>
            <w:tcW w:w="1710" w:type="dxa"/>
            <w:tcBorders>
              <w:top w:val="single" w:sz="6" w:space="0" w:color="auto"/>
              <w:left w:val="single" w:sz="6" w:space="0" w:color="auto"/>
              <w:bottom w:val="single" w:sz="6" w:space="0" w:color="auto"/>
              <w:right w:val="single" w:sz="6" w:space="0" w:color="auto"/>
            </w:tcBorders>
            <w:vAlign w:val="center"/>
          </w:tcPr>
          <w:p w:rsidR="00685638" w:rsidRPr="6B370752" w:rsidP="00685638" w14:paraId="525CB624" w14:textId="57277542">
            <w:pPr>
              <w:jc w:val="center"/>
            </w:pPr>
            <w:r>
              <w:t>Base Estimates (from Table 1)</w:t>
            </w:r>
          </w:p>
        </w:tc>
        <w:tc>
          <w:tcPr>
            <w:tcW w:w="1440" w:type="dxa"/>
            <w:tcBorders>
              <w:top w:val="single" w:sz="6" w:space="0" w:color="auto"/>
              <w:left w:val="single" w:sz="6" w:space="0" w:color="auto"/>
              <w:bottom w:val="single" w:sz="6" w:space="0" w:color="auto"/>
              <w:right w:val="single" w:sz="6" w:space="0" w:color="auto"/>
            </w:tcBorders>
            <w:vAlign w:val="center"/>
          </w:tcPr>
          <w:p w:rsidR="00685638" w:rsidRPr="6B370752" w:rsidP="00685638" w14:paraId="49C45B0B" w14:textId="45F5F476">
            <w:pPr>
              <w:jc w:val="center"/>
            </w:pPr>
            <w:r>
              <w:t>31</w:t>
            </w:r>
          </w:p>
        </w:tc>
        <w:tc>
          <w:tcPr>
            <w:tcW w:w="1440" w:type="dxa"/>
            <w:tcBorders>
              <w:top w:val="single" w:sz="6" w:space="0" w:color="auto"/>
              <w:left w:val="single" w:sz="6" w:space="0" w:color="auto"/>
              <w:bottom w:val="single" w:sz="6" w:space="0" w:color="auto"/>
              <w:right w:val="single" w:sz="6" w:space="0" w:color="auto"/>
            </w:tcBorders>
            <w:vAlign w:val="center"/>
          </w:tcPr>
          <w:p w:rsidR="00685638" w:rsidRPr="6B370752" w:rsidP="00685638" w14:paraId="0CE5A3BE" w14:textId="4BC92CB2">
            <w:pPr>
              <w:jc w:val="center"/>
            </w:pPr>
            <w:r>
              <w:t>$</w:t>
            </w:r>
            <w:r w:rsidR="00A33F7A">
              <w:t>4,063.92</w:t>
            </w:r>
          </w:p>
        </w:tc>
        <w:tc>
          <w:tcPr>
            <w:tcW w:w="1440" w:type="dxa"/>
            <w:tcBorders>
              <w:top w:val="single" w:sz="6" w:space="0" w:color="auto"/>
              <w:left w:val="single" w:sz="6" w:space="0" w:color="auto"/>
              <w:bottom w:val="single" w:sz="6" w:space="0" w:color="auto"/>
              <w:right w:val="single" w:sz="18" w:space="0" w:color="auto"/>
            </w:tcBorders>
            <w:vAlign w:val="center"/>
          </w:tcPr>
          <w:p w:rsidR="00685638" w:rsidRPr="6B370752" w:rsidP="00685638" w14:paraId="60C77555" w14:textId="316C63BC">
            <w:pPr>
              <w:jc w:val="center"/>
            </w:pPr>
            <w:r>
              <w:t>$</w:t>
            </w:r>
            <w:r w:rsidR="00A33F7A">
              <w:t>20,319.60</w:t>
            </w:r>
          </w:p>
        </w:tc>
        <w:tc>
          <w:tcPr>
            <w:tcW w:w="1620" w:type="dxa"/>
            <w:tcBorders>
              <w:top w:val="single" w:sz="18" w:space="0" w:color="auto"/>
              <w:left w:val="single" w:sz="18" w:space="0" w:color="auto"/>
              <w:bottom w:val="single" w:sz="18" w:space="0" w:color="auto"/>
              <w:right w:val="single" w:sz="18" w:space="0" w:color="auto"/>
            </w:tcBorders>
            <w:vAlign w:val="center"/>
          </w:tcPr>
          <w:p w:rsidR="00685638" w:rsidRPr="6B370752" w:rsidP="00685638" w14:paraId="06B76A11" w14:textId="033A92C6">
            <w:pPr>
              <w:jc w:val="center"/>
            </w:pPr>
            <w:r>
              <w:t>$</w:t>
            </w:r>
            <w:r w:rsidR="00A33F7A">
              <w:t>40,639.20</w:t>
            </w:r>
          </w:p>
        </w:tc>
        <w:tc>
          <w:tcPr>
            <w:tcW w:w="1710" w:type="dxa"/>
            <w:tcBorders>
              <w:top w:val="single" w:sz="6" w:space="0" w:color="auto"/>
              <w:left w:val="single" w:sz="18" w:space="0" w:color="auto"/>
              <w:bottom w:val="single" w:sz="6" w:space="0" w:color="auto"/>
              <w:right w:val="single" w:sz="6" w:space="0" w:color="auto"/>
            </w:tcBorders>
            <w:vAlign w:val="center"/>
          </w:tcPr>
          <w:p w:rsidR="00685638" w:rsidRPr="6B370752" w:rsidP="00685638" w14:paraId="22340019" w14:textId="7C7804B2">
            <w:pPr>
              <w:jc w:val="center"/>
            </w:pPr>
            <w:r>
              <w:t>$</w:t>
            </w:r>
            <w:r w:rsidR="00A33F7A">
              <w:t>60,958.80</w:t>
            </w:r>
          </w:p>
        </w:tc>
      </w:tr>
      <w:tr w14:paraId="185F7732" w14:textId="77777777" w:rsidTr="006008AE">
        <w:tblPrEx>
          <w:tblW w:w="9360" w:type="dxa"/>
          <w:tblInd w:w="-8" w:type="dxa"/>
          <w:tblLayout w:type="fixed"/>
          <w:tblLook w:val="04A0"/>
        </w:tblPrEx>
        <w:trPr>
          <w:trHeight w:val="529"/>
          <w:tblHeader/>
        </w:trPr>
        <w:tc>
          <w:tcPr>
            <w:tcW w:w="1710" w:type="dxa"/>
            <w:tcBorders>
              <w:top w:val="single" w:sz="6" w:space="0" w:color="auto"/>
              <w:left w:val="single" w:sz="6" w:space="0" w:color="auto"/>
              <w:bottom w:val="single" w:sz="6" w:space="0" w:color="auto"/>
              <w:right w:val="single" w:sz="6" w:space="0" w:color="auto"/>
            </w:tcBorders>
            <w:vAlign w:val="center"/>
          </w:tcPr>
          <w:p w:rsidR="00685638" w:rsidP="00685638" w14:paraId="48CD9E5A" w14:textId="77777777">
            <w:pPr>
              <w:jc w:val="center"/>
            </w:pPr>
            <w:r w:rsidRPr="6B370752">
              <w:t>High</w:t>
            </w:r>
            <w:r>
              <w:t xml:space="preserve"> Estimate</w:t>
            </w:r>
          </w:p>
        </w:tc>
        <w:tc>
          <w:tcPr>
            <w:tcW w:w="1440" w:type="dxa"/>
            <w:tcBorders>
              <w:top w:val="single" w:sz="6" w:space="0" w:color="auto"/>
              <w:left w:val="single" w:sz="6" w:space="0" w:color="auto"/>
              <w:bottom w:val="single" w:sz="6" w:space="0" w:color="auto"/>
              <w:right w:val="single" w:sz="6" w:space="0" w:color="auto"/>
            </w:tcBorders>
            <w:vAlign w:val="center"/>
          </w:tcPr>
          <w:p w:rsidR="00685638" w:rsidP="00685638" w14:paraId="1340BD5D" w14:textId="4C58338B">
            <w:pPr>
              <w:jc w:val="center"/>
            </w:pPr>
            <w:r>
              <w:t>62</w:t>
            </w:r>
          </w:p>
        </w:tc>
        <w:tc>
          <w:tcPr>
            <w:tcW w:w="1440" w:type="dxa"/>
            <w:tcBorders>
              <w:top w:val="single" w:sz="6" w:space="0" w:color="auto"/>
              <w:left w:val="single" w:sz="6" w:space="0" w:color="auto"/>
              <w:bottom w:val="single" w:sz="6" w:space="0" w:color="auto"/>
              <w:right w:val="single" w:sz="6" w:space="0" w:color="auto"/>
            </w:tcBorders>
            <w:vAlign w:val="center"/>
          </w:tcPr>
          <w:p w:rsidR="00685638" w:rsidP="00685638" w14:paraId="35AD4405" w14:textId="5F33F5D2">
            <w:pPr>
              <w:jc w:val="center"/>
            </w:pPr>
            <w:r>
              <w:t>$</w:t>
            </w:r>
            <w:r w:rsidR="00A33F7A">
              <w:t>8,127.84</w:t>
            </w:r>
          </w:p>
        </w:tc>
        <w:tc>
          <w:tcPr>
            <w:tcW w:w="1440" w:type="dxa"/>
            <w:tcBorders>
              <w:top w:val="single" w:sz="6" w:space="0" w:color="auto"/>
              <w:left w:val="single" w:sz="6" w:space="0" w:color="auto"/>
              <w:bottom w:val="single" w:sz="6" w:space="0" w:color="auto"/>
              <w:right w:val="single" w:sz="18" w:space="0" w:color="auto"/>
            </w:tcBorders>
            <w:vAlign w:val="center"/>
          </w:tcPr>
          <w:p w:rsidR="00685638" w:rsidP="00685638" w14:paraId="5317463D" w14:textId="5868887E">
            <w:pPr>
              <w:jc w:val="center"/>
            </w:pPr>
            <w:r>
              <w:t>$</w:t>
            </w:r>
            <w:r w:rsidR="00A33F7A">
              <w:t>40,639.20</w:t>
            </w:r>
          </w:p>
        </w:tc>
        <w:tc>
          <w:tcPr>
            <w:tcW w:w="1620" w:type="dxa"/>
            <w:tcBorders>
              <w:top w:val="single" w:sz="18" w:space="0" w:color="auto"/>
              <w:left w:val="single" w:sz="18" w:space="0" w:color="auto"/>
              <w:bottom w:val="single" w:sz="18" w:space="0" w:color="auto"/>
              <w:right w:val="single" w:sz="18" w:space="0" w:color="auto"/>
            </w:tcBorders>
            <w:vAlign w:val="center"/>
          </w:tcPr>
          <w:p w:rsidR="00685638" w:rsidP="00685638" w14:paraId="0FCC8A94" w14:textId="46F8CCB3">
            <w:pPr>
              <w:jc w:val="center"/>
            </w:pPr>
            <w:r>
              <w:t>$</w:t>
            </w:r>
            <w:r w:rsidR="00A33F7A">
              <w:t>81,278.40</w:t>
            </w:r>
          </w:p>
        </w:tc>
        <w:tc>
          <w:tcPr>
            <w:tcW w:w="1710" w:type="dxa"/>
            <w:tcBorders>
              <w:top w:val="single" w:sz="6" w:space="0" w:color="auto"/>
              <w:left w:val="single" w:sz="18" w:space="0" w:color="auto"/>
              <w:bottom w:val="single" w:sz="6" w:space="0" w:color="auto"/>
              <w:right w:val="single" w:sz="6" w:space="0" w:color="auto"/>
            </w:tcBorders>
            <w:vAlign w:val="center"/>
          </w:tcPr>
          <w:p w:rsidR="00685638" w:rsidP="00685638" w14:paraId="233426BD" w14:textId="4DEDEA9B">
            <w:pPr>
              <w:jc w:val="center"/>
            </w:pPr>
            <w:r>
              <w:t>$</w:t>
            </w:r>
            <w:r w:rsidR="00A33F7A">
              <w:t>121,917.60</w:t>
            </w:r>
          </w:p>
        </w:tc>
      </w:tr>
    </w:tbl>
    <w:p w:rsidR="004325C5" w:rsidP="004325C5" w14:paraId="61D2A26A" w14:textId="20EEAF09">
      <w:pPr>
        <w:spacing w:after="0" w:line="259" w:lineRule="auto"/>
        <w:ind w:left="0" w:firstLine="0"/>
      </w:pPr>
    </w:p>
    <w:p w:rsidR="00543CC0" w:rsidRPr="00FE0E32" w:rsidP="001C7450" w14:paraId="6948E746" w14:textId="43F069FA">
      <w:pPr>
        <w:pStyle w:val="Heading2"/>
      </w:pPr>
      <w:r>
        <w:t xml:space="preserve">Estimated Burden for </w:t>
      </w:r>
      <w:r>
        <w:t>Rebate Reduction Extension Request Form</w:t>
      </w:r>
    </w:p>
    <w:p w:rsidR="00FD55F3" w:rsidP="00543CC0" w14:paraId="7424E423" w14:textId="64AD2076">
      <w:pPr>
        <w:tabs>
          <w:tab w:val="left" w:pos="720"/>
        </w:tabs>
        <w:suppressAutoHyphens/>
        <w:spacing w:line="240" w:lineRule="atLeast"/>
      </w:pPr>
      <w:r>
        <w:t>A</w:t>
      </w:r>
      <w:r w:rsidR="003B7790">
        <w:t xml:space="preserve"> </w:t>
      </w:r>
      <w:r w:rsidR="001F6CEB">
        <w:t xml:space="preserve">manufacturer </w:t>
      </w:r>
      <w:r w:rsidR="24C6896B">
        <w:t>that</w:t>
      </w:r>
      <w:r w:rsidR="001F6CEB">
        <w:t xml:space="preserve"> </w:t>
      </w:r>
      <w:r w:rsidR="007215B1">
        <w:t>seeks an extension of the</w:t>
      </w:r>
      <w:r w:rsidR="001F6CEB">
        <w:t xml:space="preserve"> reduction of the rebate amount owed must submit an extension request using the applicable Rebate Reduction Extension Request Form</w:t>
      </w:r>
      <w:r w:rsidR="001C65DC">
        <w:t>.</w:t>
      </w:r>
    </w:p>
    <w:p w:rsidR="00FD55F3" w:rsidP="00543CC0" w14:paraId="408A975C" w14:textId="77777777">
      <w:pPr>
        <w:tabs>
          <w:tab w:val="left" w:pos="720"/>
        </w:tabs>
        <w:suppressAutoHyphens/>
        <w:spacing w:line="240" w:lineRule="atLeast"/>
      </w:pPr>
    </w:p>
    <w:p w:rsidR="00543CC0" w:rsidP="00543CC0" w14:paraId="2CDD6423" w14:textId="77142471">
      <w:pPr>
        <w:tabs>
          <w:tab w:val="left" w:pos="720"/>
        </w:tabs>
        <w:suppressAutoHyphens/>
        <w:spacing w:line="240" w:lineRule="atLeast"/>
      </w:pPr>
      <w:r>
        <w:t>The estimated me</w:t>
      </w:r>
      <w:r w:rsidR="00685638">
        <w:t>di</w:t>
      </w:r>
      <w:r>
        <w:t>an hourly wage, the adjusted hourly wage (cost per hour) to include the cost of fringe benefits and overhead, total burden hours, and total cost to submit the Rebate Reduction Extension Request Form</w:t>
      </w:r>
      <w:r w:rsidR="00296DEF">
        <w:t xml:space="preserve"> are presented in Table </w:t>
      </w:r>
      <w:r w:rsidR="005E32F6">
        <w:t>3</w:t>
      </w:r>
      <w:r>
        <w:t xml:space="preserve">. </w:t>
      </w:r>
      <w:r w:rsidR="00ED6C6B">
        <w:t>Al</w:t>
      </w:r>
      <w:r w:rsidR="00ED6C6B">
        <w:rPr>
          <w:color w:val="000000" w:themeColor="text1"/>
        </w:rPr>
        <w:t>though CMS estimates the impact on a manufacturer to be the same regardless of the size of the manufacturer, t</w:t>
      </w:r>
      <w:r w:rsidR="00ED6C6B">
        <w:t xml:space="preserve">here is some </w:t>
      </w:r>
      <w:r w:rsidR="003A49A4">
        <w:t xml:space="preserve">variability </w:t>
      </w:r>
      <w:r w:rsidR="00ED6C6B">
        <w:t xml:space="preserve">to the estimate in </w:t>
      </w:r>
      <w:r>
        <w:t xml:space="preserve">Table </w:t>
      </w:r>
      <w:r w:rsidR="005E32F6">
        <w:t>3</w:t>
      </w:r>
      <w:r>
        <w:t xml:space="preserve"> as some manufacturers may take less time </w:t>
      </w:r>
      <w:r w:rsidR="00E57D5A">
        <w:t xml:space="preserve">to complete and submit the Rebate Reduction Extension Request Form </w:t>
      </w:r>
      <w:r>
        <w:t xml:space="preserve">while others </w:t>
      </w:r>
      <w:r w:rsidR="00E57D5A">
        <w:t xml:space="preserve">may </w:t>
      </w:r>
      <w:r>
        <w:t>take more time</w:t>
      </w:r>
      <w:r>
        <w:rPr>
          <w:color w:val="000000" w:themeColor="text1"/>
        </w:rPr>
        <w:t xml:space="preserve">. Given this </w:t>
      </w:r>
      <w:r w:rsidR="003A49A4">
        <w:rPr>
          <w:color w:val="000000" w:themeColor="text1"/>
        </w:rPr>
        <w:t>variability</w:t>
      </w:r>
      <w:r>
        <w:rPr>
          <w:color w:val="000000" w:themeColor="text1"/>
        </w:rPr>
        <w:t>, the burden estimate</w:t>
      </w:r>
      <w:r w:rsidR="008E3CED">
        <w:rPr>
          <w:color w:val="000000" w:themeColor="text1"/>
        </w:rPr>
        <w:t>s</w:t>
      </w:r>
      <w:r>
        <w:rPr>
          <w:color w:val="000000" w:themeColor="text1"/>
        </w:rPr>
        <w:t xml:space="preserve"> from Table 3 (base estimate</w:t>
      </w:r>
      <w:r w:rsidR="008E3CED">
        <w:rPr>
          <w:color w:val="000000" w:themeColor="text1"/>
        </w:rPr>
        <w:t>s</w:t>
      </w:r>
      <w:r>
        <w:rPr>
          <w:color w:val="000000" w:themeColor="text1"/>
        </w:rPr>
        <w:t xml:space="preserve">) </w:t>
      </w:r>
      <w:r w:rsidR="008E3CED">
        <w:rPr>
          <w:color w:val="000000" w:themeColor="text1"/>
        </w:rPr>
        <w:t>are</w:t>
      </w:r>
      <w:r>
        <w:rPr>
          <w:color w:val="000000" w:themeColor="text1"/>
        </w:rPr>
        <w:t xml:space="preserve"> provided along with a high estimate and a low estimate in Table </w:t>
      </w:r>
      <w:r w:rsidR="00335BE3">
        <w:rPr>
          <w:color w:val="000000" w:themeColor="text1"/>
        </w:rPr>
        <w:t>4</w:t>
      </w:r>
      <w:r>
        <w:rPr>
          <w:color w:val="000000" w:themeColor="text1"/>
        </w:rPr>
        <w:t>.</w:t>
      </w:r>
    </w:p>
    <w:p w:rsidR="00543CC0" w:rsidP="00C4257D" w14:paraId="26C48D26" w14:textId="77777777">
      <w:pPr>
        <w:ind w:left="-5" w:right="2"/>
      </w:pPr>
    </w:p>
    <w:p w:rsidR="00894165" w:rsidP="00894165" w14:paraId="4AF4DDF3" w14:textId="14659420">
      <w:pPr>
        <w:ind w:left="-5" w:right="2"/>
      </w:pPr>
      <w:r>
        <w:t xml:space="preserve">CMS anticipates collecting a total of 10 </w:t>
      </w:r>
      <w:r w:rsidR="007E0835">
        <w:t xml:space="preserve">Rebate Reduction Extension Request Forms </w:t>
      </w:r>
      <w:r>
        <w:t xml:space="preserve">per year. </w:t>
      </w:r>
      <w:r w:rsidR="003A49A4">
        <w:t>Two additional low estimates and one high estimate are provided in Table 3 below to illustrate the possible variability for this burden estimate of multiple forms submitted.</w:t>
      </w:r>
    </w:p>
    <w:p w:rsidR="00FA0BEB" w:rsidP="00C4257D" w14:paraId="5A6DBA3B" w14:textId="77777777">
      <w:pPr>
        <w:ind w:left="-5" w:right="2"/>
      </w:pPr>
    </w:p>
    <w:p w:rsidR="004D3FB9" w:rsidP="00C4257D" w14:paraId="40746D37" w14:textId="7F21E542">
      <w:pPr>
        <w:ind w:left="-5" w:right="2"/>
      </w:pPr>
      <w:r>
        <w:t>CMS</w:t>
      </w:r>
      <w:r w:rsidR="004325C5">
        <w:t xml:space="preserve"> expects </w:t>
      </w:r>
      <w:r w:rsidR="00B920DE">
        <w:t>the manufacturer to have a similar team</w:t>
      </w:r>
      <w:r>
        <w:t>, if not the exact same team, to prepare the Rebate Reduction Extension Request Form</w:t>
      </w:r>
      <w:r w:rsidR="00B920DE">
        <w:t xml:space="preserve"> </w:t>
      </w:r>
      <w:r w:rsidR="00273280">
        <w:t xml:space="preserve">as the team </w:t>
      </w:r>
      <w:r w:rsidR="00B920DE">
        <w:t xml:space="preserve">that prepared the Rebate Reduction Request </w:t>
      </w:r>
      <w:r w:rsidR="00FC1360">
        <w:t>Form</w:t>
      </w:r>
      <w:r>
        <w:t>.</w:t>
      </w:r>
    </w:p>
    <w:p w:rsidR="004D3FB9" w:rsidP="00C4257D" w14:paraId="6DEFF460" w14:textId="77777777">
      <w:pPr>
        <w:ind w:left="-5" w:right="2"/>
      </w:pPr>
    </w:p>
    <w:p w:rsidR="000C0E0A" w:rsidP="00BD2B93" w14:paraId="5D4F5BCD" w14:textId="2D754430">
      <w:pPr>
        <w:ind w:left="-5" w:right="2"/>
      </w:pPr>
      <w:r>
        <w:t xml:space="preserve">The cost estimates for one-time costs are presented in Table 3 below. For the anticipated 10 Rebate Reduction Extension Request Form submissions, CMS estimates a total burden of </w:t>
      </w:r>
      <w:r w:rsidR="00104E10">
        <w:t>310</w:t>
      </w:r>
      <w:r>
        <w:t xml:space="preserve"> hours (</w:t>
      </w:r>
      <w:r w:rsidR="00104E10">
        <w:t>31</w:t>
      </w:r>
      <w:r>
        <w:t xml:space="preserve"> hrs. per form submitted * 10 forms submitted) and total cost of </w:t>
      </w:r>
      <w:r w:rsidRPr="000C0292">
        <w:t>$</w:t>
      </w:r>
      <w:r w:rsidR="00894D16">
        <w:t>40,639.20</w:t>
      </w:r>
      <w:r>
        <w:t xml:space="preserve"> for all 10 developed and submitted forms ($</w:t>
      </w:r>
      <w:r w:rsidR="00894D16">
        <w:t>4,063.92</w:t>
      </w:r>
      <w:r>
        <w:t xml:space="preserve"> per form * 10 forms submitted).</w:t>
      </w:r>
    </w:p>
    <w:p w:rsidR="00C90F6B" w:rsidP="000D5C9B" w14:paraId="60A8C233" w14:textId="77777777">
      <w:pPr>
        <w:spacing w:after="0" w:line="250" w:lineRule="auto"/>
        <w:ind w:left="0" w:firstLine="0"/>
        <w:rPr>
          <w:iCs/>
          <w:sz w:val="20"/>
        </w:rPr>
      </w:pPr>
    </w:p>
    <w:p w:rsidR="00894165" w:rsidP="00DB1B11" w14:paraId="5919E27B" w14:textId="18217505">
      <w:pPr>
        <w:pStyle w:val="Heading1"/>
        <w:ind w:left="284"/>
        <w:jc w:val="center"/>
      </w:pPr>
      <w:r>
        <w:t>TABLE 3: SUMMARY OF ICR BURDEN FOR DEVELOPING AND SUBMITTING</w:t>
      </w:r>
      <w:r w:rsidR="00752A9F">
        <w:t xml:space="preserve"> </w:t>
      </w:r>
      <w:r>
        <w:t>REBATE REDUCTION EXTENSION REQUEST FORM</w:t>
      </w:r>
      <w:r w:rsidR="00752A9F">
        <w:t>(S)</w:t>
      </w:r>
    </w:p>
    <w:tbl>
      <w:tblPr>
        <w:tblStyle w:val="TableGrid"/>
        <w:tblW w:w="9352" w:type="dxa"/>
        <w:jc w:val="center"/>
        <w:tblInd w:w="0" w:type="dxa"/>
        <w:tblLayout w:type="fixed"/>
        <w:tblCellMar>
          <w:top w:w="62" w:type="dxa"/>
          <w:left w:w="115" w:type="dxa"/>
          <w:right w:w="38" w:type="dxa"/>
        </w:tblCellMar>
        <w:tblLook w:val="04A0"/>
      </w:tblPr>
      <w:tblGrid>
        <w:gridCol w:w="2317"/>
        <w:gridCol w:w="1031"/>
        <w:gridCol w:w="946"/>
        <w:gridCol w:w="861"/>
        <w:gridCol w:w="1457"/>
        <w:gridCol w:w="946"/>
        <w:gridCol w:w="1794"/>
      </w:tblGrid>
      <w:tr w14:paraId="62B605C7" w14:textId="77777777" w:rsidTr="00E70298">
        <w:tblPrEx>
          <w:tblW w:w="9352" w:type="dxa"/>
          <w:jc w:val="center"/>
          <w:tblInd w:w="0" w:type="dxa"/>
          <w:tblLayout w:type="fixed"/>
          <w:tblCellMar>
            <w:top w:w="62" w:type="dxa"/>
            <w:left w:w="115" w:type="dxa"/>
            <w:right w:w="38" w:type="dxa"/>
          </w:tblCellMar>
          <w:tblLook w:val="04A0"/>
        </w:tblPrEx>
        <w:trPr>
          <w:trHeight w:val="1012"/>
          <w:jc w:val="center"/>
        </w:trPr>
        <w:tc>
          <w:tcPr>
            <w:tcW w:w="2317" w:type="dxa"/>
            <w:tcBorders>
              <w:top w:val="single" w:sz="4" w:space="0" w:color="000000"/>
              <w:left w:val="single" w:sz="4" w:space="0" w:color="000000"/>
              <w:bottom w:val="single" w:sz="4" w:space="0" w:color="000000"/>
              <w:right w:val="single" w:sz="4" w:space="0" w:color="000000"/>
            </w:tcBorders>
            <w:vAlign w:val="center"/>
          </w:tcPr>
          <w:p w:rsidR="00AA7BE7" w:rsidP="00DB1B11" w14:paraId="08FF1130" w14:textId="77777777">
            <w:pPr>
              <w:keepNext/>
              <w:keepLines/>
              <w:spacing w:after="0" w:line="259" w:lineRule="auto"/>
              <w:ind w:left="0" w:right="80" w:firstLine="0"/>
              <w:jc w:val="center"/>
            </w:pPr>
            <w:r>
              <w:rPr>
                <w:b/>
              </w:rPr>
              <w:t>Occupation</w:t>
            </w:r>
          </w:p>
          <w:p w:rsidR="00AA7BE7" w:rsidP="00DB1B11" w14:paraId="4CB319D0" w14:textId="3C431B94">
            <w:pPr>
              <w:keepNext/>
              <w:keepLines/>
              <w:spacing w:after="0" w:line="259" w:lineRule="auto"/>
              <w:ind w:left="0" w:right="76" w:firstLine="0"/>
              <w:jc w:val="center"/>
            </w:pPr>
            <w:r>
              <w:rPr>
                <w:b/>
              </w:rPr>
              <w:t>Title</w:t>
            </w:r>
          </w:p>
        </w:tc>
        <w:tc>
          <w:tcPr>
            <w:tcW w:w="1031" w:type="dxa"/>
            <w:tcBorders>
              <w:top w:val="single" w:sz="4" w:space="0" w:color="000000"/>
              <w:left w:val="single" w:sz="4" w:space="0" w:color="000000"/>
              <w:bottom w:val="single" w:sz="4" w:space="0" w:color="000000"/>
              <w:right w:val="single" w:sz="4" w:space="0" w:color="000000"/>
            </w:tcBorders>
            <w:vAlign w:val="center"/>
          </w:tcPr>
          <w:p w:rsidR="00AA7BE7" w:rsidP="00DB1B11" w14:paraId="2BC8BB7F" w14:textId="7EBF3F95">
            <w:pPr>
              <w:keepNext/>
              <w:keepLines/>
              <w:spacing w:after="0" w:line="259" w:lineRule="auto"/>
              <w:ind w:left="0" w:right="78" w:firstLine="0"/>
              <w:jc w:val="center"/>
            </w:pPr>
            <w:r>
              <w:rPr>
                <w:b/>
              </w:rPr>
              <w:t>Me</w:t>
            </w:r>
            <w:r w:rsidR="00685638">
              <w:rPr>
                <w:b/>
              </w:rPr>
              <w:t>di</w:t>
            </w:r>
            <w:r>
              <w:rPr>
                <w:b/>
              </w:rPr>
              <w:t>an Hourly</w:t>
            </w:r>
          </w:p>
          <w:p w:rsidR="00AA7BE7" w:rsidP="00DB1B11" w14:paraId="1BC934A5" w14:textId="4ECDCF7A">
            <w:pPr>
              <w:keepNext/>
              <w:keepLines/>
              <w:spacing w:after="0" w:line="259" w:lineRule="auto"/>
              <w:ind w:left="0" w:right="76" w:firstLine="0"/>
              <w:jc w:val="center"/>
            </w:pPr>
            <w:r>
              <w:rPr>
                <w:b/>
              </w:rPr>
              <w:t>Wage</w:t>
            </w:r>
          </w:p>
        </w:tc>
        <w:tc>
          <w:tcPr>
            <w:tcW w:w="946" w:type="dxa"/>
            <w:tcBorders>
              <w:top w:val="single" w:sz="4" w:space="0" w:color="000000"/>
              <w:left w:val="single" w:sz="4" w:space="0" w:color="000000"/>
              <w:bottom w:val="single" w:sz="4" w:space="0" w:color="000000"/>
              <w:right w:val="single" w:sz="4" w:space="0" w:color="000000"/>
            </w:tcBorders>
            <w:vAlign w:val="center"/>
          </w:tcPr>
          <w:p w:rsidR="00AA7BE7" w:rsidP="00DB1B11" w14:paraId="10F55C0F" w14:textId="57BBED59">
            <w:pPr>
              <w:keepNext/>
              <w:keepLines/>
              <w:spacing w:after="0" w:line="259" w:lineRule="auto"/>
              <w:ind w:left="0" w:firstLine="0"/>
              <w:jc w:val="center"/>
            </w:pPr>
            <w:r>
              <w:rPr>
                <w:b/>
              </w:rPr>
              <w:t>Cost per hour</w:t>
            </w:r>
            <w:r w:rsidRPr="13B0BCA9">
              <w:rPr>
                <w:i/>
                <w:iCs/>
                <w:color w:val="000000" w:themeColor="text1"/>
                <w:sz w:val="20"/>
                <w:szCs w:val="20"/>
              </w:rPr>
              <w:t>*</w:t>
            </w:r>
          </w:p>
        </w:tc>
        <w:tc>
          <w:tcPr>
            <w:tcW w:w="861" w:type="dxa"/>
            <w:tcBorders>
              <w:top w:val="single" w:sz="4" w:space="0" w:color="000000"/>
              <w:left w:val="single" w:sz="4" w:space="0" w:color="000000"/>
              <w:bottom w:val="single" w:sz="4" w:space="0" w:color="000000"/>
              <w:right w:val="single" w:sz="4" w:space="0" w:color="000000"/>
            </w:tcBorders>
            <w:vAlign w:val="center"/>
          </w:tcPr>
          <w:p w:rsidR="00AA7BE7" w:rsidP="00DB1B11" w14:paraId="2FD9752E" w14:textId="4D1FAD6B">
            <w:pPr>
              <w:keepNext/>
              <w:keepLines/>
              <w:spacing w:after="0" w:line="259" w:lineRule="auto"/>
              <w:ind w:left="0" w:firstLine="0"/>
              <w:jc w:val="center"/>
              <w:rPr>
                <w:b/>
              </w:rPr>
            </w:pPr>
            <w:r>
              <w:rPr>
                <w:b/>
              </w:rPr>
              <w:t># Hours</w:t>
            </w:r>
          </w:p>
        </w:tc>
        <w:tc>
          <w:tcPr>
            <w:tcW w:w="1457" w:type="dxa"/>
            <w:tcBorders>
              <w:top w:val="single" w:sz="4" w:space="0" w:color="000000"/>
              <w:left w:val="single" w:sz="4" w:space="0" w:color="000000"/>
              <w:bottom w:val="single" w:sz="4" w:space="0" w:color="000000"/>
              <w:right w:val="single" w:sz="4" w:space="0" w:color="000000"/>
            </w:tcBorders>
            <w:vAlign w:val="center"/>
          </w:tcPr>
          <w:p w:rsidR="00AA7BE7" w:rsidP="00DB1B11" w14:paraId="4471355C" w14:textId="43FA8D92">
            <w:pPr>
              <w:keepNext/>
              <w:keepLines/>
              <w:spacing w:after="0" w:line="259" w:lineRule="auto"/>
              <w:ind w:left="0" w:firstLine="0"/>
              <w:jc w:val="center"/>
              <w:rPr>
                <w:b/>
              </w:rPr>
            </w:pPr>
            <w:r>
              <w:rPr>
                <w:b/>
              </w:rPr>
              <w:t># Respondents</w:t>
            </w:r>
          </w:p>
        </w:tc>
        <w:tc>
          <w:tcPr>
            <w:tcW w:w="946" w:type="dxa"/>
            <w:tcBorders>
              <w:top w:val="single" w:sz="4" w:space="0" w:color="000000"/>
              <w:left w:val="single" w:sz="4" w:space="0" w:color="000000"/>
              <w:bottom w:val="single" w:sz="4" w:space="0" w:color="000000"/>
              <w:right w:val="single" w:sz="4" w:space="0" w:color="000000"/>
            </w:tcBorders>
            <w:vAlign w:val="center"/>
          </w:tcPr>
          <w:p w:rsidR="00AA7BE7" w:rsidP="00DB1B11" w14:paraId="4618E77C" w14:textId="2B762DB2">
            <w:pPr>
              <w:keepNext/>
              <w:keepLines/>
              <w:spacing w:after="0" w:line="259" w:lineRule="auto"/>
              <w:ind w:left="0" w:firstLine="0"/>
              <w:jc w:val="center"/>
            </w:pPr>
            <w:r>
              <w:rPr>
                <w:b/>
              </w:rPr>
              <w:t>Total Burden Hours</w:t>
            </w:r>
          </w:p>
        </w:tc>
        <w:tc>
          <w:tcPr>
            <w:tcW w:w="1794" w:type="dxa"/>
            <w:tcBorders>
              <w:top w:val="single" w:sz="4" w:space="0" w:color="000000"/>
              <w:left w:val="single" w:sz="4" w:space="0" w:color="000000"/>
              <w:bottom w:val="single" w:sz="4" w:space="0" w:color="000000"/>
              <w:right w:val="single" w:sz="4" w:space="0" w:color="000000"/>
            </w:tcBorders>
            <w:vAlign w:val="center"/>
          </w:tcPr>
          <w:p w:rsidR="00AA7BE7" w:rsidP="00DB1B11" w14:paraId="44754A73" w14:textId="46DB3B20">
            <w:pPr>
              <w:keepNext/>
              <w:keepLines/>
              <w:spacing w:after="0" w:line="259" w:lineRule="auto"/>
              <w:ind w:left="0" w:right="74" w:firstLine="0"/>
              <w:jc w:val="center"/>
            </w:pPr>
            <w:r>
              <w:rPr>
                <w:b/>
              </w:rPr>
              <w:t>Total Cost</w:t>
            </w:r>
          </w:p>
        </w:tc>
      </w:tr>
      <w:tr w14:paraId="2C1DC5E5" w14:textId="77777777" w:rsidTr="00E70298">
        <w:tblPrEx>
          <w:tblW w:w="9352" w:type="dxa"/>
          <w:jc w:val="center"/>
          <w:tblInd w:w="0" w:type="dxa"/>
          <w:tblLayout w:type="fixed"/>
          <w:tblCellMar>
            <w:top w:w="62" w:type="dxa"/>
            <w:left w:w="115" w:type="dxa"/>
            <w:right w:w="38" w:type="dxa"/>
          </w:tblCellMar>
          <w:tblLook w:val="04A0"/>
        </w:tblPrEx>
        <w:trPr>
          <w:trHeight w:val="1114"/>
          <w:jc w:val="center"/>
        </w:trPr>
        <w:tc>
          <w:tcPr>
            <w:tcW w:w="2317" w:type="dxa"/>
            <w:tcBorders>
              <w:top w:val="single" w:sz="4" w:space="0" w:color="000000"/>
              <w:left w:val="single" w:sz="4" w:space="0" w:color="000000"/>
              <w:bottom w:val="single" w:sz="4" w:space="0" w:color="000000"/>
              <w:right w:val="single" w:sz="4" w:space="0" w:color="000000"/>
            </w:tcBorders>
            <w:vAlign w:val="center"/>
          </w:tcPr>
          <w:p w:rsidR="007C43CF" w:rsidP="00DB1B11" w14:paraId="7C0881A0" w14:textId="30B77FBF">
            <w:pPr>
              <w:keepNext/>
              <w:keepLines/>
              <w:spacing w:after="0" w:line="259" w:lineRule="auto"/>
              <w:ind w:left="0" w:firstLine="0"/>
              <w:jc w:val="center"/>
            </w:pPr>
            <w:r>
              <w:t>Business Operations Specialist(s) (13-1000)</w:t>
            </w:r>
          </w:p>
        </w:tc>
        <w:tc>
          <w:tcPr>
            <w:tcW w:w="1031" w:type="dxa"/>
            <w:tcBorders>
              <w:top w:val="single" w:sz="4" w:space="0" w:color="000000"/>
              <w:left w:val="single" w:sz="4" w:space="0" w:color="000000"/>
              <w:bottom w:val="single" w:sz="4" w:space="0" w:color="000000"/>
              <w:right w:val="single" w:sz="4" w:space="0" w:color="000000"/>
            </w:tcBorders>
            <w:vAlign w:val="center"/>
          </w:tcPr>
          <w:p w:rsidR="007C43CF" w:rsidP="00DB1B11" w14:paraId="6D61CB43" w14:textId="342A11B1">
            <w:pPr>
              <w:keepNext/>
              <w:keepLines/>
              <w:spacing w:after="0" w:line="259" w:lineRule="auto"/>
              <w:ind w:left="0" w:firstLine="0"/>
              <w:jc w:val="center"/>
            </w:pPr>
            <w:r>
              <w:t>$</w:t>
            </w:r>
            <w:r w:rsidR="00894D16">
              <w:t>44.94</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P="00DB1B11" w14:paraId="5BBFB828" w14:textId="272BB525">
            <w:pPr>
              <w:keepNext/>
              <w:keepLines/>
              <w:spacing w:after="0" w:line="259" w:lineRule="auto"/>
              <w:ind w:left="0" w:firstLine="0"/>
              <w:jc w:val="center"/>
            </w:pPr>
            <w:r>
              <w:t>$</w:t>
            </w:r>
            <w:r w:rsidR="00894D16">
              <w:t>89.88</w:t>
            </w:r>
          </w:p>
        </w:tc>
        <w:tc>
          <w:tcPr>
            <w:tcW w:w="861" w:type="dxa"/>
            <w:tcBorders>
              <w:top w:val="single" w:sz="4" w:space="0" w:color="000000"/>
              <w:left w:val="single" w:sz="4" w:space="0" w:color="000000"/>
              <w:bottom w:val="single" w:sz="4" w:space="0" w:color="000000"/>
              <w:right w:val="single" w:sz="4" w:space="0" w:color="000000"/>
            </w:tcBorders>
            <w:vAlign w:val="center"/>
          </w:tcPr>
          <w:p w:rsidR="007C43CF" w:rsidP="00DB1B11" w14:paraId="6508C93F" w14:textId="4C15E69B">
            <w:pPr>
              <w:keepNext/>
              <w:keepLines/>
              <w:spacing w:after="0" w:line="259" w:lineRule="auto"/>
              <w:ind w:left="0" w:right="77" w:firstLine="0"/>
              <w:jc w:val="center"/>
            </w:pPr>
            <w:r>
              <w:t>16</w:t>
            </w:r>
          </w:p>
        </w:tc>
        <w:tc>
          <w:tcPr>
            <w:tcW w:w="1457" w:type="dxa"/>
            <w:tcBorders>
              <w:top w:val="single" w:sz="4" w:space="0" w:color="000000"/>
              <w:left w:val="single" w:sz="4" w:space="0" w:color="000000"/>
              <w:bottom w:val="single" w:sz="4" w:space="0" w:color="000000"/>
              <w:right w:val="single" w:sz="4" w:space="0" w:color="000000"/>
            </w:tcBorders>
            <w:vAlign w:val="center"/>
          </w:tcPr>
          <w:p w:rsidR="007C43CF" w:rsidP="00DB1B11" w14:paraId="1D1D5340" w14:textId="15D14E6C">
            <w:pPr>
              <w:keepNext/>
              <w:keepLines/>
              <w:spacing w:after="0" w:line="259" w:lineRule="auto"/>
              <w:ind w:left="0" w:right="77" w:firstLine="0"/>
              <w:jc w:val="center"/>
            </w:pPr>
            <w:r>
              <w:t>10</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P="00DB1B11" w14:paraId="090F7E2B" w14:textId="2620B9B6">
            <w:pPr>
              <w:keepNext/>
              <w:keepLines/>
              <w:spacing w:after="0" w:line="259" w:lineRule="auto"/>
              <w:ind w:left="0" w:right="77" w:firstLine="0"/>
              <w:jc w:val="center"/>
            </w:pPr>
            <w:r>
              <w:t>16</w:t>
            </w:r>
          </w:p>
        </w:tc>
        <w:tc>
          <w:tcPr>
            <w:tcW w:w="1794" w:type="dxa"/>
            <w:tcBorders>
              <w:top w:val="single" w:sz="4" w:space="0" w:color="000000"/>
              <w:left w:val="single" w:sz="4" w:space="0" w:color="000000"/>
              <w:bottom w:val="single" w:sz="4" w:space="0" w:color="000000"/>
              <w:right w:val="single" w:sz="4" w:space="0" w:color="000000"/>
            </w:tcBorders>
            <w:vAlign w:val="center"/>
          </w:tcPr>
          <w:p w:rsidR="007C43CF" w:rsidP="00DB1B11" w14:paraId="5759D3C3" w14:textId="451A9AF9">
            <w:pPr>
              <w:keepNext/>
              <w:keepLines/>
              <w:spacing w:after="0" w:line="240" w:lineRule="auto"/>
              <w:ind w:left="0" w:firstLine="0"/>
              <w:jc w:val="center"/>
            </w:pPr>
            <w:r>
              <w:t>$</w:t>
            </w:r>
            <w:r w:rsidR="00894D16">
              <w:t>14,380.80</w:t>
            </w:r>
          </w:p>
        </w:tc>
      </w:tr>
      <w:tr w14:paraId="2ECE8021" w14:textId="77777777" w:rsidTr="00E70298">
        <w:tblPrEx>
          <w:tblW w:w="9352" w:type="dxa"/>
          <w:jc w:val="center"/>
          <w:tblInd w:w="0" w:type="dxa"/>
          <w:tblLayout w:type="fixed"/>
          <w:tblCellMar>
            <w:top w:w="62" w:type="dxa"/>
            <w:left w:w="115" w:type="dxa"/>
            <w:right w:w="38" w:type="dxa"/>
          </w:tblCellMar>
          <w:tblLook w:val="04A0"/>
        </w:tblPrEx>
        <w:trPr>
          <w:trHeight w:val="562"/>
          <w:jc w:val="center"/>
        </w:trPr>
        <w:tc>
          <w:tcPr>
            <w:tcW w:w="2317" w:type="dxa"/>
            <w:tcBorders>
              <w:top w:val="single" w:sz="4" w:space="0" w:color="000000"/>
              <w:left w:val="single" w:sz="4" w:space="0" w:color="000000"/>
              <w:bottom w:val="single" w:sz="4" w:space="0" w:color="000000"/>
              <w:right w:val="single" w:sz="4" w:space="0" w:color="000000"/>
            </w:tcBorders>
            <w:vAlign w:val="center"/>
          </w:tcPr>
          <w:p w:rsidR="007C43CF" w:rsidP="00DB1B11" w14:paraId="0D3DA4CE" w14:textId="66C9404B">
            <w:pPr>
              <w:keepNext/>
              <w:keepLines/>
              <w:spacing w:after="0" w:line="259" w:lineRule="auto"/>
              <w:ind w:left="0" w:firstLine="0"/>
              <w:jc w:val="center"/>
            </w:pPr>
            <w:r>
              <w:t>Pharmacist(s) (29-1051)</w:t>
            </w:r>
          </w:p>
        </w:tc>
        <w:tc>
          <w:tcPr>
            <w:tcW w:w="1031" w:type="dxa"/>
            <w:tcBorders>
              <w:top w:val="single" w:sz="4" w:space="0" w:color="000000"/>
              <w:left w:val="single" w:sz="4" w:space="0" w:color="000000"/>
              <w:bottom w:val="single" w:sz="4" w:space="0" w:color="000000"/>
              <w:right w:val="single" w:sz="4" w:space="0" w:color="000000"/>
            </w:tcBorders>
            <w:vAlign w:val="center"/>
          </w:tcPr>
          <w:p w:rsidR="007C43CF" w:rsidP="00DB1B11" w14:paraId="10E838AC" w14:textId="6A487896">
            <w:pPr>
              <w:keepNext/>
              <w:keepLines/>
              <w:spacing w:after="0" w:line="259" w:lineRule="auto"/>
              <w:ind w:left="0" w:firstLine="0"/>
              <w:jc w:val="center"/>
            </w:pPr>
            <w:r>
              <w:t>$</w:t>
            </w:r>
            <w:r w:rsidR="00894D16">
              <w:t>63.49</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P="00DB1B11" w14:paraId="37D2DD0D" w14:textId="650F95BA">
            <w:pPr>
              <w:keepNext/>
              <w:keepLines/>
              <w:spacing w:after="0" w:line="259" w:lineRule="auto"/>
              <w:ind w:left="0" w:firstLine="0"/>
              <w:jc w:val="center"/>
            </w:pPr>
            <w:r>
              <w:t>$</w:t>
            </w:r>
            <w:r w:rsidR="00894D16">
              <w:t>126.98</w:t>
            </w:r>
          </w:p>
        </w:tc>
        <w:tc>
          <w:tcPr>
            <w:tcW w:w="861" w:type="dxa"/>
            <w:tcBorders>
              <w:top w:val="single" w:sz="4" w:space="0" w:color="000000"/>
              <w:left w:val="single" w:sz="4" w:space="0" w:color="000000"/>
              <w:bottom w:val="single" w:sz="4" w:space="0" w:color="000000"/>
              <w:right w:val="single" w:sz="4" w:space="0" w:color="000000"/>
            </w:tcBorders>
            <w:vAlign w:val="center"/>
          </w:tcPr>
          <w:p w:rsidR="007C43CF" w:rsidP="00DB1B11" w14:paraId="2F7708E6" w14:textId="5D57266E">
            <w:pPr>
              <w:keepNext/>
              <w:keepLines/>
              <w:spacing w:after="0" w:line="259" w:lineRule="auto"/>
              <w:ind w:left="0" w:right="77" w:firstLine="0"/>
              <w:jc w:val="center"/>
            </w:pPr>
            <w:r>
              <w:t>8</w:t>
            </w:r>
          </w:p>
        </w:tc>
        <w:tc>
          <w:tcPr>
            <w:tcW w:w="1457" w:type="dxa"/>
            <w:tcBorders>
              <w:top w:val="single" w:sz="4" w:space="0" w:color="000000"/>
              <w:left w:val="single" w:sz="4" w:space="0" w:color="000000"/>
              <w:bottom w:val="single" w:sz="4" w:space="0" w:color="000000"/>
              <w:right w:val="single" w:sz="4" w:space="0" w:color="000000"/>
            </w:tcBorders>
            <w:vAlign w:val="center"/>
          </w:tcPr>
          <w:p w:rsidR="007C43CF" w:rsidP="00DB1B11" w14:paraId="049D3CD8" w14:textId="4A82553A">
            <w:pPr>
              <w:keepNext/>
              <w:keepLines/>
              <w:spacing w:after="0" w:line="259" w:lineRule="auto"/>
              <w:ind w:left="0" w:right="77" w:firstLine="0"/>
              <w:jc w:val="center"/>
            </w:pPr>
            <w:r>
              <w:t>10</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P="00DB1B11" w14:paraId="1F33E36B" w14:textId="5AF3A2A6">
            <w:pPr>
              <w:keepNext/>
              <w:keepLines/>
              <w:spacing w:after="0" w:line="259" w:lineRule="auto"/>
              <w:ind w:left="0" w:right="77" w:firstLine="0"/>
              <w:jc w:val="center"/>
            </w:pPr>
            <w:r>
              <w:t>8</w:t>
            </w:r>
          </w:p>
        </w:tc>
        <w:tc>
          <w:tcPr>
            <w:tcW w:w="1794" w:type="dxa"/>
            <w:tcBorders>
              <w:top w:val="single" w:sz="4" w:space="0" w:color="000000"/>
              <w:left w:val="single" w:sz="4" w:space="0" w:color="000000"/>
              <w:bottom w:val="single" w:sz="4" w:space="0" w:color="000000"/>
              <w:right w:val="single" w:sz="4" w:space="0" w:color="000000"/>
            </w:tcBorders>
            <w:vAlign w:val="center"/>
          </w:tcPr>
          <w:p w:rsidR="007C43CF" w:rsidP="00DB1B11" w14:paraId="640BABE6" w14:textId="7196224B">
            <w:pPr>
              <w:keepNext/>
              <w:keepLines/>
              <w:spacing w:after="0" w:line="240" w:lineRule="auto"/>
              <w:ind w:left="0" w:firstLine="0"/>
              <w:jc w:val="center"/>
            </w:pPr>
            <w:r>
              <w:t>$</w:t>
            </w:r>
            <w:r w:rsidR="00894D16">
              <w:t>10,158.40</w:t>
            </w:r>
          </w:p>
        </w:tc>
      </w:tr>
      <w:tr w14:paraId="4AB5C4B6" w14:textId="77777777" w:rsidTr="00E70298">
        <w:tblPrEx>
          <w:tblW w:w="9352" w:type="dxa"/>
          <w:jc w:val="center"/>
          <w:tblInd w:w="0" w:type="dxa"/>
          <w:tblLayout w:type="fixed"/>
          <w:tblCellMar>
            <w:top w:w="62" w:type="dxa"/>
            <w:left w:w="115" w:type="dxa"/>
            <w:right w:w="38" w:type="dxa"/>
          </w:tblCellMar>
          <w:tblLook w:val="04A0"/>
        </w:tblPrEx>
        <w:trPr>
          <w:trHeight w:val="562"/>
          <w:jc w:val="center"/>
        </w:trPr>
        <w:tc>
          <w:tcPr>
            <w:tcW w:w="2317" w:type="dxa"/>
            <w:tcBorders>
              <w:top w:val="single" w:sz="4" w:space="0" w:color="000000"/>
              <w:left w:val="single" w:sz="4" w:space="0" w:color="000000"/>
              <w:bottom w:val="single" w:sz="4" w:space="0" w:color="000000"/>
              <w:right w:val="single" w:sz="4" w:space="0" w:color="000000"/>
            </w:tcBorders>
            <w:vAlign w:val="center"/>
          </w:tcPr>
          <w:p w:rsidR="007C43CF" w:rsidP="00DB1B11" w14:paraId="3A19120A" w14:textId="337B2C15">
            <w:pPr>
              <w:keepNext/>
              <w:keepLines/>
              <w:spacing w:after="0" w:line="259" w:lineRule="auto"/>
              <w:ind w:left="0" w:firstLine="0"/>
              <w:jc w:val="center"/>
            </w:pPr>
            <w:r>
              <w:t>Lawyer(s) (23-1011)</w:t>
            </w:r>
          </w:p>
        </w:tc>
        <w:tc>
          <w:tcPr>
            <w:tcW w:w="1031" w:type="dxa"/>
            <w:tcBorders>
              <w:top w:val="single" w:sz="4" w:space="0" w:color="000000"/>
              <w:left w:val="single" w:sz="4" w:space="0" w:color="000000"/>
              <w:bottom w:val="single" w:sz="4" w:space="0" w:color="000000"/>
              <w:right w:val="single" w:sz="4" w:space="0" w:color="000000"/>
            </w:tcBorders>
            <w:vAlign w:val="center"/>
          </w:tcPr>
          <w:p w:rsidR="007C43CF" w:rsidP="00DB1B11" w14:paraId="6ED5DA54" w14:textId="161D82C6">
            <w:pPr>
              <w:keepNext/>
              <w:keepLines/>
              <w:spacing w:after="0" w:line="259" w:lineRule="auto"/>
              <w:ind w:left="0" w:firstLine="0"/>
              <w:jc w:val="center"/>
            </w:pPr>
            <w:r>
              <w:t>$</w:t>
            </w:r>
            <w:r w:rsidR="00894D16">
              <w:t>115.00</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P="00DB1B11" w14:paraId="1D25BA69" w14:textId="79BE0AB7">
            <w:pPr>
              <w:keepNext/>
              <w:keepLines/>
              <w:spacing w:after="0" w:line="259" w:lineRule="auto"/>
              <w:ind w:left="0" w:firstLine="0"/>
              <w:jc w:val="center"/>
            </w:pPr>
            <w:r>
              <w:t>$</w:t>
            </w:r>
            <w:r w:rsidR="00894D16">
              <w:t>230.00</w:t>
            </w:r>
          </w:p>
        </w:tc>
        <w:tc>
          <w:tcPr>
            <w:tcW w:w="861" w:type="dxa"/>
            <w:tcBorders>
              <w:top w:val="single" w:sz="4" w:space="0" w:color="000000"/>
              <w:left w:val="single" w:sz="4" w:space="0" w:color="000000"/>
              <w:bottom w:val="single" w:sz="4" w:space="0" w:color="000000"/>
              <w:right w:val="single" w:sz="4" w:space="0" w:color="000000"/>
            </w:tcBorders>
            <w:vAlign w:val="center"/>
          </w:tcPr>
          <w:p w:rsidR="007C43CF" w:rsidP="00DB1B11" w14:paraId="4B6D0537" w14:textId="2F7B389A">
            <w:pPr>
              <w:keepNext/>
              <w:keepLines/>
              <w:spacing w:after="0" w:line="259" w:lineRule="auto"/>
              <w:ind w:left="0" w:right="77" w:firstLine="0"/>
              <w:jc w:val="center"/>
            </w:pPr>
            <w:r>
              <w:t>5</w:t>
            </w:r>
          </w:p>
        </w:tc>
        <w:tc>
          <w:tcPr>
            <w:tcW w:w="1457" w:type="dxa"/>
            <w:tcBorders>
              <w:top w:val="single" w:sz="4" w:space="0" w:color="000000"/>
              <w:left w:val="single" w:sz="4" w:space="0" w:color="000000"/>
              <w:bottom w:val="single" w:sz="4" w:space="0" w:color="000000"/>
              <w:right w:val="single" w:sz="4" w:space="0" w:color="000000"/>
            </w:tcBorders>
            <w:vAlign w:val="center"/>
          </w:tcPr>
          <w:p w:rsidR="007C43CF" w:rsidP="00DB1B11" w14:paraId="306DFC3A" w14:textId="2468849A">
            <w:pPr>
              <w:keepNext/>
              <w:keepLines/>
              <w:spacing w:after="0" w:line="259" w:lineRule="auto"/>
              <w:ind w:left="0" w:right="77" w:firstLine="0"/>
              <w:jc w:val="center"/>
            </w:pPr>
            <w:r>
              <w:t>10</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P="00DB1B11" w14:paraId="06721078" w14:textId="29872390">
            <w:pPr>
              <w:keepNext/>
              <w:keepLines/>
              <w:spacing w:after="0" w:line="259" w:lineRule="auto"/>
              <w:ind w:left="0" w:right="77" w:firstLine="0"/>
              <w:jc w:val="center"/>
            </w:pPr>
            <w:r>
              <w:t>5</w:t>
            </w:r>
          </w:p>
        </w:tc>
        <w:tc>
          <w:tcPr>
            <w:tcW w:w="1794" w:type="dxa"/>
            <w:tcBorders>
              <w:top w:val="single" w:sz="4" w:space="0" w:color="000000"/>
              <w:left w:val="single" w:sz="4" w:space="0" w:color="000000"/>
              <w:bottom w:val="single" w:sz="4" w:space="0" w:color="000000"/>
              <w:right w:val="single" w:sz="4" w:space="0" w:color="000000"/>
            </w:tcBorders>
            <w:vAlign w:val="center"/>
          </w:tcPr>
          <w:p w:rsidR="007C43CF" w:rsidP="00DB1B11" w14:paraId="3981FC38" w14:textId="55832665">
            <w:pPr>
              <w:keepNext/>
              <w:keepLines/>
              <w:spacing w:after="0" w:line="259" w:lineRule="auto"/>
              <w:ind w:left="0" w:firstLine="0"/>
              <w:jc w:val="center"/>
            </w:pPr>
            <w:r>
              <w:t>$</w:t>
            </w:r>
            <w:r w:rsidR="00894D16">
              <w:t>11,500</w:t>
            </w:r>
          </w:p>
        </w:tc>
      </w:tr>
      <w:tr w14:paraId="2985A6EC"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2317" w:type="dxa"/>
            <w:tcBorders>
              <w:top w:val="single" w:sz="4" w:space="0" w:color="000000"/>
              <w:left w:val="single" w:sz="4" w:space="0" w:color="000000"/>
              <w:bottom w:val="single" w:sz="24" w:space="0" w:color="000000"/>
              <w:right w:val="single" w:sz="4" w:space="0" w:color="000000"/>
            </w:tcBorders>
            <w:vAlign w:val="center"/>
          </w:tcPr>
          <w:p w:rsidR="007C43CF" w:rsidP="00DB1B11" w14:paraId="3A486830" w14:textId="4DDE5C12">
            <w:pPr>
              <w:keepNext/>
              <w:keepLines/>
              <w:spacing w:after="0" w:line="259" w:lineRule="auto"/>
              <w:ind w:left="0" w:firstLine="0"/>
              <w:jc w:val="center"/>
            </w:pPr>
            <w:r>
              <w:t>Chief Executive (11-1011)</w:t>
            </w:r>
          </w:p>
        </w:tc>
        <w:tc>
          <w:tcPr>
            <w:tcW w:w="1031" w:type="dxa"/>
            <w:tcBorders>
              <w:top w:val="single" w:sz="4" w:space="0" w:color="000000"/>
              <w:left w:val="single" w:sz="4" w:space="0" w:color="000000"/>
              <w:bottom w:val="single" w:sz="24" w:space="0" w:color="000000"/>
              <w:right w:val="single" w:sz="4" w:space="0" w:color="000000"/>
            </w:tcBorders>
            <w:vAlign w:val="center"/>
          </w:tcPr>
          <w:p w:rsidR="007C43CF" w:rsidP="00DB1B11" w14:paraId="06D1CCC3" w14:textId="4EB74CC0">
            <w:pPr>
              <w:keepNext/>
              <w:keepLines/>
              <w:spacing w:after="0" w:line="259" w:lineRule="auto"/>
              <w:ind w:left="0" w:firstLine="0"/>
              <w:jc w:val="center"/>
            </w:pPr>
            <w:r>
              <w:t>$115.00</w:t>
            </w:r>
          </w:p>
        </w:tc>
        <w:tc>
          <w:tcPr>
            <w:tcW w:w="946" w:type="dxa"/>
            <w:tcBorders>
              <w:top w:val="single" w:sz="4" w:space="0" w:color="000000"/>
              <w:left w:val="single" w:sz="4" w:space="0" w:color="000000"/>
              <w:bottom w:val="single" w:sz="24" w:space="0" w:color="000000"/>
              <w:right w:val="single" w:sz="4" w:space="0" w:color="000000"/>
            </w:tcBorders>
            <w:vAlign w:val="center"/>
          </w:tcPr>
          <w:p w:rsidR="007C43CF" w:rsidP="00DB1B11" w14:paraId="39A907B8" w14:textId="5D85B06D">
            <w:pPr>
              <w:keepNext/>
              <w:keepLines/>
              <w:spacing w:after="0" w:line="259" w:lineRule="auto"/>
              <w:ind w:left="0" w:firstLine="0"/>
              <w:jc w:val="center"/>
            </w:pPr>
            <w:r>
              <w:t>$230.00</w:t>
            </w:r>
          </w:p>
        </w:tc>
        <w:tc>
          <w:tcPr>
            <w:tcW w:w="861" w:type="dxa"/>
            <w:tcBorders>
              <w:top w:val="single" w:sz="4" w:space="0" w:color="000000"/>
              <w:left w:val="single" w:sz="4" w:space="0" w:color="000000"/>
              <w:bottom w:val="single" w:sz="24" w:space="0" w:color="000000"/>
              <w:right w:val="single" w:sz="4" w:space="0" w:color="000000"/>
            </w:tcBorders>
            <w:vAlign w:val="center"/>
          </w:tcPr>
          <w:p w:rsidR="007C43CF" w:rsidP="00DB1B11" w14:paraId="2499DE22" w14:textId="469DC476">
            <w:pPr>
              <w:keepNext/>
              <w:keepLines/>
              <w:spacing w:after="0" w:line="259" w:lineRule="auto"/>
              <w:ind w:left="0" w:right="77" w:firstLine="0"/>
              <w:jc w:val="center"/>
            </w:pPr>
            <w:r>
              <w:t>2</w:t>
            </w:r>
          </w:p>
        </w:tc>
        <w:tc>
          <w:tcPr>
            <w:tcW w:w="1457" w:type="dxa"/>
            <w:tcBorders>
              <w:top w:val="single" w:sz="4" w:space="0" w:color="000000"/>
              <w:left w:val="single" w:sz="4" w:space="0" w:color="000000"/>
              <w:bottom w:val="single" w:sz="24" w:space="0" w:color="000000"/>
              <w:right w:val="single" w:sz="4" w:space="0" w:color="000000"/>
            </w:tcBorders>
            <w:vAlign w:val="center"/>
          </w:tcPr>
          <w:p w:rsidR="007C43CF" w:rsidP="00DB1B11" w14:paraId="3DEB9259" w14:textId="0EFB5CF1">
            <w:pPr>
              <w:keepNext/>
              <w:keepLines/>
              <w:spacing w:after="0" w:line="259" w:lineRule="auto"/>
              <w:ind w:left="0" w:right="77" w:firstLine="0"/>
              <w:jc w:val="center"/>
            </w:pPr>
            <w:r>
              <w:t>10</w:t>
            </w:r>
          </w:p>
        </w:tc>
        <w:tc>
          <w:tcPr>
            <w:tcW w:w="946" w:type="dxa"/>
            <w:tcBorders>
              <w:top w:val="single" w:sz="4" w:space="0" w:color="000000"/>
              <w:left w:val="single" w:sz="4" w:space="0" w:color="000000"/>
              <w:bottom w:val="single" w:sz="24" w:space="0" w:color="000000"/>
              <w:right w:val="single" w:sz="4" w:space="0" w:color="000000"/>
            </w:tcBorders>
            <w:vAlign w:val="center"/>
          </w:tcPr>
          <w:p w:rsidR="007C43CF" w:rsidP="00DB1B11" w14:paraId="115A2B90" w14:textId="6A97EC79">
            <w:pPr>
              <w:keepNext/>
              <w:keepLines/>
              <w:spacing w:after="0" w:line="259" w:lineRule="auto"/>
              <w:ind w:left="0" w:right="77" w:firstLine="0"/>
              <w:jc w:val="center"/>
            </w:pPr>
            <w:r>
              <w:t>2</w:t>
            </w:r>
          </w:p>
        </w:tc>
        <w:tc>
          <w:tcPr>
            <w:tcW w:w="1794" w:type="dxa"/>
            <w:tcBorders>
              <w:top w:val="single" w:sz="4" w:space="0" w:color="000000"/>
              <w:left w:val="single" w:sz="4" w:space="0" w:color="000000"/>
              <w:bottom w:val="single" w:sz="24" w:space="0" w:color="000000"/>
              <w:right w:val="single" w:sz="4" w:space="0" w:color="000000"/>
            </w:tcBorders>
            <w:vAlign w:val="center"/>
          </w:tcPr>
          <w:p w:rsidR="007C43CF" w:rsidP="00DB1B11" w14:paraId="55D00CBE" w14:textId="27F2F326">
            <w:pPr>
              <w:keepNext/>
              <w:keepLines/>
              <w:spacing w:after="0" w:line="259" w:lineRule="auto"/>
              <w:ind w:left="0" w:firstLine="0"/>
              <w:jc w:val="center"/>
            </w:pPr>
            <w:r>
              <w:t>$4,600.00</w:t>
            </w:r>
          </w:p>
        </w:tc>
      </w:tr>
      <w:tr w14:paraId="4E08EEB6"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2317"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076173AB" w14:textId="70A5D6A1">
            <w:pPr>
              <w:keepNext/>
              <w:keepLines/>
              <w:spacing w:after="0" w:line="259" w:lineRule="auto"/>
              <w:ind w:left="0" w:firstLine="0"/>
              <w:jc w:val="center"/>
              <w:rPr>
                <w:b/>
              </w:rPr>
            </w:pPr>
            <w:r w:rsidRPr="005E32F6">
              <w:rPr>
                <w:b/>
              </w:rPr>
              <w:t>Total (</w:t>
            </w:r>
            <w:r>
              <w:rPr>
                <w:b/>
              </w:rPr>
              <w:t>10</w:t>
            </w:r>
            <w:r w:rsidRPr="005E32F6">
              <w:rPr>
                <w:b/>
              </w:rPr>
              <w:t xml:space="preserve"> </w:t>
            </w:r>
            <w:r>
              <w:rPr>
                <w:b/>
              </w:rPr>
              <w:t>Forms</w:t>
            </w:r>
            <w:r w:rsidRPr="005E32F6">
              <w:rPr>
                <w:b/>
              </w:rPr>
              <w:t>)</w:t>
            </w:r>
          </w:p>
        </w:tc>
        <w:tc>
          <w:tcPr>
            <w:tcW w:w="1031"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409F28FC" w14:textId="2CAD6AD8">
            <w:pPr>
              <w:keepNext/>
              <w:keepLines/>
              <w:spacing w:after="0" w:line="259" w:lineRule="auto"/>
              <w:ind w:left="0" w:firstLine="0"/>
              <w:jc w:val="center"/>
              <w:rPr>
                <w:b/>
              </w:rPr>
            </w:pPr>
            <w:r w:rsidRPr="008E2636">
              <w:rPr>
                <w:b/>
              </w:rPr>
              <w:t>-</w:t>
            </w:r>
          </w:p>
        </w:tc>
        <w:tc>
          <w:tcPr>
            <w:tcW w:w="946"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34F4186D" w14:textId="414FBF48">
            <w:pPr>
              <w:keepNext/>
              <w:keepLines/>
              <w:spacing w:after="0" w:line="259" w:lineRule="auto"/>
              <w:ind w:left="0" w:firstLine="0"/>
              <w:jc w:val="center"/>
              <w:rPr>
                <w:b/>
              </w:rPr>
            </w:pPr>
            <w:r w:rsidRPr="008E2636">
              <w:rPr>
                <w:b/>
              </w:rPr>
              <w:t>-</w:t>
            </w:r>
          </w:p>
        </w:tc>
        <w:tc>
          <w:tcPr>
            <w:tcW w:w="861"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1359CF03" w14:textId="3F45F2D5">
            <w:pPr>
              <w:keepNext/>
              <w:keepLines/>
              <w:spacing w:after="0" w:line="259" w:lineRule="auto"/>
              <w:ind w:left="0" w:right="77" w:firstLine="0"/>
              <w:jc w:val="center"/>
              <w:rPr>
                <w:b/>
              </w:rPr>
            </w:pPr>
            <w:r>
              <w:rPr>
                <w:b/>
              </w:rPr>
              <w:t>310</w:t>
            </w:r>
          </w:p>
        </w:tc>
        <w:tc>
          <w:tcPr>
            <w:tcW w:w="1457"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77676F84" w14:textId="7083E76E">
            <w:pPr>
              <w:keepNext/>
              <w:keepLines/>
              <w:spacing w:after="0" w:line="259" w:lineRule="auto"/>
              <w:ind w:left="0" w:right="77" w:firstLine="0"/>
              <w:jc w:val="center"/>
              <w:rPr>
                <w:b/>
              </w:rPr>
            </w:pPr>
            <w:r>
              <w:rPr>
                <w:b/>
              </w:rPr>
              <w:t>10</w:t>
            </w:r>
          </w:p>
        </w:tc>
        <w:tc>
          <w:tcPr>
            <w:tcW w:w="946"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562E1B74" w14:textId="61D30039">
            <w:pPr>
              <w:keepNext/>
              <w:keepLines/>
              <w:spacing w:after="0" w:line="259" w:lineRule="auto"/>
              <w:ind w:left="0" w:right="77" w:firstLine="0"/>
              <w:jc w:val="center"/>
              <w:rPr>
                <w:b/>
              </w:rPr>
            </w:pPr>
            <w:r>
              <w:rPr>
                <w:b/>
              </w:rPr>
              <w:t>310</w:t>
            </w:r>
          </w:p>
        </w:tc>
        <w:tc>
          <w:tcPr>
            <w:tcW w:w="1794" w:type="dxa"/>
            <w:tcBorders>
              <w:top w:val="single" w:sz="24" w:space="0" w:color="000000"/>
              <w:left w:val="single" w:sz="24" w:space="0" w:color="000000"/>
              <w:bottom w:val="single" w:sz="24" w:space="0" w:color="000000"/>
              <w:right w:val="single" w:sz="24" w:space="0" w:color="000000"/>
            </w:tcBorders>
            <w:vAlign w:val="center"/>
          </w:tcPr>
          <w:p w:rsidR="007C43CF" w:rsidRPr="008E2636" w:rsidP="00DB1B11" w14:paraId="41E01EC3" w14:textId="0F3C97E8">
            <w:pPr>
              <w:keepNext/>
              <w:keepLines/>
              <w:spacing w:after="0" w:line="240" w:lineRule="auto"/>
              <w:ind w:left="0" w:firstLine="0"/>
              <w:jc w:val="center"/>
              <w:rPr>
                <w:b/>
              </w:rPr>
            </w:pPr>
            <w:r>
              <w:rPr>
                <w:b/>
              </w:rPr>
              <w:t>$</w:t>
            </w:r>
            <w:r w:rsidR="00894D16">
              <w:rPr>
                <w:b/>
              </w:rPr>
              <w:t>40,639.20</w:t>
            </w:r>
          </w:p>
        </w:tc>
      </w:tr>
      <w:tr w14:paraId="71BC96D1"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2317"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47BAAE15" w14:textId="14B5DFC6">
            <w:pPr>
              <w:keepNext/>
              <w:keepLines/>
              <w:spacing w:after="0" w:line="259" w:lineRule="auto"/>
              <w:ind w:left="0" w:firstLine="0"/>
              <w:jc w:val="center"/>
              <w:rPr>
                <w:b/>
              </w:rPr>
            </w:pPr>
            <w:r w:rsidRPr="005E32F6">
              <w:rPr>
                <w:b/>
              </w:rPr>
              <w:t>Total (</w:t>
            </w:r>
            <w:r>
              <w:rPr>
                <w:b/>
              </w:rPr>
              <w:t>1</w:t>
            </w:r>
            <w:r w:rsidRPr="005E32F6">
              <w:rPr>
                <w:b/>
              </w:rPr>
              <w:t xml:space="preserve"> </w:t>
            </w:r>
            <w:r>
              <w:rPr>
                <w:b/>
              </w:rPr>
              <w:t>Form</w:t>
            </w:r>
            <w:r w:rsidRPr="005E32F6">
              <w:rPr>
                <w:b/>
              </w:rPr>
              <w:t>)</w:t>
            </w:r>
          </w:p>
        </w:tc>
        <w:tc>
          <w:tcPr>
            <w:tcW w:w="1031"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5FB54008" w14:textId="0CFAABAB">
            <w:pPr>
              <w:keepNext/>
              <w:keepLines/>
              <w:spacing w:after="0" w:line="259" w:lineRule="auto"/>
              <w:ind w:left="0" w:firstLine="0"/>
              <w:jc w:val="center"/>
              <w:rPr>
                <w:b/>
              </w:rPr>
            </w:pPr>
            <w:r w:rsidRPr="003853F0">
              <w:rPr>
                <w:b/>
              </w:rPr>
              <w:t>-</w:t>
            </w:r>
          </w:p>
        </w:tc>
        <w:tc>
          <w:tcPr>
            <w:tcW w:w="946"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47665C08" w14:textId="601C5F29">
            <w:pPr>
              <w:keepNext/>
              <w:keepLines/>
              <w:spacing w:after="0" w:line="259" w:lineRule="auto"/>
              <w:ind w:left="0" w:firstLine="0"/>
              <w:jc w:val="center"/>
              <w:rPr>
                <w:b/>
              </w:rPr>
            </w:pPr>
            <w:r w:rsidRPr="003853F0">
              <w:rPr>
                <w:b/>
              </w:rPr>
              <w:t>-</w:t>
            </w:r>
          </w:p>
        </w:tc>
        <w:tc>
          <w:tcPr>
            <w:tcW w:w="861"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3CE572AD" w14:textId="316DEA3B">
            <w:pPr>
              <w:keepNext/>
              <w:keepLines/>
              <w:spacing w:after="0" w:line="259" w:lineRule="auto"/>
              <w:ind w:left="0" w:right="77" w:firstLine="0"/>
              <w:jc w:val="center"/>
              <w:rPr>
                <w:b/>
              </w:rPr>
            </w:pPr>
            <w:r>
              <w:rPr>
                <w:b/>
              </w:rPr>
              <w:t>31</w:t>
            </w:r>
          </w:p>
        </w:tc>
        <w:tc>
          <w:tcPr>
            <w:tcW w:w="1457"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496D3389" w14:textId="4C2BCBC9">
            <w:pPr>
              <w:keepNext/>
              <w:keepLines/>
              <w:spacing w:after="0" w:line="259" w:lineRule="auto"/>
              <w:ind w:left="0" w:right="77" w:firstLine="0"/>
              <w:jc w:val="center"/>
              <w:rPr>
                <w:b/>
              </w:rPr>
            </w:pPr>
            <w:r>
              <w:rPr>
                <w:b/>
              </w:rPr>
              <w:t>1</w:t>
            </w:r>
          </w:p>
        </w:tc>
        <w:tc>
          <w:tcPr>
            <w:tcW w:w="946"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7D5EDCB1" w14:textId="77DE64AA">
            <w:pPr>
              <w:keepNext/>
              <w:keepLines/>
              <w:spacing w:after="0" w:line="259" w:lineRule="auto"/>
              <w:ind w:left="0" w:right="77" w:firstLine="0"/>
              <w:jc w:val="center"/>
              <w:rPr>
                <w:b/>
              </w:rPr>
            </w:pPr>
            <w:r>
              <w:rPr>
                <w:b/>
              </w:rPr>
              <w:t>31</w:t>
            </w:r>
          </w:p>
        </w:tc>
        <w:tc>
          <w:tcPr>
            <w:tcW w:w="1794" w:type="dxa"/>
            <w:tcBorders>
              <w:top w:val="single" w:sz="24" w:space="0" w:color="000000"/>
              <w:left w:val="single" w:sz="4" w:space="0" w:color="000000"/>
              <w:bottom w:val="single" w:sz="4" w:space="0" w:color="000000"/>
              <w:right w:val="single" w:sz="4" w:space="0" w:color="000000"/>
            </w:tcBorders>
            <w:vAlign w:val="center"/>
          </w:tcPr>
          <w:p w:rsidR="007C43CF" w:rsidRPr="008E2636" w:rsidP="00DB1B11" w14:paraId="3B456EE8" w14:textId="2B6D58A0">
            <w:pPr>
              <w:keepNext/>
              <w:keepLines/>
              <w:spacing w:after="0" w:line="240" w:lineRule="auto"/>
              <w:ind w:left="0" w:firstLine="0"/>
              <w:jc w:val="center"/>
              <w:rPr>
                <w:b/>
              </w:rPr>
            </w:pPr>
            <w:r>
              <w:rPr>
                <w:b/>
              </w:rPr>
              <w:t>$</w:t>
            </w:r>
            <w:r w:rsidR="00894D16">
              <w:rPr>
                <w:b/>
              </w:rPr>
              <w:t>4,063.92</w:t>
            </w:r>
          </w:p>
        </w:tc>
      </w:tr>
      <w:tr w14:paraId="04A5FF3B" w14:textId="77777777" w:rsidTr="00AA7BE7">
        <w:tblPrEx>
          <w:tblW w:w="9352" w:type="dxa"/>
          <w:jc w:val="center"/>
          <w:tblInd w:w="0" w:type="dxa"/>
          <w:tblLayout w:type="fixed"/>
          <w:tblCellMar>
            <w:top w:w="62" w:type="dxa"/>
            <w:left w:w="115" w:type="dxa"/>
            <w:right w:w="38" w:type="dxa"/>
          </w:tblCellMar>
          <w:tblLook w:val="04A0"/>
        </w:tblPrEx>
        <w:trPr>
          <w:trHeight w:val="562"/>
          <w:jc w:val="center"/>
        </w:trPr>
        <w:tc>
          <w:tcPr>
            <w:tcW w:w="2317" w:type="dxa"/>
            <w:tcBorders>
              <w:top w:val="single" w:sz="4" w:space="0" w:color="000000"/>
              <w:left w:val="single" w:sz="4" w:space="0" w:color="000000"/>
              <w:bottom w:val="single" w:sz="4" w:space="0" w:color="000000"/>
              <w:right w:val="single" w:sz="4" w:space="0" w:color="000000"/>
            </w:tcBorders>
            <w:vAlign w:val="center"/>
          </w:tcPr>
          <w:p w:rsidR="007C43CF" w:rsidRPr="005E32F6" w:rsidP="00DB1B11" w14:paraId="6AF2B647" w14:textId="2F44BBB3">
            <w:pPr>
              <w:keepNext/>
              <w:keepLines/>
              <w:spacing w:after="0" w:line="259" w:lineRule="auto"/>
              <w:ind w:left="0" w:firstLine="0"/>
              <w:jc w:val="center"/>
              <w:rPr>
                <w:b/>
              </w:rPr>
            </w:pPr>
            <w:r w:rsidRPr="005E32F6">
              <w:rPr>
                <w:b/>
              </w:rPr>
              <w:t>Total (</w:t>
            </w:r>
            <w:r>
              <w:rPr>
                <w:b/>
              </w:rPr>
              <w:t>5</w:t>
            </w:r>
            <w:r w:rsidRPr="005E32F6">
              <w:rPr>
                <w:b/>
              </w:rPr>
              <w:t xml:space="preserve"> </w:t>
            </w:r>
            <w:r>
              <w:rPr>
                <w:b/>
              </w:rPr>
              <w:t>Forms</w:t>
            </w:r>
            <w:r w:rsidRPr="005E32F6">
              <w:rPr>
                <w:b/>
              </w:rPr>
              <w:t>)</w:t>
            </w:r>
          </w:p>
        </w:tc>
        <w:tc>
          <w:tcPr>
            <w:tcW w:w="1031" w:type="dxa"/>
            <w:tcBorders>
              <w:top w:val="single" w:sz="4" w:space="0" w:color="000000"/>
              <w:left w:val="single" w:sz="4" w:space="0" w:color="000000"/>
              <w:bottom w:val="single" w:sz="4" w:space="0" w:color="000000"/>
              <w:right w:val="single" w:sz="4" w:space="0" w:color="000000"/>
            </w:tcBorders>
            <w:vAlign w:val="center"/>
          </w:tcPr>
          <w:p w:rsidR="007C43CF" w:rsidRPr="00335BE3" w:rsidP="00DB1B11" w14:paraId="7C47A06D" w14:textId="238DEC31">
            <w:pPr>
              <w:keepNext/>
              <w:keepLines/>
              <w:spacing w:after="0" w:line="259" w:lineRule="auto"/>
              <w:ind w:left="0" w:firstLine="0"/>
              <w:jc w:val="center"/>
              <w:rPr>
                <w:b/>
              </w:rPr>
            </w:pPr>
            <w:r w:rsidRPr="003853F0">
              <w:rPr>
                <w:b/>
              </w:rPr>
              <w:t>-</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RPr="00335BE3" w:rsidP="00DB1B11" w14:paraId="62E25F52" w14:textId="09106F4E">
            <w:pPr>
              <w:keepNext/>
              <w:keepLines/>
              <w:spacing w:after="0" w:line="259" w:lineRule="auto"/>
              <w:ind w:left="0" w:firstLine="0"/>
              <w:jc w:val="center"/>
              <w:rPr>
                <w:b/>
              </w:rPr>
            </w:pPr>
            <w:r w:rsidRPr="003853F0">
              <w:rPr>
                <w:b/>
              </w:rPr>
              <w:t>-</w:t>
            </w:r>
          </w:p>
        </w:tc>
        <w:tc>
          <w:tcPr>
            <w:tcW w:w="861" w:type="dxa"/>
            <w:tcBorders>
              <w:top w:val="single" w:sz="4" w:space="0" w:color="000000"/>
              <w:left w:val="single" w:sz="4" w:space="0" w:color="000000"/>
              <w:bottom w:val="single" w:sz="4" w:space="0" w:color="000000"/>
              <w:right w:val="single" w:sz="4" w:space="0" w:color="000000"/>
            </w:tcBorders>
            <w:vAlign w:val="center"/>
          </w:tcPr>
          <w:p w:rsidR="007C43CF" w:rsidRPr="00335BE3" w:rsidP="00DB1B11" w14:paraId="216FB205" w14:textId="35C328FE">
            <w:pPr>
              <w:keepNext/>
              <w:keepLines/>
              <w:spacing w:after="0" w:line="259" w:lineRule="auto"/>
              <w:ind w:left="0" w:right="77" w:firstLine="0"/>
              <w:jc w:val="center"/>
              <w:rPr>
                <w:b/>
              </w:rPr>
            </w:pPr>
            <w:r>
              <w:rPr>
                <w:b/>
              </w:rPr>
              <w:t>155</w:t>
            </w:r>
          </w:p>
        </w:tc>
        <w:tc>
          <w:tcPr>
            <w:tcW w:w="1457" w:type="dxa"/>
            <w:tcBorders>
              <w:top w:val="single" w:sz="4" w:space="0" w:color="000000"/>
              <w:left w:val="single" w:sz="4" w:space="0" w:color="000000"/>
              <w:bottom w:val="single" w:sz="4" w:space="0" w:color="000000"/>
              <w:right w:val="single" w:sz="4" w:space="0" w:color="000000"/>
            </w:tcBorders>
            <w:vAlign w:val="center"/>
          </w:tcPr>
          <w:p w:rsidR="007C43CF" w:rsidRPr="00335BE3" w:rsidP="00DB1B11" w14:paraId="550D2C80" w14:textId="509FA66B">
            <w:pPr>
              <w:keepNext/>
              <w:keepLines/>
              <w:spacing w:after="0" w:line="259" w:lineRule="auto"/>
              <w:ind w:left="0" w:right="77" w:firstLine="0"/>
              <w:jc w:val="center"/>
              <w:rPr>
                <w:b/>
              </w:rPr>
            </w:pPr>
            <w:r>
              <w:rPr>
                <w:b/>
              </w:rPr>
              <w:t>5</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RPr="00335BE3" w:rsidP="00DB1B11" w14:paraId="75711DA9" w14:textId="3B565820">
            <w:pPr>
              <w:keepNext/>
              <w:keepLines/>
              <w:spacing w:after="0" w:line="259" w:lineRule="auto"/>
              <w:ind w:left="0" w:right="77" w:firstLine="0"/>
              <w:jc w:val="center"/>
              <w:rPr>
                <w:b/>
              </w:rPr>
            </w:pPr>
            <w:r>
              <w:rPr>
                <w:b/>
              </w:rPr>
              <w:t>155</w:t>
            </w:r>
          </w:p>
        </w:tc>
        <w:tc>
          <w:tcPr>
            <w:tcW w:w="1794" w:type="dxa"/>
            <w:tcBorders>
              <w:top w:val="single" w:sz="4" w:space="0" w:color="000000"/>
              <w:left w:val="single" w:sz="4" w:space="0" w:color="000000"/>
              <w:bottom w:val="single" w:sz="4" w:space="0" w:color="000000"/>
              <w:right w:val="single" w:sz="4" w:space="0" w:color="000000"/>
            </w:tcBorders>
            <w:vAlign w:val="center"/>
          </w:tcPr>
          <w:p w:rsidR="007C43CF" w:rsidRPr="00335BE3" w:rsidP="00DB1B11" w14:paraId="0F8BE392" w14:textId="6FAB538E">
            <w:pPr>
              <w:keepNext/>
              <w:keepLines/>
              <w:spacing w:after="0" w:line="240" w:lineRule="auto"/>
              <w:ind w:left="0" w:firstLine="0"/>
              <w:jc w:val="center"/>
              <w:rPr>
                <w:b/>
              </w:rPr>
            </w:pPr>
            <w:r>
              <w:rPr>
                <w:b/>
              </w:rPr>
              <w:t>$</w:t>
            </w:r>
            <w:r w:rsidR="00894D16">
              <w:rPr>
                <w:b/>
              </w:rPr>
              <w:t>20,319.60</w:t>
            </w:r>
          </w:p>
        </w:tc>
      </w:tr>
      <w:tr w14:paraId="1DF67C5E" w14:textId="77777777" w:rsidTr="00AA7BE7">
        <w:tblPrEx>
          <w:tblW w:w="9352" w:type="dxa"/>
          <w:jc w:val="center"/>
          <w:tblInd w:w="0" w:type="dxa"/>
          <w:tblLayout w:type="fixed"/>
          <w:tblCellMar>
            <w:top w:w="62" w:type="dxa"/>
            <w:left w:w="115" w:type="dxa"/>
            <w:right w:w="38" w:type="dxa"/>
          </w:tblCellMar>
          <w:tblLook w:val="04A0"/>
        </w:tblPrEx>
        <w:trPr>
          <w:trHeight w:val="544"/>
          <w:jc w:val="center"/>
        </w:trPr>
        <w:tc>
          <w:tcPr>
            <w:tcW w:w="2317"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6F3D2DD5" w14:textId="75B7AF9D">
            <w:pPr>
              <w:keepNext/>
              <w:keepLines/>
              <w:spacing w:after="0" w:line="259" w:lineRule="auto"/>
              <w:ind w:left="0" w:firstLine="0"/>
              <w:jc w:val="center"/>
              <w:rPr>
                <w:b/>
              </w:rPr>
            </w:pPr>
            <w:r w:rsidRPr="005E32F6">
              <w:rPr>
                <w:b/>
              </w:rPr>
              <w:t>Total (</w:t>
            </w:r>
            <w:r>
              <w:rPr>
                <w:b/>
              </w:rPr>
              <w:t>15</w:t>
            </w:r>
            <w:r w:rsidRPr="005E32F6">
              <w:rPr>
                <w:b/>
              </w:rPr>
              <w:t xml:space="preserve"> </w:t>
            </w:r>
            <w:r>
              <w:rPr>
                <w:b/>
              </w:rPr>
              <w:t>Forms</w:t>
            </w:r>
            <w:r w:rsidRPr="005E32F6">
              <w:rPr>
                <w:b/>
              </w:rPr>
              <w:t>)</w:t>
            </w:r>
          </w:p>
        </w:tc>
        <w:tc>
          <w:tcPr>
            <w:tcW w:w="1031"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19143573" w14:textId="62CEA846">
            <w:pPr>
              <w:keepNext/>
              <w:keepLines/>
              <w:spacing w:after="0" w:line="259" w:lineRule="auto"/>
              <w:ind w:left="0" w:firstLine="0"/>
              <w:jc w:val="center"/>
              <w:rPr>
                <w:b/>
              </w:rPr>
            </w:pPr>
            <w:r w:rsidRPr="003853F0">
              <w:rPr>
                <w:b/>
              </w:rPr>
              <w:t>-</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37533400" w14:textId="2D1A6D5B">
            <w:pPr>
              <w:keepNext/>
              <w:keepLines/>
              <w:spacing w:after="0" w:line="259" w:lineRule="auto"/>
              <w:ind w:left="0" w:firstLine="0"/>
              <w:jc w:val="center"/>
              <w:rPr>
                <w:b/>
              </w:rPr>
            </w:pPr>
            <w:r w:rsidRPr="003853F0">
              <w:rPr>
                <w:b/>
              </w:rPr>
              <w:t>-</w:t>
            </w:r>
          </w:p>
        </w:tc>
        <w:tc>
          <w:tcPr>
            <w:tcW w:w="861"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0DFEB8D2" w14:textId="559BC9F7">
            <w:pPr>
              <w:keepNext/>
              <w:keepLines/>
              <w:spacing w:after="0" w:line="259" w:lineRule="auto"/>
              <w:ind w:left="0" w:right="77" w:firstLine="0"/>
              <w:jc w:val="center"/>
              <w:rPr>
                <w:b/>
              </w:rPr>
            </w:pPr>
            <w:r>
              <w:rPr>
                <w:b/>
              </w:rPr>
              <w:t>465</w:t>
            </w:r>
          </w:p>
        </w:tc>
        <w:tc>
          <w:tcPr>
            <w:tcW w:w="1457"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00051B72" w14:textId="79BD4415">
            <w:pPr>
              <w:keepNext/>
              <w:keepLines/>
              <w:spacing w:after="0" w:line="259" w:lineRule="auto"/>
              <w:ind w:left="0" w:right="77" w:firstLine="0"/>
              <w:jc w:val="center"/>
              <w:rPr>
                <w:b/>
              </w:rPr>
            </w:pPr>
            <w:r>
              <w:rPr>
                <w:b/>
              </w:rPr>
              <w:t>15</w:t>
            </w:r>
          </w:p>
        </w:tc>
        <w:tc>
          <w:tcPr>
            <w:tcW w:w="946"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5EFA9F02" w14:textId="2EC22160">
            <w:pPr>
              <w:keepNext/>
              <w:keepLines/>
              <w:spacing w:after="0" w:line="259" w:lineRule="auto"/>
              <w:ind w:left="0" w:right="77" w:firstLine="0"/>
              <w:jc w:val="center"/>
              <w:rPr>
                <w:b/>
              </w:rPr>
            </w:pPr>
            <w:r>
              <w:rPr>
                <w:b/>
              </w:rPr>
              <w:t>465</w:t>
            </w:r>
          </w:p>
        </w:tc>
        <w:tc>
          <w:tcPr>
            <w:tcW w:w="1794" w:type="dxa"/>
            <w:tcBorders>
              <w:top w:val="single" w:sz="4" w:space="0" w:color="000000"/>
              <w:left w:val="single" w:sz="4" w:space="0" w:color="000000"/>
              <w:bottom w:val="single" w:sz="4" w:space="0" w:color="000000"/>
              <w:right w:val="single" w:sz="4" w:space="0" w:color="000000"/>
            </w:tcBorders>
            <w:vAlign w:val="center"/>
          </w:tcPr>
          <w:p w:rsidR="007C43CF" w:rsidRPr="008E2636" w:rsidP="00DB1B11" w14:paraId="4FB2EB37" w14:textId="087E31FE">
            <w:pPr>
              <w:keepNext/>
              <w:keepLines/>
              <w:spacing w:after="0" w:line="259" w:lineRule="auto"/>
              <w:ind w:left="0" w:firstLine="0"/>
              <w:jc w:val="center"/>
              <w:rPr>
                <w:b/>
              </w:rPr>
            </w:pPr>
            <w:r>
              <w:rPr>
                <w:b/>
              </w:rPr>
              <w:t>$</w:t>
            </w:r>
            <w:r w:rsidR="00894D16">
              <w:rPr>
                <w:b/>
              </w:rPr>
              <w:t>60,958.80</w:t>
            </w:r>
          </w:p>
        </w:tc>
      </w:tr>
    </w:tbl>
    <w:p w:rsidR="00894165" w:rsidP="00DB1B11" w14:paraId="6183974B" w14:textId="1E180F9A">
      <w:pPr>
        <w:keepNext/>
        <w:keepLines/>
        <w:spacing w:after="0" w:line="250" w:lineRule="auto"/>
        <w:ind w:left="0" w:firstLine="0"/>
        <w:rPr>
          <w:iCs/>
          <w:sz w:val="20"/>
        </w:rPr>
      </w:pPr>
      <w:r w:rsidRPr="13B0BCA9">
        <w:rPr>
          <w:i/>
          <w:iCs/>
          <w:color w:val="000000" w:themeColor="text1"/>
          <w:sz w:val="20"/>
          <w:szCs w:val="20"/>
        </w:rPr>
        <w:t>*</w:t>
      </w:r>
      <w:r>
        <w:rPr>
          <w:i/>
          <w:iCs/>
          <w:color w:val="000000" w:themeColor="text1"/>
          <w:sz w:val="20"/>
          <w:szCs w:val="20"/>
        </w:rPr>
        <w:t xml:space="preserve"> </w:t>
      </w:r>
      <w:r>
        <w:rPr>
          <w:i/>
          <w:sz w:val="20"/>
        </w:rPr>
        <w:t>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w:t>
      </w:r>
    </w:p>
    <w:p w:rsidR="00894165" w:rsidRPr="003853F0" w:rsidP="00DB1B11" w14:paraId="5E772A72" w14:textId="77777777">
      <w:pPr>
        <w:keepNext/>
        <w:keepLines/>
        <w:spacing w:after="0" w:line="250" w:lineRule="auto"/>
        <w:ind w:left="0" w:firstLine="0"/>
        <w:rPr>
          <w:iCs/>
          <w:sz w:val="20"/>
        </w:rPr>
      </w:pPr>
    </w:p>
    <w:p w:rsidR="004325C5" w:rsidP="004325C5" w14:paraId="7D99B0C8" w14:textId="1AF55440">
      <w:r>
        <w:t>A</w:t>
      </w:r>
      <w:r w:rsidRPr="6B370752">
        <w:t xml:space="preserve">n additional low </w:t>
      </w:r>
      <w:r>
        <w:t xml:space="preserve">estimate </w:t>
      </w:r>
      <w:r w:rsidRPr="6B370752">
        <w:t xml:space="preserve">and high estimate is provided in Table </w:t>
      </w:r>
      <w:r w:rsidR="007E0835">
        <w:t>4</w:t>
      </w:r>
      <w:r w:rsidRPr="6B370752">
        <w:t xml:space="preserve"> below</w:t>
      </w:r>
      <w:r>
        <w:t xml:space="preserve"> to illustrate the possible variability for this burden estimate</w:t>
      </w:r>
      <w:r w:rsidRPr="6B370752">
        <w:t>. To calculate the low estimate, the base estimate</w:t>
      </w:r>
      <w:r w:rsidR="00752A9F">
        <w:t>s</w:t>
      </w:r>
      <w:r w:rsidRPr="6B370752">
        <w:t xml:space="preserve"> (Table </w:t>
      </w:r>
      <w:r w:rsidR="007E0835">
        <w:t>3</w:t>
      </w:r>
      <w:r>
        <w:t xml:space="preserve"> Total</w:t>
      </w:r>
      <w:r w:rsidR="00752A9F">
        <w:t>s</w:t>
      </w:r>
      <w:r w:rsidRPr="6B370752">
        <w:t>) ha</w:t>
      </w:r>
      <w:r w:rsidR="00752A9F">
        <w:t>ve</w:t>
      </w:r>
      <w:r w:rsidRPr="6B370752">
        <w:t xml:space="preserve"> been reduced by half for each labor category. For the high estimate, the required time and </w:t>
      </w:r>
      <w:r>
        <w:t>cost</w:t>
      </w:r>
      <w:r w:rsidRPr="6B370752">
        <w:t xml:space="preserve"> associated with each labor category</w:t>
      </w:r>
      <w:r>
        <w:t xml:space="preserve"> from the base estimate</w:t>
      </w:r>
      <w:r w:rsidRPr="6B370752">
        <w:t xml:space="preserve"> ha</w:t>
      </w:r>
      <w:r w:rsidR="00752A9F">
        <w:t>ve</w:t>
      </w:r>
      <w:r w:rsidRPr="6B370752">
        <w:t xml:space="preserve"> been doubled.</w:t>
      </w:r>
    </w:p>
    <w:p w:rsidR="00600432" w:rsidRPr="00D45546" w:rsidP="004325C5" w14:paraId="2AFE8B43" w14:textId="77777777"/>
    <w:p w:rsidR="00752A9F" w:rsidRPr="008E2636" w:rsidP="00752A9F" w14:paraId="39501179" w14:textId="168269E5">
      <w:pPr>
        <w:keepNext/>
        <w:jc w:val="center"/>
        <w:rPr>
          <w:b/>
          <w:bCs/>
          <w:color w:val="000000" w:themeColor="text1"/>
        </w:rPr>
      </w:pPr>
      <w:r w:rsidRPr="6B370752">
        <w:rPr>
          <w:b/>
          <w:bCs/>
          <w:color w:val="000000" w:themeColor="text1"/>
        </w:rPr>
        <w:t xml:space="preserve">TABLE </w:t>
      </w:r>
      <w:r>
        <w:rPr>
          <w:b/>
          <w:bCs/>
          <w:color w:val="000000" w:themeColor="text1"/>
        </w:rPr>
        <w:t>4</w:t>
      </w:r>
      <w:r w:rsidRPr="6B370752">
        <w:rPr>
          <w:b/>
          <w:bCs/>
          <w:color w:val="000000" w:themeColor="text1"/>
        </w:rPr>
        <w:t>: COST RANGE ESTIMATES</w:t>
      </w:r>
      <w:r>
        <w:rPr>
          <w:b/>
          <w:bCs/>
          <w:color w:val="000000" w:themeColor="text1"/>
        </w:rPr>
        <w:t xml:space="preserve"> FOR DEVELOPING AND </w:t>
      </w:r>
      <w:r w:rsidRPr="00E224DE">
        <w:rPr>
          <w:b/>
          <w:bCs/>
          <w:color w:val="000000" w:themeColor="text1"/>
        </w:rPr>
        <w:t>SUBMITTING</w:t>
      </w:r>
      <w:r>
        <w:rPr>
          <w:b/>
          <w:bCs/>
          <w:color w:val="000000" w:themeColor="text1"/>
        </w:rPr>
        <w:t xml:space="preserve"> </w:t>
      </w:r>
      <w:r w:rsidRPr="008E2636">
        <w:rPr>
          <w:b/>
          <w:bCs/>
          <w:color w:val="000000" w:themeColor="text1"/>
        </w:rPr>
        <w:t xml:space="preserve">REBATE REDUCTION </w:t>
      </w:r>
      <w:r>
        <w:rPr>
          <w:b/>
          <w:bCs/>
          <w:color w:val="000000" w:themeColor="text1"/>
        </w:rPr>
        <w:t xml:space="preserve">EXTENSION </w:t>
      </w:r>
      <w:r w:rsidRPr="008E2636">
        <w:rPr>
          <w:b/>
          <w:bCs/>
          <w:color w:val="000000" w:themeColor="text1"/>
        </w:rPr>
        <w:t>REQUEST FORM</w:t>
      </w:r>
      <w:r>
        <w:rPr>
          <w:b/>
          <w:bCs/>
          <w:color w:val="000000" w:themeColor="text1"/>
        </w:rPr>
        <w:t>(S)</w:t>
      </w:r>
    </w:p>
    <w:tbl>
      <w:tblPr>
        <w:tblW w:w="9360" w:type="dxa"/>
        <w:tblInd w:w="-8" w:type="dxa"/>
        <w:tblLayout w:type="fixed"/>
        <w:tblLook w:val="04A0"/>
      </w:tblPr>
      <w:tblGrid>
        <w:gridCol w:w="1710"/>
        <w:gridCol w:w="1440"/>
        <w:gridCol w:w="1440"/>
        <w:gridCol w:w="1440"/>
        <w:gridCol w:w="1620"/>
        <w:gridCol w:w="1710"/>
      </w:tblGrid>
      <w:tr w14:paraId="7E3BFE73" w14:textId="77777777" w:rsidTr="006008AE">
        <w:tblPrEx>
          <w:tblW w:w="9360" w:type="dxa"/>
          <w:tblInd w:w="-8" w:type="dxa"/>
          <w:tblLayout w:type="fixed"/>
          <w:tblLook w:val="04A0"/>
        </w:tblPrEx>
        <w:trPr>
          <w:trHeight w:val="390"/>
          <w:tblHeader/>
        </w:trPr>
        <w:tc>
          <w:tcPr>
            <w:tcW w:w="1710" w:type="dxa"/>
            <w:tcBorders>
              <w:top w:val="single" w:sz="6" w:space="0" w:color="auto"/>
              <w:left w:val="single" w:sz="6" w:space="0" w:color="auto"/>
              <w:bottom w:val="single" w:sz="6" w:space="0" w:color="auto"/>
              <w:right w:val="single" w:sz="6" w:space="0" w:color="auto"/>
            </w:tcBorders>
            <w:vAlign w:val="center"/>
          </w:tcPr>
          <w:p w:rsidR="00752A9F" w:rsidP="00F56FD6" w14:paraId="4FBB2606" w14:textId="77777777">
            <w:pPr>
              <w:keepNext/>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752A9F" w:rsidP="00F56FD6" w14:paraId="59AE9091" w14:textId="3709E983">
            <w:pPr>
              <w:keepNext/>
              <w:jc w:val="center"/>
            </w:pPr>
            <w:r w:rsidRPr="6B370752">
              <w:rPr>
                <w:b/>
                <w:bCs/>
              </w:rPr>
              <w:t xml:space="preserve">Hours per </w:t>
            </w:r>
            <w:r w:rsidR="005410F9">
              <w:rPr>
                <w:b/>
                <w:bCs/>
              </w:rPr>
              <w:t>Form</w:t>
            </w:r>
            <w:r w:rsidRPr="6B370752">
              <w:rPr>
                <w:b/>
                <w:bCs/>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752A9F" w:rsidP="00F56FD6" w14:paraId="18ECE318" w14:textId="77777777">
            <w:pPr>
              <w:keepNext/>
              <w:jc w:val="center"/>
            </w:pPr>
            <w:r w:rsidRPr="6B370752">
              <w:rPr>
                <w:b/>
                <w:bCs/>
              </w:rPr>
              <w:t xml:space="preserve">Cost per </w:t>
            </w:r>
            <w:r>
              <w:rPr>
                <w:b/>
                <w:bCs/>
              </w:rPr>
              <w:t>1 Form</w:t>
            </w:r>
          </w:p>
        </w:tc>
        <w:tc>
          <w:tcPr>
            <w:tcW w:w="1440" w:type="dxa"/>
            <w:tcBorders>
              <w:top w:val="single" w:sz="6" w:space="0" w:color="auto"/>
              <w:left w:val="single" w:sz="6" w:space="0" w:color="auto"/>
              <w:bottom w:val="single" w:sz="6" w:space="0" w:color="auto"/>
              <w:right w:val="single" w:sz="18" w:space="0" w:color="auto"/>
            </w:tcBorders>
            <w:vAlign w:val="center"/>
          </w:tcPr>
          <w:p w:rsidR="00752A9F" w:rsidP="00F56FD6" w14:paraId="52D0D015" w14:textId="77777777">
            <w:pPr>
              <w:keepNext/>
              <w:jc w:val="center"/>
            </w:pPr>
            <w:r w:rsidRPr="6B370752">
              <w:rPr>
                <w:b/>
                <w:bCs/>
              </w:rPr>
              <w:t xml:space="preserve">Cost per </w:t>
            </w:r>
            <w:r>
              <w:rPr>
                <w:b/>
                <w:bCs/>
              </w:rPr>
              <w:t>5 Forms</w:t>
            </w:r>
          </w:p>
        </w:tc>
        <w:tc>
          <w:tcPr>
            <w:tcW w:w="1620" w:type="dxa"/>
            <w:tcBorders>
              <w:top w:val="single" w:sz="18" w:space="0" w:color="auto"/>
              <w:left w:val="single" w:sz="18" w:space="0" w:color="auto"/>
              <w:bottom w:val="single" w:sz="18" w:space="0" w:color="auto"/>
              <w:right w:val="single" w:sz="18" w:space="0" w:color="auto"/>
            </w:tcBorders>
            <w:vAlign w:val="center"/>
          </w:tcPr>
          <w:p w:rsidR="00752A9F" w:rsidRPr="6B370752" w:rsidP="00F56FD6" w14:paraId="2FCB9098" w14:textId="77777777">
            <w:pPr>
              <w:keepNext/>
              <w:jc w:val="center"/>
              <w:rPr>
                <w:b/>
                <w:bCs/>
              </w:rPr>
            </w:pPr>
            <w:r w:rsidRPr="6B370752">
              <w:rPr>
                <w:b/>
                <w:bCs/>
              </w:rPr>
              <w:t xml:space="preserve">Cost per </w:t>
            </w:r>
            <w:r>
              <w:rPr>
                <w:b/>
                <w:bCs/>
              </w:rPr>
              <w:t>10 Forms</w:t>
            </w:r>
          </w:p>
        </w:tc>
        <w:tc>
          <w:tcPr>
            <w:tcW w:w="1710" w:type="dxa"/>
            <w:tcBorders>
              <w:top w:val="single" w:sz="6" w:space="0" w:color="auto"/>
              <w:left w:val="single" w:sz="18" w:space="0" w:color="auto"/>
              <w:bottom w:val="single" w:sz="6" w:space="0" w:color="auto"/>
              <w:right w:val="single" w:sz="6" w:space="0" w:color="auto"/>
            </w:tcBorders>
            <w:vAlign w:val="center"/>
          </w:tcPr>
          <w:p w:rsidR="00752A9F" w:rsidRPr="6B370752" w:rsidP="00F56FD6" w14:paraId="2F76DE54" w14:textId="77777777">
            <w:pPr>
              <w:keepNext/>
              <w:jc w:val="center"/>
              <w:rPr>
                <w:b/>
                <w:bCs/>
              </w:rPr>
            </w:pPr>
            <w:r w:rsidRPr="6B370752">
              <w:rPr>
                <w:b/>
                <w:bCs/>
              </w:rPr>
              <w:t xml:space="preserve">Cost per </w:t>
            </w:r>
            <w:r>
              <w:rPr>
                <w:b/>
                <w:bCs/>
              </w:rPr>
              <w:t>15 Forms</w:t>
            </w:r>
          </w:p>
        </w:tc>
      </w:tr>
      <w:tr w14:paraId="4021E062" w14:textId="77777777" w:rsidTr="006008AE">
        <w:tblPrEx>
          <w:tblW w:w="9360" w:type="dxa"/>
          <w:tblInd w:w="-8" w:type="dxa"/>
          <w:tblLayout w:type="fixed"/>
          <w:tblLook w:val="04A0"/>
        </w:tblPrEx>
        <w:trPr>
          <w:trHeight w:val="529"/>
          <w:tblHeader/>
        </w:trPr>
        <w:tc>
          <w:tcPr>
            <w:tcW w:w="1710" w:type="dxa"/>
            <w:tcBorders>
              <w:top w:val="single" w:sz="6" w:space="0" w:color="auto"/>
              <w:left w:val="single" w:sz="6" w:space="0" w:color="auto"/>
              <w:bottom w:val="single" w:sz="6" w:space="0" w:color="auto"/>
              <w:right w:val="single" w:sz="6" w:space="0" w:color="auto"/>
            </w:tcBorders>
            <w:vAlign w:val="center"/>
          </w:tcPr>
          <w:p w:rsidR="004859A7" w:rsidP="004859A7" w14:paraId="5E9D7BFC" w14:textId="77777777">
            <w:pPr>
              <w:jc w:val="center"/>
            </w:pPr>
            <w:r w:rsidRPr="6B370752">
              <w:t>Low</w:t>
            </w:r>
            <w:r>
              <w:t xml:space="preserve"> Estimate</w:t>
            </w:r>
          </w:p>
        </w:tc>
        <w:tc>
          <w:tcPr>
            <w:tcW w:w="1440" w:type="dxa"/>
            <w:tcBorders>
              <w:top w:val="single" w:sz="6" w:space="0" w:color="auto"/>
              <w:left w:val="single" w:sz="6" w:space="0" w:color="auto"/>
              <w:bottom w:val="single" w:sz="6" w:space="0" w:color="auto"/>
              <w:right w:val="single" w:sz="6" w:space="0" w:color="auto"/>
            </w:tcBorders>
            <w:vAlign w:val="center"/>
          </w:tcPr>
          <w:p w:rsidR="004859A7" w:rsidP="004859A7" w14:paraId="5AAA5646" w14:textId="779E5722">
            <w:pPr>
              <w:jc w:val="center"/>
            </w:pPr>
            <w:r>
              <w:t>15.5</w:t>
            </w:r>
          </w:p>
        </w:tc>
        <w:tc>
          <w:tcPr>
            <w:tcW w:w="1440" w:type="dxa"/>
            <w:tcBorders>
              <w:top w:val="single" w:sz="6" w:space="0" w:color="auto"/>
              <w:left w:val="single" w:sz="6" w:space="0" w:color="auto"/>
              <w:bottom w:val="single" w:sz="6" w:space="0" w:color="auto"/>
              <w:right w:val="single" w:sz="6" w:space="0" w:color="auto"/>
            </w:tcBorders>
            <w:vAlign w:val="center"/>
          </w:tcPr>
          <w:p w:rsidR="004859A7" w:rsidP="004859A7" w14:paraId="53BCB291" w14:textId="54C0867F">
            <w:pPr>
              <w:jc w:val="center"/>
            </w:pPr>
            <w:r>
              <w:t>$</w:t>
            </w:r>
            <w:r w:rsidR="00894D16">
              <w:t>2,031.96</w:t>
            </w:r>
          </w:p>
        </w:tc>
        <w:tc>
          <w:tcPr>
            <w:tcW w:w="1440" w:type="dxa"/>
            <w:tcBorders>
              <w:top w:val="single" w:sz="6" w:space="0" w:color="auto"/>
              <w:left w:val="single" w:sz="6" w:space="0" w:color="auto"/>
              <w:bottom w:val="single" w:sz="6" w:space="0" w:color="auto"/>
              <w:right w:val="single" w:sz="18" w:space="0" w:color="auto"/>
            </w:tcBorders>
            <w:vAlign w:val="center"/>
          </w:tcPr>
          <w:p w:rsidR="004859A7" w:rsidP="004859A7" w14:paraId="091B372D" w14:textId="39332682">
            <w:pPr>
              <w:jc w:val="center"/>
            </w:pPr>
            <w:r>
              <w:t>$</w:t>
            </w:r>
            <w:r w:rsidR="00894D16">
              <w:t>10,159.80</w:t>
            </w:r>
          </w:p>
        </w:tc>
        <w:tc>
          <w:tcPr>
            <w:tcW w:w="1620" w:type="dxa"/>
            <w:tcBorders>
              <w:top w:val="single" w:sz="18" w:space="0" w:color="auto"/>
              <w:left w:val="single" w:sz="18" w:space="0" w:color="auto"/>
              <w:bottom w:val="single" w:sz="18" w:space="0" w:color="auto"/>
              <w:right w:val="single" w:sz="18" w:space="0" w:color="auto"/>
            </w:tcBorders>
            <w:vAlign w:val="center"/>
          </w:tcPr>
          <w:p w:rsidR="004859A7" w:rsidP="004859A7" w14:paraId="74206C4C" w14:textId="2FB63DC7">
            <w:pPr>
              <w:jc w:val="center"/>
            </w:pPr>
            <w:r>
              <w:t>$</w:t>
            </w:r>
            <w:r w:rsidR="00894D16">
              <w:t>20,319.60</w:t>
            </w:r>
          </w:p>
        </w:tc>
        <w:tc>
          <w:tcPr>
            <w:tcW w:w="1710" w:type="dxa"/>
            <w:tcBorders>
              <w:top w:val="single" w:sz="6" w:space="0" w:color="auto"/>
              <w:left w:val="single" w:sz="18" w:space="0" w:color="auto"/>
              <w:bottom w:val="single" w:sz="6" w:space="0" w:color="auto"/>
              <w:right w:val="single" w:sz="6" w:space="0" w:color="auto"/>
            </w:tcBorders>
            <w:vAlign w:val="center"/>
          </w:tcPr>
          <w:p w:rsidR="004859A7" w:rsidP="004859A7" w14:paraId="1AE78D3B" w14:textId="24DA1BFC">
            <w:pPr>
              <w:jc w:val="center"/>
            </w:pPr>
            <w:r>
              <w:t>$</w:t>
            </w:r>
            <w:r w:rsidR="00894D16">
              <w:t>30,479.40</w:t>
            </w:r>
          </w:p>
        </w:tc>
      </w:tr>
      <w:tr w14:paraId="3F8FACAB" w14:textId="77777777" w:rsidTr="006008AE">
        <w:tblPrEx>
          <w:tblW w:w="9360" w:type="dxa"/>
          <w:tblInd w:w="-8" w:type="dxa"/>
          <w:tblLayout w:type="fixed"/>
          <w:tblLook w:val="04A0"/>
        </w:tblPrEx>
        <w:trPr>
          <w:trHeight w:val="565"/>
          <w:tblHeader/>
        </w:trPr>
        <w:tc>
          <w:tcPr>
            <w:tcW w:w="1710" w:type="dxa"/>
            <w:tcBorders>
              <w:top w:val="single" w:sz="6" w:space="0" w:color="auto"/>
              <w:left w:val="single" w:sz="6" w:space="0" w:color="auto"/>
              <w:bottom w:val="single" w:sz="6" w:space="0" w:color="auto"/>
              <w:right w:val="single" w:sz="6" w:space="0" w:color="auto"/>
            </w:tcBorders>
            <w:vAlign w:val="center"/>
          </w:tcPr>
          <w:p w:rsidR="004859A7" w:rsidRPr="6B370752" w:rsidP="004859A7" w14:paraId="6EA9E22C" w14:textId="39B4C99A">
            <w:pPr>
              <w:jc w:val="center"/>
            </w:pPr>
            <w:r>
              <w:t xml:space="preserve">Base Estimates (from Table </w:t>
            </w:r>
            <w:r w:rsidR="000F388A">
              <w:t>3</w:t>
            </w:r>
            <w:r>
              <w:t>)</w:t>
            </w:r>
          </w:p>
        </w:tc>
        <w:tc>
          <w:tcPr>
            <w:tcW w:w="1440" w:type="dxa"/>
            <w:tcBorders>
              <w:top w:val="single" w:sz="6" w:space="0" w:color="auto"/>
              <w:left w:val="single" w:sz="6" w:space="0" w:color="auto"/>
              <w:bottom w:val="single" w:sz="6" w:space="0" w:color="auto"/>
              <w:right w:val="single" w:sz="6" w:space="0" w:color="auto"/>
            </w:tcBorders>
            <w:vAlign w:val="center"/>
          </w:tcPr>
          <w:p w:rsidR="004859A7" w:rsidRPr="6B370752" w:rsidP="004859A7" w14:paraId="06569245" w14:textId="7DB82F71">
            <w:pPr>
              <w:jc w:val="center"/>
            </w:pPr>
            <w:r>
              <w:t>31</w:t>
            </w:r>
          </w:p>
        </w:tc>
        <w:tc>
          <w:tcPr>
            <w:tcW w:w="1440" w:type="dxa"/>
            <w:tcBorders>
              <w:top w:val="single" w:sz="6" w:space="0" w:color="auto"/>
              <w:left w:val="single" w:sz="6" w:space="0" w:color="auto"/>
              <w:bottom w:val="single" w:sz="6" w:space="0" w:color="auto"/>
              <w:right w:val="single" w:sz="6" w:space="0" w:color="auto"/>
            </w:tcBorders>
            <w:vAlign w:val="center"/>
          </w:tcPr>
          <w:p w:rsidR="004859A7" w:rsidRPr="6B370752" w:rsidP="004859A7" w14:paraId="42362447" w14:textId="49BEE5B4">
            <w:pPr>
              <w:jc w:val="center"/>
            </w:pPr>
            <w:r>
              <w:t>$</w:t>
            </w:r>
            <w:r w:rsidR="00F512CE">
              <w:t>4,063.92</w:t>
            </w:r>
          </w:p>
        </w:tc>
        <w:tc>
          <w:tcPr>
            <w:tcW w:w="1440" w:type="dxa"/>
            <w:tcBorders>
              <w:top w:val="single" w:sz="6" w:space="0" w:color="auto"/>
              <w:left w:val="single" w:sz="6" w:space="0" w:color="auto"/>
              <w:bottom w:val="single" w:sz="6" w:space="0" w:color="auto"/>
              <w:right w:val="single" w:sz="18" w:space="0" w:color="auto"/>
            </w:tcBorders>
            <w:vAlign w:val="center"/>
          </w:tcPr>
          <w:p w:rsidR="004859A7" w:rsidRPr="6B370752" w:rsidP="004859A7" w14:paraId="321A8F03" w14:textId="26079381">
            <w:pPr>
              <w:jc w:val="center"/>
            </w:pPr>
            <w:r>
              <w:t>$</w:t>
            </w:r>
            <w:r w:rsidR="00894D16">
              <w:t>20,319.60</w:t>
            </w:r>
          </w:p>
        </w:tc>
        <w:tc>
          <w:tcPr>
            <w:tcW w:w="1620" w:type="dxa"/>
            <w:tcBorders>
              <w:top w:val="single" w:sz="18" w:space="0" w:color="auto"/>
              <w:left w:val="single" w:sz="18" w:space="0" w:color="auto"/>
              <w:bottom w:val="single" w:sz="18" w:space="0" w:color="auto"/>
              <w:right w:val="single" w:sz="18" w:space="0" w:color="auto"/>
            </w:tcBorders>
            <w:vAlign w:val="center"/>
          </w:tcPr>
          <w:p w:rsidR="004859A7" w:rsidRPr="6B370752" w:rsidP="004859A7" w14:paraId="3FED2A0D" w14:textId="1B72747F">
            <w:pPr>
              <w:jc w:val="center"/>
            </w:pPr>
            <w:r>
              <w:t>$</w:t>
            </w:r>
            <w:r w:rsidR="00894D16">
              <w:t>40,639.20</w:t>
            </w:r>
          </w:p>
        </w:tc>
        <w:tc>
          <w:tcPr>
            <w:tcW w:w="1710" w:type="dxa"/>
            <w:tcBorders>
              <w:top w:val="single" w:sz="6" w:space="0" w:color="auto"/>
              <w:left w:val="single" w:sz="18" w:space="0" w:color="auto"/>
              <w:bottom w:val="single" w:sz="6" w:space="0" w:color="auto"/>
              <w:right w:val="single" w:sz="6" w:space="0" w:color="auto"/>
            </w:tcBorders>
            <w:vAlign w:val="center"/>
          </w:tcPr>
          <w:p w:rsidR="004859A7" w:rsidRPr="6B370752" w:rsidP="004859A7" w14:paraId="087304E6" w14:textId="59E4F6AD">
            <w:pPr>
              <w:jc w:val="center"/>
            </w:pPr>
            <w:r>
              <w:t>$</w:t>
            </w:r>
            <w:r w:rsidR="00894D16">
              <w:t>60,958.80</w:t>
            </w:r>
          </w:p>
        </w:tc>
      </w:tr>
      <w:tr w14:paraId="1289417A" w14:textId="77777777" w:rsidTr="006008AE">
        <w:tblPrEx>
          <w:tblW w:w="9360" w:type="dxa"/>
          <w:tblInd w:w="-8" w:type="dxa"/>
          <w:tblLayout w:type="fixed"/>
          <w:tblLook w:val="04A0"/>
        </w:tblPrEx>
        <w:trPr>
          <w:trHeight w:val="529"/>
          <w:tblHeader/>
        </w:trPr>
        <w:tc>
          <w:tcPr>
            <w:tcW w:w="1710" w:type="dxa"/>
            <w:tcBorders>
              <w:top w:val="single" w:sz="6" w:space="0" w:color="auto"/>
              <w:left w:val="single" w:sz="6" w:space="0" w:color="auto"/>
              <w:bottom w:val="single" w:sz="6" w:space="0" w:color="auto"/>
              <w:right w:val="single" w:sz="6" w:space="0" w:color="auto"/>
            </w:tcBorders>
            <w:vAlign w:val="center"/>
          </w:tcPr>
          <w:p w:rsidR="004859A7" w:rsidP="004859A7" w14:paraId="05DFF00B" w14:textId="77777777">
            <w:pPr>
              <w:jc w:val="center"/>
            </w:pPr>
            <w:r w:rsidRPr="6B370752">
              <w:t>High</w:t>
            </w:r>
            <w:r>
              <w:t xml:space="preserve"> Estimate</w:t>
            </w:r>
          </w:p>
        </w:tc>
        <w:tc>
          <w:tcPr>
            <w:tcW w:w="1440" w:type="dxa"/>
            <w:tcBorders>
              <w:top w:val="single" w:sz="6" w:space="0" w:color="auto"/>
              <w:left w:val="single" w:sz="6" w:space="0" w:color="auto"/>
              <w:bottom w:val="single" w:sz="6" w:space="0" w:color="auto"/>
              <w:right w:val="single" w:sz="6" w:space="0" w:color="auto"/>
            </w:tcBorders>
            <w:vAlign w:val="center"/>
          </w:tcPr>
          <w:p w:rsidR="004859A7" w:rsidP="004859A7" w14:paraId="7B089A41" w14:textId="5245A583">
            <w:pPr>
              <w:jc w:val="center"/>
            </w:pPr>
            <w:r>
              <w:t>62</w:t>
            </w:r>
          </w:p>
        </w:tc>
        <w:tc>
          <w:tcPr>
            <w:tcW w:w="1440" w:type="dxa"/>
            <w:tcBorders>
              <w:top w:val="single" w:sz="6" w:space="0" w:color="auto"/>
              <w:left w:val="single" w:sz="6" w:space="0" w:color="auto"/>
              <w:bottom w:val="single" w:sz="6" w:space="0" w:color="auto"/>
              <w:right w:val="single" w:sz="6" w:space="0" w:color="auto"/>
            </w:tcBorders>
            <w:vAlign w:val="center"/>
          </w:tcPr>
          <w:p w:rsidR="004859A7" w:rsidP="004859A7" w14:paraId="14129BAA" w14:textId="1F761091">
            <w:pPr>
              <w:jc w:val="center"/>
            </w:pPr>
            <w:r>
              <w:t>$</w:t>
            </w:r>
            <w:r w:rsidR="00F512CE">
              <w:t>8,127.84</w:t>
            </w:r>
          </w:p>
        </w:tc>
        <w:tc>
          <w:tcPr>
            <w:tcW w:w="1440" w:type="dxa"/>
            <w:tcBorders>
              <w:top w:val="single" w:sz="6" w:space="0" w:color="auto"/>
              <w:left w:val="single" w:sz="6" w:space="0" w:color="auto"/>
              <w:bottom w:val="single" w:sz="6" w:space="0" w:color="auto"/>
              <w:right w:val="single" w:sz="18" w:space="0" w:color="auto"/>
            </w:tcBorders>
            <w:vAlign w:val="center"/>
          </w:tcPr>
          <w:p w:rsidR="004859A7" w:rsidP="004859A7" w14:paraId="28EA798A" w14:textId="272306A2">
            <w:pPr>
              <w:jc w:val="center"/>
            </w:pPr>
            <w:r>
              <w:t>$</w:t>
            </w:r>
            <w:r w:rsidR="00F512CE">
              <w:t>40,639.20</w:t>
            </w:r>
          </w:p>
        </w:tc>
        <w:tc>
          <w:tcPr>
            <w:tcW w:w="1620" w:type="dxa"/>
            <w:tcBorders>
              <w:top w:val="single" w:sz="18" w:space="0" w:color="auto"/>
              <w:left w:val="single" w:sz="18" w:space="0" w:color="auto"/>
              <w:bottom w:val="single" w:sz="18" w:space="0" w:color="auto"/>
              <w:right w:val="single" w:sz="18" w:space="0" w:color="auto"/>
            </w:tcBorders>
            <w:vAlign w:val="center"/>
          </w:tcPr>
          <w:p w:rsidR="004859A7" w:rsidP="004859A7" w14:paraId="46456020" w14:textId="6D904C0D">
            <w:pPr>
              <w:jc w:val="center"/>
            </w:pPr>
            <w:r>
              <w:t>$</w:t>
            </w:r>
            <w:r w:rsidR="00F512CE">
              <w:t>81,278.40</w:t>
            </w:r>
          </w:p>
        </w:tc>
        <w:tc>
          <w:tcPr>
            <w:tcW w:w="1710" w:type="dxa"/>
            <w:tcBorders>
              <w:top w:val="single" w:sz="6" w:space="0" w:color="auto"/>
              <w:left w:val="single" w:sz="18" w:space="0" w:color="auto"/>
              <w:bottom w:val="single" w:sz="6" w:space="0" w:color="auto"/>
              <w:right w:val="single" w:sz="6" w:space="0" w:color="auto"/>
            </w:tcBorders>
            <w:vAlign w:val="center"/>
          </w:tcPr>
          <w:p w:rsidR="004859A7" w:rsidP="004859A7" w14:paraId="6E857FEB" w14:textId="19E06361">
            <w:pPr>
              <w:jc w:val="center"/>
            </w:pPr>
            <w:r>
              <w:t>$</w:t>
            </w:r>
            <w:r w:rsidR="00F512CE">
              <w:t>121,917.60</w:t>
            </w:r>
          </w:p>
        </w:tc>
      </w:tr>
    </w:tbl>
    <w:p w:rsidR="009E6B30" w:rsidP="009E6B30" w14:paraId="1E294105" w14:textId="77777777">
      <w:pPr>
        <w:ind w:left="-5" w:right="2"/>
      </w:pPr>
    </w:p>
    <w:p w:rsidR="002A1C2A" w:rsidP="002A1C2A" w14:paraId="1F343FA8" w14:textId="71A1ED52">
      <w:pPr>
        <w:ind w:left="-5" w:right="2"/>
      </w:pPr>
      <w:r>
        <w:t>Since CMS anticipates collecting a total of 10 Rebate Reduction Request Forms and 10 Rebate Reduction Extension Request Forms per year, the t</w:t>
      </w:r>
      <w:r>
        <w:t>otal burden estimate</w:t>
      </w:r>
      <w:r w:rsidR="000454AC">
        <w:t xml:space="preserve"> represents this</w:t>
      </w:r>
      <w:r>
        <w:t xml:space="preserve"> in Table </w:t>
      </w:r>
      <w:r>
        <w:t xml:space="preserve">5 </w:t>
      </w:r>
      <w:r w:rsidR="000454AC">
        <w:t>below</w:t>
      </w:r>
      <w:r w:rsidR="002F32A0">
        <w:t>.</w:t>
      </w:r>
    </w:p>
    <w:p w:rsidR="002A1C2A" w:rsidP="002A1C2A" w14:paraId="327ADC4F" w14:textId="77777777">
      <w:pPr>
        <w:ind w:left="-5" w:right="2"/>
      </w:pPr>
    </w:p>
    <w:p w:rsidR="002A1C2A" w:rsidRPr="008E2636" w:rsidP="002A1C2A" w14:paraId="2E629918" w14:textId="156D1B9E">
      <w:pPr>
        <w:keepNext/>
        <w:jc w:val="center"/>
        <w:rPr>
          <w:b/>
          <w:bCs/>
          <w:color w:val="000000" w:themeColor="text1"/>
        </w:rPr>
      </w:pPr>
      <w:r w:rsidRPr="6B370752">
        <w:rPr>
          <w:b/>
          <w:bCs/>
          <w:color w:val="000000" w:themeColor="text1"/>
        </w:rPr>
        <w:t xml:space="preserve">TABLE </w:t>
      </w:r>
      <w:r w:rsidR="007E0835">
        <w:rPr>
          <w:b/>
          <w:bCs/>
          <w:color w:val="000000" w:themeColor="text1"/>
        </w:rPr>
        <w:t>5</w:t>
      </w:r>
      <w:r w:rsidRPr="6B370752">
        <w:rPr>
          <w:b/>
          <w:bCs/>
          <w:color w:val="000000" w:themeColor="text1"/>
        </w:rPr>
        <w:t xml:space="preserve">: </w:t>
      </w:r>
      <w:r w:rsidR="008C1B1F">
        <w:rPr>
          <w:b/>
          <w:bCs/>
          <w:color w:val="000000" w:themeColor="text1"/>
        </w:rPr>
        <w:t xml:space="preserve">SUMMARY OF BURDEN FOR </w:t>
      </w:r>
      <w:r w:rsidR="000454AC">
        <w:rPr>
          <w:b/>
          <w:bCs/>
          <w:color w:val="000000" w:themeColor="text1"/>
        </w:rPr>
        <w:t>SUBMISSIONS OF REBATE REDUCTION REQUEST FORMS AND REBATE REDUCTION EXTENSIONS REQUEST FORMS</w:t>
      </w:r>
    </w:p>
    <w:tbl>
      <w:tblPr>
        <w:tblW w:w="9262" w:type="dxa"/>
        <w:tblLayout w:type="fixed"/>
        <w:tblLook w:val="04A0"/>
      </w:tblPr>
      <w:tblGrid>
        <w:gridCol w:w="3142"/>
        <w:gridCol w:w="2700"/>
        <w:gridCol w:w="3420"/>
      </w:tblGrid>
      <w:tr w14:paraId="27083311" w14:textId="77777777" w:rsidTr="003853F0">
        <w:tblPrEx>
          <w:tblW w:w="9262" w:type="dxa"/>
          <w:tblLayout w:type="fixed"/>
          <w:tblLook w:val="04A0"/>
        </w:tblPrEx>
        <w:trPr>
          <w:trHeight w:val="390"/>
          <w:tblHeader/>
        </w:trPr>
        <w:tc>
          <w:tcPr>
            <w:tcW w:w="3142" w:type="dxa"/>
            <w:tcBorders>
              <w:top w:val="single" w:sz="6" w:space="0" w:color="auto"/>
              <w:left w:val="single" w:sz="6" w:space="0" w:color="auto"/>
              <w:bottom w:val="single" w:sz="6" w:space="0" w:color="auto"/>
              <w:right w:val="single" w:sz="6" w:space="0" w:color="auto"/>
            </w:tcBorders>
            <w:vAlign w:val="center"/>
          </w:tcPr>
          <w:p w:rsidR="0072315A" w:rsidP="00F56FD6" w14:paraId="1797F1C2" w14:textId="77777777">
            <w:pPr>
              <w:keepNext/>
              <w:jc w:val="center"/>
            </w:pPr>
          </w:p>
        </w:tc>
        <w:tc>
          <w:tcPr>
            <w:tcW w:w="2700" w:type="dxa"/>
            <w:tcBorders>
              <w:top w:val="single" w:sz="6" w:space="0" w:color="auto"/>
              <w:left w:val="single" w:sz="6" w:space="0" w:color="auto"/>
              <w:bottom w:val="single" w:sz="6" w:space="0" w:color="auto"/>
              <w:right w:val="single" w:sz="6" w:space="0" w:color="auto"/>
            </w:tcBorders>
            <w:vAlign w:val="center"/>
          </w:tcPr>
          <w:p w:rsidR="0072315A" w:rsidP="00F56FD6" w14:paraId="2E6DB0F8" w14:textId="7F207771">
            <w:pPr>
              <w:keepNext/>
              <w:jc w:val="center"/>
            </w:pPr>
            <w:r>
              <w:rPr>
                <w:b/>
                <w:bCs/>
              </w:rPr>
              <w:t>Total Burden Hours</w:t>
            </w:r>
          </w:p>
        </w:tc>
        <w:tc>
          <w:tcPr>
            <w:tcW w:w="3420" w:type="dxa"/>
            <w:tcBorders>
              <w:top w:val="single" w:sz="6" w:space="0" w:color="auto"/>
              <w:left w:val="single" w:sz="6" w:space="0" w:color="auto"/>
              <w:bottom w:val="single" w:sz="6" w:space="0" w:color="auto"/>
              <w:right w:val="single" w:sz="6" w:space="0" w:color="auto"/>
            </w:tcBorders>
            <w:vAlign w:val="center"/>
          </w:tcPr>
          <w:p w:rsidR="0072315A" w:rsidP="00F56FD6" w14:paraId="412AEE63" w14:textId="77777777">
            <w:pPr>
              <w:keepNext/>
              <w:jc w:val="center"/>
            </w:pPr>
            <w:r w:rsidRPr="6B370752">
              <w:rPr>
                <w:b/>
                <w:bCs/>
              </w:rPr>
              <w:t>Total Cost</w:t>
            </w:r>
          </w:p>
        </w:tc>
      </w:tr>
      <w:tr w14:paraId="0C200B1D" w14:textId="77777777" w:rsidTr="003853F0">
        <w:tblPrEx>
          <w:tblW w:w="9262" w:type="dxa"/>
          <w:tblLayout w:type="fixed"/>
          <w:tblLook w:val="04A0"/>
        </w:tblPrEx>
        <w:trPr>
          <w:trHeight w:val="529"/>
          <w:tblHeader/>
        </w:trPr>
        <w:tc>
          <w:tcPr>
            <w:tcW w:w="3142" w:type="dxa"/>
            <w:tcBorders>
              <w:top w:val="single" w:sz="6" w:space="0" w:color="auto"/>
              <w:left w:val="single" w:sz="6" w:space="0" w:color="auto"/>
              <w:bottom w:val="single" w:sz="6" w:space="0" w:color="auto"/>
              <w:right w:val="single" w:sz="6" w:space="0" w:color="auto"/>
            </w:tcBorders>
            <w:vAlign w:val="center"/>
          </w:tcPr>
          <w:p w:rsidR="00E70298" w:rsidP="00E70298" w14:paraId="23DA346A" w14:textId="77777777">
            <w:pPr>
              <w:jc w:val="center"/>
            </w:pPr>
            <w:r>
              <w:t>Base Estimate (n = 10)</w:t>
            </w:r>
          </w:p>
          <w:p w:rsidR="00E70298" w:rsidP="00E70298" w14:paraId="009BEA9F" w14:textId="5D410E9B">
            <w:pPr>
              <w:jc w:val="center"/>
            </w:pPr>
            <w:r>
              <w:t>(from Table 1)</w:t>
            </w:r>
          </w:p>
        </w:tc>
        <w:tc>
          <w:tcPr>
            <w:tcW w:w="2700" w:type="dxa"/>
            <w:tcBorders>
              <w:top w:val="single" w:sz="6" w:space="0" w:color="auto"/>
              <w:left w:val="single" w:sz="6" w:space="0" w:color="auto"/>
              <w:bottom w:val="single" w:sz="6" w:space="0" w:color="auto"/>
              <w:right w:val="single" w:sz="6" w:space="0" w:color="auto"/>
            </w:tcBorders>
            <w:vAlign w:val="center"/>
          </w:tcPr>
          <w:p w:rsidR="00E70298" w:rsidRPr="00F31BB4" w:rsidP="00E70298" w14:paraId="0F6C5C85" w14:textId="64CF7907">
            <w:pPr>
              <w:jc w:val="center"/>
              <w:rPr>
                <w:bCs/>
              </w:rPr>
            </w:pPr>
            <w:r w:rsidRPr="006008AE">
              <w:rPr>
                <w:bCs/>
              </w:rPr>
              <w:t>310</w:t>
            </w:r>
          </w:p>
        </w:tc>
        <w:tc>
          <w:tcPr>
            <w:tcW w:w="3420" w:type="dxa"/>
            <w:tcBorders>
              <w:top w:val="single" w:sz="6" w:space="0" w:color="auto"/>
              <w:left w:val="single" w:sz="6" w:space="0" w:color="auto"/>
              <w:bottom w:val="single" w:sz="6" w:space="0" w:color="auto"/>
              <w:right w:val="single" w:sz="6" w:space="0" w:color="auto"/>
            </w:tcBorders>
            <w:vAlign w:val="center"/>
          </w:tcPr>
          <w:p w:rsidR="00E70298" w:rsidRPr="00F31BB4" w:rsidP="00E70298" w14:paraId="4B2601CE" w14:textId="4A06ED9A">
            <w:pPr>
              <w:jc w:val="center"/>
              <w:rPr>
                <w:bCs/>
              </w:rPr>
            </w:pPr>
            <w:r w:rsidRPr="006008AE">
              <w:rPr>
                <w:bCs/>
              </w:rPr>
              <w:t>$</w:t>
            </w:r>
            <w:r w:rsidR="00F512CE">
              <w:rPr>
                <w:bCs/>
              </w:rPr>
              <w:t>40,639.20</w:t>
            </w:r>
          </w:p>
        </w:tc>
      </w:tr>
      <w:tr w14:paraId="6F3E385B" w14:textId="77777777" w:rsidTr="003853F0">
        <w:tblPrEx>
          <w:tblW w:w="9262" w:type="dxa"/>
          <w:tblLayout w:type="fixed"/>
          <w:tblLook w:val="04A0"/>
        </w:tblPrEx>
        <w:trPr>
          <w:trHeight w:val="565"/>
          <w:tblHeader/>
        </w:trPr>
        <w:tc>
          <w:tcPr>
            <w:tcW w:w="3142" w:type="dxa"/>
            <w:tcBorders>
              <w:top w:val="single" w:sz="6" w:space="0" w:color="auto"/>
              <w:left w:val="single" w:sz="6" w:space="0" w:color="auto"/>
              <w:bottom w:val="single" w:sz="6" w:space="0" w:color="auto"/>
              <w:right w:val="single" w:sz="6" w:space="0" w:color="auto"/>
            </w:tcBorders>
            <w:vAlign w:val="center"/>
          </w:tcPr>
          <w:p w:rsidR="00E70298" w:rsidP="00E70298" w14:paraId="0D91F9F6" w14:textId="77777777">
            <w:pPr>
              <w:jc w:val="center"/>
            </w:pPr>
            <w:r>
              <w:t>Base Estimate (n = 10)</w:t>
            </w:r>
          </w:p>
          <w:p w:rsidR="00E70298" w:rsidRPr="6B370752" w:rsidP="00E70298" w14:paraId="445711C1" w14:textId="1C3738FD">
            <w:pPr>
              <w:jc w:val="center"/>
            </w:pPr>
            <w:r>
              <w:t>(from Table 3)</w:t>
            </w:r>
          </w:p>
        </w:tc>
        <w:tc>
          <w:tcPr>
            <w:tcW w:w="2700" w:type="dxa"/>
            <w:tcBorders>
              <w:top w:val="single" w:sz="6" w:space="0" w:color="auto"/>
              <w:left w:val="single" w:sz="6" w:space="0" w:color="auto"/>
              <w:bottom w:val="single" w:sz="6" w:space="0" w:color="auto"/>
              <w:right w:val="single" w:sz="6" w:space="0" w:color="auto"/>
            </w:tcBorders>
            <w:vAlign w:val="center"/>
          </w:tcPr>
          <w:p w:rsidR="00E70298" w:rsidRPr="00F31BB4" w:rsidP="00E70298" w14:paraId="4C4BA363" w14:textId="1C8F2D5C">
            <w:pPr>
              <w:jc w:val="center"/>
              <w:rPr>
                <w:bCs/>
              </w:rPr>
            </w:pPr>
            <w:r w:rsidRPr="006008AE">
              <w:rPr>
                <w:bCs/>
              </w:rPr>
              <w:t>310</w:t>
            </w:r>
          </w:p>
        </w:tc>
        <w:tc>
          <w:tcPr>
            <w:tcW w:w="3420" w:type="dxa"/>
            <w:tcBorders>
              <w:top w:val="single" w:sz="6" w:space="0" w:color="auto"/>
              <w:left w:val="single" w:sz="6" w:space="0" w:color="auto"/>
              <w:bottom w:val="single" w:sz="6" w:space="0" w:color="auto"/>
              <w:right w:val="single" w:sz="6" w:space="0" w:color="auto"/>
            </w:tcBorders>
            <w:vAlign w:val="center"/>
          </w:tcPr>
          <w:p w:rsidR="00E70298" w:rsidRPr="00F31BB4" w:rsidP="00E70298" w14:paraId="0CC7FCE9" w14:textId="1394B957">
            <w:pPr>
              <w:jc w:val="center"/>
              <w:rPr>
                <w:bCs/>
              </w:rPr>
            </w:pPr>
            <w:r w:rsidRPr="006008AE">
              <w:rPr>
                <w:bCs/>
              </w:rPr>
              <w:t>$</w:t>
            </w:r>
            <w:r w:rsidR="00F512CE">
              <w:rPr>
                <w:bCs/>
              </w:rPr>
              <w:t>40,639.20</w:t>
            </w:r>
          </w:p>
        </w:tc>
      </w:tr>
      <w:tr w14:paraId="3B658A53" w14:textId="77777777" w:rsidTr="003853F0">
        <w:tblPrEx>
          <w:tblW w:w="9262" w:type="dxa"/>
          <w:tblLayout w:type="fixed"/>
          <w:tblLook w:val="04A0"/>
        </w:tblPrEx>
        <w:trPr>
          <w:trHeight w:val="637"/>
          <w:tblHeader/>
        </w:trPr>
        <w:tc>
          <w:tcPr>
            <w:tcW w:w="3142" w:type="dxa"/>
            <w:tcBorders>
              <w:top w:val="single" w:sz="6" w:space="0" w:color="auto"/>
              <w:left w:val="single" w:sz="6" w:space="0" w:color="auto"/>
              <w:bottom w:val="single" w:sz="6" w:space="0" w:color="auto"/>
              <w:right w:val="single" w:sz="6" w:space="0" w:color="auto"/>
            </w:tcBorders>
            <w:vAlign w:val="center"/>
          </w:tcPr>
          <w:p w:rsidR="00E70298" w:rsidRPr="003853F0" w:rsidP="00E70298" w14:paraId="2F8884A6" w14:textId="4986710E">
            <w:pPr>
              <w:jc w:val="center"/>
              <w:rPr>
                <w:b/>
                <w:bCs/>
              </w:rPr>
            </w:pPr>
            <w:r w:rsidRPr="002723DB">
              <w:rPr>
                <w:b/>
                <w:bCs/>
              </w:rPr>
              <w:t>Total</w:t>
            </w:r>
            <w:r w:rsidR="00110C1E">
              <w:rPr>
                <w:b/>
                <w:bCs/>
              </w:rPr>
              <w:t xml:space="preserve"> (n = 20)</w:t>
            </w:r>
          </w:p>
        </w:tc>
        <w:tc>
          <w:tcPr>
            <w:tcW w:w="2700" w:type="dxa"/>
            <w:tcBorders>
              <w:top w:val="single" w:sz="6" w:space="0" w:color="auto"/>
              <w:left w:val="single" w:sz="6" w:space="0" w:color="auto"/>
              <w:bottom w:val="single" w:sz="6" w:space="0" w:color="auto"/>
              <w:right w:val="single" w:sz="6" w:space="0" w:color="auto"/>
            </w:tcBorders>
            <w:vAlign w:val="center"/>
          </w:tcPr>
          <w:p w:rsidR="00E70298" w:rsidRPr="003853F0" w:rsidP="00E70298" w14:paraId="2906931D" w14:textId="15C2AB44">
            <w:pPr>
              <w:jc w:val="center"/>
              <w:rPr>
                <w:b/>
                <w:bCs/>
              </w:rPr>
            </w:pPr>
            <w:r>
              <w:rPr>
                <w:b/>
                <w:bCs/>
              </w:rPr>
              <w:t>620</w:t>
            </w:r>
          </w:p>
        </w:tc>
        <w:tc>
          <w:tcPr>
            <w:tcW w:w="3420" w:type="dxa"/>
            <w:tcBorders>
              <w:top w:val="single" w:sz="6" w:space="0" w:color="auto"/>
              <w:left w:val="single" w:sz="6" w:space="0" w:color="auto"/>
              <w:bottom w:val="single" w:sz="6" w:space="0" w:color="auto"/>
              <w:right w:val="single" w:sz="6" w:space="0" w:color="auto"/>
            </w:tcBorders>
            <w:vAlign w:val="center"/>
          </w:tcPr>
          <w:p w:rsidR="00E70298" w:rsidRPr="003853F0" w:rsidP="00E70298" w14:paraId="7C4698EC" w14:textId="054ABA64">
            <w:pPr>
              <w:jc w:val="center"/>
              <w:rPr>
                <w:b/>
                <w:bCs/>
              </w:rPr>
            </w:pPr>
            <w:r>
              <w:rPr>
                <w:b/>
                <w:bCs/>
              </w:rPr>
              <w:t>$</w:t>
            </w:r>
            <w:r w:rsidR="00F512CE">
              <w:rPr>
                <w:b/>
                <w:bCs/>
              </w:rPr>
              <w:t>81,278.40</w:t>
            </w:r>
          </w:p>
        </w:tc>
      </w:tr>
    </w:tbl>
    <w:p w:rsidR="008C1B1F" w:rsidRPr="008C1B1F" w:rsidP="003853F0" w14:paraId="6F7CD28D" w14:textId="77777777"/>
    <w:p w:rsidR="001E18AD" w:rsidP="00A2337D" w14:paraId="13AD0EBF" w14:textId="33AFBA0E">
      <w:pPr>
        <w:pStyle w:val="Heading1"/>
      </w:pPr>
      <w:r w:rsidRPr="00BB00BB">
        <w:t xml:space="preserve">13. Capital Costs </w:t>
      </w:r>
    </w:p>
    <w:p w:rsidR="001E18AD" w14:paraId="13AD0EC0" w14:textId="77777777">
      <w:pPr>
        <w:spacing w:after="0" w:line="259" w:lineRule="auto"/>
        <w:ind w:left="0" w:firstLine="0"/>
      </w:pPr>
      <w:r>
        <w:t xml:space="preserve"> </w:t>
      </w:r>
    </w:p>
    <w:p w:rsidR="001E18AD" w14:paraId="13AD0EC1" w14:textId="77777777">
      <w:pPr>
        <w:ind w:left="-5" w:right="2"/>
      </w:pPr>
      <w:r>
        <w:t xml:space="preserve">There are no anticipated capital costs associated with this information collection. </w:t>
      </w:r>
    </w:p>
    <w:p w:rsidR="001E18AD" w14:paraId="13AD0EC2" w14:textId="77777777">
      <w:pPr>
        <w:spacing w:after="14" w:line="259" w:lineRule="auto"/>
        <w:ind w:left="0" w:firstLine="0"/>
      </w:pPr>
      <w:r>
        <w:rPr>
          <w:b/>
        </w:rPr>
        <w:t xml:space="preserve"> </w:t>
      </w:r>
    </w:p>
    <w:p w:rsidR="001E18AD" w14:paraId="13AD0EC3" w14:textId="77777777">
      <w:pPr>
        <w:pStyle w:val="Heading1"/>
        <w:ind w:left="-5"/>
      </w:pPr>
      <w:r>
        <w:t xml:space="preserve">14. Cost to Federal Government </w:t>
      </w:r>
    </w:p>
    <w:p w:rsidR="001E18AD" w14:paraId="13AD0EC4" w14:textId="77777777">
      <w:pPr>
        <w:spacing w:after="0" w:line="259" w:lineRule="auto"/>
        <w:ind w:left="0" w:firstLine="0"/>
      </w:pPr>
      <w:r>
        <w:t xml:space="preserve"> </w:t>
      </w:r>
    </w:p>
    <w:p w:rsidR="001E18AD" w14:paraId="13AD0EC5" w14:textId="6C1485C2">
      <w:pPr>
        <w:ind w:left="-5" w:right="2"/>
      </w:pPr>
      <w:r>
        <w:t>The federal government estimate</w:t>
      </w:r>
      <w:r w:rsidR="00DF1441">
        <w:t>d cost</w:t>
      </w:r>
      <w:r>
        <w:t xml:space="preserve"> is based on the efforts expended by CMS staff with the following assumptions to receive</w:t>
      </w:r>
      <w:r w:rsidR="000A2F02">
        <w:t xml:space="preserve">, </w:t>
      </w:r>
      <w:r>
        <w:t>review</w:t>
      </w:r>
      <w:r w:rsidR="000A2F02">
        <w:t xml:space="preserve">, and process data from manufacturers </w:t>
      </w:r>
      <w:r w:rsidR="40798DB1">
        <w:t>that</w:t>
      </w:r>
      <w:r w:rsidR="000A2F02">
        <w:t xml:space="preserve"> submit</w:t>
      </w:r>
      <w:r>
        <w:t xml:space="preserve"> </w:t>
      </w:r>
      <w:r w:rsidR="00DF1441">
        <w:t>rebate reduction requests and rebate reduction extension requests.</w:t>
      </w:r>
    </w:p>
    <w:p w:rsidR="001E18AD" w14:paraId="13AD0EC6" w14:textId="1DF48CC3">
      <w:pPr>
        <w:spacing w:after="0" w:line="259" w:lineRule="auto"/>
        <w:ind w:left="0" w:firstLine="0"/>
      </w:pPr>
    </w:p>
    <w:p w:rsidR="008327BA" w:rsidP="001C7450" w14:paraId="60344E79" w14:textId="77777777">
      <w:pPr>
        <w:pStyle w:val="Heading2"/>
      </w:pPr>
      <w:r>
        <w:t>Estimates</w:t>
      </w:r>
    </w:p>
    <w:p w:rsidR="001E18AD" w:rsidP="00CD28FF" w14:paraId="13AD0EC9" w14:textId="10F826E4">
      <w:pPr>
        <w:ind w:left="-5" w:right="2"/>
      </w:pPr>
      <w:r>
        <w:t xml:space="preserve">To generate salary estimates </w:t>
      </w:r>
      <w:r w:rsidR="008327BA">
        <w:t xml:space="preserve">reflected in Table </w:t>
      </w:r>
      <w:r w:rsidR="007E0835">
        <w:t>6</w:t>
      </w:r>
      <w:r>
        <w:t xml:space="preserve">, CMS used the </w:t>
      </w:r>
      <w:r w:rsidR="00A2204D">
        <w:t>2024</w:t>
      </w:r>
      <w:r>
        <w:t xml:space="preserve"> General Schedule (GS) Locality Pay Tables</w:t>
      </w:r>
      <w:r>
        <w:rPr>
          <w:vertAlign w:val="superscript"/>
        </w:rPr>
        <w:footnoteReference w:id="12"/>
      </w:r>
      <w:r>
        <w:rPr>
          <w:vertAlign w:val="superscript"/>
        </w:rPr>
        <w:t xml:space="preserve"> </w:t>
      </w:r>
      <w:r>
        <w:t xml:space="preserve">published by the Office of Personnel Management (OPM) for the Washington-Baltimore-Arlington region. In this regard, </w:t>
      </w:r>
      <w:r w:rsidR="008327BA">
        <w:t xml:space="preserve">Table </w:t>
      </w:r>
      <w:r w:rsidR="00D76193">
        <w:t>6</w:t>
      </w:r>
      <w:r>
        <w:t xml:space="preserve"> presents</w:t>
      </w:r>
      <w:r w:rsidR="00685638">
        <w:t xml:space="preserve"> the GS grade and step, number of full-time employees (FTE)</w:t>
      </w:r>
      <w:r w:rsidR="00066B38">
        <w:t xml:space="preserve"> required</w:t>
      </w:r>
      <w:r w:rsidR="00685638">
        <w:t>,</w:t>
      </w:r>
      <w:r>
        <w:t xml:space="preserve"> the hourly</w:t>
      </w:r>
      <w:r w:rsidR="00685638">
        <w:t xml:space="preserve"> basic</w:t>
      </w:r>
      <w:r>
        <w:t xml:space="preserve"> wage</w:t>
      </w:r>
      <w:r w:rsidR="00685638">
        <w:t xml:space="preserve"> plus</w:t>
      </w:r>
      <w:r>
        <w:t xml:space="preserve"> the cost of fringe benefits</w:t>
      </w:r>
      <w:r w:rsidR="002118CD">
        <w:t xml:space="preserve"> and overhead</w:t>
      </w:r>
      <w:r>
        <w:t xml:space="preserve"> (calculated at 100 percent of salary), </w:t>
      </w:r>
      <w:r w:rsidR="00066B38">
        <w:t>the number of anticipated hours, and the estimated cost</w:t>
      </w:r>
      <w:r>
        <w:t>.</w:t>
      </w:r>
      <w:r w:rsidR="000A2F02">
        <w:t xml:space="preserve"> </w:t>
      </w:r>
      <w:r w:rsidR="00960409">
        <w:t>The estimates below in Table 6</w:t>
      </w:r>
      <w:r w:rsidR="002118CD">
        <w:t xml:space="preserve"> also</w:t>
      </w:r>
      <w:r w:rsidR="00960409">
        <w:t xml:space="preserve"> </w:t>
      </w:r>
      <w:r w:rsidR="000E7439">
        <w:t xml:space="preserve">show the total cost to the government for submission of </w:t>
      </w:r>
      <w:r w:rsidR="00EA4D1B">
        <w:t>one</w:t>
      </w:r>
      <w:r w:rsidR="000E7439">
        <w:t xml:space="preserve"> form and the anticipated combined 20 forms (</w:t>
      </w:r>
      <w:r w:rsidR="00960409">
        <w:t>10 Rebate Reduction Request Forms and 10 Rebate Reduction Extension Request Forms</w:t>
      </w:r>
      <w:r w:rsidR="000E7439">
        <w:t>)</w:t>
      </w:r>
      <w:r w:rsidR="00960409">
        <w:t xml:space="preserve">. </w:t>
      </w:r>
      <w:r>
        <w:t>Staffing estimates are based on CMS duties as follows:</w:t>
      </w:r>
    </w:p>
    <w:p w:rsidR="00960409" w:rsidP="00CD28FF" w14:paraId="7D86BE03" w14:textId="77777777">
      <w:pPr>
        <w:ind w:right="2"/>
      </w:pPr>
    </w:p>
    <w:p w:rsidR="000A2F02" w:rsidP="003853F0" w14:paraId="3ECA084A" w14:textId="43DC827D">
      <w:pPr>
        <w:numPr>
          <w:ilvl w:val="0"/>
          <w:numId w:val="3"/>
        </w:numPr>
        <w:ind w:right="2" w:hanging="360"/>
      </w:pPr>
      <w:r>
        <w:t xml:space="preserve">CMS will </w:t>
      </w:r>
      <w:r>
        <w:t>develop policies and procedures for determining whether to grant a request or deny a request; and</w:t>
      </w:r>
    </w:p>
    <w:p w:rsidR="001E18AD" w:rsidP="000A2F02" w14:paraId="13AD0ECB" w14:textId="65584583">
      <w:pPr>
        <w:numPr>
          <w:ilvl w:val="0"/>
          <w:numId w:val="4"/>
        </w:numPr>
        <w:ind w:right="2" w:hanging="360"/>
      </w:pPr>
      <w:r>
        <w:t>R</w:t>
      </w:r>
      <w:r w:rsidR="00C87D04">
        <w:t xml:space="preserve">eview and analyze </w:t>
      </w:r>
      <w:r>
        <w:t xml:space="preserve">the </w:t>
      </w:r>
      <w:r w:rsidR="00C87D04">
        <w:t xml:space="preserve">information submitted by </w:t>
      </w:r>
      <w:r w:rsidR="008327BA">
        <w:t>manufacturers</w:t>
      </w:r>
      <w:r w:rsidR="00C87D04">
        <w:t xml:space="preserve"> in the </w:t>
      </w:r>
      <w:r>
        <w:t>forms</w:t>
      </w:r>
      <w:r w:rsidR="00EA4D1B">
        <w:t xml:space="preserve"> and as part of the supporting documentation. </w:t>
      </w:r>
    </w:p>
    <w:p w:rsidR="001E18AD" w:rsidP="003853F0" w14:paraId="13AD0ECD" w14:textId="77777777">
      <w:pPr>
        <w:spacing w:after="0" w:line="259" w:lineRule="auto"/>
        <w:ind w:left="0" w:firstLine="0"/>
      </w:pPr>
      <w:r>
        <w:rPr>
          <w:b/>
        </w:rPr>
        <w:t xml:space="preserve"> </w:t>
      </w:r>
    </w:p>
    <w:p w:rsidR="001E18AD" w14:paraId="13AD0ECE" w14:textId="2A6235FB">
      <w:pPr>
        <w:pStyle w:val="Heading1"/>
        <w:ind w:left="87"/>
      </w:pPr>
      <w:r>
        <w:t xml:space="preserve">TABLE </w:t>
      </w:r>
      <w:r w:rsidR="007E0835">
        <w:t>6:</w:t>
      </w:r>
      <w:r>
        <w:t xml:space="preserve"> TOTAL COST FOR THE FEDERAL GOVERNMENT ASSOCIATED WITH </w:t>
      </w:r>
    </w:p>
    <w:p w:rsidR="001E18AD" w:rsidP="00CD28FF" w14:paraId="13AD0ED0" w14:textId="5A692AED">
      <w:pPr>
        <w:spacing w:after="0" w:line="249" w:lineRule="auto"/>
        <w:jc w:val="center"/>
      </w:pPr>
      <w:r>
        <w:rPr>
          <w:b/>
        </w:rPr>
        <w:t xml:space="preserve">THE DATA COLLECTION TO SUPPORT THE </w:t>
      </w:r>
      <w:r w:rsidR="000454AC">
        <w:rPr>
          <w:b/>
        </w:rPr>
        <w:t>REBATE REDUCTION REQUESTS</w:t>
      </w:r>
      <w:r>
        <w:t xml:space="preserve"> </w:t>
      </w:r>
    </w:p>
    <w:tbl>
      <w:tblPr>
        <w:tblStyle w:val="TableGrid"/>
        <w:tblW w:w="9358" w:type="dxa"/>
        <w:tblInd w:w="6" w:type="dxa"/>
        <w:tblCellMar>
          <w:top w:w="60" w:type="dxa"/>
          <w:left w:w="106" w:type="dxa"/>
          <w:right w:w="115" w:type="dxa"/>
        </w:tblCellMar>
        <w:tblLook w:val="04A0"/>
      </w:tblPr>
      <w:tblGrid>
        <w:gridCol w:w="5486"/>
        <w:gridCol w:w="3872"/>
      </w:tblGrid>
      <w:tr w14:paraId="13AD0ED3" w14:textId="77777777" w:rsidTr="00046B16">
        <w:tblPrEx>
          <w:tblW w:w="9358" w:type="dxa"/>
          <w:tblInd w:w="6" w:type="dxa"/>
          <w:tblCellMar>
            <w:top w:w="60" w:type="dxa"/>
            <w:left w:w="106" w:type="dxa"/>
            <w:right w:w="115" w:type="dxa"/>
          </w:tblCellMar>
          <w:tblLook w:val="04A0"/>
        </w:tblPrEx>
        <w:trPr>
          <w:trHeight w:val="288"/>
        </w:trPr>
        <w:tc>
          <w:tcPr>
            <w:tcW w:w="5486" w:type="dxa"/>
            <w:tcBorders>
              <w:top w:val="single" w:sz="4" w:space="0" w:color="000000"/>
              <w:left w:val="single" w:sz="4" w:space="0" w:color="000000"/>
              <w:bottom w:val="single" w:sz="4" w:space="0" w:color="000000"/>
              <w:right w:val="single" w:sz="4" w:space="0" w:color="000000"/>
            </w:tcBorders>
          </w:tcPr>
          <w:p w:rsidR="001E18AD" w14:paraId="13AD0ED1" w14:textId="77777777">
            <w:pPr>
              <w:spacing w:after="0" w:line="259" w:lineRule="auto"/>
              <w:ind w:left="1" w:firstLine="0"/>
            </w:pPr>
            <w:r>
              <w:rPr>
                <w:b/>
              </w:rPr>
              <w:t xml:space="preserve">Task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2" w14:textId="5813070B">
            <w:pPr>
              <w:spacing w:after="0" w:line="259" w:lineRule="auto"/>
              <w:ind w:left="0" w:firstLine="0"/>
            </w:pPr>
            <w:r>
              <w:rPr>
                <w:b/>
              </w:rPr>
              <w:t>Estimated Cost</w:t>
            </w:r>
          </w:p>
        </w:tc>
      </w:tr>
      <w:tr w14:paraId="3BAE9E29" w14:textId="77777777" w:rsidTr="00046B16">
        <w:tblPrEx>
          <w:tblW w:w="9358" w:type="dxa"/>
          <w:tblInd w:w="6" w:type="dxa"/>
          <w:tblCellMar>
            <w:top w:w="60" w:type="dxa"/>
            <w:left w:w="106" w:type="dxa"/>
            <w:right w:w="115" w:type="dxa"/>
          </w:tblCellMar>
          <w:tblLook w:val="04A0"/>
        </w:tblPrEx>
        <w:trPr>
          <w:trHeight w:val="288"/>
        </w:trPr>
        <w:tc>
          <w:tcPr>
            <w:tcW w:w="548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46B16" w14:paraId="33241EFE" w14:textId="454B5464">
            <w:pPr>
              <w:spacing w:after="0" w:line="259" w:lineRule="auto"/>
              <w:ind w:left="1" w:firstLine="0"/>
              <w:rPr>
                <w:b/>
              </w:rPr>
            </w:pPr>
            <w:r>
              <w:t>Rebate Reduction Requests</w:t>
            </w:r>
            <w:r>
              <w:t xml:space="preserve"> Review</w:t>
            </w:r>
            <w:r>
              <w:t xml:space="preserve"> Personnel, Wage</w:t>
            </w:r>
            <w:r w:rsidR="00066B38">
              <w:t xml:space="preserve"> (plus cost of fringe benefits</w:t>
            </w:r>
            <w:r w:rsidR="00F31BB4">
              <w:t xml:space="preserve"> and overhead</w:t>
            </w:r>
            <w:r w:rsidR="00066B38">
              <w:t>)</w:t>
            </w:r>
            <w:r>
              <w:t>, and Hours</w:t>
            </w:r>
          </w:p>
        </w:tc>
        <w:tc>
          <w:tcPr>
            <w:tcW w:w="387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46B16" w14:paraId="0BC5BB49" w14:textId="77777777">
            <w:pPr>
              <w:spacing w:after="0" w:line="259" w:lineRule="auto"/>
              <w:ind w:left="0" w:firstLine="0"/>
              <w:rPr>
                <w:b/>
              </w:rPr>
            </w:pPr>
          </w:p>
        </w:tc>
      </w:tr>
      <w:tr w14:paraId="13AD0ED9" w14:textId="77777777" w:rsidTr="00046B16">
        <w:tblPrEx>
          <w:tblW w:w="9358" w:type="dxa"/>
          <w:tblInd w:w="6" w:type="dxa"/>
          <w:tblCellMar>
            <w:top w:w="60" w:type="dxa"/>
            <w:left w:w="106" w:type="dxa"/>
            <w:right w:w="115" w:type="dxa"/>
          </w:tblCellMar>
          <w:tblLook w:val="04A0"/>
        </w:tblPrEx>
        <w:trPr>
          <w:trHeight w:val="287"/>
        </w:trPr>
        <w:tc>
          <w:tcPr>
            <w:tcW w:w="5486" w:type="dxa"/>
            <w:tcBorders>
              <w:top w:val="single" w:sz="4" w:space="0" w:color="000000"/>
              <w:left w:val="single" w:sz="4" w:space="0" w:color="000000"/>
              <w:bottom w:val="single" w:sz="4" w:space="0" w:color="000000"/>
              <w:right w:val="single" w:sz="4" w:space="0" w:color="000000"/>
            </w:tcBorders>
          </w:tcPr>
          <w:p w:rsidR="001E18AD" w14:paraId="13AD0ED7" w14:textId="0030D223">
            <w:pPr>
              <w:spacing w:after="0" w:line="259" w:lineRule="auto"/>
              <w:ind w:left="1" w:firstLine="0"/>
            </w:pPr>
            <w:r>
              <w:t>GS-13 (step 1): (</w:t>
            </w:r>
            <w:r w:rsidR="000E7439">
              <w:t>3</w:t>
            </w:r>
            <w:r>
              <w:t xml:space="preserve"> FTEs x $</w:t>
            </w:r>
            <w:r w:rsidR="00C067E5">
              <w:t>113.04</w:t>
            </w:r>
            <w:r>
              <w:t xml:space="preserve"> x </w:t>
            </w:r>
            <w:r w:rsidR="000E7439">
              <w:t>24</w:t>
            </w:r>
            <w:r>
              <w:t xml:space="preserve">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8" w14:textId="05A6B77C">
            <w:pPr>
              <w:spacing w:after="0" w:line="259" w:lineRule="auto"/>
              <w:ind w:left="0" w:firstLine="0"/>
            </w:pPr>
            <w:r>
              <w:t xml:space="preserve"> $</w:t>
            </w:r>
            <w:r w:rsidR="00C067E5">
              <w:t>8,138.88</w:t>
            </w:r>
          </w:p>
        </w:tc>
      </w:tr>
      <w:tr w14:paraId="13AD0EDC" w14:textId="77777777" w:rsidTr="00046B16">
        <w:tblPrEx>
          <w:tblW w:w="9358" w:type="dxa"/>
          <w:tblInd w:w="6" w:type="dxa"/>
          <w:tblCellMar>
            <w:top w:w="60" w:type="dxa"/>
            <w:left w:w="106" w:type="dxa"/>
            <w:right w:w="115" w:type="dxa"/>
          </w:tblCellMar>
          <w:tblLook w:val="04A0"/>
        </w:tblPrEx>
        <w:trPr>
          <w:trHeight w:val="286"/>
        </w:trPr>
        <w:tc>
          <w:tcPr>
            <w:tcW w:w="5486" w:type="dxa"/>
            <w:tcBorders>
              <w:top w:val="single" w:sz="4" w:space="0" w:color="000000"/>
              <w:left w:val="single" w:sz="4" w:space="0" w:color="000000"/>
              <w:bottom w:val="single" w:sz="4" w:space="0" w:color="000000"/>
              <w:right w:val="single" w:sz="4" w:space="0" w:color="000000"/>
            </w:tcBorders>
          </w:tcPr>
          <w:p w:rsidR="001E18AD" w14:paraId="13AD0EDA" w14:textId="050D1C5F">
            <w:pPr>
              <w:spacing w:after="0" w:line="259" w:lineRule="auto"/>
              <w:ind w:left="1" w:firstLine="0"/>
            </w:pPr>
            <w:r>
              <w:t>GS-14 (step 1): (</w:t>
            </w:r>
            <w:r w:rsidR="000E7439">
              <w:t>2</w:t>
            </w:r>
            <w:r>
              <w:t xml:space="preserve"> FTEs x $</w:t>
            </w:r>
            <w:r w:rsidR="00C067E5">
              <w:t>133.58</w:t>
            </w:r>
            <w:r>
              <w:t xml:space="preserve"> x </w:t>
            </w:r>
            <w:r w:rsidR="000E7439">
              <w:t>24</w:t>
            </w:r>
            <w:r>
              <w:t xml:space="preserve"> hours)</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B" w14:textId="4DA7307D">
            <w:pPr>
              <w:spacing w:after="0" w:line="259" w:lineRule="auto"/>
              <w:ind w:left="0" w:firstLine="0"/>
            </w:pPr>
            <w:r>
              <w:t xml:space="preserve"> $</w:t>
            </w:r>
            <w:r w:rsidR="00C067E5">
              <w:t>6,411.84</w:t>
            </w:r>
          </w:p>
        </w:tc>
      </w:tr>
      <w:tr w14:paraId="13AD0EDF" w14:textId="77777777" w:rsidTr="00046B16">
        <w:tblPrEx>
          <w:tblW w:w="9358" w:type="dxa"/>
          <w:tblInd w:w="6" w:type="dxa"/>
          <w:tblCellMar>
            <w:top w:w="60" w:type="dxa"/>
            <w:left w:w="106" w:type="dxa"/>
            <w:right w:w="115" w:type="dxa"/>
          </w:tblCellMar>
          <w:tblLook w:val="04A0"/>
        </w:tblPrEx>
        <w:trPr>
          <w:trHeight w:val="286"/>
        </w:trPr>
        <w:tc>
          <w:tcPr>
            <w:tcW w:w="5486" w:type="dxa"/>
            <w:tcBorders>
              <w:top w:val="single" w:sz="4" w:space="0" w:color="000000"/>
              <w:left w:val="single" w:sz="4" w:space="0" w:color="000000"/>
              <w:bottom w:val="single" w:sz="4" w:space="0" w:color="000000"/>
              <w:right w:val="single" w:sz="4" w:space="0" w:color="000000"/>
            </w:tcBorders>
          </w:tcPr>
          <w:p w:rsidR="001E18AD" w14:paraId="13AD0EDD" w14:textId="74B34278">
            <w:pPr>
              <w:spacing w:after="0" w:line="259" w:lineRule="auto"/>
              <w:ind w:left="1" w:firstLine="0"/>
            </w:pPr>
            <w:r>
              <w:t>GS-15 (step 1): (2 FTEs x $</w:t>
            </w:r>
            <w:r w:rsidR="00C067E5">
              <w:t>157.12</w:t>
            </w:r>
            <w:r>
              <w:t xml:space="preserve"> x </w:t>
            </w:r>
            <w:r w:rsidR="000E7439">
              <w:t>6</w:t>
            </w:r>
            <w:r>
              <w:t xml:space="preserve">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E" w14:textId="01E10ACB">
            <w:pPr>
              <w:spacing w:after="0" w:line="259" w:lineRule="auto"/>
              <w:ind w:left="0" w:firstLine="0"/>
            </w:pPr>
            <w:r>
              <w:t xml:space="preserve"> $</w:t>
            </w:r>
            <w:r w:rsidR="00C067E5">
              <w:t>1,885.44</w:t>
            </w:r>
          </w:p>
        </w:tc>
      </w:tr>
      <w:tr w14:paraId="13AD0EE2" w14:textId="77777777" w:rsidTr="00046B16">
        <w:tblPrEx>
          <w:tblW w:w="9358" w:type="dxa"/>
          <w:tblInd w:w="6" w:type="dxa"/>
          <w:tblCellMar>
            <w:top w:w="60" w:type="dxa"/>
            <w:left w:w="106" w:type="dxa"/>
            <w:right w:w="115" w:type="dxa"/>
          </w:tblCellMar>
          <w:tblLook w:val="04A0"/>
        </w:tblPrEx>
        <w:trPr>
          <w:trHeight w:val="287"/>
        </w:trPr>
        <w:tc>
          <w:tcPr>
            <w:tcW w:w="5486" w:type="dxa"/>
            <w:tcBorders>
              <w:top w:val="single" w:sz="4" w:space="0" w:color="000000"/>
              <w:left w:val="single" w:sz="4" w:space="0" w:color="000000"/>
              <w:bottom w:val="single" w:sz="4" w:space="0" w:color="000000"/>
              <w:right w:val="single" w:sz="4" w:space="0" w:color="000000"/>
            </w:tcBorders>
          </w:tcPr>
          <w:p w:rsidR="001E18AD" w14:paraId="13AD0EE0" w14:textId="2F10451B">
            <w:pPr>
              <w:spacing w:after="0" w:line="259" w:lineRule="auto"/>
              <w:ind w:left="1" w:firstLine="0"/>
            </w:pPr>
            <w:r>
              <w:t>Senior Executive Service</w:t>
            </w:r>
            <w:r w:rsidR="00A32C14">
              <w:t>*</w:t>
            </w:r>
            <w:r>
              <w:t>: ($</w:t>
            </w:r>
            <w:r w:rsidR="00C067E5">
              <w:t>188.54</w:t>
            </w:r>
            <w:r>
              <w:t xml:space="preserve"> x 2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E1" w14:textId="0110B0C3">
            <w:pPr>
              <w:spacing w:after="0" w:line="259" w:lineRule="auto"/>
              <w:ind w:left="0" w:firstLine="0"/>
            </w:pPr>
            <w:r>
              <w:t xml:space="preserve"> $</w:t>
            </w:r>
            <w:r w:rsidR="00C067E5">
              <w:t>377.08</w:t>
            </w:r>
          </w:p>
        </w:tc>
      </w:tr>
      <w:tr w14:paraId="3C70EB9A" w14:textId="77777777" w:rsidTr="00046B16">
        <w:tblPrEx>
          <w:tblW w:w="9358" w:type="dxa"/>
          <w:tblInd w:w="6" w:type="dxa"/>
          <w:tblCellMar>
            <w:top w:w="60" w:type="dxa"/>
            <w:left w:w="106" w:type="dxa"/>
            <w:right w:w="115" w:type="dxa"/>
          </w:tblCellMar>
          <w:tblLook w:val="04A0"/>
        </w:tblPrEx>
        <w:trPr>
          <w:trHeight w:val="287"/>
        </w:trPr>
        <w:tc>
          <w:tcPr>
            <w:tcW w:w="5486" w:type="dxa"/>
            <w:tcBorders>
              <w:top w:val="single" w:sz="4" w:space="0" w:color="000000"/>
              <w:left w:val="single" w:sz="4" w:space="0" w:color="000000"/>
              <w:bottom w:val="single" w:sz="4" w:space="0" w:color="000000"/>
              <w:right w:val="single" w:sz="4" w:space="0" w:color="000000"/>
            </w:tcBorders>
          </w:tcPr>
          <w:p w:rsidR="000E7439" w:rsidP="000E7439" w14:paraId="6F4BD47F" w14:textId="4E0614FD">
            <w:pPr>
              <w:spacing w:after="0" w:line="259" w:lineRule="auto"/>
              <w:ind w:left="1" w:firstLine="0"/>
            </w:pPr>
            <w:r>
              <w:rPr>
                <w:b/>
              </w:rPr>
              <w:t>Total Cost to Government (1 Form)</w:t>
            </w:r>
          </w:p>
        </w:tc>
        <w:tc>
          <w:tcPr>
            <w:tcW w:w="3872" w:type="dxa"/>
            <w:tcBorders>
              <w:top w:val="single" w:sz="4" w:space="0" w:color="000000"/>
              <w:left w:val="single" w:sz="4" w:space="0" w:color="000000"/>
              <w:bottom w:val="single" w:sz="4" w:space="0" w:color="000000"/>
              <w:right w:val="single" w:sz="4" w:space="0" w:color="000000"/>
            </w:tcBorders>
          </w:tcPr>
          <w:p w:rsidR="000E7439" w:rsidP="002118CD" w14:paraId="4B23EE11" w14:textId="6562DE80">
            <w:pPr>
              <w:spacing w:after="0" w:line="259" w:lineRule="auto"/>
              <w:ind w:left="0" w:firstLine="0"/>
            </w:pPr>
            <w:r>
              <w:t>$</w:t>
            </w:r>
            <w:r w:rsidR="00C067E5">
              <w:t>16,813.24</w:t>
            </w:r>
          </w:p>
        </w:tc>
      </w:tr>
      <w:tr w14:paraId="13AD0EEC" w14:textId="77777777" w:rsidTr="006008AE">
        <w:tblPrEx>
          <w:tblW w:w="9358" w:type="dxa"/>
          <w:tblInd w:w="6" w:type="dxa"/>
          <w:tblCellMar>
            <w:top w:w="60" w:type="dxa"/>
            <w:left w:w="106" w:type="dxa"/>
            <w:right w:w="115" w:type="dxa"/>
          </w:tblCellMar>
          <w:tblLook w:val="04A0"/>
        </w:tblPrEx>
        <w:trPr>
          <w:trHeight w:val="276"/>
        </w:trPr>
        <w:tc>
          <w:tcPr>
            <w:tcW w:w="5486" w:type="dxa"/>
            <w:tcBorders>
              <w:top w:val="single" w:sz="4" w:space="0" w:color="000000"/>
              <w:left w:val="single" w:sz="4" w:space="0" w:color="000000"/>
              <w:bottom w:val="single" w:sz="4" w:space="0" w:color="000000"/>
              <w:right w:val="single" w:sz="4" w:space="0" w:color="000000"/>
            </w:tcBorders>
          </w:tcPr>
          <w:p w:rsidR="000E7439" w:rsidP="000E7439" w14:paraId="13AD0EE9" w14:textId="4E377E3F">
            <w:pPr>
              <w:spacing w:after="0" w:line="259" w:lineRule="auto"/>
              <w:ind w:left="1" w:firstLine="0"/>
            </w:pPr>
            <w:r>
              <w:rPr>
                <w:b/>
              </w:rPr>
              <w:t>Total Cost to Government (20 Forms)</w:t>
            </w:r>
          </w:p>
        </w:tc>
        <w:tc>
          <w:tcPr>
            <w:tcW w:w="3872" w:type="dxa"/>
            <w:tcBorders>
              <w:top w:val="single" w:sz="4" w:space="0" w:color="000000"/>
              <w:left w:val="single" w:sz="4" w:space="0" w:color="000000"/>
              <w:bottom w:val="single" w:sz="4" w:space="0" w:color="000000"/>
              <w:right w:val="single" w:sz="4" w:space="0" w:color="000000"/>
            </w:tcBorders>
          </w:tcPr>
          <w:p w:rsidR="000E7439" w:rsidP="002118CD" w14:paraId="13AD0EEB" w14:textId="67C2AD9D">
            <w:pPr>
              <w:spacing w:after="0" w:line="259" w:lineRule="auto"/>
              <w:ind w:left="0" w:firstLine="0"/>
            </w:pPr>
            <w:r>
              <w:t>$</w:t>
            </w:r>
            <w:r w:rsidR="00C067E5">
              <w:t>336,264.80</w:t>
            </w:r>
          </w:p>
        </w:tc>
      </w:tr>
    </w:tbl>
    <w:p w:rsidR="00A32C14" w:rsidP="00A32C14" w14:paraId="64A2477A" w14:textId="3C5442D3">
      <w:pPr>
        <w:spacing w:after="0" w:line="250" w:lineRule="auto"/>
        <w:ind w:left="0" w:firstLine="0"/>
        <w:rPr>
          <w:iCs/>
          <w:sz w:val="20"/>
        </w:rPr>
      </w:pPr>
      <w:r w:rsidRPr="13B0BCA9">
        <w:rPr>
          <w:i/>
          <w:iCs/>
          <w:color w:val="000000" w:themeColor="text1"/>
          <w:sz w:val="20"/>
          <w:szCs w:val="20"/>
        </w:rPr>
        <w:t>*</w:t>
      </w:r>
      <w:r>
        <w:rPr>
          <w:i/>
          <w:iCs/>
          <w:color w:val="000000" w:themeColor="text1"/>
          <w:sz w:val="20"/>
          <w:szCs w:val="20"/>
        </w:rPr>
        <w:t xml:space="preserve"> </w:t>
      </w:r>
      <w:r>
        <w:rPr>
          <w:i/>
          <w:sz w:val="20"/>
        </w:rPr>
        <w:t>The Senior Executive Service pay range has a minimum rate of basic pay equal to 120 percent of the rate for GS-15 (step 1).</w:t>
      </w:r>
    </w:p>
    <w:p w:rsidR="00B8481D" w14:paraId="4C2967E0" w14:textId="33158969">
      <w:pPr>
        <w:spacing w:after="0" w:line="259" w:lineRule="auto"/>
        <w:ind w:left="0" w:firstLine="0"/>
      </w:pPr>
    </w:p>
    <w:p w:rsidR="001E18AD" w:rsidP="00A2337D" w14:paraId="13AD0EEE" w14:textId="29C4371C">
      <w:pPr>
        <w:pStyle w:val="Heading1"/>
      </w:pPr>
      <w:r w:rsidRPr="00BB00BB">
        <w:t>15. Changes to Burden</w:t>
      </w:r>
    </w:p>
    <w:p w:rsidR="001E18AD" w14:paraId="13AD0EEF" w14:textId="77777777">
      <w:pPr>
        <w:spacing w:after="0" w:line="259" w:lineRule="auto"/>
        <w:ind w:left="0" w:firstLine="0"/>
      </w:pPr>
      <w:r>
        <w:t xml:space="preserve"> </w:t>
      </w:r>
    </w:p>
    <w:p w:rsidR="00DF1441" w:rsidP="00DF1441" w14:paraId="69A885E7" w14:textId="05BFA7DE">
      <w:pPr>
        <w:ind w:left="-5" w:right="2"/>
      </w:pPr>
      <w:r>
        <w:t xml:space="preserve">This a new </w:t>
      </w:r>
      <w:r w:rsidR="00981B8C">
        <w:t>information collection request</w:t>
      </w:r>
      <w:r w:rsidR="40798DB1">
        <w:t>.</w:t>
      </w:r>
      <w:r w:rsidR="009C0A19">
        <w:t xml:space="preserve"> Changes made in response to the comments received </w:t>
      </w:r>
      <w:r w:rsidR="00B7626B">
        <w:t>on</w:t>
      </w:r>
      <w:r w:rsidR="009C0A19">
        <w:t xml:space="preserve"> the 60-day notice (89 FR 5548) did not require revisions to the previous burden estimate.</w:t>
      </w:r>
      <w:r w:rsidR="00092E86">
        <w:t xml:space="preserve"> However, the data from the Bureau of Labor Statistics was updated and published on April 3, 2024 from the May 2022 estimates, to the </w:t>
      </w:r>
      <w:r w:rsidRPr="000C0292" w:rsidR="00092E86">
        <w:t>May</w:t>
      </w:r>
      <w:r w:rsidR="00092E86">
        <w:t xml:space="preserve"> 2023 </w:t>
      </w:r>
      <w:r w:rsidRPr="000C0292" w:rsidR="00092E86">
        <w:t>National Industry-Specific Occupational Employment and Wage Estimates</w:t>
      </w:r>
      <w:r w:rsidR="00092E86">
        <w:t xml:space="preserve"> for the Pharmaceutical and Medicine Manufacturing industry. Tables 1 through 5 of section 12 Burden </w:t>
      </w:r>
      <w:r w:rsidR="699007B7">
        <w:t>Estimates</w:t>
      </w:r>
      <w:r w:rsidR="00092E86">
        <w:t xml:space="preserve"> (Hours &amp; Wages) were updated accordingly. Also</w:t>
      </w:r>
      <w:r w:rsidR="00A2204D">
        <w:t>, OPM published the 2024 GS Locality Pay Table</w:t>
      </w:r>
      <w:r w:rsidR="00B175AC">
        <w:t xml:space="preserve"> on their website</w:t>
      </w:r>
      <w:r w:rsidR="00A2204D">
        <w:t xml:space="preserve"> and Table 6 of section 14 Cost to Federal Government was updated accordingly.</w:t>
      </w:r>
      <w:r w:rsidR="009C0A19">
        <w:t xml:space="preserve"> N</w:t>
      </w:r>
      <w:r w:rsidRPr="000E2AD4" w:rsidR="000E2AD4">
        <w:t xml:space="preserve">on-burden-related changes incorporated in the 30-day public notice are included in the 60- to 30-Day </w:t>
      </w:r>
      <w:r w:rsidR="000E2AD4">
        <w:t>Rebate Reduction Request</w:t>
      </w:r>
      <w:r w:rsidRPr="000E2AD4" w:rsidR="000E2AD4">
        <w:t xml:space="preserve"> Cross Walk.</w:t>
      </w:r>
    </w:p>
    <w:p w:rsidR="001E18AD" w:rsidP="003853F0" w14:paraId="13AD0EF1" w14:textId="0820B410">
      <w:pPr>
        <w:ind w:left="-5" w:right="2"/>
      </w:pPr>
      <w:r>
        <w:t xml:space="preserve"> </w:t>
      </w:r>
    </w:p>
    <w:p w:rsidR="001E18AD" w14:paraId="13AD0EF2" w14:textId="3D1885CB">
      <w:pPr>
        <w:pStyle w:val="Heading1"/>
        <w:ind w:left="-5"/>
      </w:pPr>
      <w:r>
        <w:t xml:space="preserve">16. Publication/Tabulation Dates </w:t>
      </w:r>
    </w:p>
    <w:p w:rsidR="001E18AD" w14:paraId="13AD0EF3" w14:textId="77777777">
      <w:pPr>
        <w:spacing w:after="0" w:line="259" w:lineRule="auto"/>
        <w:ind w:left="0" w:firstLine="0"/>
      </w:pPr>
      <w:r>
        <w:t xml:space="preserve"> </w:t>
      </w:r>
    </w:p>
    <w:p w:rsidR="008C688F" w14:paraId="6A2444FB" w14:textId="5C013FC0">
      <w:pPr>
        <w:spacing w:after="16" w:line="259" w:lineRule="auto"/>
        <w:ind w:left="0" w:firstLine="0"/>
      </w:pPr>
      <w:r>
        <w:t>The results of this information collection will not be published for statistical use or analysis.</w:t>
      </w:r>
    </w:p>
    <w:p w:rsidR="001E18AD" w14:paraId="13AD0EF5" w14:textId="55DF148D">
      <w:pPr>
        <w:spacing w:after="16" w:line="259" w:lineRule="auto"/>
        <w:ind w:left="0" w:firstLine="0"/>
      </w:pPr>
      <w:r>
        <w:t xml:space="preserve"> </w:t>
      </w:r>
    </w:p>
    <w:p w:rsidR="001E18AD" w14:paraId="13AD0EF6" w14:textId="70D1A199">
      <w:pPr>
        <w:pStyle w:val="Heading1"/>
        <w:ind w:left="-5"/>
      </w:pPr>
      <w:r>
        <w:t xml:space="preserve">17. Expiration Date </w:t>
      </w:r>
    </w:p>
    <w:p w:rsidR="001E18AD" w14:paraId="13AD0EF7" w14:textId="77777777">
      <w:pPr>
        <w:spacing w:after="0" w:line="259" w:lineRule="auto"/>
        <w:ind w:left="0" w:firstLine="0"/>
      </w:pPr>
      <w:r>
        <w:t xml:space="preserve"> </w:t>
      </w:r>
    </w:p>
    <w:p w:rsidR="001E18AD" w14:paraId="13AD0EF8" w14:textId="77777777">
      <w:pPr>
        <w:ind w:left="-5" w:right="2"/>
      </w:pPr>
      <w:r>
        <w:t xml:space="preserve">The expiration date and OMB control number will be displayed within the data collection information technology system. </w:t>
      </w:r>
    </w:p>
    <w:p w:rsidR="001E18AD" w14:paraId="13AD0EF9" w14:textId="77777777">
      <w:pPr>
        <w:spacing w:after="16" w:line="259" w:lineRule="auto"/>
        <w:ind w:left="0" w:firstLine="0"/>
      </w:pPr>
      <w:r>
        <w:t xml:space="preserve"> </w:t>
      </w:r>
    </w:p>
    <w:p w:rsidR="001E18AD" w14:paraId="13AD0EFA" w14:textId="35315727">
      <w:pPr>
        <w:pStyle w:val="Heading1"/>
        <w:ind w:left="-5"/>
      </w:pPr>
      <w:r>
        <w:t xml:space="preserve">18. Certification Statement </w:t>
      </w:r>
    </w:p>
    <w:p w:rsidR="001E18AD" w14:paraId="13AD0EFB" w14:textId="77777777">
      <w:pPr>
        <w:spacing w:after="0" w:line="259" w:lineRule="auto"/>
        <w:ind w:left="0" w:firstLine="0"/>
      </w:pPr>
      <w:r>
        <w:t xml:space="preserve"> </w:t>
      </w:r>
    </w:p>
    <w:p w:rsidR="001E18AD" w:rsidP="00E02AC5" w14:paraId="13AD0EFC" w14:textId="35DF208E">
      <w:pPr>
        <w:ind w:left="-5" w:right="2"/>
      </w:pPr>
      <w:r>
        <w:t xml:space="preserve">There are no exceptions to the certification statement. </w:t>
      </w:r>
    </w:p>
    <w:sectPr>
      <w:headerReference w:type="default" r:id="rId10"/>
      <w:footerReference w:type="even" r:id="rId11"/>
      <w:footerReference w:type="default" r:id="rId12"/>
      <w:footerReference w:type="first" r:id="rId13"/>
      <w:pgSz w:w="12240" w:h="15840"/>
      <w:pgMar w:top="1445" w:right="1438" w:bottom="1548" w:left="1440" w:header="720" w:footer="7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1"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2" w14:textId="77777777">
    <w:pPr>
      <w:spacing w:after="0" w:line="218" w:lineRule="auto"/>
      <w:ind w:left="0" w:right="-1" w:firstLine="0"/>
      <w:jc w:val="both"/>
    </w:pPr>
    <w:r>
      <w:rPr>
        <w:rFonts w:ascii="Arial" w:eastAsia="Arial" w:hAnsi="Arial" w:cs="Arial"/>
        <w:sz w:val="16"/>
      </w:rPr>
      <w:t xml:space="preserve">INFORMATION NOT RELEASABLE TO THE PUBLIC UNLESS AUTHORIZED BY LAW: This information has not been publicly disclosed and may be privileged and confidential. It is for internal government use only and must not be disseminated, </w:t>
    </w:r>
    <w:r>
      <w:rPr>
        <w:rFonts w:ascii="Arial" w:eastAsia="Arial" w:hAnsi="Arial" w:cs="Arial"/>
        <w:sz w:val="16"/>
      </w:rPr>
      <w:t>distributed</w:t>
    </w:r>
    <w:r>
      <w:rPr>
        <w:rFonts w:ascii="Arial" w:eastAsia="Arial" w:hAnsi="Arial" w:cs="Arial"/>
        <w:sz w:val="16"/>
      </w:rPr>
      <w:t xml:space="preserve"> or copied to persons not authorized to receive the information. Unauthorized disclosure may result in prosecution to the full extent of law.</w:t>
    </w:r>
    <w:r>
      <w:rPr>
        <w:b/>
        <w:color w:val="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rsidRPr="000D4ADA" w:rsidP="000D4ADA" w14:paraId="13AD0F04" w14:textId="268C7A97">
    <w:pPr>
      <w:rPr>
        <w:color w:val="auto"/>
        <w:sz w:val="22"/>
      </w:rPr>
    </w:pPr>
    <w:r w:rsidRPr="000D4ADA">
      <w:rPr>
        <w:sz w:val="22"/>
      </w:rPr>
      <w:t xml:space="preserve">INFORMATION NOT RELEASABLE TO THE PUBLIC UNLESS AUTHORIZED BY LAW: This information has not been publicly disclosed and may be privileged and confidential. It is for internal government use only and must not be disseminated, </w:t>
    </w:r>
    <w:r w:rsidRPr="000D4ADA">
      <w:rPr>
        <w:sz w:val="22"/>
      </w:rPr>
      <w:t>distributed</w:t>
    </w:r>
    <w:r w:rsidRPr="000D4ADA">
      <w:rPr>
        <w:sz w:val="22"/>
      </w:rPr>
      <w:t xml:space="preserve"> or copied to persons not authorized to receive the information. Unauthorized disclosure may result in prosecution to the full extent of law.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5"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6" w14:textId="77777777">
    <w:pPr>
      <w:spacing w:after="0" w:line="218" w:lineRule="auto"/>
      <w:ind w:left="0" w:right="-1" w:firstLine="0"/>
      <w:jc w:val="both"/>
    </w:pPr>
    <w:r>
      <w:rPr>
        <w:rFonts w:ascii="Arial" w:eastAsia="Arial" w:hAnsi="Arial" w:cs="Arial"/>
        <w:sz w:val="16"/>
      </w:rPr>
      <w:t xml:space="preserve">INFORMATION NOT RELEASABLE TO THE PUBLIC UNLESS AUTHORIZED BY LAW: This information has not been publicly disclosed and may be privileged and confidential. It is for internal government use only and must not be disseminated, </w:t>
    </w:r>
    <w:r>
      <w:rPr>
        <w:rFonts w:ascii="Arial" w:eastAsia="Arial" w:hAnsi="Arial" w:cs="Arial"/>
        <w:sz w:val="16"/>
      </w:rPr>
      <w:t>distributed</w:t>
    </w:r>
    <w:r>
      <w:rPr>
        <w:rFonts w:ascii="Arial" w:eastAsia="Arial" w:hAnsi="Arial" w:cs="Arial"/>
        <w:sz w:val="16"/>
      </w:rPr>
      <w:t xml:space="preserve"> or copied to persons not authorized to receive the information. Unauthorized disclosure may result in prosecution to the full extent of law.</w:t>
    </w:r>
    <w:r>
      <w:rPr>
        <w:b/>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4E0C" w:rsidP="00A2337D" w14:paraId="5CFD2CB2" w14:textId="77777777">
      <w:pPr>
        <w:spacing w:after="0" w:line="240" w:lineRule="auto"/>
      </w:pPr>
      <w:r>
        <w:separator/>
      </w:r>
    </w:p>
  </w:footnote>
  <w:footnote w:type="continuationSeparator" w:id="1">
    <w:p w:rsidR="00784E0C" w:rsidP="00A2337D" w14:paraId="15E5A913" w14:textId="77777777">
      <w:pPr>
        <w:spacing w:after="0" w:line="240" w:lineRule="auto"/>
      </w:pPr>
      <w:r>
        <w:continuationSeparator/>
      </w:r>
    </w:p>
  </w:footnote>
  <w:footnote w:type="continuationNotice" w:id="2">
    <w:p w:rsidR="00784E0C" w14:paraId="1512E2BD" w14:textId="77777777">
      <w:pPr>
        <w:spacing w:after="0" w:line="240" w:lineRule="auto"/>
      </w:pPr>
    </w:p>
  </w:footnote>
  <w:footnote w:id="3">
    <w:p w:rsidR="009C0FBB" w:rsidP="009C0FBB" w14:paraId="7370D542" w14:textId="77777777">
      <w:pPr>
        <w:pStyle w:val="FootnoteText"/>
      </w:pPr>
      <w:r>
        <w:rPr>
          <w:rStyle w:val="FootnoteReference"/>
        </w:rPr>
        <w:footnoteRef/>
      </w:r>
      <w:r>
        <w:t xml:space="preserve"> </w:t>
      </w:r>
      <w:hyperlink r:id="rId1" w:history="1">
        <w:r w:rsidRPr="00CF5100">
          <w:rPr>
            <w:rStyle w:val="Hyperlink"/>
          </w:rPr>
          <w:t>https://www.cms.gov/files/document/medicare-part-b-inflation-rebate-program-revised-guidance.pdf</w:t>
        </w:r>
      </w:hyperlink>
      <w:r>
        <w:t xml:space="preserve">. </w:t>
      </w:r>
    </w:p>
  </w:footnote>
  <w:footnote w:id="4">
    <w:p w:rsidR="009C0FBB" w:rsidP="009C0FBB" w14:paraId="4AB227CF" w14:textId="77777777">
      <w:pPr>
        <w:pStyle w:val="FootnoteText"/>
      </w:pPr>
      <w:r>
        <w:rPr>
          <w:rStyle w:val="FootnoteReference"/>
        </w:rPr>
        <w:footnoteRef/>
      </w:r>
      <w:r>
        <w:t xml:space="preserve"> </w:t>
      </w:r>
      <w:hyperlink r:id="rId2" w:history="1">
        <w:r w:rsidRPr="00CF5100">
          <w:rPr>
            <w:rStyle w:val="Hyperlink"/>
          </w:rPr>
          <w:t>https://www.cms.gov/files/document/medicare-part-d-inflation-rebate-program-revised-guidance.pdf</w:t>
        </w:r>
      </w:hyperlink>
      <w:r>
        <w:t xml:space="preserve">. </w:t>
      </w:r>
    </w:p>
  </w:footnote>
  <w:footnote w:id="5">
    <w:p w:rsidR="004F380A" w14:paraId="2D592A03" w14:textId="6B70B7D6">
      <w:pPr>
        <w:pStyle w:val="FootnoteText"/>
      </w:pPr>
      <w:r>
        <w:rPr>
          <w:rStyle w:val="FootnoteReference"/>
        </w:rPr>
        <w:footnoteRef/>
      </w:r>
      <w:r>
        <w:t xml:space="preserve"> </w:t>
      </w:r>
      <w:hyperlink r:id="rId1" w:history="1">
        <w:r w:rsidRPr="00CF5100">
          <w:rPr>
            <w:rStyle w:val="Hyperlink"/>
          </w:rPr>
          <w:t>https://www.cms.gov/files/document/medicare-part-b-inflation-rebate-program-revised-guidance.pdf</w:t>
        </w:r>
      </w:hyperlink>
      <w:r>
        <w:rPr>
          <w:rStyle w:val="Hyperlink"/>
        </w:rPr>
        <w:t>.</w:t>
      </w:r>
    </w:p>
  </w:footnote>
  <w:footnote w:id="6">
    <w:p w:rsidR="00E36BC6" w14:paraId="51D8AAF8" w14:textId="6A901AD1">
      <w:pPr>
        <w:pStyle w:val="FootnoteText"/>
      </w:pPr>
      <w:r>
        <w:rPr>
          <w:rStyle w:val="FootnoteReference"/>
        </w:rPr>
        <w:footnoteRef/>
      </w:r>
      <w:r>
        <w:t xml:space="preserve"> </w:t>
      </w:r>
      <w:r w:rsidRPr="00E36BC6">
        <w:t xml:space="preserve">A drug or biological described in section 1860D-14B(g)(1)(C) </w:t>
      </w:r>
      <w:r>
        <w:t>is</w:t>
      </w:r>
      <w:r w:rsidRPr="00E36BC6">
        <w:t xml:space="preserve"> a drug or biological that, as of the first day of the applicable period involved is: (1) a drug approved under a New Drug Application (NDA) under section 505(c) of the </w:t>
      </w:r>
      <w:r>
        <w:t>FD&amp;C</w:t>
      </w:r>
      <w:r w:rsidRPr="00E36BC6">
        <w:t xml:space="preserve"> Act; (2) a drug approved under an Abbreviated New Drug Application (ANDA) under section 505(j) of the FD&amp;C Act that meets </w:t>
      </w:r>
      <w:r>
        <w:t>certain</w:t>
      </w:r>
      <w:r w:rsidRPr="00E36BC6">
        <w:t xml:space="preserve"> criteria in section 1860D-14B(g)(1)(C)(ii); or (3) a biological licensed under section 351 of the </w:t>
      </w:r>
      <w:r w:rsidR="00D356F9">
        <w:t>Public Health Service (</w:t>
      </w:r>
      <w:r w:rsidRPr="00E36BC6">
        <w:t>PHS</w:t>
      </w:r>
      <w:r w:rsidR="00D356F9">
        <w:t>)</w:t>
      </w:r>
      <w:r w:rsidRPr="00E36BC6">
        <w:t xml:space="preserve"> Act</w:t>
      </w:r>
      <w:r>
        <w:t>.</w:t>
      </w:r>
    </w:p>
  </w:footnote>
  <w:footnote w:id="7">
    <w:p w:rsidR="004F380A" w14:paraId="2FB10F7E" w14:textId="29160DE4">
      <w:pPr>
        <w:pStyle w:val="FootnoteText"/>
      </w:pPr>
      <w:r>
        <w:rPr>
          <w:rStyle w:val="FootnoteReference"/>
        </w:rPr>
        <w:footnoteRef/>
      </w:r>
      <w:r w:rsidR="00DD44F2">
        <w:t xml:space="preserve"> </w:t>
      </w:r>
      <w:hyperlink r:id="rId2" w:history="1">
        <w:r w:rsidRPr="00CF5100" w:rsidR="00DD44F2">
          <w:rPr>
            <w:rStyle w:val="Hyperlink"/>
          </w:rPr>
          <w:t>https://www.cms.gov/files/document/medicare-part-d-inflation-rebate-program-revised-guidance.pdf</w:t>
        </w:r>
      </w:hyperlink>
      <w:r w:rsidR="00DD44F2">
        <w:rPr>
          <w:rStyle w:val="Hyperlink"/>
        </w:rPr>
        <w:t>.</w:t>
      </w:r>
    </w:p>
  </w:footnote>
  <w:footnote w:id="8">
    <w:p w:rsidR="00D54BDE" w:rsidRPr="001422B3" w:rsidP="00D54BDE" w14:paraId="2E1EFBBB" w14:textId="13520098">
      <w:pPr>
        <w:pStyle w:val="FootnoteText"/>
      </w:pPr>
      <w:r w:rsidRPr="001422B3">
        <w:rPr>
          <w:rStyle w:val="FootnoteReference"/>
        </w:rPr>
        <w:footnoteRef/>
      </w:r>
      <w:r w:rsidRPr="00651780">
        <w:t xml:space="preserve"> See: </w:t>
      </w:r>
      <w:hyperlink r:id="rId3" w:history="1">
        <w:r w:rsidRPr="00651780">
          <w:rPr>
            <w:rStyle w:val="Hyperlink"/>
          </w:rPr>
          <w:t>https://www.justice.gov/oip/doj-guide-freedom-information-act-0</w:t>
        </w:r>
      </w:hyperlink>
      <w:r w:rsidR="00EC1E95">
        <w:t>.</w:t>
      </w:r>
    </w:p>
  </w:footnote>
  <w:footnote w:id="9">
    <w:p w:rsidR="006060A1" w:rsidRPr="001422B3" w:rsidP="006060A1" w14:paraId="0C2C213C" w14:textId="77777777">
      <w:pPr>
        <w:pStyle w:val="FootnoteText"/>
      </w:pPr>
      <w:r w:rsidRPr="001422B3">
        <w:rPr>
          <w:rStyle w:val="FootnoteReference"/>
        </w:rPr>
        <w:footnoteRef/>
      </w:r>
      <w:r w:rsidRPr="00651780">
        <w:t xml:space="preserve"> See: </w:t>
      </w:r>
      <w:hyperlink r:id="rId3" w:history="1">
        <w:r w:rsidRPr="00651780">
          <w:rPr>
            <w:rStyle w:val="Hyperlink"/>
          </w:rPr>
          <w:t>https://www.justice.gov/oip/doj-guide-freedom-information-act-0</w:t>
        </w:r>
      </w:hyperlink>
      <w:r>
        <w:t>.</w:t>
      </w:r>
    </w:p>
  </w:footnote>
  <w:footnote w:id="10">
    <w:p w:rsidR="00F9590E" w:rsidP="00F9590E" w14:paraId="4E441FE8" w14:textId="48B04E19">
      <w:pPr>
        <w:pStyle w:val="footnotedescription"/>
        <w:spacing w:line="277" w:lineRule="auto"/>
      </w:pPr>
      <w:r>
        <w:rPr>
          <w:rStyle w:val="footnotemark"/>
        </w:rPr>
        <w:footnoteRef/>
      </w:r>
      <w:r>
        <w:t xml:space="preserve"> See </w:t>
      </w:r>
      <w:r w:rsidRPr="00E033C7">
        <w:t xml:space="preserve">May </w:t>
      </w:r>
      <w:r w:rsidR="00727054">
        <w:t>2023</w:t>
      </w:r>
      <w:r w:rsidRPr="00E033C7">
        <w:t xml:space="preserve"> National Industry-Specific Occupational Employment and Wage Estimates</w:t>
      </w:r>
      <w:r>
        <w:t xml:space="preserve">, </w:t>
      </w:r>
      <w:r w:rsidRPr="0023748F">
        <w:t>NAICS 325400 - Pharmaceutical and Medicine Manufacturing</w:t>
      </w:r>
      <w:r>
        <w:t>. Available at</w:t>
      </w:r>
      <w:r w:rsidR="00A33F7A">
        <w:t xml:space="preserve"> </w:t>
      </w:r>
      <w:hyperlink r:id="rId4" w:history="1">
        <w:r w:rsidRPr="00FC61AA" w:rsidR="00A33F7A">
          <w:rPr>
            <w:rStyle w:val="Hyperlink"/>
          </w:rPr>
          <w:t>https://www.bls.gov/oes/current/naics4_325400.htm</w:t>
        </w:r>
      </w:hyperlink>
      <w:r>
        <w:t>.</w:t>
      </w:r>
    </w:p>
  </w:footnote>
  <w:footnote w:id="11">
    <w:p w:rsidR="002466E9" w:rsidP="002466E9" w14:paraId="5463AFB3" w14:textId="4BB255FB">
      <w:pPr>
        <w:pStyle w:val="FootnoteText"/>
      </w:pPr>
      <w:r>
        <w:rPr>
          <w:rStyle w:val="FootnoteReference"/>
        </w:rPr>
        <w:footnoteRef/>
      </w:r>
      <w:r>
        <w:t xml:space="preserve"> </w:t>
      </w:r>
      <w:bookmarkStart w:id="2" w:name="_Hlk153197493"/>
      <w:r>
        <w:t>Section 506C of the Federal Food, Drug and Cosmetic Act (FD&amp;C Act)</w:t>
      </w:r>
      <w:r w:rsidRPr="002466E9">
        <w:t xml:space="preserve"> </w:t>
      </w:r>
      <w:r>
        <w:t>requires manufacturers to notify FDA of a permanent discontinuance in the manufacture of certain drugs and biological products or an interruption in the manufacture of certain drugs and biological products that is likely to lead to a meaningful disruption in supply of those products in the United States.</w:t>
      </w:r>
      <w:bookmarkEnd w:id="2"/>
    </w:p>
  </w:footnote>
  <w:footnote w:id="12">
    <w:p w:rsidR="001E18AD" w14:paraId="13AD0F0B" w14:textId="11A1DA03">
      <w:pPr>
        <w:pStyle w:val="footnotedescription"/>
        <w:spacing w:line="259" w:lineRule="auto"/>
      </w:pPr>
      <w:r>
        <w:rPr>
          <w:rStyle w:val="footnotemark"/>
        </w:rPr>
        <w:footnoteRef/>
      </w:r>
      <w:r>
        <w:t xml:space="preserve">  </w:t>
      </w:r>
      <w:r w:rsidR="00CB1D43">
        <w:t>https://www.opm.gov/policy-data-oversight/pay-leave/salaries-wages/salary-tables/24Tables/html/DCB_h.aspx</w:t>
      </w:r>
      <w:r w:rsidR="00AE277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4152925"/>
      <w:docPartObj>
        <w:docPartGallery w:val="Page Numbers (Top of Page)"/>
        <w:docPartUnique/>
      </w:docPartObj>
    </w:sdtPr>
    <w:sdtEndPr>
      <w:rPr>
        <w:noProof/>
        <w:sz w:val="22"/>
      </w:rPr>
    </w:sdtEndPr>
    <w:sdtContent>
      <w:p w:rsidR="000229E1" w:rsidRPr="00085DD5" w14:paraId="2776C343" w14:textId="2D4DFEA7">
        <w:pPr>
          <w:pStyle w:val="Header"/>
          <w:jc w:val="right"/>
          <w:rPr>
            <w:sz w:val="22"/>
          </w:rPr>
        </w:pPr>
        <w:r w:rsidRPr="00085DD5">
          <w:rPr>
            <w:sz w:val="22"/>
          </w:rPr>
          <w:fldChar w:fldCharType="begin"/>
        </w:r>
        <w:r w:rsidRPr="00085DD5">
          <w:rPr>
            <w:sz w:val="22"/>
          </w:rPr>
          <w:instrText xml:space="preserve"> PAGE   \* MERGEFORMAT </w:instrText>
        </w:r>
        <w:r w:rsidRPr="00085DD5">
          <w:rPr>
            <w:sz w:val="22"/>
          </w:rPr>
          <w:fldChar w:fldCharType="separate"/>
        </w:r>
        <w:r w:rsidRPr="00085DD5">
          <w:rPr>
            <w:noProof/>
            <w:sz w:val="22"/>
          </w:rPr>
          <w:t>2</w:t>
        </w:r>
        <w:r w:rsidRPr="00085DD5">
          <w:rPr>
            <w:noProof/>
            <w:sz w:val="22"/>
          </w:rPr>
          <w:fldChar w:fldCharType="end"/>
        </w:r>
      </w:p>
    </w:sdtContent>
  </w:sdt>
  <w:p w:rsidR="001C197C" w14:paraId="1A70C9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021D8"/>
    <w:multiLevelType w:val="hybridMultilevel"/>
    <w:tmpl w:val="2738D84C"/>
    <w:lvl w:ilvl="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251EFE"/>
    <w:multiLevelType w:val="hybridMultilevel"/>
    <w:tmpl w:val="1CFEB1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64777"/>
    <w:multiLevelType w:val="hybridMultilevel"/>
    <w:tmpl w:val="F8768818"/>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4">
    <w:nsid w:val="1A804D75"/>
    <w:multiLevelType w:val="hybridMultilevel"/>
    <w:tmpl w:val="86C0F8C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EBA484E"/>
    <w:multiLevelType w:val="hybridMultilevel"/>
    <w:tmpl w:val="4C8AA5B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354600FA"/>
    <w:multiLevelType w:val="hybridMultilevel"/>
    <w:tmpl w:val="E01AF974"/>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7">
    <w:nsid w:val="3ECA0CD0"/>
    <w:multiLevelType w:val="hybridMultilevel"/>
    <w:tmpl w:val="576E9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C8044A"/>
    <w:multiLevelType w:val="hybridMultilevel"/>
    <w:tmpl w:val="8794CF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7ACF2BB0"/>
    <w:multiLevelType w:val="hybridMultilevel"/>
    <w:tmpl w:val="8AFEBE54"/>
    <w:lvl w:ilvl="0">
      <w:start w:val="0"/>
      <w:numFmt w:val="bullet"/>
      <w:lvlText w:val="-"/>
      <w:lvlJc w:val="left"/>
      <w:pPr>
        <w:ind w:left="705" w:hanging="360"/>
      </w:pPr>
      <w:rPr>
        <w:rFonts w:ascii="Times New Roman" w:eastAsia="Times New Roman" w:hAnsi="Times New Roman" w:cs="Times New Roman"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num w:numId="1" w16cid:durableId="1118641352">
    <w:abstractNumId w:val="0"/>
  </w:num>
  <w:num w:numId="2" w16cid:durableId="1624650411">
    <w:abstractNumId w:val="4"/>
  </w:num>
  <w:num w:numId="3" w16cid:durableId="395511288">
    <w:abstractNumId w:val="8"/>
  </w:num>
  <w:num w:numId="4" w16cid:durableId="1059398975">
    <w:abstractNumId w:val="5"/>
  </w:num>
  <w:num w:numId="5" w16cid:durableId="1653681278">
    <w:abstractNumId w:val="1"/>
  </w:num>
  <w:num w:numId="6" w16cid:durableId="1609895790">
    <w:abstractNumId w:val="6"/>
  </w:num>
  <w:num w:numId="7" w16cid:durableId="1816215945">
    <w:abstractNumId w:val="2"/>
  </w:num>
  <w:num w:numId="8" w16cid:durableId="2101412586">
    <w:abstractNumId w:val="9"/>
  </w:num>
  <w:num w:numId="9" w16cid:durableId="1989894008">
    <w:abstractNumId w:val="3"/>
  </w:num>
  <w:num w:numId="10" w16cid:durableId="603997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D"/>
    <w:rsid w:val="0000181D"/>
    <w:rsid w:val="00002966"/>
    <w:rsid w:val="000029F7"/>
    <w:rsid w:val="000032FE"/>
    <w:rsid w:val="000039E7"/>
    <w:rsid w:val="000047A0"/>
    <w:rsid w:val="0001174B"/>
    <w:rsid w:val="00012113"/>
    <w:rsid w:val="00012E52"/>
    <w:rsid w:val="00013E27"/>
    <w:rsid w:val="00014EB4"/>
    <w:rsid w:val="000155EF"/>
    <w:rsid w:val="000214CE"/>
    <w:rsid w:val="000229E1"/>
    <w:rsid w:val="00026874"/>
    <w:rsid w:val="00027E58"/>
    <w:rsid w:val="0003006B"/>
    <w:rsid w:val="00030627"/>
    <w:rsid w:val="000308D6"/>
    <w:rsid w:val="00032D54"/>
    <w:rsid w:val="00035AE5"/>
    <w:rsid w:val="00036B88"/>
    <w:rsid w:val="000378B9"/>
    <w:rsid w:val="00040685"/>
    <w:rsid w:val="0004247B"/>
    <w:rsid w:val="0004443B"/>
    <w:rsid w:val="000446B0"/>
    <w:rsid w:val="000454AC"/>
    <w:rsid w:val="00046B16"/>
    <w:rsid w:val="000509EE"/>
    <w:rsid w:val="00051277"/>
    <w:rsid w:val="00051CD7"/>
    <w:rsid w:val="00051F03"/>
    <w:rsid w:val="0005206F"/>
    <w:rsid w:val="0005345D"/>
    <w:rsid w:val="00053D68"/>
    <w:rsid w:val="00056997"/>
    <w:rsid w:val="000602D7"/>
    <w:rsid w:val="00060D92"/>
    <w:rsid w:val="00061079"/>
    <w:rsid w:val="000616BE"/>
    <w:rsid w:val="00062AB7"/>
    <w:rsid w:val="00063369"/>
    <w:rsid w:val="0006401C"/>
    <w:rsid w:val="00064204"/>
    <w:rsid w:val="0006554F"/>
    <w:rsid w:val="00066B38"/>
    <w:rsid w:val="00070443"/>
    <w:rsid w:val="000708A4"/>
    <w:rsid w:val="00071DE8"/>
    <w:rsid w:val="00073C5D"/>
    <w:rsid w:val="00074802"/>
    <w:rsid w:val="0007763E"/>
    <w:rsid w:val="00085DD5"/>
    <w:rsid w:val="0009189B"/>
    <w:rsid w:val="000928B8"/>
    <w:rsid w:val="000928E0"/>
    <w:rsid w:val="00092E86"/>
    <w:rsid w:val="00097E90"/>
    <w:rsid w:val="000A2F02"/>
    <w:rsid w:val="000A68DC"/>
    <w:rsid w:val="000A6B54"/>
    <w:rsid w:val="000A7490"/>
    <w:rsid w:val="000B0552"/>
    <w:rsid w:val="000B198D"/>
    <w:rsid w:val="000B23AC"/>
    <w:rsid w:val="000B274A"/>
    <w:rsid w:val="000B4E59"/>
    <w:rsid w:val="000B652A"/>
    <w:rsid w:val="000B66BD"/>
    <w:rsid w:val="000B7A29"/>
    <w:rsid w:val="000C0292"/>
    <w:rsid w:val="000C0E0A"/>
    <w:rsid w:val="000C0F52"/>
    <w:rsid w:val="000C16C0"/>
    <w:rsid w:val="000C2D20"/>
    <w:rsid w:val="000C4B63"/>
    <w:rsid w:val="000C79EB"/>
    <w:rsid w:val="000D0591"/>
    <w:rsid w:val="000D1D50"/>
    <w:rsid w:val="000D28DD"/>
    <w:rsid w:val="000D2D6F"/>
    <w:rsid w:val="000D3333"/>
    <w:rsid w:val="000D4ADA"/>
    <w:rsid w:val="000D4FB8"/>
    <w:rsid w:val="000D5C9B"/>
    <w:rsid w:val="000E02CD"/>
    <w:rsid w:val="000E04EB"/>
    <w:rsid w:val="000E0F91"/>
    <w:rsid w:val="000E1C1F"/>
    <w:rsid w:val="000E2AD4"/>
    <w:rsid w:val="000E3205"/>
    <w:rsid w:val="000E7439"/>
    <w:rsid w:val="000F388A"/>
    <w:rsid w:val="000F3921"/>
    <w:rsid w:val="000F5615"/>
    <w:rsid w:val="000F62BC"/>
    <w:rsid w:val="000F7857"/>
    <w:rsid w:val="001018EF"/>
    <w:rsid w:val="00102472"/>
    <w:rsid w:val="00102AC0"/>
    <w:rsid w:val="00104C7A"/>
    <w:rsid w:val="00104E10"/>
    <w:rsid w:val="0010652D"/>
    <w:rsid w:val="00107CCB"/>
    <w:rsid w:val="00110C1E"/>
    <w:rsid w:val="00110C4B"/>
    <w:rsid w:val="00112FB7"/>
    <w:rsid w:val="00114208"/>
    <w:rsid w:val="00115BDF"/>
    <w:rsid w:val="00115BE3"/>
    <w:rsid w:val="001178E0"/>
    <w:rsid w:val="00121065"/>
    <w:rsid w:val="00121C40"/>
    <w:rsid w:val="00123B3F"/>
    <w:rsid w:val="001257E1"/>
    <w:rsid w:val="0012638C"/>
    <w:rsid w:val="001276B4"/>
    <w:rsid w:val="00127F67"/>
    <w:rsid w:val="0013298F"/>
    <w:rsid w:val="00134BC7"/>
    <w:rsid w:val="00134FE5"/>
    <w:rsid w:val="00135C3A"/>
    <w:rsid w:val="00136503"/>
    <w:rsid w:val="00140724"/>
    <w:rsid w:val="00141D48"/>
    <w:rsid w:val="001422B3"/>
    <w:rsid w:val="00143AE7"/>
    <w:rsid w:val="001443F7"/>
    <w:rsid w:val="001444A9"/>
    <w:rsid w:val="00145857"/>
    <w:rsid w:val="00146318"/>
    <w:rsid w:val="00146E68"/>
    <w:rsid w:val="00147637"/>
    <w:rsid w:val="00147685"/>
    <w:rsid w:val="00147E41"/>
    <w:rsid w:val="0015056D"/>
    <w:rsid w:val="001521FC"/>
    <w:rsid w:val="001523A9"/>
    <w:rsid w:val="00153296"/>
    <w:rsid w:val="00155C7B"/>
    <w:rsid w:val="00155EB6"/>
    <w:rsid w:val="00161C2C"/>
    <w:rsid w:val="00162433"/>
    <w:rsid w:val="00164895"/>
    <w:rsid w:val="0016605C"/>
    <w:rsid w:val="00170655"/>
    <w:rsid w:val="001711E0"/>
    <w:rsid w:val="00172D0F"/>
    <w:rsid w:val="00174968"/>
    <w:rsid w:val="00175D78"/>
    <w:rsid w:val="00175F1B"/>
    <w:rsid w:val="00175FB9"/>
    <w:rsid w:val="00177A88"/>
    <w:rsid w:val="00180706"/>
    <w:rsid w:val="001810F4"/>
    <w:rsid w:val="00181ADA"/>
    <w:rsid w:val="00181ED0"/>
    <w:rsid w:val="00182732"/>
    <w:rsid w:val="0018368E"/>
    <w:rsid w:val="00184B7B"/>
    <w:rsid w:val="00185A18"/>
    <w:rsid w:val="0019000E"/>
    <w:rsid w:val="00191BE8"/>
    <w:rsid w:val="001920CB"/>
    <w:rsid w:val="0019384B"/>
    <w:rsid w:val="00193C75"/>
    <w:rsid w:val="00193EA3"/>
    <w:rsid w:val="00197F15"/>
    <w:rsid w:val="001A2A28"/>
    <w:rsid w:val="001A2E62"/>
    <w:rsid w:val="001A37A5"/>
    <w:rsid w:val="001A44EE"/>
    <w:rsid w:val="001A52FE"/>
    <w:rsid w:val="001A566C"/>
    <w:rsid w:val="001A7877"/>
    <w:rsid w:val="001A7DEA"/>
    <w:rsid w:val="001B3151"/>
    <w:rsid w:val="001B5243"/>
    <w:rsid w:val="001B580D"/>
    <w:rsid w:val="001B622F"/>
    <w:rsid w:val="001B63EC"/>
    <w:rsid w:val="001B7875"/>
    <w:rsid w:val="001C166E"/>
    <w:rsid w:val="001C1788"/>
    <w:rsid w:val="001C197C"/>
    <w:rsid w:val="001C1EC8"/>
    <w:rsid w:val="001C2542"/>
    <w:rsid w:val="001C286A"/>
    <w:rsid w:val="001C2911"/>
    <w:rsid w:val="001C378F"/>
    <w:rsid w:val="001C3CF4"/>
    <w:rsid w:val="001C3FF8"/>
    <w:rsid w:val="001C65DC"/>
    <w:rsid w:val="001C7450"/>
    <w:rsid w:val="001D2BED"/>
    <w:rsid w:val="001D3475"/>
    <w:rsid w:val="001D4C60"/>
    <w:rsid w:val="001D5614"/>
    <w:rsid w:val="001D5B91"/>
    <w:rsid w:val="001D6B72"/>
    <w:rsid w:val="001D7DD1"/>
    <w:rsid w:val="001D7F33"/>
    <w:rsid w:val="001E18AD"/>
    <w:rsid w:val="001E2371"/>
    <w:rsid w:val="001E387B"/>
    <w:rsid w:val="001E3FA5"/>
    <w:rsid w:val="001E609A"/>
    <w:rsid w:val="001E67A2"/>
    <w:rsid w:val="001E6D8F"/>
    <w:rsid w:val="001E7833"/>
    <w:rsid w:val="001F076E"/>
    <w:rsid w:val="001F1592"/>
    <w:rsid w:val="001F4480"/>
    <w:rsid w:val="001F6B11"/>
    <w:rsid w:val="001F6CEB"/>
    <w:rsid w:val="001F7B33"/>
    <w:rsid w:val="002000B2"/>
    <w:rsid w:val="0020043E"/>
    <w:rsid w:val="0020049E"/>
    <w:rsid w:val="002020F8"/>
    <w:rsid w:val="00204BD6"/>
    <w:rsid w:val="002053A5"/>
    <w:rsid w:val="00211473"/>
    <w:rsid w:val="002118CD"/>
    <w:rsid w:val="00211905"/>
    <w:rsid w:val="002132F2"/>
    <w:rsid w:val="00214503"/>
    <w:rsid w:val="0021741B"/>
    <w:rsid w:val="0021791D"/>
    <w:rsid w:val="00221340"/>
    <w:rsid w:val="00221A53"/>
    <w:rsid w:val="00223C17"/>
    <w:rsid w:val="002241C3"/>
    <w:rsid w:val="00224344"/>
    <w:rsid w:val="00224566"/>
    <w:rsid w:val="00227770"/>
    <w:rsid w:val="00232C42"/>
    <w:rsid w:val="00235D2A"/>
    <w:rsid w:val="0023708F"/>
    <w:rsid w:val="00237345"/>
    <w:rsid w:val="0023748F"/>
    <w:rsid w:val="002374D2"/>
    <w:rsid w:val="00241AF2"/>
    <w:rsid w:val="002439A3"/>
    <w:rsid w:val="00243F9D"/>
    <w:rsid w:val="00246509"/>
    <w:rsid w:val="00246624"/>
    <w:rsid w:val="002466E9"/>
    <w:rsid w:val="00250F1D"/>
    <w:rsid w:val="0025589B"/>
    <w:rsid w:val="002566D9"/>
    <w:rsid w:val="00256A07"/>
    <w:rsid w:val="0025A405"/>
    <w:rsid w:val="00261933"/>
    <w:rsid w:val="00262174"/>
    <w:rsid w:val="002723DB"/>
    <w:rsid w:val="00273280"/>
    <w:rsid w:val="00274F61"/>
    <w:rsid w:val="002758B9"/>
    <w:rsid w:val="00275F21"/>
    <w:rsid w:val="00277387"/>
    <w:rsid w:val="00284829"/>
    <w:rsid w:val="00284DD2"/>
    <w:rsid w:val="002900A5"/>
    <w:rsid w:val="002909CF"/>
    <w:rsid w:val="002920D3"/>
    <w:rsid w:val="00293D99"/>
    <w:rsid w:val="00296186"/>
    <w:rsid w:val="00296DEF"/>
    <w:rsid w:val="002A1C2A"/>
    <w:rsid w:val="002A1EF4"/>
    <w:rsid w:val="002A4C81"/>
    <w:rsid w:val="002A6535"/>
    <w:rsid w:val="002A6CD3"/>
    <w:rsid w:val="002A6E15"/>
    <w:rsid w:val="002B1E76"/>
    <w:rsid w:val="002B39F7"/>
    <w:rsid w:val="002B4210"/>
    <w:rsid w:val="002B4A27"/>
    <w:rsid w:val="002B4A2F"/>
    <w:rsid w:val="002C1FCB"/>
    <w:rsid w:val="002C251B"/>
    <w:rsid w:val="002C320F"/>
    <w:rsid w:val="002D4AB8"/>
    <w:rsid w:val="002D4D4A"/>
    <w:rsid w:val="002D4FE5"/>
    <w:rsid w:val="002D68AC"/>
    <w:rsid w:val="002E50D2"/>
    <w:rsid w:val="002E5375"/>
    <w:rsid w:val="002F32A0"/>
    <w:rsid w:val="002F4409"/>
    <w:rsid w:val="002F7539"/>
    <w:rsid w:val="00300F1A"/>
    <w:rsid w:val="0030188A"/>
    <w:rsid w:val="003026D2"/>
    <w:rsid w:val="00305F7E"/>
    <w:rsid w:val="00310F82"/>
    <w:rsid w:val="00311016"/>
    <w:rsid w:val="00311904"/>
    <w:rsid w:val="00312A89"/>
    <w:rsid w:val="00313A8E"/>
    <w:rsid w:val="0031443E"/>
    <w:rsid w:val="0031458B"/>
    <w:rsid w:val="0031745F"/>
    <w:rsid w:val="00320927"/>
    <w:rsid w:val="00321F09"/>
    <w:rsid w:val="00322439"/>
    <w:rsid w:val="00322442"/>
    <w:rsid w:val="003256F0"/>
    <w:rsid w:val="00325ABE"/>
    <w:rsid w:val="00326916"/>
    <w:rsid w:val="0032798D"/>
    <w:rsid w:val="00331402"/>
    <w:rsid w:val="003319D9"/>
    <w:rsid w:val="00331B59"/>
    <w:rsid w:val="003332EA"/>
    <w:rsid w:val="003345C9"/>
    <w:rsid w:val="003351FB"/>
    <w:rsid w:val="00335445"/>
    <w:rsid w:val="00335AE9"/>
    <w:rsid w:val="00335BE3"/>
    <w:rsid w:val="00335DC6"/>
    <w:rsid w:val="003372E9"/>
    <w:rsid w:val="00337312"/>
    <w:rsid w:val="0034008C"/>
    <w:rsid w:val="00344040"/>
    <w:rsid w:val="00351180"/>
    <w:rsid w:val="00352896"/>
    <w:rsid w:val="00356C2F"/>
    <w:rsid w:val="00361DE5"/>
    <w:rsid w:val="00361FEC"/>
    <w:rsid w:val="00363CA6"/>
    <w:rsid w:val="003657E5"/>
    <w:rsid w:val="003701A0"/>
    <w:rsid w:val="003719AE"/>
    <w:rsid w:val="00371A87"/>
    <w:rsid w:val="003737E8"/>
    <w:rsid w:val="00380C8D"/>
    <w:rsid w:val="00381271"/>
    <w:rsid w:val="003819D3"/>
    <w:rsid w:val="003825AC"/>
    <w:rsid w:val="003831A5"/>
    <w:rsid w:val="00383CB9"/>
    <w:rsid w:val="003853F0"/>
    <w:rsid w:val="00391E7D"/>
    <w:rsid w:val="00393510"/>
    <w:rsid w:val="00394732"/>
    <w:rsid w:val="003A0FC9"/>
    <w:rsid w:val="003A17AE"/>
    <w:rsid w:val="003A2614"/>
    <w:rsid w:val="003A3C47"/>
    <w:rsid w:val="003A49A4"/>
    <w:rsid w:val="003A4FAD"/>
    <w:rsid w:val="003A5142"/>
    <w:rsid w:val="003B31F2"/>
    <w:rsid w:val="003B366F"/>
    <w:rsid w:val="003B6E99"/>
    <w:rsid w:val="003B755F"/>
    <w:rsid w:val="003B7790"/>
    <w:rsid w:val="003C06BC"/>
    <w:rsid w:val="003C0A77"/>
    <w:rsid w:val="003C0F20"/>
    <w:rsid w:val="003C3249"/>
    <w:rsid w:val="003C67E9"/>
    <w:rsid w:val="003D138F"/>
    <w:rsid w:val="003D14F2"/>
    <w:rsid w:val="003D1ECB"/>
    <w:rsid w:val="003D2BB2"/>
    <w:rsid w:val="003D43FF"/>
    <w:rsid w:val="003D583E"/>
    <w:rsid w:val="003D74FB"/>
    <w:rsid w:val="003D7B3B"/>
    <w:rsid w:val="003E7103"/>
    <w:rsid w:val="003E7181"/>
    <w:rsid w:val="003F31C7"/>
    <w:rsid w:val="003F4881"/>
    <w:rsid w:val="003F62CE"/>
    <w:rsid w:val="00400446"/>
    <w:rsid w:val="00400C72"/>
    <w:rsid w:val="00405F2F"/>
    <w:rsid w:val="004065B7"/>
    <w:rsid w:val="00413011"/>
    <w:rsid w:val="0041379D"/>
    <w:rsid w:val="00413D52"/>
    <w:rsid w:val="00415BE1"/>
    <w:rsid w:val="00416955"/>
    <w:rsid w:val="00417554"/>
    <w:rsid w:val="0042129C"/>
    <w:rsid w:val="00423453"/>
    <w:rsid w:val="00426739"/>
    <w:rsid w:val="004300BA"/>
    <w:rsid w:val="004322CE"/>
    <w:rsid w:val="004325C5"/>
    <w:rsid w:val="004329D2"/>
    <w:rsid w:val="00436C85"/>
    <w:rsid w:val="00443473"/>
    <w:rsid w:val="00456ADF"/>
    <w:rsid w:val="00460A97"/>
    <w:rsid w:val="00462518"/>
    <w:rsid w:val="00464979"/>
    <w:rsid w:val="00464C9A"/>
    <w:rsid w:val="00464F3B"/>
    <w:rsid w:val="0046556E"/>
    <w:rsid w:val="0047024D"/>
    <w:rsid w:val="004715D4"/>
    <w:rsid w:val="00475132"/>
    <w:rsid w:val="004756C1"/>
    <w:rsid w:val="00477BB3"/>
    <w:rsid w:val="004826F0"/>
    <w:rsid w:val="00482AF6"/>
    <w:rsid w:val="00483DE9"/>
    <w:rsid w:val="00483E8B"/>
    <w:rsid w:val="00485650"/>
    <w:rsid w:val="004859A7"/>
    <w:rsid w:val="00490AE6"/>
    <w:rsid w:val="00491AF7"/>
    <w:rsid w:val="004949BA"/>
    <w:rsid w:val="0049620D"/>
    <w:rsid w:val="00497F06"/>
    <w:rsid w:val="004A04CD"/>
    <w:rsid w:val="004A1C76"/>
    <w:rsid w:val="004A5F4B"/>
    <w:rsid w:val="004B235C"/>
    <w:rsid w:val="004B3BE1"/>
    <w:rsid w:val="004B4A4D"/>
    <w:rsid w:val="004B6EFC"/>
    <w:rsid w:val="004B72CD"/>
    <w:rsid w:val="004B796D"/>
    <w:rsid w:val="004C01C0"/>
    <w:rsid w:val="004C1466"/>
    <w:rsid w:val="004C1605"/>
    <w:rsid w:val="004C1FA3"/>
    <w:rsid w:val="004C54F3"/>
    <w:rsid w:val="004C684F"/>
    <w:rsid w:val="004C7741"/>
    <w:rsid w:val="004D0694"/>
    <w:rsid w:val="004D2976"/>
    <w:rsid w:val="004D2D66"/>
    <w:rsid w:val="004D3FB9"/>
    <w:rsid w:val="004D470F"/>
    <w:rsid w:val="004D4FAC"/>
    <w:rsid w:val="004D5B1A"/>
    <w:rsid w:val="004D6866"/>
    <w:rsid w:val="004D74AE"/>
    <w:rsid w:val="004E1175"/>
    <w:rsid w:val="004E697A"/>
    <w:rsid w:val="004E6F0A"/>
    <w:rsid w:val="004F380A"/>
    <w:rsid w:val="004F57E7"/>
    <w:rsid w:val="004F7A5C"/>
    <w:rsid w:val="005006AA"/>
    <w:rsid w:val="0050298E"/>
    <w:rsid w:val="005058BB"/>
    <w:rsid w:val="00507CF2"/>
    <w:rsid w:val="00511545"/>
    <w:rsid w:val="00514E04"/>
    <w:rsid w:val="0052113D"/>
    <w:rsid w:val="005223F0"/>
    <w:rsid w:val="0052304C"/>
    <w:rsid w:val="00523843"/>
    <w:rsid w:val="00524854"/>
    <w:rsid w:val="005267E0"/>
    <w:rsid w:val="00532217"/>
    <w:rsid w:val="00534C06"/>
    <w:rsid w:val="005357C7"/>
    <w:rsid w:val="00537E1E"/>
    <w:rsid w:val="00540841"/>
    <w:rsid w:val="00540876"/>
    <w:rsid w:val="005410F9"/>
    <w:rsid w:val="00541BE4"/>
    <w:rsid w:val="00543CC0"/>
    <w:rsid w:val="00543E31"/>
    <w:rsid w:val="00544AE1"/>
    <w:rsid w:val="005452AF"/>
    <w:rsid w:val="005504B3"/>
    <w:rsid w:val="00551635"/>
    <w:rsid w:val="00551770"/>
    <w:rsid w:val="00551D85"/>
    <w:rsid w:val="005523AE"/>
    <w:rsid w:val="00555568"/>
    <w:rsid w:val="005556FF"/>
    <w:rsid w:val="00556F01"/>
    <w:rsid w:val="00560863"/>
    <w:rsid w:val="00564660"/>
    <w:rsid w:val="00564F30"/>
    <w:rsid w:val="00564FD7"/>
    <w:rsid w:val="0056565D"/>
    <w:rsid w:val="005667A3"/>
    <w:rsid w:val="00567F72"/>
    <w:rsid w:val="00571F53"/>
    <w:rsid w:val="00576917"/>
    <w:rsid w:val="0058067D"/>
    <w:rsid w:val="00580D0F"/>
    <w:rsid w:val="0058283B"/>
    <w:rsid w:val="00584395"/>
    <w:rsid w:val="005868F6"/>
    <w:rsid w:val="00597709"/>
    <w:rsid w:val="00597ED5"/>
    <w:rsid w:val="005A06D1"/>
    <w:rsid w:val="005A0C4D"/>
    <w:rsid w:val="005A1FEE"/>
    <w:rsid w:val="005A236F"/>
    <w:rsid w:val="005A2787"/>
    <w:rsid w:val="005A5BE3"/>
    <w:rsid w:val="005A6157"/>
    <w:rsid w:val="005B02E4"/>
    <w:rsid w:val="005B139C"/>
    <w:rsid w:val="005B2072"/>
    <w:rsid w:val="005B3A53"/>
    <w:rsid w:val="005B61CC"/>
    <w:rsid w:val="005B76E1"/>
    <w:rsid w:val="005B7DEF"/>
    <w:rsid w:val="005C51E7"/>
    <w:rsid w:val="005C5843"/>
    <w:rsid w:val="005C78AC"/>
    <w:rsid w:val="005D00C9"/>
    <w:rsid w:val="005D1CF3"/>
    <w:rsid w:val="005D4029"/>
    <w:rsid w:val="005D4B21"/>
    <w:rsid w:val="005D57EF"/>
    <w:rsid w:val="005D72C4"/>
    <w:rsid w:val="005E170E"/>
    <w:rsid w:val="005E32F6"/>
    <w:rsid w:val="005E4DBF"/>
    <w:rsid w:val="005F1C39"/>
    <w:rsid w:val="005F4C61"/>
    <w:rsid w:val="005F6BD5"/>
    <w:rsid w:val="00600432"/>
    <w:rsid w:val="006008AE"/>
    <w:rsid w:val="00600FD0"/>
    <w:rsid w:val="00601E13"/>
    <w:rsid w:val="006060A1"/>
    <w:rsid w:val="006112B2"/>
    <w:rsid w:val="00611F13"/>
    <w:rsid w:val="006124BE"/>
    <w:rsid w:val="00612BA9"/>
    <w:rsid w:val="00613971"/>
    <w:rsid w:val="0061776F"/>
    <w:rsid w:val="00621104"/>
    <w:rsid w:val="00621781"/>
    <w:rsid w:val="006233E9"/>
    <w:rsid w:val="00624FC9"/>
    <w:rsid w:val="00625A98"/>
    <w:rsid w:val="00625CF3"/>
    <w:rsid w:val="00625F82"/>
    <w:rsid w:val="0062638D"/>
    <w:rsid w:val="00626403"/>
    <w:rsid w:val="00632C8A"/>
    <w:rsid w:val="00633255"/>
    <w:rsid w:val="00640853"/>
    <w:rsid w:val="006410C1"/>
    <w:rsid w:val="00641966"/>
    <w:rsid w:val="00641E5C"/>
    <w:rsid w:val="00642520"/>
    <w:rsid w:val="0064674D"/>
    <w:rsid w:val="00651780"/>
    <w:rsid w:val="0065436D"/>
    <w:rsid w:val="00654554"/>
    <w:rsid w:val="006545C3"/>
    <w:rsid w:val="00655895"/>
    <w:rsid w:val="00655A14"/>
    <w:rsid w:val="006566EC"/>
    <w:rsid w:val="0066349A"/>
    <w:rsid w:val="00664E33"/>
    <w:rsid w:val="00664E9A"/>
    <w:rsid w:val="006668F6"/>
    <w:rsid w:val="00666F95"/>
    <w:rsid w:val="00667F46"/>
    <w:rsid w:val="00670F4E"/>
    <w:rsid w:val="006712DF"/>
    <w:rsid w:val="00675199"/>
    <w:rsid w:val="00677625"/>
    <w:rsid w:val="00681BA9"/>
    <w:rsid w:val="0068311B"/>
    <w:rsid w:val="00683AF9"/>
    <w:rsid w:val="00685638"/>
    <w:rsid w:val="00686178"/>
    <w:rsid w:val="00687CBC"/>
    <w:rsid w:val="00690125"/>
    <w:rsid w:val="00690F4C"/>
    <w:rsid w:val="006910D7"/>
    <w:rsid w:val="00692E91"/>
    <w:rsid w:val="006943C1"/>
    <w:rsid w:val="00695642"/>
    <w:rsid w:val="006963CF"/>
    <w:rsid w:val="00696A3B"/>
    <w:rsid w:val="006A2FF4"/>
    <w:rsid w:val="006A3EAF"/>
    <w:rsid w:val="006A4862"/>
    <w:rsid w:val="006A4B49"/>
    <w:rsid w:val="006B4A09"/>
    <w:rsid w:val="006B557F"/>
    <w:rsid w:val="006B6D21"/>
    <w:rsid w:val="006C5561"/>
    <w:rsid w:val="006C7731"/>
    <w:rsid w:val="006D03F4"/>
    <w:rsid w:val="006D4124"/>
    <w:rsid w:val="006E2283"/>
    <w:rsid w:val="006E674B"/>
    <w:rsid w:val="006E7DB1"/>
    <w:rsid w:val="006F01AC"/>
    <w:rsid w:val="006F0877"/>
    <w:rsid w:val="006F1B53"/>
    <w:rsid w:val="006F21C2"/>
    <w:rsid w:val="006F22EA"/>
    <w:rsid w:val="006F2E34"/>
    <w:rsid w:val="006F6518"/>
    <w:rsid w:val="006F6D61"/>
    <w:rsid w:val="007101AB"/>
    <w:rsid w:val="0071118D"/>
    <w:rsid w:val="00712305"/>
    <w:rsid w:val="00712DE7"/>
    <w:rsid w:val="00713D14"/>
    <w:rsid w:val="00713D38"/>
    <w:rsid w:val="00720910"/>
    <w:rsid w:val="007215B1"/>
    <w:rsid w:val="0072315A"/>
    <w:rsid w:val="0072560C"/>
    <w:rsid w:val="00725941"/>
    <w:rsid w:val="00725C69"/>
    <w:rsid w:val="00727054"/>
    <w:rsid w:val="007301E1"/>
    <w:rsid w:val="00732BF6"/>
    <w:rsid w:val="007333C0"/>
    <w:rsid w:val="00734E7F"/>
    <w:rsid w:val="00741665"/>
    <w:rsid w:val="007431E9"/>
    <w:rsid w:val="007445C3"/>
    <w:rsid w:val="00747E6A"/>
    <w:rsid w:val="00752A9F"/>
    <w:rsid w:val="00753FDB"/>
    <w:rsid w:val="007576AA"/>
    <w:rsid w:val="00761B8D"/>
    <w:rsid w:val="00762188"/>
    <w:rsid w:val="007632B6"/>
    <w:rsid w:val="007662D7"/>
    <w:rsid w:val="00766301"/>
    <w:rsid w:val="007668E6"/>
    <w:rsid w:val="007717CD"/>
    <w:rsid w:val="0077211E"/>
    <w:rsid w:val="0077532D"/>
    <w:rsid w:val="00776449"/>
    <w:rsid w:val="00776F73"/>
    <w:rsid w:val="00777476"/>
    <w:rsid w:val="00781CD1"/>
    <w:rsid w:val="00782C02"/>
    <w:rsid w:val="007847FF"/>
    <w:rsid w:val="00784E0C"/>
    <w:rsid w:val="00785933"/>
    <w:rsid w:val="00790707"/>
    <w:rsid w:val="0079191C"/>
    <w:rsid w:val="0079276D"/>
    <w:rsid w:val="00792AD2"/>
    <w:rsid w:val="007936B3"/>
    <w:rsid w:val="007937A3"/>
    <w:rsid w:val="00793F18"/>
    <w:rsid w:val="0079550B"/>
    <w:rsid w:val="00796D6D"/>
    <w:rsid w:val="00796EC8"/>
    <w:rsid w:val="00797415"/>
    <w:rsid w:val="0079751B"/>
    <w:rsid w:val="007A5AA5"/>
    <w:rsid w:val="007A5D09"/>
    <w:rsid w:val="007A6A27"/>
    <w:rsid w:val="007A7129"/>
    <w:rsid w:val="007B01CE"/>
    <w:rsid w:val="007B1700"/>
    <w:rsid w:val="007B1A66"/>
    <w:rsid w:val="007B3521"/>
    <w:rsid w:val="007B49CF"/>
    <w:rsid w:val="007B64F8"/>
    <w:rsid w:val="007C1D68"/>
    <w:rsid w:val="007C43CF"/>
    <w:rsid w:val="007C49AD"/>
    <w:rsid w:val="007C6861"/>
    <w:rsid w:val="007D05C6"/>
    <w:rsid w:val="007D3DF7"/>
    <w:rsid w:val="007E0665"/>
    <w:rsid w:val="007E0835"/>
    <w:rsid w:val="007E5AD0"/>
    <w:rsid w:val="007F0271"/>
    <w:rsid w:val="007F0752"/>
    <w:rsid w:val="007F0EEA"/>
    <w:rsid w:val="007F25A4"/>
    <w:rsid w:val="007F30D2"/>
    <w:rsid w:val="007F5954"/>
    <w:rsid w:val="007F7BE4"/>
    <w:rsid w:val="00801486"/>
    <w:rsid w:val="008016AF"/>
    <w:rsid w:val="008020F6"/>
    <w:rsid w:val="008036F0"/>
    <w:rsid w:val="008037E8"/>
    <w:rsid w:val="008046F1"/>
    <w:rsid w:val="00804C02"/>
    <w:rsid w:val="008060B7"/>
    <w:rsid w:val="00806221"/>
    <w:rsid w:val="008149FB"/>
    <w:rsid w:val="0081521D"/>
    <w:rsid w:val="008174E5"/>
    <w:rsid w:val="00817945"/>
    <w:rsid w:val="00817B44"/>
    <w:rsid w:val="008217E3"/>
    <w:rsid w:val="00823A77"/>
    <w:rsid w:val="00825247"/>
    <w:rsid w:val="00825405"/>
    <w:rsid w:val="008267B4"/>
    <w:rsid w:val="0083138A"/>
    <w:rsid w:val="00831EAF"/>
    <w:rsid w:val="008327BA"/>
    <w:rsid w:val="00834EAE"/>
    <w:rsid w:val="0084253B"/>
    <w:rsid w:val="008427A8"/>
    <w:rsid w:val="00843174"/>
    <w:rsid w:val="00843B09"/>
    <w:rsid w:val="00844248"/>
    <w:rsid w:val="00844471"/>
    <w:rsid w:val="008452AA"/>
    <w:rsid w:val="008463E7"/>
    <w:rsid w:val="008506AB"/>
    <w:rsid w:val="00851884"/>
    <w:rsid w:val="00860455"/>
    <w:rsid w:val="00860570"/>
    <w:rsid w:val="00863205"/>
    <w:rsid w:val="00866256"/>
    <w:rsid w:val="008663FF"/>
    <w:rsid w:val="00873A58"/>
    <w:rsid w:val="0087461D"/>
    <w:rsid w:val="0087495F"/>
    <w:rsid w:val="0087622C"/>
    <w:rsid w:val="00877597"/>
    <w:rsid w:val="00881F01"/>
    <w:rsid w:val="00891FB3"/>
    <w:rsid w:val="008927F9"/>
    <w:rsid w:val="0089313D"/>
    <w:rsid w:val="00893E1D"/>
    <w:rsid w:val="00894165"/>
    <w:rsid w:val="0089436B"/>
    <w:rsid w:val="00894D16"/>
    <w:rsid w:val="00895645"/>
    <w:rsid w:val="00895670"/>
    <w:rsid w:val="0089743F"/>
    <w:rsid w:val="00897F28"/>
    <w:rsid w:val="008A0EDA"/>
    <w:rsid w:val="008A0FCB"/>
    <w:rsid w:val="008A1F16"/>
    <w:rsid w:val="008A351F"/>
    <w:rsid w:val="008A6C30"/>
    <w:rsid w:val="008B04B2"/>
    <w:rsid w:val="008B04F4"/>
    <w:rsid w:val="008B0F46"/>
    <w:rsid w:val="008B1587"/>
    <w:rsid w:val="008B3F53"/>
    <w:rsid w:val="008B4473"/>
    <w:rsid w:val="008B574A"/>
    <w:rsid w:val="008B710D"/>
    <w:rsid w:val="008C05F7"/>
    <w:rsid w:val="008C1B1F"/>
    <w:rsid w:val="008C33E1"/>
    <w:rsid w:val="008C359E"/>
    <w:rsid w:val="008C3603"/>
    <w:rsid w:val="008C4B1F"/>
    <w:rsid w:val="008C6228"/>
    <w:rsid w:val="008C688F"/>
    <w:rsid w:val="008D00BA"/>
    <w:rsid w:val="008D1A19"/>
    <w:rsid w:val="008D3CAB"/>
    <w:rsid w:val="008D5F48"/>
    <w:rsid w:val="008D75D1"/>
    <w:rsid w:val="008E0AA5"/>
    <w:rsid w:val="008E2436"/>
    <w:rsid w:val="008E2636"/>
    <w:rsid w:val="008E2942"/>
    <w:rsid w:val="008E2FFB"/>
    <w:rsid w:val="008E3CED"/>
    <w:rsid w:val="008E6329"/>
    <w:rsid w:val="008E6BC1"/>
    <w:rsid w:val="008F2378"/>
    <w:rsid w:val="008F2F3F"/>
    <w:rsid w:val="008F3518"/>
    <w:rsid w:val="00900408"/>
    <w:rsid w:val="00900F58"/>
    <w:rsid w:val="0090195C"/>
    <w:rsid w:val="00903431"/>
    <w:rsid w:val="00905353"/>
    <w:rsid w:val="00905446"/>
    <w:rsid w:val="009146AC"/>
    <w:rsid w:val="00914CE1"/>
    <w:rsid w:val="00915428"/>
    <w:rsid w:val="009202D9"/>
    <w:rsid w:val="009210B1"/>
    <w:rsid w:val="00922162"/>
    <w:rsid w:val="00922945"/>
    <w:rsid w:val="00923368"/>
    <w:rsid w:val="00923811"/>
    <w:rsid w:val="009270E3"/>
    <w:rsid w:val="009337BD"/>
    <w:rsid w:val="00935AC0"/>
    <w:rsid w:val="00935E14"/>
    <w:rsid w:val="00942525"/>
    <w:rsid w:val="0094600C"/>
    <w:rsid w:val="0095093E"/>
    <w:rsid w:val="00952737"/>
    <w:rsid w:val="009530D5"/>
    <w:rsid w:val="0095331D"/>
    <w:rsid w:val="00953B37"/>
    <w:rsid w:val="00957835"/>
    <w:rsid w:val="00960409"/>
    <w:rsid w:val="009645B0"/>
    <w:rsid w:val="00966138"/>
    <w:rsid w:val="00966ECA"/>
    <w:rsid w:val="00970B59"/>
    <w:rsid w:val="009716CC"/>
    <w:rsid w:val="00971974"/>
    <w:rsid w:val="00972725"/>
    <w:rsid w:val="00973349"/>
    <w:rsid w:val="00973B29"/>
    <w:rsid w:val="00974A89"/>
    <w:rsid w:val="00975F26"/>
    <w:rsid w:val="00976A28"/>
    <w:rsid w:val="00981853"/>
    <w:rsid w:val="00981B8C"/>
    <w:rsid w:val="00985AEA"/>
    <w:rsid w:val="00986366"/>
    <w:rsid w:val="00986B29"/>
    <w:rsid w:val="00987C04"/>
    <w:rsid w:val="00987EDC"/>
    <w:rsid w:val="0099081A"/>
    <w:rsid w:val="00990DBB"/>
    <w:rsid w:val="00992E8B"/>
    <w:rsid w:val="009942DA"/>
    <w:rsid w:val="00994FB2"/>
    <w:rsid w:val="00996727"/>
    <w:rsid w:val="009A07A6"/>
    <w:rsid w:val="009A2BC3"/>
    <w:rsid w:val="009A34AE"/>
    <w:rsid w:val="009A4E66"/>
    <w:rsid w:val="009A5A06"/>
    <w:rsid w:val="009A5CE7"/>
    <w:rsid w:val="009A5CFD"/>
    <w:rsid w:val="009A7A48"/>
    <w:rsid w:val="009B0055"/>
    <w:rsid w:val="009B3020"/>
    <w:rsid w:val="009B430B"/>
    <w:rsid w:val="009B4852"/>
    <w:rsid w:val="009B4A37"/>
    <w:rsid w:val="009C0A19"/>
    <w:rsid w:val="009C0FBB"/>
    <w:rsid w:val="009C1982"/>
    <w:rsid w:val="009C2E46"/>
    <w:rsid w:val="009C3BCB"/>
    <w:rsid w:val="009C48CA"/>
    <w:rsid w:val="009C4CE7"/>
    <w:rsid w:val="009C5233"/>
    <w:rsid w:val="009C6096"/>
    <w:rsid w:val="009C618C"/>
    <w:rsid w:val="009D08C6"/>
    <w:rsid w:val="009D09D3"/>
    <w:rsid w:val="009D1FF2"/>
    <w:rsid w:val="009D2309"/>
    <w:rsid w:val="009D410C"/>
    <w:rsid w:val="009D4314"/>
    <w:rsid w:val="009D466A"/>
    <w:rsid w:val="009D58D0"/>
    <w:rsid w:val="009E0D77"/>
    <w:rsid w:val="009E0E3C"/>
    <w:rsid w:val="009E361A"/>
    <w:rsid w:val="009E5176"/>
    <w:rsid w:val="009E6B30"/>
    <w:rsid w:val="009F08BE"/>
    <w:rsid w:val="009F0E95"/>
    <w:rsid w:val="009F1584"/>
    <w:rsid w:val="009F4C01"/>
    <w:rsid w:val="009F4E06"/>
    <w:rsid w:val="00A01016"/>
    <w:rsid w:val="00A01680"/>
    <w:rsid w:val="00A05215"/>
    <w:rsid w:val="00A06C4D"/>
    <w:rsid w:val="00A133CC"/>
    <w:rsid w:val="00A17D37"/>
    <w:rsid w:val="00A2204D"/>
    <w:rsid w:val="00A22584"/>
    <w:rsid w:val="00A2337D"/>
    <w:rsid w:val="00A2652D"/>
    <w:rsid w:val="00A302B6"/>
    <w:rsid w:val="00A32C14"/>
    <w:rsid w:val="00A33F7A"/>
    <w:rsid w:val="00A353C0"/>
    <w:rsid w:val="00A37906"/>
    <w:rsid w:val="00A41F1D"/>
    <w:rsid w:val="00A44433"/>
    <w:rsid w:val="00A4598A"/>
    <w:rsid w:val="00A46678"/>
    <w:rsid w:val="00A505AE"/>
    <w:rsid w:val="00A51856"/>
    <w:rsid w:val="00A5199A"/>
    <w:rsid w:val="00A528E4"/>
    <w:rsid w:val="00A54D99"/>
    <w:rsid w:val="00A5537B"/>
    <w:rsid w:val="00A55506"/>
    <w:rsid w:val="00A5610C"/>
    <w:rsid w:val="00A57324"/>
    <w:rsid w:val="00A575AA"/>
    <w:rsid w:val="00A60EA7"/>
    <w:rsid w:val="00A67AF6"/>
    <w:rsid w:val="00A71E56"/>
    <w:rsid w:val="00A73A31"/>
    <w:rsid w:val="00A7415A"/>
    <w:rsid w:val="00A75641"/>
    <w:rsid w:val="00A757E0"/>
    <w:rsid w:val="00A760CF"/>
    <w:rsid w:val="00A803A2"/>
    <w:rsid w:val="00A81E35"/>
    <w:rsid w:val="00A82688"/>
    <w:rsid w:val="00A82972"/>
    <w:rsid w:val="00A834C8"/>
    <w:rsid w:val="00A8750D"/>
    <w:rsid w:val="00A90339"/>
    <w:rsid w:val="00A93FE5"/>
    <w:rsid w:val="00AA4DC7"/>
    <w:rsid w:val="00AA6E71"/>
    <w:rsid w:val="00AA7BE7"/>
    <w:rsid w:val="00AB020C"/>
    <w:rsid w:val="00AB2338"/>
    <w:rsid w:val="00AC0008"/>
    <w:rsid w:val="00AC0E03"/>
    <w:rsid w:val="00AC1392"/>
    <w:rsid w:val="00AC53FF"/>
    <w:rsid w:val="00AC6F21"/>
    <w:rsid w:val="00AD2391"/>
    <w:rsid w:val="00AD3340"/>
    <w:rsid w:val="00AD6000"/>
    <w:rsid w:val="00AD61B3"/>
    <w:rsid w:val="00AE2077"/>
    <w:rsid w:val="00AE2772"/>
    <w:rsid w:val="00AE3F7D"/>
    <w:rsid w:val="00AE5168"/>
    <w:rsid w:val="00AF1436"/>
    <w:rsid w:val="00AF1F00"/>
    <w:rsid w:val="00AF4B3E"/>
    <w:rsid w:val="00AF6590"/>
    <w:rsid w:val="00AF7720"/>
    <w:rsid w:val="00B011DE"/>
    <w:rsid w:val="00B0441D"/>
    <w:rsid w:val="00B0469D"/>
    <w:rsid w:val="00B07D3F"/>
    <w:rsid w:val="00B1002D"/>
    <w:rsid w:val="00B1188A"/>
    <w:rsid w:val="00B137A9"/>
    <w:rsid w:val="00B175AC"/>
    <w:rsid w:val="00B17EE2"/>
    <w:rsid w:val="00B21BB3"/>
    <w:rsid w:val="00B21FBC"/>
    <w:rsid w:val="00B235B4"/>
    <w:rsid w:val="00B31CB7"/>
    <w:rsid w:val="00B32010"/>
    <w:rsid w:val="00B32B35"/>
    <w:rsid w:val="00B335E3"/>
    <w:rsid w:val="00B35EAF"/>
    <w:rsid w:val="00B35EC1"/>
    <w:rsid w:val="00B3708B"/>
    <w:rsid w:val="00B40C2E"/>
    <w:rsid w:val="00B41C10"/>
    <w:rsid w:val="00B42CB1"/>
    <w:rsid w:val="00B45FC6"/>
    <w:rsid w:val="00B4716C"/>
    <w:rsid w:val="00B513E1"/>
    <w:rsid w:val="00B52666"/>
    <w:rsid w:val="00B53433"/>
    <w:rsid w:val="00B60EFA"/>
    <w:rsid w:val="00B62EFC"/>
    <w:rsid w:val="00B634FF"/>
    <w:rsid w:val="00B6380B"/>
    <w:rsid w:val="00B65FD5"/>
    <w:rsid w:val="00B70EF6"/>
    <w:rsid w:val="00B73919"/>
    <w:rsid w:val="00B7396C"/>
    <w:rsid w:val="00B74676"/>
    <w:rsid w:val="00B75471"/>
    <w:rsid w:val="00B7626B"/>
    <w:rsid w:val="00B809FD"/>
    <w:rsid w:val="00B80E7B"/>
    <w:rsid w:val="00B82CB2"/>
    <w:rsid w:val="00B8481D"/>
    <w:rsid w:val="00B8584A"/>
    <w:rsid w:val="00B86A2F"/>
    <w:rsid w:val="00B87528"/>
    <w:rsid w:val="00B912A1"/>
    <w:rsid w:val="00B917FA"/>
    <w:rsid w:val="00B920DE"/>
    <w:rsid w:val="00B92249"/>
    <w:rsid w:val="00B92390"/>
    <w:rsid w:val="00B92524"/>
    <w:rsid w:val="00B949BB"/>
    <w:rsid w:val="00B961B4"/>
    <w:rsid w:val="00BA03BD"/>
    <w:rsid w:val="00BA0BF2"/>
    <w:rsid w:val="00BA1558"/>
    <w:rsid w:val="00BA263B"/>
    <w:rsid w:val="00BA59D6"/>
    <w:rsid w:val="00BA6240"/>
    <w:rsid w:val="00BB00BB"/>
    <w:rsid w:val="00BB2D58"/>
    <w:rsid w:val="00BB505E"/>
    <w:rsid w:val="00BC023B"/>
    <w:rsid w:val="00BC09B7"/>
    <w:rsid w:val="00BC4579"/>
    <w:rsid w:val="00BC46F1"/>
    <w:rsid w:val="00BC628D"/>
    <w:rsid w:val="00BC6C8C"/>
    <w:rsid w:val="00BC7F6F"/>
    <w:rsid w:val="00BD0B1C"/>
    <w:rsid w:val="00BD237F"/>
    <w:rsid w:val="00BD27F4"/>
    <w:rsid w:val="00BD2B93"/>
    <w:rsid w:val="00BD5910"/>
    <w:rsid w:val="00BD5A2D"/>
    <w:rsid w:val="00BD792F"/>
    <w:rsid w:val="00BD7F16"/>
    <w:rsid w:val="00BE334C"/>
    <w:rsid w:val="00BE69AC"/>
    <w:rsid w:val="00BF06DF"/>
    <w:rsid w:val="00BF145F"/>
    <w:rsid w:val="00BF61BA"/>
    <w:rsid w:val="00BF7D43"/>
    <w:rsid w:val="00C03D2A"/>
    <w:rsid w:val="00C03F11"/>
    <w:rsid w:val="00C04E0F"/>
    <w:rsid w:val="00C05732"/>
    <w:rsid w:val="00C0641E"/>
    <w:rsid w:val="00C067E5"/>
    <w:rsid w:val="00C106B5"/>
    <w:rsid w:val="00C1278E"/>
    <w:rsid w:val="00C13FDF"/>
    <w:rsid w:val="00C15CE2"/>
    <w:rsid w:val="00C16BDC"/>
    <w:rsid w:val="00C16D3B"/>
    <w:rsid w:val="00C23326"/>
    <w:rsid w:val="00C25D7F"/>
    <w:rsid w:val="00C26E5A"/>
    <w:rsid w:val="00C27F3D"/>
    <w:rsid w:val="00C30EBA"/>
    <w:rsid w:val="00C3114F"/>
    <w:rsid w:val="00C3125E"/>
    <w:rsid w:val="00C331C4"/>
    <w:rsid w:val="00C3378D"/>
    <w:rsid w:val="00C352BE"/>
    <w:rsid w:val="00C3658E"/>
    <w:rsid w:val="00C37B3D"/>
    <w:rsid w:val="00C40C90"/>
    <w:rsid w:val="00C40D44"/>
    <w:rsid w:val="00C4257D"/>
    <w:rsid w:val="00C43E0E"/>
    <w:rsid w:val="00C45CC1"/>
    <w:rsid w:val="00C51A32"/>
    <w:rsid w:val="00C55488"/>
    <w:rsid w:val="00C5586E"/>
    <w:rsid w:val="00C62076"/>
    <w:rsid w:val="00C66A42"/>
    <w:rsid w:val="00C70440"/>
    <w:rsid w:val="00C72F8B"/>
    <w:rsid w:val="00C7332B"/>
    <w:rsid w:val="00C74E80"/>
    <w:rsid w:val="00C81E2E"/>
    <w:rsid w:val="00C82B7D"/>
    <w:rsid w:val="00C83C55"/>
    <w:rsid w:val="00C84C38"/>
    <w:rsid w:val="00C869FA"/>
    <w:rsid w:val="00C87D04"/>
    <w:rsid w:val="00C90F6B"/>
    <w:rsid w:val="00C914A3"/>
    <w:rsid w:val="00C918C8"/>
    <w:rsid w:val="00C93D3E"/>
    <w:rsid w:val="00C93FB0"/>
    <w:rsid w:val="00C96816"/>
    <w:rsid w:val="00CA04EE"/>
    <w:rsid w:val="00CA2D12"/>
    <w:rsid w:val="00CA4B99"/>
    <w:rsid w:val="00CA5061"/>
    <w:rsid w:val="00CA5810"/>
    <w:rsid w:val="00CB0271"/>
    <w:rsid w:val="00CB19F4"/>
    <w:rsid w:val="00CB1D43"/>
    <w:rsid w:val="00CB21AE"/>
    <w:rsid w:val="00CB2721"/>
    <w:rsid w:val="00CB28F9"/>
    <w:rsid w:val="00CB38AC"/>
    <w:rsid w:val="00CB4C66"/>
    <w:rsid w:val="00CC0A0A"/>
    <w:rsid w:val="00CC2B1A"/>
    <w:rsid w:val="00CC3BC9"/>
    <w:rsid w:val="00CC4171"/>
    <w:rsid w:val="00CC4505"/>
    <w:rsid w:val="00CC4F1C"/>
    <w:rsid w:val="00CC5C59"/>
    <w:rsid w:val="00CC6618"/>
    <w:rsid w:val="00CC6914"/>
    <w:rsid w:val="00CC6A24"/>
    <w:rsid w:val="00CD1F3E"/>
    <w:rsid w:val="00CD225C"/>
    <w:rsid w:val="00CD28FF"/>
    <w:rsid w:val="00CD2BA0"/>
    <w:rsid w:val="00CE0378"/>
    <w:rsid w:val="00CE0DB4"/>
    <w:rsid w:val="00CE14E2"/>
    <w:rsid w:val="00CE4062"/>
    <w:rsid w:val="00CE49A0"/>
    <w:rsid w:val="00CE530C"/>
    <w:rsid w:val="00CE67EE"/>
    <w:rsid w:val="00CE6AE5"/>
    <w:rsid w:val="00CF0E0A"/>
    <w:rsid w:val="00CF4692"/>
    <w:rsid w:val="00CF4B6D"/>
    <w:rsid w:val="00CF503A"/>
    <w:rsid w:val="00CF5100"/>
    <w:rsid w:val="00CF566E"/>
    <w:rsid w:val="00CF5F58"/>
    <w:rsid w:val="00CF78E3"/>
    <w:rsid w:val="00D00450"/>
    <w:rsid w:val="00D025BB"/>
    <w:rsid w:val="00D063CF"/>
    <w:rsid w:val="00D11012"/>
    <w:rsid w:val="00D1123D"/>
    <w:rsid w:val="00D14E2B"/>
    <w:rsid w:val="00D2094B"/>
    <w:rsid w:val="00D209EE"/>
    <w:rsid w:val="00D20D8E"/>
    <w:rsid w:val="00D216CD"/>
    <w:rsid w:val="00D22D64"/>
    <w:rsid w:val="00D23A95"/>
    <w:rsid w:val="00D23EF6"/>
    <w:rsid w:val="00D257EE"/>
    <w:rsid w:val="00D26789"/>
    <w:rsid w:val="00D30284"/>
    <w:rsid w:val="00D30D63"/>
    <w:rsid w:val="00D31BF7"/>
    <w:rsid w:val="00D356F9"/>
    <w:rsid w:val="00D36B38"/>
    <w:rsid w:val="00D40627"/>
    <w:rsid w:val="00D42553"/>
    <w:rsid w:val="00D429A0"/>
    <w:rsid w:val="00D43330"/>
    <w:rsid w:val="00D44B8C"/>
    <w:rsid w:val="00D44E54"/>
    <w:rsid w:val="00D45546"/>
    <w:rsid w:val="00D45BD4"/>
    <w:rsid w:val="00D51A17"/>
    <w:rsid w:val="00D51B56"/>
    <w:rsid w:val="00D54BDE"/>
    <w:rsid w:val="00D55A6B"/>
    <w:rsid w:val="00D55F72"/>
    <w:rsid w:val="00D564F2"/>
    <w:rsid w:val="00D56887"/>
    <w:rsid w:val="00D56F77"/>
    <w:rsid w:val="00D575AD"/>
    <w:rsid w:val="00D57F6F"/>
    <w:rsid w:val="00D60C26"/>
    <w:rsid w:val="00D6213C"/>
    <w:rsid w:val="00D62AC0"/>
    <w:rsid w:val="00D63A03"/>
    <w:rsid w:val="00D705F4"/>
    <w:rsid w:val="00D71034"/>
    <w:rsid w:val="00D71980"/>
    <w:rsid w:val="00D7257B"/>
    <w:rsid w:val="00D73E3E"/>
    <w:rsid w:val="00D74FFE"/>
    <w:rsid w:val="00D76193"/>
    <w:rsid w:val="00D775E9"/>
    <w:rsid w:val="00D77BD0"/>
    <w:rsid w:val="00D81937"/>
    <w:rsid w:val="00D822A6"/>
    <w:rsid w:val="00D8305B"/>
    <w:rsid w:val="00D86C9A"/>
    <w:rsid w:val="00D90266"/>
    <w:rsid w:val="00D95C5C"/>
    <w:rsid w:val="00D967B4"/>
    <w:rsid w:val="00DA6C2A"/>
    <w:rsid w:val="00DB0AC1"/>
    <w:rsid w:val="00DB1B11"/>
    <w:rsid w:val="00DC0C4F"/>
    <w:rsid w:val="00DC41E3"/>
    <w:rsid w:val="00DC5EF3"/>
    <w:rsid w:val="00DC7CE8"/>
    <w:rsid w:val="00DD0ECD"/>
    <w:rsid w:val="00DD1B15"/>
    <w:rsid w:val="00DD44F2"/>
    <w:rsid w:val="00DE69DD"/>
    <w:rsid w:val="00DF1441"/>
    <w:rsid w:val="00DF24F7"/>
    <w:rsid w:val="00DF37BD"/>
    <w:rsid w:val="00DF512A"/>
    <w:rsid w:val="00DF5E46"/>
    <w:rsid w:val="00DF65BB"/>
    <w:rsid w:val="00DF7309"/>
    <w:rsid w:val="00E02AC5"/>
    <w:rsid w:val="00E033C7"/>
    <w:rsid w:val="00E062DB"/>
    <w:rsid w:val="00E10A3E"/>
    <w:rsid w:val="00E224DE"/>
    <w:rsid w:val="00E252ED"/>
    <w:rsid w:val="00E27880"/>
    <w:rsid w:val="00E30371"/>
    <w:rsid w:val="00E3233E"/>
    <w:rsid w:val="00E335FC"/>
    <w:rsid w:val="00E36BC6"/>
    <w:rsid w:val="00E36EC2"/>
    <w:rsid w:val="00E4148B"/>
    <w:rsid w:val="00E428D8"/>
    <w:rsid w:val="00E44519"/>
    <w:rsid w:val="00E44AC7"/>
    <w:rsid w:val="00E45E4D"/>
    <w:rsid w:val="00E47A08"/>
    <w:rsid w:val="00E47D3C"/>
    <w:rsid w:val="00E50915"/>
    <w:rsid w:val="00E50983"/>
    <w:rsid w:val="00E52C47"/>
    <w:rsid w:val="00E5331D"/>
    <w:rsid w:val="00E5472F"/>
    <w:rsid w:val="00E55B22"/>
    <w:rsid w:val="00E56CE3"/>
    <w:rsid w:val="00E57D5A"/>
    <w:rsid w:val="00E61822"/>
    <w:rsid w:val="00E623A8"/>
    <w:rsid w:val="00E63D1B"/>
    <w:rsid w:val="00E63FF5"/>
    <w:rsid w:val="00E64213"/>
    <w:rsid w:val="00E70298"/>
    <w:rsid w:val="00E71617"/>
    <w:rsid w:val="00E72D68"/>
    <w:rsid w:val="00E76338"/>
    <w:rsid w:val="00E80BA4"/>
    <w:rsid w:val="00E815B8"/>
    <w:rsid w:val="00E816B8"/>
    <w:rsid w:val="00E831E9"/>
    <w:rsid w:val="00E85828"/>
    <w:rsid w:val="00E86071"/>
    <w:rsid w:val="00E87A84"/>
    <w:rsid w:val="00E90CBA"/>
    <w:rsid w:val="00E92594"/>
    <w:rsid w:val="00E94694"/>
    <w:rsid w:val="00E95306"/>
    <w:rsid w:val="00E961D0"/>
    <w:rsid w:val="00E97291"/>
    <w:rsid w:val="00E977ED"/>
    <w:rsid w:val="00E979C9"/>
    <w:rsid w:val="00EA190B"/>
    <w:rsid w:val="00EA3533"/>
    <w:rsid w:val="00EA4139"/>
    <w:rsid w:val="00EA4D1B"/>
    <w:rsid w:val="00EA6922"/>
    <w:rsid w:val="00EA6A17"/>
    <w:rsid w:val="00EB2774"/>
    <w:rsid w:val="00EB3250"/>
    <w:rsid w:val="00EB59E1"/>
    <w:rsid w:val="00EB61CF"/>
    <w:rsid w:val="00EC0A28"/>
    <w:rsid w:val="00EC1D0A"/>
    <w:rsid w:val="00EC1E95"/>
    <w:rsid w:val="00EC3525"/>
    <w:rsid w:val="00EC65EC"/>
    <w:rsid w:val="00ED38D0"/>
    <w:rsid w:val="00ED6C6B"/>
    <w:rsid w:val="00ED78F5"/>
    <w:rsid w:val="00ED7CBC"/>
    <w:rsid w:val="00EE02FE"/>
    <w:rsid w:val="00EE03E9"/>
    <w:rsid w:val="00EE196F"/>
    <w:rsid w:val="00EE5842"/>
    <w:rsid w:val="00EE5B9D"/>
    <w:rsid w:val="00EE7512"/>
    <w:rsid w:val="00EE7E74"/>
    <w:rsid w:val="00EF018F"/>
    <w:rsid w:val="00EF0AC0"/>
    <w:rsid w:val="00EF1452"/>
    <w:rsid w:val="00EF35BA"/>
    <w:rsid w:val="00EF3EF2"/>
    <w:rsid w:val="00EF4E51"/>
    <w:rsid w:val="00EF7B97"/>
    <w:rsid w:val="00F00ED3"/>
    <w:rsid w:val="00F01CF2"/>
    <w:rsid w:val="00F0201F"/>
    <w:rsid w:val="00F02158"/>
    <w:rsid w:val="00F040A1"/>
    <w:rsid w:val="00F0533E"/>
    <w:rsid w:val="00F06D23"/>
    <w:rsid w:val="00F06FEA"/>
    <w:rsid w:val="00F072D4"/>
    <w:rsid w:val="00F07B39"/>
    <w:rsid w:val="00F10063"/>
    <w:rsid w:val="00F10FC4"/>
    <w:rsid w:val="00F11654"/>
    <w:rsid w:val="00F14479"/>
    <w:rsid w:val="00F225CD"/>
    <w:rsid w:val="00F23A62"/>
    <w:rsid w:val="00F23FF8"/>
    <w:rsid w:val="00F2402C"/>
    <w:rsid w:val="00F24164"/>
    <w:rsid w:val="00F24A85"/>
    <w:rsid w:val="00F24FCE"/>
    <w:rsid w:val="00F26120"/>
    <w:rsid w:val="00F2708C"/>
    <w:rsid w:val="00F31BB4"/>
    <w:rsid w:val="00F3237E"/>
    <w:rsid w:val="00F32912"/>
    <w:rsid w:val="00F32A15"/>
    <w:rsid w:val="00F32CF7"/>
    <w:rsid w:val="00F37638"/>
    <w:rsid w:val="00F40538"/>
    <w:rsid w:val="00F41A5F"/>
    <w:rsid w:val="00F42C14"/>
    <w:rsid w:val="00F4412C"/>
    <w:rsid w:val="00F44376"/>
    <w:rsid w:val="00F44A94"/>
    <w:rsid w:val="00F47875"/>
    <w:rsid w:val="00F512CE"/>
    <w:rsid w:val="00F53F98"/>
    <w:rsid w:val="00F54AB1"/>
    <w:rsid w:val="00F56FD6"/>
    <w:rsid w:val="00F73E12"/>
    <w:rsid w:val="00F8266D"/>
    <w:rsid w:val="00F826EE"/>
    <w:rsid w:val="00F84A4E"/>
    <w:rsid w:val="00F87A6B"/>
    <w:rsid w:val="00F90B85"/>
    <w:rsid w:val="00F91DC1"/>
    <w:rsid w:val="00F93692"/>
    <w:rsid w:val="00F9590E"/>
    <w:rsid w:val="00F964D6"/>
    <w:rsid w:val="00F967C4"/>
    <w:rsid w:val="00F970A6"/>
    <w:rsid w:val="00FA00AA"/>
    <w:rsid w:val="00FA0BEB"/>
    <w:rsid w:val="00FA1330"/>
    <w:rsid w:val="00FA19EA"/>
    <w:rsid w:val="00FA30EA"/>
    <w:rsid w:val="00FA6339"/>
    <w:rsid w:val="00FA6C8D"/>
    <w:rsid w:val="00FB0C17"/>
    <w:rsid w:val="00FB0EA1"/>
    <w:rsid w:val="00FB12CD"/>
    <w:rsid w:val="00FB1F3E"/>
    <w:rsid w:val="00FB34CA"/>
    <w:rsid w:val="00FC1360"/>
    <w:rsid w:val="00FC294A"/>
    <w:rsid w:val="00FC484C"/>
    <w:rsid w:val="00FC4B27"/>
    <w:rsid w:val="00FC61AA"/>
    <w:rsid w:val="00FD0A6B"/>
    <w:rsid w:val="00FD4CAC"/>
    <w:rsid w:val="00FD55F3"/>
    <w:rsid w:val="00FE072B"/>
    <w:rsid w:val="00FE089B"/>
    <w:rsid w:val="00FE089C"/>
    <w:rsid w:val="00FE0E32"/>
    <w:rsid w:val="00FE2E8A"/>
    <w:rsid w:val="00FE38E1"/>
    <w:rsid w:val="00FE4A03"/>
    <w:rsid w:val="00FE5603"/>
    <w:rsid w:val="00FE6A57"/>
    <w:rsid w:val="00FF0EE6"/>
    <w:rsid w:val="00FF2667"/>
    <w:rsid w:val="00FF355E"/>
    <w:rsid w:val="00FF4915"/>
    <w:rsid w:val="05DEF743"/>
    <w:rsid w:val="06AF2FCA"/>
    <w:rsid w:val="084A35E2"/>
    <w:rsid w:val="0B41317A"/>
    <w:rsid w:val="0CD751C4"/>
    <w:rsid w:val="0EC5EB81"/>
    <w:rsid w:val="0F5502BD"/>
    <w:rsid w:val="107DE604"/>
    <w:rsid w:val="11982264"/>
    <w:rsid w:val="1308FCFF"/>
    <w:rsid w:val="13B0BCA9"/>
    <w:rsid w:val="13CB0BEA"/>
    <w:rsid w:val="156C7D36"/>
    <w:rsid w:val="24AE88FA"/>
    <w:rsid w:val="24C6896B"/>
    <w:rsid w:val="29525AB5"/>
    <w:rsid w:val="3054FFA1"/>
    <w:rsid w:val="3176FD89"/>
    <w:rsid w:val="366A22CE"/>
    <w:rsid w:val="39CD9222"/>
    <w:rsid w:val="3CCDE70C"/>
    <w:rsid w:val="3FD98A56"/>
    <w:rsid w:val="40798DB1"/>
    <w:rsid w:val="4143736D"/>
    <w:rsid w:val="512E5864"/>
    <w:rsid w:val="53590DD6"/>
    <w:rsid w:val="56A16B2B"/>
    <w:rsid w:val="58643073"/>
    <w:rsid w:val="58819EE2"/>
    <w:rsid w:val="590B1C01"/>
    <w:rsid w:val="5B5E622A"/>
    <w:rsid w:val="699007B7"/>
    <w:rsid w:val="6B370752"/>
    <w:rsid w:val="719BDA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AD0DC4"/>
  <w15:docId w15:val="{7194E892-269F-4F37-8D0A-D0158821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Header3"/>
    <w:next w:val="Normal"/>
    <w:link w:val="Heading2Char"/>
    <w:uiPriority w:val="9"/>
    <w:unhideWhenUsed/>
    <w:qFormat/>
    <w:rsid w:val="001C7450"/>
    <w:pPr>
      <w:outlineLvl w:val="1"/>
    </w:pPr>
  </w:style>
  <w:style w:type="paragraph" w:styleId="Heading3">
    <w:name w:val="heading 3"/>
    <w:basedOn w:val="Normal"/>
    <w:next w:val="Normal"/>
    <w:link w:val="Heading3Char"/>
    <w:uiPriority w:val="9"/>
    <w:semiHidden/>
    <w:unhideWhenUsed/>
    <w:qFormat/>
    <w:rsid w:val="0087622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3719AE"/>
    <w:rPr>
      <w:sz w:val="16"/>
      <w:szCs w:val="16"/>
    </w:rPr>
  </w:style>
  <w:style w:type="paragraph" w:styleId="CommentText">
    <w:name w:val="annotation text"/>
    <w:aliases w:val="Times New Roman,t"/>
    <w:basedOn w:val="Normal"/>
    <w:link w:val="CommentTextChar"/>
    <w:uiPriority w:val="99"/>
    <w:unhideWhenUsed/>
    <w:qFormat/>
    <w:rsid w:val="003719AE"/>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3719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9AE"/>
    <w:rPr>
      <w:b/>
      <w:bCs/>
    </w:rPr>
  </w:style>
  <w:style w:type="character" w:customStyle="1" w:styleId="CommentSubjectChar">
    <w:name w:val="Comment Subject Char"/>
    <w:basedOn w:val="CommentTextChar"/>
    <w:link w:val="CommentSubject"/>
    <w:uiPriority w:val="99"/>
    <w:semiHidden/>
    <w:rsid w:val="003719A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7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63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42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A8"/>
    <w:rPr>
      <w:rFonts w:ascii="Segoe UI" w:eastAsia="Times New Roman" w:hAnsi="Segoe UI" w:cs="Segoe UI"/>
      <w:color w:val="000000"/>
      <w:sz w:val="18"/>
      <w:szCs w:val="18"/>
    </w:rPr>
  </w:style>
  <w:style w:type="paragraph" w:styleId="ListParagraph">
    <w:name w:val="List Paragraph"/>
    <w:basedOn w:val="Normal"/>
    <w:uiPriority w:val="34"/>
    <w:qFormat/>
    <w:rsid w:val="00F32912"/>
    <w:pPr>
      <w:spacing w:after="160" w:line="259" w:lineRule="auto"/>
      <w:ind w:left="720" w:firstLine="0"/>
      <w:contextualSpacing/>
    </w:pPr>
    <w:rPr>
      <w:rFonts w:eastAsiaTheme="minorHAnsi" w:cstheme="minorBidi"/>
      <w:color w:val="auto"/>
    </w:rPr>
  </w:style>
  <w:style w:type="character" w:styleId="Hyperlink">
    <w:name w:val="Hyperlink"/>
    <w:uiPriority w:val="99"/>
    <w:rsid w:val="00AF7720"/>
    <w:rPr>
      <w:color w:val="0000FF"/>
      <w:u w:val="single"/>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F7720"/>
    <w:pPr>
      <w:spacing w:after="240" w:line="240" w:lineRule="auto"/>
      <w:ind w:left="0" w:firstLine="0"/>
    </w:pPr>
    <w:rPr>
      <w:color w:val="auto"/>
      <w:sz w:val="20"/>
      <w:szCs w:val="20"/>
    </w:rPr>
  </w:style>
  <w:style w:type="character" w:customStyle="1" w:styleId="FootnoteTextChar">
    <w:name w:val="Footnote Text Char"/>
    <w:aliases w:val="Char18 Char,FT Char,Footnote Text AG Char,Footnote Text Char Char Char,Footnote Text Char Char Char Char Char,Footnote ak Char,Footnotes Char,SD Footnote Text Char,Style 14 Char,Text Char,fn Char,fnW Char,footnote text Char,ft Char"/>
    <w:basedOn w:val="DefaultParagraphFont"/>
    <w:link w:val="FootnoteText"/>
    <w:uiPriority w:val="99"/>
    <w:rsid w:val="00AF7720"/>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AF7720"/>
    <w:rPr>
      <w:vertAlign w:val="superscript"/>
    </w:rPr>
  </w:style>
  <w:style w:type="paragraph" w:styleId="Revision">
    <w:name w:val="Revision"/>
    <w:hidden/>
    <w:uiPriority w:val="99"/>
    <w:semiHidden/>
    <w:rsid w:val="00BD7F16"/>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B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BB"/>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BB00BB"/>
    <w:rPr>
      <w:color w:val="605E5C"/>
      <w:shd w:val="clear" w:color="auto" w:fill="E1DFDD"/>
    </w:rPr>
  </w:style>
  <w:style w:type="character" w:styleId="FollowedHyperlink">
    <w:name w:val="FollowedHyperlink"/>
    <w:basedOn w:val="DefaultParagraphFont"/>
    <w:uiPriority w:val="99"/>
    <w:semiHidden/>
    <w:unhideWhenUsed/>
    <w:rsid w:val="00A302B6"/>
    <w:rPr>
      <w:color w:val="954F72" w:themeColor="followedHyperlink"/>
      <w:u w:val="single"/>
    </w:rPr>
  </w:style>
  <w:style w:type="character" w:customStyle="1" w:styleId="cf01">
    <w:name w:val="cf01"/>
    <w:basedOn w:val="DefaultParagraphFont"/>
    <w:rsid w:val="00284829"/>
    <w:rPr>
      <w:rFonts w:ascii="Segoe UI" w:hAnsi="Segoe UI" w:cs="Segoe UI" w:hint="default"/>
      <w:sz w:val="18"/>
      <w:szCs w:val="18"/>
    </w:rPr>
  </w:style>
  <w:style w:type="paragraph" w:styleId="BodyText">
    <w:name w:val="Body Text"/>
    <w:basedOn w:val="Normal"/>
    <w:link w:val="BodyTextChar"/>
    <w:uiPriority w:val="1"/>
    <w:qFormat/>
    <w:rsid w:val="00C3125E"/>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C3125E"/>
    <w:rPr>
      <w:rFonts w:ascii="Times New Roman" w:hAnsi="Times New Roman" w:cs="Times New Roman"/>
      <w:sz w:val="24"/>
      <w:szCs w:val="24"/>
    </w:rPr>
  </w:style>
  <w:style w:type="paragraph" w:customStyle="1" w:styleId="Header3">
    <w:name w:val="Header 3"/>
    <w:basedOn w:val="Heading3"/>
    <w:qFormat/>
    <w:rsid w:val="0087622C"/>
    <w:pPr>
      <w:spacing w:after="240" w:line="240" w:lineRule="auto"/>
      <w:ind w:left="0" w:firstLine="0"/>
    </w:pPr>
    <w:rPr>
      <w:rFonts w:ascii="Times New Roman" w:hAnsi="Times New Roman"/>
      <w:i/>
      <w:color w:val="auto"/>
    </w:rPr>
  </w:style>
  <w:style w:type="character" w:customStyle="1" w:styleId="Heading3Char">
    <w:name w:val="Heading 3 Char"/>
    <w:basedOn w:val="DefaultParagraphFont"/>
    <w:link w:val="Heading3"/>
    <w:uiPriority w:val="9"/>
    <w:semiHidden/>
    <w:rsid w:val="0087622C"/>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6F08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0877"/>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6F0877"/>
    <w:rPr>
      <w:vertAlign w:val="superscript"/>
    </w:rPr>
  </w:style>
  <w:style w:type="character" w:customStyle="1" w:styleId="Heading2Char">
    <w:name w:val="Heading 2 Char"/>
    <w:basedOn w:val="DefaultParagraphFont"/>
    <w:link w:val="Heading2"/>
    <w:uiPriority w:val="9"/>
    <w:rsid w:val="001C7450"/>
    <w:rPr>
      <w:rFonts w:ascii="Times New Roman" w:hAnsi="Times New Roman" w:eastAsiaTheme="majorEastAsia" w:cstheme="majorBid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ARebateandNegotiation@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b-inflation-rebate-program-revised-guidance.pdf" TargetMode="External" /><Relationship Id="rId2" Type="http://schemas.openxmlformats.org/officeDocument/2006/relationships/hyperlink" Target="https://www.cms.gov/files/document/medicare-part-d-inflation-rebate-program-revised-guidance.pdf" TargetMode="External" /><Relationship Id="rId3" Type="http://schemas.openxmlformats.org/officeDocument/2006/relationships/hyperlink" Target="https://www.justice.gov/oip/doj-guide-freedom-information-act-0" TargetMode="External" /><Relationship Id="rId4" Type="http://schemas.openxmlformats.org/officeDocument/2006/relationships/hyperlink" Target="https://www.bls.gov/oes/current/naics4_3254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AD68C-1FD8-4188-B1F7-60D22FEDA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2FF6-EECC-418F-8166-40A687AB7B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B347D5-3850-42B8-B34F-8A3108C7D4ED}">
  <ds:schemaRefs>
    <ds:schemaRef ds:uri="http://schemas.openxmlformats.org/officeDocument/2006/bibliography"/>
  </ds:schemaRefs>
</ds:datastoreItem>
</file>

<file path=customXml/itemProps4.xml><?xml version="1.0" encoding="utf-8"?>
<ds:datastoreItem xmlns:ds="http://schemas.openxmlformats.org/officeDocument/2006/customXml" ds:itemID="{5F279DC8-2F00-424F-B1C3-7DEAA2B25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5534</Words>
  <Characters>31547</Characters>
  <Application>Microsoft Office Word</Application>
  <DocSecurity>0</DocSecurity>
  <Lines>262</Lines>
  <Paragraphs>74</Paragraphs>
  <ScaleCrop>false</ScaleCrop>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Caitlin Leach</cp:lastModifiedBy>
  <cp:revision>2</cp:revision>
  <dcterms:created xsi:type="dcterms:W3CDTF">2024-07-10T19:50:00Z</dcterms:created>
  <dcterms:modified xsi:type="dcterms:W3CDTF">2024-07-10T19:50:00Z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358800</vt:r8>
  </property>
  <property fmtid="{D5CDD505-2E9C-101B-9397-08002B2CF9AE}" pid="5" name="TemplateUrl">
    <vt:lpwstr/>
  </property>
  <property fmtid="{D5CDD505-2E9C-101B-9397-08002B2CF9AE}" pid="6" name="xd_ProgID">
    <vt:lpwstr/>
  </property>
  <property fmtid="{D5CDD505-2E9C-101B-9397-08002B2CF9AE}" pid="7" name="_CopySource">
    <vt:lpwstr/>
  </property>
  <property fmtid="{D5CDD505-2E9C-101B-9397-08002B2CF9AE}" pid="8" name="_dlc_DocIdItemGuid">
    <vt:lpwstr>b443a30f-2e8b-4dc1-9829-d0685b6e4290</vt:lpwstr>
  </property>
</Properties>
</file>