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C317D">
      <w:bookmarkStart w:id="0" w:name="_GoBack"/>
      <w:bookmarkEnd w:id="0"/>
      <w:r>
        <w:br/>
      </w:r>
      <w:r w:rsidRPr="00716809" w:rsidR="00716809">
        <w:rPr>
          <w:b/>
          <w:u w:val="single"/>
        </w:rPr>
        <w:t>Overall Comment on Providing Incentives for Participation in Marketing Research</w:t>
      </w:r>
      <w:r w:rsidR="00716809">
        <w:t xml:space="preserve">.  </w:t>
      </w:r>
      <w:r>
        <w:t>The research in this package is marketing research, designed for fast turn</w:t>
      </w:r>
      <w:r w:rsidR="00716809">
        <w:t>-</w:t>
      </w:r>
      <w:r>
        <w:t xml:space="preserve">around to inform key Agency communication decisions. </w:t>
      </w:r>
      <w:r w:rsidR="00716809">
        <w:t>Providing i</w:t>
      </w:r>
      <w:r w:rsidR="00FD0F1D">
        <w:t xml:space="preserve">ncentives for participation in </w:t>
      </w:r>
      <w:r w:rsidR="00326439">
        <w:t xml:space="preserve">social research is not uncommon and is being used </w:t>
      </w:r>
      <w:r w:rsidR="00E766B9">
        <w:t xml:space="preserve">increasingly as one component of improving overall response rates and reducing non-response bias (see, e.g., </w:t>
      </w:r>
      <w:r w:rsidR="00CF43EC">
        <w:t xml:space="preserve">Massey &amp; </w:t>
      </w:r>
      <w:r w:rsidR="00CF43EC">
        <w:t>Tourangeau</w:t>
      </w:r>
      <w:r w:rsidR="00CF43EC">
        <w:t xml:space="preserve">, 2013; </w:t>
      </w:r>
      <w:r w:rsidR="00E766B9">
        <w:t>Singer &amp; Ye, 2013</w:t>
      </w:r>
      <w:r w:rsidR="00CF43EC">
        <w:t xml:space="preserve">) even in academic and government-sponsored social research.  In the marketing research arena, providing participant incentives </w:t>
      </w:r>
      <w:r w:rsidR="00716809">
        <w:t>is</w:t>
      </w:r>
      <w:r w:rsidR="00CF43EC">
        <w:t xml:space="preserve"> a well-established</w:t>
      </w:r>
      <w:r w:rsidR="00326439">
        <w:t xml:space="preserve"> and</w:t>
      </w:r>
      <w:r w:rsidR="00FD0F1D">
        <w:t xml:space="preserve"> </w:t>
      </w:r>
      <w:r>
        <w:t>ac</w:t>
      </w:r>
      <w:r w:rsidR="00716809">
        <w:t>cepted standard practice in the</w:t>
      </w:r>
      <w:r w:rsidR="00326439">
        <w:t xml:space="preserve"> healthcare</w:t>
      </w:r>
      <w:r w:rsidR="00716809">
        <w:t xml:space="preserve"> industry</w:t>
      </w:r>
      <w:r w:rsidR="00326439">
        <w:t>. A</w:t>
      </w:r>
      <w:r w:rsidR="00CF43EC">
        <w:t xml:space="preserve">ppropriate </w:t>
      </w:r>
      <w:r w:rsidR="00716809">
        <w:t>incentives are</w:t>
      </w:r>
      <w:r>
        <w:t xml:space="preserve"> </w:t>
      </w:r>
      <w:r w:rsidR="00CF43EC">
        <w:t xml:space="preserve">viewed as </w:t>
      </w:r>
      <w:r>
        <w:t xml:space="preserve">an </w:t>
      </w:r>
      <w:r w:rsidR="00FD0F1D">
        <w:t xml:space="preserve">important tool in the successful completion of </w:t>
      </w:r>
      <w:r w:rsidR="00326439">
        <w:t xml:space="preserve">these </w:t>
      </w:r>
      <w:r w:rsidR="00716809">
        <w:t xml:space="preserve">marketing research </w:t>
      </w:r>
      <w:r w:rsidR="00FD0F1D">
        <w:t xml:space="preserve">studies.  In </w:t>
      </w:r>
      <w:r w:rsidR="00716809">
        <w:t xml:space="preserve">our experience, in </w:t>
      </w:r>
      <w:r w:rsidR="00FD0F1D">
        <w:t xml:space="preserve">order to achieve a representative sample of required participants </w:t>
      </w:r>
      <w:r w:rsidR="00716809">
        <w:t>in a timely and cost-effective manner</w:t>
      </w:r>
      <w:r w:rsidR="00326439">
        <w:t xml:space="preserve">, </w:t>
      </w:r>
      <w:r w:rsidR="00FD0F1D">
        <w:t xml:space="preserve">projects must provide incentives </w:t>
      </w:r>
      <w:r w:rsidR="00CF43EC">
        <w:t xml:space="preserve">at levels </w:t>
      </w:r>
      <w:r w:rsidR="00FD0F1D">
        <w:t xml:space="preserve">that attract, retain, and </w:t>
      </w:r>
      <w:r w:rsidR="00CF43EC">
        <w:t xml:space="preserve">adequately </w:t>
      </w:r>
      <w:r w:rsidR="00FD0F1D">
        <w:t>compensate respondents for their time and effort</w:t>
      </w:r>
      <w:r w:rsidR="009B5B8A">
        <w:t>.  This is especially true of populations that are hard to reach or hard to engage</w:t>
      </w:r>
      <w:r w:rsidR="00FD0F1D">
        <w:t xml:space="preserve">.  </w:t>
      </w:r>
      <w:r w:rsidR="00326439">
        <w:t xml:space="preserve">The use of incentives to bolster participation </w:t>
      </w:r>
      <w:r>
        <w:t xml:space="preserve">applies to both survey and qualitative research.  </w:t>
      </w:r>
      <w:r w:rsidR="00326439">
        <w:t xml:space="preserve">Indeed, </w:t>
      </w:r>
      <w:r>
        <w:t xml:space="preserve">incentives improve the quality and efficiency of research in a number of ways, including reducing non-response bias, improving participation by those in hard-to-reach groups, and increasing the efficiency and cost-effectiveness of research (e.g., </w:t>
      </w:r>
      <w:r w:rsidR="00983603">
        <w:t xml:space="preserve">David &amp; Ware, 2014; </w:t>
      </w:r>
      <w:r>
        <w:t>Singer &amp; Ye, 2013</w:t>
      </w:r>
      <w:r w:rsidR="00115C8B">
        <w:t xml:space="preserve">; Stewart &amp; </w:t>
      </w:r>
      <w:r w:rsidR="00115C8B">
        <w:t>Shamdasani</w:t>
      </w:r>
      <w:r w:rsidR="00115C8B">
        <w:t>, 2015</w:t>
      </w:r>
      <w:r>
        <w:t>).</w:t>
      </w:r>
    </w:p>
    <w:p w:rsidR="00E00A6B">
      <w:r>
        <w:t>M</w:t>
      </w:r>
      <w:r w:rsidR="004C5B09">
        <w:t xml:space="preserve">any </w:t>
      </w:r>
      <w:r w:rsidR="00115C8B">
        <w:t xml:space="preserve">marketing </w:t>
      </w:r>
      <w:r w:rsidR="004C5B09">
        <w:t xml:space="preserve">research firms </w:t>
      </w:r>
      <w:r w:rsidR="00115C8B">
        <w:t xml:space="preserve">have </w:t>
      </w:r>
      <w:r w:rsidR="00716809">
        <w:t xml:space="preserve">recognized this need and </w:t>
      </w:r>
      <w:r w:rsidR="004C5B09">
        <w:t xml:space="preserve">developed </w:t>
      </w:r>
      <w:r w:rsidR="00716809">
        <w:t>participant p</w:t>
      </w:r>
      <w:r w:rsidR="004C5B09">
        <w:t xml:space="preserve">anels that </w:t>
      </w:r>
      <w:r w:rsidR="004C5B09">
        <w:t>can</w:t>
      </w:r>
      <w:r w:rsidR="004C5B09">
        <w:t xml:space="preserve"> provide a sampling source for thematically and methodologically diverse studies.  In contrast to ad hoc recruitment, </w:t>
      </w:r>
      <w:r w:rsidR="00716809">
        <w:t xml:space="preserve">use of such </w:t>
      </w:r>
      <w:r w:rsidR="004C5B09">
        <w:t xml:space="preserve">panels can significantly reduce the costs associated with locating appropriate respondents and ensure their immediate availability.  Economic and research success with panels is strongly linked with screening, segmentation, and motivational issues which assure panelist availability.  </w:t>
      </w:r>
      <w:r w:rsidR="00CC317D">
        <w:t>Appropriate i</w:t>
      </w:r>
      <w:r w:rsidR="004C5B09">
        <w:t xml:space="preserve">ncentives play a key role in these efforts.  </w:t>
      </w:r>
      <w:r>
        <w:t>As such, we use the government-wide incentive rate of $75 for a 90-minute focus group and $40 for a 60-minute interview</w:t>
      </w:r>
      <w:r w:rsidR="00FD0F1D">
        <w:t>.</w:t>
      </w:r>
      <w:r w:rsidR="00716809">
        <w:t xml:space="preserve">  </w:t>
      </w:r>
    </w:p>
    <w:p w:rsidR="00CC317D">
      <w:pPr>
        <w:rPr>
          <w:b/>
          <w:u w:val="single"/>
        </w:rPr>
      </w:pPr>
      <w:r w:rsidRPr="00CC317D">
        <w:rPr>
          <w:b/>
          <w:u w:val="single"/>
        </w:rPr>
        <w:t>References</w:t>
      </w:r>
    </w:p>
    <w:p w:rsidR="006B51D9">
      <w:r>
        <w:t xml:space="preserve">David MC and Ware RS (2014).  Meta-analysis of randomized controlled trials supports the use of incentives for inducing response to electronic health surveys.  </w:t>
      </w:r>
      <w:r w:rsidRPr="006B51D9">
        <w:rPr>
          <w:b/>
        </w:rPr>
        <w:t xml:space="preserve">J </w:t>
      </w:r>
      <w:r w:rsidRPr="006B51D9">
        <w:rPr>
          <w:b/>
        </w:rPr>
        <w:t>Clin</w:t>
      </w:r>
      <w:r w:rsidRPr="006B51D9">
        <w:rPr>
          <w:b/>
        </w:rPr>
        <w:t xml:space="preserve"> </w:t>
      </w:r>
      <w:r w:rsidRPr="006B51D9">
        <w:rPr>
          <w:b/>
        </w:rPr>
        <w:t>Epidem</w:t>
      </w:r>
      <w:r w:rsidRPr="006B51D9">
        <w:rPr>
          <w:b/>
        </w:rPr>
        <w:t>,</w:t>
      </w:r>
      <w:r>
        <w:t xml:space="preserve"> 67(11), 1210-1221.</w:t>
      </w:r>
    </w:p>
    <w:p w:rsidR="002A06E5">
      <w:r>
        <w:t xml:space="preserve">Massey D and </w:t>
      </w:r>
      <w:r>
        <w:t>Tourangeau</w:t>
      </w:r>
      <w:r>
        <w:t xml:space="preserve"> R (2013). New challenges to social measurement.  </w:t>
      </w:r>
      <w:r>
        <w:rPr>
          <w:b/>
          <w:i/>
          <w:iCs/>
        </w:rPr>
        <w:t xml:space="preserve">Ann Am </w:t>
      </w:r>
      <w:r>
        <w:rPr>
          <w:b/>
          <w:i/>
          <w:iCs/>
        </w:rPr>
        <w:t>Acad</w:t>
      </w:r>
      <w:r>
        <w:rPr>
          <w:b/>
          <w:i/>
          <w:iCs/>
        </w:rPr>
        <w:t xml:space="preserve"> Pol </w:t>
      </w:r>
      <w:r>
        <w:rPr>
          <w:b/>
          <w:i/>
          <w:iCs/>
        </w:rPr>
        <w:t>Soc</w:t>
      </w:r>
      <w:r>
        <w:rPr>
          <w:b/>
          <w:i/>
          <w:iCs/>
        </w:rPr>
        <w:t xml:space="preserve"> </w:t>
      </w:r>
      <w:r>
        <w:rPr>
          <w:b/>
          <w:i/>
          <w:iCs/>
        </w:rPr>
        <w:t>Sci</w:t>
      </w:r>
      <w:r>
        <w:rPr>
          <w:b/>
          <w:i/>
          <w:iCs/>
        </w:rPr>
        <w:t>,</w:t>
      </w:r>
      <w:r w:rsidRPr="002A06E5">
        <w:t xml:space="preserve"> 645(1): 6–22.</w:t>
      </w:r>
    </w:p>
    <w:p w:rsidR="002A06E5" w:rsidP="002A06E5">
      <w:r>
        <w:t xml:space="preserve">Singer E and Ye C (2013).  The use and effects of incentives in surveys. </w:t>
      </w:r>
      <w:r w:rsidRPr="002A06E5">
        <w:rPr>
          <w:b/>
          <w:i/>
          <w:iCs/>
        </w:rPr>
        <w:t xml:space="preserve">Ann Am </w:t>
      </w:r>
      <w:r w:rsidRPr="002A06E5">
        <w:rPr>
          <w:b/>
          <w:i/>
          <w:iCs/>
        </w:rPr>
        <w:t>Acad</w:t>
      </w:r>
      <w:r w:rsidRPr="002A06E5">
        <w:rPr>
          <w:b/>
          <w:i/>
          <w:iCs/>
        </w:rPr>
        <w:t xml:space="preserve"> Pol </w:t>
      </w:r>
      <w:r w:rsidRPr="002A06E5">
        <w:rPr>
          <w:b/>
          <w:i/>
          <w:iCs/>
        </w:rPr>
        <w:t>Soc</w:t>
      </w:r>
      <w:r w:rsidRPr="002A06E5">
        <w:rPr>
          <w:b/>
          <w:i/>
          <w:iCs/>
        </w:rPr>
        <w:t xml:space="preserve"> </w:t>
      </w:r>
      <w:r w:rsidRPr="002A06E5">
        <w:rPr>
          <w:b/>
          <w:i/>
          <w:iCs/>
        </w:rPr>
        <w:t>Sci</w:t>
      </w:r>
      <w:r w:rsidRPr="002A06E5">
        <w:rPr>
          <w:b/>
          <w:i/>
          <w:iCs/>
        </w:rPr>
        <w:t>,</w:t>
      </w:r>
      <w:r>
        <w:t xml:space="preserve"> 645(1): 112-141</w:t>
      </w:r>
      <w:r w:rsidRPr="002A06E5">
        <w:t>.</w:t>
      </w:r>
    </w:p>
    <w:p w:rsidR="008207B0" w:rsidP="002A06E5">
      <w:r>
        <w:t xml:space="preserve">Stewart DW and </w:t>
      </w:r>
      <w:r>
        <w:t>Shamdasani</w:t>
      </w:r>
      <w:r>
        <w:t xml:space="preserve"> PN (2015).  </w:t>
      </w:r>
      <w:r w:rsidRPr="008207B0">
        <w:rPr>
          <w:b/>
        </w:rPr>
        <w:t>Focus Groups:  Theory &amp; Practice, 3</w:t>
      </w:r>
      <w:r w:rsidRPr="008207B0">
        <w:rPr>
          <w:b/>
          <w:vertAlign w:val="superscript"/>
        </w:rPr>
        <w:t>rd</w:t>
      </w:r>
      <w:r w:rsidRPr="008207B0">
        <w:rPr>
          <w:b/>
        </w:rPr>
        <w:t xml:space="preserve"> Edition</w:t>
      </w:r>
      <w:r>
        <w:t>.  Los Angeles:  Sage</w:t>
      </w:r>
      <w:r w:rsidR="003D4E28">
        <w:t>.</w:t>
      </w:r>
    </w:p>
    <w:p w:rsidR="003D4E28" w:rsidRPr="002A06E5" w:rsidP="002A06E5">
      <w:r>
        <w:t xml:space="preserve">Yancey AK, Ortega AN, and Kumanyika SK (2006).  Effective recruitment and retention of minority research participants.  </w:t>
      </w:r>
      <w:r w:rsidRPr="003D4E28">
        <w:rPr>
          <w:b/>
        </w:rPr>
        <w:t>Ann Rev Public Health</w:t>
      </w:r>
      <w:r>
        <w:t>, 27, 1-28.</w:t>
      </w:r>
    </w:p>
    <w:p w:rsidR="002A06E5" w:rsidRPr="002A06E5"/>
    <w:p w:rsidR="008161BE">
      <w: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1D"/>
    <w:rsid w:val="000A26C8"/>
    <w:rsid w:val="00115C8B"/>
    <w:rsid w:val="002A06E5"/>
    <w:rsid w:val="00326439"/>
    <w:rsid w:val="0033711F"/>
    <w:rsid w:val="00394A70"/>
    <w:rsid w:val="003D4E28"/>
    <w:rsid w:val="004C5B09"/>
    <w:rsid w:val="005D405D"/>
    <w:rsid w:val="006B51D9"/>
    <w:rsid w:val="00716809"/>
    <w:rsid w:val="00731009"/>
    <w:rsid w:val="00732EA9"/>
    <w:rsid w:val="007F3410"/>
    <w:rsid w:val="008161BE"/>
    <w:rsid w:val="008207B0"/>
    <w:rsid w:val="00835FF4"/>
    <w:rsid w:val="0088729F"/>
    <w:rsid w:val="008A5EBD"/>
    <w:rsid w:val="00983603"/>
    <w:rsid w:val="009B5B8A"/>
    <w:rsid w:val="00A720D6"/>
    <w:rsid w:val="00A74B7B"/>
    <w:rsid w:val="00A76C76"/>
    <w:rsid w:val="00A8797E"/>
    <w:rsid w:val="00AB3B47"/>
    <w:rsid w:val="00B50C6D"/>
    <w:rsid w:val="00B77976"/>
    <w:rsid w:val="00BD1F64"/>
    <w:rsid w:val="00C2209D"/>
    <w:rsid w:val="00C60409"/>
    <w:rsid w:val="00CC317D"/>
    <w:rsid w:val="00CF43EC"/>
    <w:rsid w:val="00D82369"/>
    <w:rsid w:val="00DF023A"/>
    <w:rsid w:val="00E00A6B"/>
    <w:rsid w:val="00E766B9"/>
    <w:rsid w:val="00E8182B"/>
    <w:rsid w:val="00E876C4"/>
    <w:rsid w:val="00FC245A"/>
    <w:rsid w:val="00FD0F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2C03B10-6A4D-4188-A784-333A6CE6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hAnsi="Tahoma" w:eastAsiaTheme="minorHAnsi" w:cs="Tahoma"/>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317D"/>
    <w:rPr>
      <w:sz w:val="16"/>
      <w:szCs w:val="16"/>
    </w:rPr>
  </w:style>
  <w:style w:type="paragraph" w:styleId="CommentText">
    <w:name w:val="annotation text"/>
    <w:basedOn w:val="Normal"/>
    <w:link w:val="CommentTextChar"/>
    <w:uiPriority w:val="99"/>
    <w:semiHidden/>
    <w:unhideWhenUsed/>
    <w:rsid w:val="00CC317D"/>
    <w:pPr>
      <w:spacing w:line="240" w:lineRule="auto"/>
    </w:pPr>
    <w:rPr>
      <w:sz w:val="20"/>
      <w:szCs w:val="20"/>
    </w:rPr>
  </w:style>
  <w:style w:type="character" w:customStyle="1" w:styleId="CommentTextChar">
    <w:name w:val="Comment Text Char"/>
    <w:basedOn w:val="DefaultParagraphFont"/>
    <w:link w:val="CommentText"/>
    <w:uiPriority w:val="99"/>
    <w:semiHidden/>
    <w:rsid w:val="00CC317D"/>
    <w:rPr>
      <w:sz w:val="20"/>
      <w:szCs w:val="20"/>
    </w:rPr>
  </w:style>
  <w:style w:type="paragraph" w:styleId="CommentSubject">
    <w:name w:val="annotation subject"/>
    <w:basedOn w:val="CommentText"/>
    <w:next w:val="CommentText"/>
    <w:link w:val="CommentSubjectChar"/>
    <w:uiPriority w:val="99"/>
    <w:semiHidden/>
    <w:unhideWhenUsed/>
    <w:rsid w:val="00CC317D"/>
    <w:rPr>
      <w:b/>
      <w:bCs/>
    </w:rPr>
  </w:style>
  <w:style w:type="character" w:customStyle="1" w:styleId="CommentSubjectChar">
    <w:name w:val="Comment Subject Char"/>
    <w:basedOn w:val="CommentTextChar"/>
    <w:link w:val="CommentSubject"/>
    <w:uiPriority w:val="99"/>
    <w:semiHidden/>
    <w:rsid w:val="00CC317D"/>
    <w:rPr>
      <w:b/>
      <w:bCs/>
      <w:sz w:val="20"/>
      <w:szCs w:val="20"/>
    </w:rPr>
  </w:style>
  <w:style w:type="paragraph" w:styleId="BalloonText">
    <w:name w:val="Balloon Text"/>
    <w:basedOn w:val="Normal"/>
    <w:link w:val="BalloonTextChar"/>
    <w:uiPriority w:val="99"/>
    <w:semiHidden/>
    <w:unhideWhenUsed/>
    <w:rsid w:val="00CC317D"/>
    <w:pPr>
      <w:spacing w:after="0" w:line="240" w:lineRule="auto"/>
    </w:pPr>
    <w:rPr>
      <w:sz w:val="16"/>
      <w:szCs w:val="16"/>
    </w:rPr>
  </w:style>
  <w:style w:type="character" w:customStyle="1" w:styleId="BalloonTextChar">
    <w:name w:val="Balloon Text Char"/>
    <w:basedOn w:val="DefaultParagraphFont"/>
    <w:link w:val="BalloonText"/>
    <w:uiPriority w:val="99"/>
    <w:semiHidden/>
    <w:rsid w:val="00CC317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Funderburk</dc:creator>
  <cp:lastModifiedBy>Parham, William N. (CMS/OSORA)</cp:lastModifiedBy>
  <cp:revision>2</cp:revision>
  <dcterms:created xsi:type="dcterms:W3CDTF">2020-11-19T17:11:00Z</dcterms:created>
  <dcterms:modified xsi:type="dcterms:W3CDTF">2020-11-19T17:11:00Z</dcterms:modified>
</cp:coreProperties>
</file>