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1EB4" w:rsidRPr="005D0EB2" w:rsidP="005D0EB2" w14:paraId="015E82FD" w14:textId="77777777">
      <w:pPr>
        <w:pStyle w:val="Heading1"/>
        <w:jc w:val="center"/>
        <w:rPr>
          <w:rFonts w:ascii="Times New Roman" w:hAnsi="Times New Roman" w:cs="Times New Roman"/>
          <w:color w:val="auto"/>
          <w:sz w:val="24"/>
          <w:szCs w:val="24"/>
        </w:rPr>
      </w:pPr>
      <w:r w:rsidRPr="005D0EB2">
        <w:rPr>
          <w:rFonts w:ascii="Times New Roman" w:hAnsi="Times New Roman" w:cs="Times New Roman"/>
          <w:color w:val="auto"/>
          <w:sz w:val="24"/>
          <w:szCs w:val="24"/>
        </w:rPr>
        <w:t xml:space="preserve">Supporting Statement </w:t>
      </w:r>
      <w:r w:rsidRPr="005D0EB2" w:rsidR="00C67D01">
        <w:rPr>
          <w:rFonts w:ascii="Times New Roman" w:hAnsi="Times New Roman" w:cs="Times New Roman"/>
          <w:color w:val="auto"/>
          <w:sz w:val="24"/>
          <w:szCs w:val="24"/>
        </w:rPr>
        <w:t>Part A</w:t>
      </w:r>
    </w:p>
    <w:p w:rsidR="008F1EB4" w:rsidRPr="00594C2A" w:rsidP="00C67D01" w14:paraId="21D3E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594C2A">
        <w:rPr>
          <w:sz w:val="24"/>
        </w:rPr>
        <w:t xml:space="preserve">1915(c) </w:t>
      </w:r>
      <w:r w:rsidRPr="00594C2A" w:rsidR="00C67D01">
        <w:rPr>
          <w:sz w:val="24"/>
        </w:rPr>
        <w:t xml:space="preserve">Home and Community-Based </w:t>
      </w:r>
      <w:r w:rsidRPr="00594C2A" w:rsidR="00243C79">
        <w:rPr>
          <w:sz w:val="24"/>
        </w:rPr>
        <w:t xml:space="preserve">Services (HCBS) </w:t>
      </w:r>
      <w:r w:rsidRPr="00594C2A" w:rsidR="00C67D01">
        <w:rPr>
          <w:sz w:val="24"/>
        </w:rPr>
        <w:t xml:space="preserve">Waiver </w:t>
      </w:r>
      <w:r w:rsidRPr="00594C2A" w:rsidR="00A66BD4">
        <w:rPr>
          <w:sz w:val="24"/>
        </w:rPr>
        <w:t>Application</w:t>
      </w:r>
    </w:p>
    <w:p w:rsidR="00C67D01" w:rsidRPr="00594C2A" w:rsidP="00C67D01" w14:paraId="58707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594C2A">
        <w:rPr>
          <w:sz w:val="24"/>
        </w:rPr>
        <w:t>CMS-8003, O</w:t>
      </w:r>
      <w:r w:rsidRPr="00594C2A" w:rsidR="00B90CD4">
        <w:rPr>
          <w:sz w:val="24"/>
        </w:rPr>
        <w:t>MB</w:t>
      </w:r>
      <w:r w:rsidRPr="00594C2A">
        <w:rPr>
          <w:sz w:val="24"/>
        </w:rPr>
        <w:t xml:space="preserve"> 0938-0449</w:t>
      </w:r>
    </w:p>
    <w:p w:rsidR="00DE4003" w:rsidP="00C67D01" w14:paraId="7B2034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8F1EB4" w:rsidRPr="00131616" w:rsidP="00C67D01" w14:paraId="1D785FD6" w14:textId="4EB9E8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31616">
        <w:rPr>
          <w:b/>
          <w:bCs/>
          <w:sz w:val="24"/>
        </w:rPr>
        <w:t>Background</w:t>
      </w:r>
    </w:p>
    <w:p w:rsidR="00E02FDF" w:rsidRPr="00131616" w:rsidP="00C67D01" w14:paraId="4F980C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192E" w:rsidP="00C67D01" w14:paraId="3ED4B8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1616">
        <w:rPr>
          <w:sz w:val="24"/>
        </w:rPr>
        <w:t>The 60-day iteration of this collection of information request received public comment. In response, this 30-day iteration sets out a revised Application for a §1915(c) Home and Community-Based Services Waiver</w:t>
      </w:r>
      <w:r w:rsidRPr="00131616" w:rsidR="0045790D">
        <w:rPr>
          <w:sz w:val="24"/>
        </w:rPr>
        <w:t xml:space="preserve">. </w:t>
      </w:r>
      <w:r w:rsidRPr="00131616">
        <w:rPr>
          <w:sz w:val="24"/>
        </w:rPr>
        <w:t xml:space="preserve"> </w:t>
      </w:r>
      <w:r w:rsidRPr="00131616" w:rsidR="00131616">
        <w:rPr>
          <w:sz w:val="24"/>
        </w:rPr>
        <w:t xml:space="preserve">The revisions are intended to improve the quality of the application, remove outdated language, and streamline the review process.  </w:t>
      </w:r>
      <w:r w:rsidRPr="00131616" w:rsidR="0045790D">
        <w:rPr>
          <w:sz w:val="24"/>
        </w:rPr>
        <w:t>We have also revised the application’s Instructions, Technical Guide, and Review Criteria document to align with the application changes and to align guidance with current CMS regulations and policy.</w:t>
      </w:r>
      <w:r w:rsidRPr="00131616" w:rsidR="00131616">
        <w:rPr>
          <w:sz w:val="24"/>
        </w:rPr>
        <w:t xml:space="preserve"> </w:t>
      </w:r>
    </w:p>
    <w:p w:rsidR="0054192E" w:rsidP="00C67D01" w14:paraId="62D501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192E" w:rsidP="0054192E" w14:paraId="44FDB236" w14:textId="09E35F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3FF0">
        <w:rPr>
          <w:sz w:val="24"/>
        </w:rPr>
        <w:t>For new waivers, we have reduced the number of responses by 4, i</w:t>
      </w:r>
      <w:r>
        <w:rPr>
          <w:sz w:val="24"/>
        </w:rPr>
        <w:t xml:space="preserve">ncreased the time per response by 3 hours, and reduced the total time by 628 hours. </w:t>
      </w:r>
    </w:p>
    <w:p w:rsidR="0054192E" w:rsidP="00C67D01" w14:paraId="44CC09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192E" w:rsidP="0054192E" w14:paraId="77B58619" w14:textId="1CA135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For r</w:t>
      </w:r>
      <w:r w:rsidRPr="003A206E">
        <w:rPr>
          <w:sz w:val="24"/>
        </w:rPr>
        <w:t xml:space="preserve">enewal </w:t>
      </w:r>
      <w:r>
        <w:rPr>
          <w:sz w:val="24"/>
        </w:rPr>
        <w:t>a</w:t>
      </w:r>
      <w:r w:rsidRPr="003A206E">
        <w:rPr>
          <w:sz w:val="24"/>
        </w:rPr>
        <w:t>pplications</w:t>
      </w:r>
      <w:r>
        <w:rPr>
          <w:sz w:val="24"/>
        </w:rPr>
        <w:t xml:space="preserve">, we have reduced the number of respondents </w:t>
      </w:r>
      <w:r w:rsidR="007C5727">
        <w:rPr>
          <w:sz w:val="24"/>
        </w:rPr>
        <w:t>by 33</w:t>
      </w:r>
      <w:r>
        <w:rPr>
          <w:sz w:val="24"/>
        </w:rPr>
        <w:t xml:space="preserve">, reduced the number of responses by 3, increased the time per response by 3 hours, and reduced the total time by 45 hours. </w:t>
      </w:r>
    </w:p>
    <w:p w:rsidR="0054192E" w:rsidP="00C67D01" w14:paraId="486076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105B7" w:rsidRPr="001E3FF0" w:rsidP="009105B7" w14:paraId="71E2F3FF" w14:textId="6F81DC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3FF0">
        <w:rPr>
          <w:sz w:val="24"/>
        </w:rPr>
        <w:t xml:space="preserve">We have also </w:t>
      </w:r>
      <w:r>
        <w:rPr>
          <w:sz w:val="24"/>
        </w:rPr>
        <w:t xml:space="preserve">revised </w:t>
      </w:r>
      <w:r w:rsidRPr="001E3FF0">
        <w:rPr>
          <w:sz w:val="24"/>
        </w:rPr>
        <w:t>our costs estimates to align with current BLS wage data.</w:t>
      </w:r>
    </w:p>
    <w:p w:rsidR="0054192E" w:rsidP="00C67D01" w14:paraId="4BD8DA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02FDF" w:rsidRPr="00131616" w:rsidP="00C67D01" w14:paraId="388D786B" w14:textId="12C287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5436">
        <w:rPr>
          <w:sz w:val="24"/>
        </w:rPr>
        <w:t>Details can be found in section 15 of this Supporting Statement and in the attached crosswalks.</w:t>
      </w:r>
    </w:p>
    <w:p w:rsidR="00CA4DE8" w:rsidRPr="00B81ACB" w:rsidP="00C67D01" w14:paraId="00C8D6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2271F3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b/>
          <w:bCs/>
          <w:sz w:val="24"/>
        </w:rPr>
        <w:t>A</w:t>
      </w:r>
      <w:r w:rsidRPr="00B81ACB">
        <w:rPr>
          <w:b/>
          <w:bCs/>
          <w:sz w:val="24"/>
        </w:rPr>
        <w:t>.</w:t>
      </w:r>
      <w:r w:rsidRPr="00B81ACB">
        <w:rPr>
          <w:b/>
          <w:bCs/>
          <w:sz w:val="24"/>
        </w:rPr>
        <w:tab/>
        <w:t>Justification</w:t>
      </w:r>
    </w:p>
    <w:p w:rsidR="008F1EB4" w:rsidRPr="00B81ACB" w:rsidP="00C67D01" w14:paraId="088DD1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43A1F0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w:t>
      </w:r>
      <w:r w:rsidRPr="00B81ACB">
        <w:rPr>
          <w:sz w:val="24"/>
        </w:rPr>
        <w:t>.</w:t>
      </w:r>
      <w:r w:rsidRPr="00B81ACB">
        <w:rPr>
          <w:sz w:val="24"/>
        </w:rPr>
        <w:tab/>
      </w:r>
      <w:bookmarkStart w:id="0" w:name="_Hlk136496022"/>
      <w:r w:rsidRPr="00B81ACB">
        <w:rPr>
          <w:sz w:val="24"/>
          <w:u w:val="single"/>
        </w:rPr>
        <w:t>Need and Legal Basis</w:t>
      </w:r>
      <w:bookmarkEnd w:id="0"/>
    </w:p>
    <w:p w:rsidR="008F1EB4" w:rsidP="00C67D01" w14:paraId="36970D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1CCD" w:rsidP="008E32FF" w14:paraId="5BE2102D" w14:textId="1E8CF54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Section 1915(c) </w:t>
      </w:r>
      <w:r>
        <w:rPr>
          <w:sz w:val="24"/>
        </w:rPr>
        <w:t>o</w:t>
      </w:r>
      <w:r w:rsidRPr="008E32FF">
        <w:rPr>
          <w:sz w:val="24"/>
        </w:rPr>
        <w:t xml:space="preserve">f </w:t>
      </w:r>
      <w:r>
        <w:rPr>
          <w:sz w:val="24"/>
        </w:rPr>
        <w:t>t</w:t>
      </w:r>
      <w:r w:rsidRPr="008E32FF">
        <w:rPr>
          <w:sz w:val="24"/>
        </w:rPr>
        <w:t>he Social Security</w:t>
      </w:r>
      <w:r>
        <w:rPr>
          <w:sz w:val="24"/>
        </w:rPr>
        <w:t xml:space="preserve"> Act (Act) </w:t>
      </w:r>
      <w:r w:rsidRPr="00B81ACB">
        <w:rPr>
          <w:sz w:val="24"/>
        </w:rPr>
        <w:t xml:space="preserve">authorizes the Secretary of Health and Human Services to waive certain Medicaid statutory requirements so that a state may offer home and community based services to state-specified target group(s) of Medicaid beneficiaries who need a level of institutional care that is provided under the Medicaid state plan. </w:t>
      </w:r>
    </w:p>
    <w:p w:rsidR="000F1CCD" w:rsidP="008E32FF" w14:paraId="0A93867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32FF" w:rsidRPr="00B81ACB" w:rsidP="008E32FF" w14:paraId="589A16DC" w14:textId="3B9C125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Section 1915(c) HCBS waivers were first authorized in the Omnibus Budget and Reconciliation Act (OBRA) of 1981, with amendments made in 1985, 1986, 1987, 1988, 1990 and 1997. Final regulations for the 1915(c) waiver program were published on July 25, 1994. </w:t>
      </w:r>
      <w:r>
        <w:rPr>
          <w:sz w:val="24"/>
        </w:rPr>
        <w:t xml:space="preserve">CMS amended and added to the 1915(c) regulations in a final regulation published on January 16, 2014.  </w:t>
      </w:r>
      <w:r w:rsidRPr="00B81ACB">
        <w:rPr>
          <w:sz w:val="24"/>
        </w:rPr>
        <w:t>Together, the statute and regulations set forth guidance for states regarding the design and implementation of their 1915(c) HCBS waiver programs.  In order to adhere to the statute and regulations, states must have mechanisms in place to meet six statutory assurances:  Health and Welfare; Financial Accountability; Level of Care of Individuals Served; Service Plans; Qualified Providers; and, Administrative Accountability of the Single State Medicaid Agency.</w:t>
      </w:r>
    </w:p>
    <w:p w:rsidR="008E32FF" w:rsidP="00C67D01" w14:paraId="2A6BE6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79CC" w:rsidP="000F1CCD" w14:paraId="1AE28B0E" w14:textId="01B174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waivers are utilized by states as the predominant vehicle for community-based long term </w:t>
      </w:r>
      <w:r w:rsidRPr="00BC37DC">
        <w:rPr>
          <w:sz w:val="24"/>
        </w:rPr>
        <w:t>care services for vulnerable populations.  1915(c) waivers are submitted and approved through the Waiver Management System (WMS</w:t>
      </w:r>
      <w:r w:rsidR="00A41143">
        <w:rPr>
          <w:sz w:val="24"/>
        </w:rPr>
        <w:t xml:space="preserve">) at </w:t>
      </w:r>
      <w:hyperlink r:id="rId5" w:history="1">
        <w:r w:rsidRPr="00F035A4" w:rsidR="00A41143">
          <w:rPr>
            <w:rStyle w:val="Hyperlink"/>
            <w:sz w:val="24"/>
          </w:rPr>
          <w:t>https://wms-mmdl.cms.gov/WMS/faces/portal.jsp</w:t>
        </w:r>
      </w:hyperlink>
      <w:r w:rsidRPr="00BC37DC">
        <w:rPr>
          <w:sz w:val="24"/>
        </w:rPr>
        <w:t>.</w:t>
      </w:r>
      <w:r w:rsidR="00A41143">
        <w:rPr>
          <w:sz w:val="24"/>
        </w:rPr>
        <w:t xml:space="preserve"> </w:t>
      </w:r>
      <w:r w:rsidRPr="0073589D">
        <w:rPr>
          <w:sz w:val="24"/>
        </w:rPr>
        <w:t xml:space="preserve">The Government Accountability </w:t>
      </w:r>
      <w:r w:rsidRPr="006F23BB">
        <w:rPr>
          <w:sz w:val="24"/>
        </w:rPr>
        <w:t>Office (GAO) issued a report in 2003 which questioned CMS’ oversight of the s</w:t>
      </w:r>
      <w:r w:rsidRPr="0067028E">
        <w:rPr>
          <w:sz w:val="24"/>
        </w:rPr>
        <w:t>tates in their</w:t>
      </w:r>
      <w:r w:rsidRPr="00B81ACB">
        <w:rPr>
          <w:sz w:val="24"/>
        </w:rPr>
        <w:t xml:space="preserve"> management and operations of HCBS waivers. The GAO report was expressly critical of the lack of information that CMS collected from states about their waiver operations, and specifically about states’ quality assurance and improvement activities. Senators Grassley and Breaux sent CMS correspondence that expressed similar concerns. The report and the letter provide</w:t>
      </w:r>
      <w:r>
        <w:rPr>
          <w:sz w:val="24"/>
        </w:rPr>
        <w:t>d</w:t>
      </w:r>
      <w:r w:rsidRPr="00B81ACB">
        <w:rPr>
          <w:sz w:val="24"/>
        </w:rPr>
        <w:t xml:space="preserve"> CMS with an opportunity to improve </w:t>
      </w:r>
      <w:r>
        <w:rPr>
          <w:sz w:val="24"/>
        </w:rPr>
        <w:t xml:space="preserve">its </w:t>
      </w:r>
      <w:r w:rsidRPr="00B81ACB">
        <w:rPr>
          <w:sz w:val="24"/>
        </w:rPr>
        <w:t xml:space="preserve">oversight of the states’ HCBS programs through a multi-pronged approach.  </w:t>
      </w:r>
    </w:p>
    <w:p w:rsidR="00EF79CC" w:rsidP="000F1CCD" w14:paraId="34D833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1CCD" w:rsidRPr="00B81ACB" w:rsidP="000F1CCD" w14:paraId="08725676" w14:textId="0A4BAB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In addition to refining CMS guidance and providing states with technical assistance regarding quality, CMS redesigned the </w:t>
      </w:r>
      <w:r w:rsidRPr="00B81ACB" w:rsidR="00EF79CC">
        <w:rPr>
          <w:sz w:val="24"/>
        </w:rPr>
        <w:t xml:space="preserve">HCBS waiver </w:t>
      </w:r>
      <w:r w:rsidRPr="00B81ACB">
        <w:rPr>
          <w:sz w:val="24"/>
        </w:rPr>
        <w:t>application</w:t>
      </w:r>
      <w:r w:rsidR="00EF79CC">
        <w:rPr>
          <w:sz w:val="24"/>
        </w:rPr>
        <w:t>.</w:t>
      </w:r>
      <w:r w:rsidRPr="00B81ACB">
        <w:rPr>
          <w:sz w:val="24"/>
        </w:rPr>
        <w:t xml:space="preserve">  Improvements to the application were essential to obtaining detailed information from states on the waiver programs, and the strategies employed by the state to meet all of the statutory requirements, particularly assuring the health and welfare of individuals served through the waiver.</w:t>
      </w:r>
    </w:p>
    <w:p w:rsidR="008E32FF" w:rsidRPr="00B81ACB" w:rsidP="00C67D01" w14:paraId="256B8E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213C" w:rsidRPr="00B81ACB" w:rsidP="00C67D01" w14:paraId="2A583FA5" w14:textId="6DABA9C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As </w:t>
      </w:r>
      <w:r w:rsidR="00D64E29">
        <w:rPr>
          <w:sz w:val="24"/>
        </w:rPr>
        <w:t xml:space="preserve">such, </w:t>
      </w:r>
      <w:r w:rsidRPr="00B81ACB" w:rsidR="005452ED">
        <w:rPr>
          <w:sz w:val="24"/>
        </w:rPr>
        <w:t>renewal</w:t>
      </w:r>
      <w:r w:rsidRPr="00B81ACB">
        <w:rPr>
          <w:sz w:val="24"/>
        </w:rPr>
        <w:t xml:space="preserve"> </w:t>
      </w:r>
      <w:r w:rsidRPr="00B81ACB" w:rsidR="005452ED">
        <w:rPr>
          <w:sz w:val="24"/>
        </w:rPr>
        <w:t>of th</w:t>
      </w:r>
      <w:r w:rsidR="00D64E29">
        <w:rPr>
          <w:sz w:val="24"/>
        </w:rPr>
        <w:t>e</w:t>
      </w:r>
      <w:r w:rsidRPr="00B81ACB" w:rsidR="005452ED">
        <w:rPr>
          <w:sz w:val="24"/>
        </w:rPr>
        <w:t xml:space="preserve"> </w:t>
      </w:r>
      <w:r w:rsidR="00D64E29">
        <w:rPr>
          <w:sz w:val="24"/>
        </w:rPr>
        <w:t>application</w:t>
      </w:r>
      <w:r w:rsidRPr="00B81ACB">
        <w:rPr>
          <w:sz w:val="24"/>
        </w:rPr>
        <w:t xml:space="preserve"> is essential for the Secretary, and his/her designee </w:t>
      </w:r>
      <w:r w:rsidRPr="00B81ACB" w:rsidR="009E15BC">
        <w:rPr>
          <w:sz w:val="24"/>
        </w:rPr>
        <w:t>at CMS, to determine whether a s</w:t>
      </w:r>
      <w:r w:rsidRPr="00B81ACB">
        <w:rPr>
          <w:sz w:val="24"/>
        </w:rPr>
        <w:t>tate’s program meets all applicable statutory and regulatory requirements.  In addition to the statutory assurances cont</w:t>
      </w:r>
      <w:r w:rsidRPr="00B81ACB" w:rsidR="009E15BC">
        <w:rPr>
          <w:sz w:val="24"/>
        </w:rPr>
        <w:t xml:space="preserve">ained in </w:t>
      </w:r>
      <w:r w:rsidR="00F72271">
        <w:rPr>
          <w:sz w:val="24"/>
        </w:rPr>
        <w:t>s</w:t>
      </w:r>
      <w:r w:rsidRPr="00B81ACB" w:rsidR="009E15BC">
        <w:rPr>
          <w:sz w:val="24"/>
        </w:rPr>
        <w:t>ection 1915(c)</w:t>
      </w:r>
      <w:r w:rsidR="00F72271">
        <w:rPr>
          <w:sz w:val="24"/>
        </w:rPr>
        <w:t xml:space="preserve"> of the Act</w:t>
      </w:r>
      <w:r w:rsidRPr="00B81ACB" w:rsidR="009E15BC">
        <w:rPr>
          <w:sz w:val="24"/>
        </w:rPr>
        <w:t>, each s</w:t>
      </w:r>
      <w:r w:rsidRPr="00B81ACB">
        <w:rPr>
          <w:sz w:val="24"/>
        </w:rPr>
        <w:t xml:space="preserve">tate’s program must comport with all other elements of Medicaid law except for three notable areas for which waivers are permitted </w:t>
      </w:r>
      <w:r w:rsidRPr="00B32E7F">
        <w:rPr>
          <w:sz w:val="24"/>
        </w:rPr>
        <w:t xml:space="preserve">under 1915(c):  </w:t>
      </w:r>
      <w:r w:rsidR="00F72271">
        <w:rPr>
          <w:sz w:val="24"/>
        </w:rPr>
        <w:t>s</w:t>
      </w:r>
      <w:r w:rsidRPr="00B32E7F">
        <w:rPr>
          <w:sz w:val="24"/>
        </w:rPr>
        <w:t xml:space="preserve">ection 1902(a)(10)(B), </w:t>
      </w:r>
      <w:r w:rsidR="00F72271">
        <w:rPr>
          <w:sz w:val="24"/>
        </w:rPr>
        <w:t>c</w:t>
      </w:r>
      <w:r w:rsidRPr="00B32E7F">
        <w:rPr>
          <w:sz w:val="24"/>
        </w:rPr>
        <w:t xml:space="preserve">omparability; </w:t>
      </w:r>
      <w:r w:rsidR="00F72271">
        <w:rPr>
          <w:sz w:val="24"/>
        </w:rPr>
        <w:t>s</w:t>
      </w:r>
      <w:r w:rsidRPr="00D577E3">
        <w:rPr>
          <w:sz w:val="24"/>
        </w:rPr>
        <w:t xml:space="preserve">ection 1902(a)(1), </w:t>
      </w:r>
      <w:r w:rsidR="00F72271">
        <w:rPr>
          <w:sz w:val="24"/>
        </w:rPr>
        <w:t>s</w:t>
      </w:r>
      <w:r w:rsidRPr="00D577E3">
        <w:rPr>
          <w:sz w:val="24"/>
        </w:rPr>
        <w:t xml:space="preserve">tatewideness; and </w:t>
      </w:r>
      <w:r w:rsidR="00F72271">
        <w:rPr>
          <w:sz w:val="24"/>
        </w:rPr>
        <w:t>s</w:t>
      </w:r>
      <w:r w:rsidRPr="00D577E3" w:rsidR="00B32E7F">
        <w:rPr>
          <w:sz w:val="24"/>
        </w:rPr>
        <w:t xml:space="preserve">ection </w:t>
      </w:r>
      <w:r w:rsidRPr="00D577E3">
        <w:rPr>
          <w:sz w:val="24"/>
        </w:rPr>
        <w:t xml:space="preserve">1902(a)(10)(C)(i)(III), </w:t>
      </w:r>
      <w:r w:rsidR="00F72271">
        <w:rPr>
          <w:sz w:val="24"/>
        </w:rPr>
        <w:t>i</w:t>
      </w:r>
      <w:r w:rsidRPr="00D577E3">
        <w:rPr>
          <w:sz w:val="24"/>
        </w:rPr>
        <w:t xml:space="preserve">ncome and </w:t>
      </w:r>
      <w:r w:rsidR="00F72271">
        <w:rPr>
          <w:sz w:val="24"/>
        </w:rPr>
        <w:t>r</w:t>
      </w:r>
      <w:r w:rsidRPr="00D577E3">
        <w:rPr>
          <w:sz w:val="24"/>
        </w:rPr>
        <w:t>esources for</w:t>
      </w:r>
      <w:r w:rsidRPr="00B32E7F">
        <w:rPr>
          <w:sz w:val="24"/>
        </w:rPr>
        <w:t xml:space="preserve"> the </w:t>
      </w:r>
      <w:r w:rsidR="00F72271">
        <w:rPr>
          <w:sz w:val="24"/>
        </w:rPr>
        <w:t>m</w:t>
      </w:r>
      <w:r w:rsidRPr="00B32E7F">
        <w:rPr>
          <w:sz w:val="24"/>
        </w:rPr>
        <w:t xml:space="preserve">edically </w:t>
      </w:r>
      <w:r w:rsidR="00F72271">
        <w:rPr>
          <w:sz w:val="24"/>
        </w:rPr>
        <w:t>n</w:t>
      </w:r>
      <w:r w:rsidRPr="00B32E7F">
        <w:rPr>
          <w:sz w:val="24"/>
        </w:rPr>
        <w:t>eedy.</w:t>
      </w:r>
    </w:p>
    <w:p w:rsidR="00120F84" w:rsidRPr="00B81ACB" w:rsidP="00C67D01" w14:paraId="168E7356"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0F84" w:rsidRPr="00B81ACB" w:rsidP="00C67D01" w14:paraId="71EB6E46" w14:textId="3A5855C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Under s</w:t>
      </w:r>
      <w:r w:rsidRPr="00B81ACB">
        <w:rPr>
          <w:sz w:val="24"/>
        </w:rPr>
        <w:t>ection 1915(c)</w:t>
      </w:r>
      <w:r>
        <w:rPr>
          <w:sz w:val="24"/>
        </w:rPr>
        <w:t xml:space="preserve"> of the Act</w:t>
      </w:r>
      <w:r w:rsidRPr="00B81ACB">
        <w:rPr>
          <w:sz w:val="24"/>
        </w:rPr>
        <w:t>, t</w:t>
      </w:r>
      <w:r w:rsidRPr="00B81ACB" w:rsidR="00290486">
        <w:rPr>
          <w:sz w:val="24"/>
        </w:rPr>
        <w:t>here is a requirement that the s</w:t>
      </w:r>
      <w:r w:rsidRPr="00B81ACB">
        <w:rPr>
          <w:sz w:val="24"/>
        </w:rPr>
        <w:t xml:space="preserve">tate must assure the health and welfare of the individuals served within the waiver.  This is a standard unique in Medicaid to 1915(c) waivers, and it establishes a significantly higher threshold for approval than other provisions of Title XIX of the Social Security Act. </w:t>
      </w:r>
    </w:p>
    <w:p w:rsidR="00120F84" w:rsidRPr="00B81ACB" w:rsidP="00C67D01" w14:paraId="6FF270EF"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0F84" w:rsidRPr="00B81ACB" w:rsidP="00C67D01" w14:paraId="42E36441"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CMS must review each waiver on its own merits, and each waiver must be judged against all applicable statutory and regulatory requirements.  The web-based application eases the paperwork associated with the submission, review, approval and renewal of waiver applications</w:t>
      </w:r>
      <w:r w:rsidRPr="00B81ACB" w:rsidR="00FB32F7">
        <w:rPr>
          <w:sz w:val="24"/>
        </w:rPr>
        <w:t xml:space="preserve">, while simultaneously providing CMS with the information necessary to determine the scope, structure and operation of each waiver program.  In addition to the benefits for each individual waiver, the web-based application provides vital national data on long-term care services across the country.  </w:t>
      </w:r>
    </w:p>
    <w:p w:rsidR="008F1EB4" w:rsidRPr="00B81ACB" w:rsidP="00C67D01" w14:paraId="2889EC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4E5410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2.</w:t>
      </w:r>
      <w:r w:rsidRPr="00B81ACB">
        <w:rPr>
          <w:sz w:val="24"/>
        </w:rPr>
        <w:tab/>
      </w:r>
      <w:r w:rsidRPr="00B81ACB">
        <w:rPr>
          <w:sz w:val="24"/>
          <w:u w:val="single"/>
        </w:rPr>
        <w:t>Information Users</w:t>
      </w:r>
    </w:p>
    <w:p w:rsidR="00240753" w:rsidRPr="00B81ACB" w:rsidP="00C67D01" w14:paraId="09FF54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3CFA" w:rsidP="00C67D01" w14:paraId="10B33F16" w14:textId="17C29D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web-based application </w:t>
      </w:r>
      <w:r w:rsidRPr="00B81ACB" w:rsidR="009E15BC">
        <w:rPr>
          <w:sz w:val="24"/>
        </w:rPr>
        <w:t xml:space="preserve">is </w:t>
      </w:r>
      <w:r w:rsidRPr="00B81ACB">
        <w:rPr>
          <w:sz w:val="24"/>
        </w:rPr>
        <w:t xml:space="preserve">used by CMS to review and adjudicate individual waiver actions. </w:t>
      </w:r>
      <w:r w:rsidR="00812157">
        <w:rPr>
          <w:sz w:val="24"/>
        </w:rPr>
        <w:t xml:space="preserve">In order to </w:t>
      </w:r>
      <w:r w:rsidRPr="00B81ACB">
        <w:rPr>
          <w:sz w:val="24"/>
        </w:rPr>
        <w:t xml:space="preserve">submit </w:t>
      </w:r>
      <w:r w:rsidR="00812157">
        <w:rPr>
          <w:sz w:val="24"/>
        </w:rPr>
        <w:t xml:space="preserve">the </w:t>
      </w:r>
      <w:r w:rsidR="009F7DA1">
        <w:rPr>
          <w:sz w:val="24"/>
        </w:rPr>
        <w:t xml:space="preserve">waiver </w:t>
      </w:r>
      <w:r w:rsidR="00812157">
        <w:rPr>
          <w:sz w:val="24"/>
        </w:rPr>
        <w:t xml:space="preserve">application, states first log into the WMS.  Once logged in, the state can create, amend (as needed), and renew a waiver application.  </w:t>
      </w:r>
      <w:r>
        <w:rPr>
          <w:sz w:val="24"/>
        </w:rPr>
        <w:t xml:space="preserve">For more detailed instructions, technical guidance, and information about CMS policy, states can refer to the CMS HCBS Waiver </w:t>
      </w:r>
      <w:r w:rsidRPr="00C131DF">
        <w:rPr>
          <w:sz w:val="24"/>
        </w:rPr>
        <w:t>Instructions, Technical Guide, and Review Criteria document</w:t>
      </w:r>
      <w:r>
        <w:rPr>
          <w:sz w:val="24"/>
        </w:rPr>
        <w:t xml:space="preserve">.  This document is included in a link on the main page of the WMS.  </w:t>
      </w:r>
    </w:p>
    <w:p w:rsidR="00240753" w:rsidRPr="00B81ACB" w:rsidP="00C67D01" w14:paraId="2363B8EC" w14:textId="761EA5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After the state completes their </w:t>
      </w:r>
      <w:r w:rsidRPr="00B81ACB" w:rsidR="00FB32F7">
        <w:rPr>
          <w:sz w:val="24"/>
        </w:rPr>
        <w:t>waiver request</w:t>
      </w:r>
      <w:r>
        <w:rPr>
          <w:sz w:val="24"/>
        </w:rPr>
        <w:t>, they then submit the application</w:t>
      </w:r>
      <w:r w:rsidRPr="00B81ACB" w:rsidR="00FB32F7">
        <w:rPr>
          <w:sz w:val="24"/>
        </w:rPr>
        <w:t xml:space="preserve"> to CMS</w:t>
      </w:r>
      <w:r>
        <w:rPr>
          <w:sz w:val="24"/>
        </w:rPr>
        <w:t xml:space="preserve"> through the WMS</w:t>
      </w:r>
      <w:r w:rsidRPr="00B81ACB" w:rsidR="00FB32F7">
        <w:rPr>
          <w:sz w:val="24"/>
        </w:rPr>
        <w:t>.</w:t>
      </w:r>
      <w:r w:rsidR="00812157">
        <w:rPr>
          <w:sz w:val="24"/>
        </w:rPr>
        <w:t xml:space="preserve">  </w:t>
      </w:r>
    </w:p>
    <w:p w:rsidR="008F1EB4" w:rsidRPr="00B81ACB" w:rsidP="00C67D01" w14:paraId="43BA07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52C959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3.</w:t>
      </w:r>
      <w:r w:rsidRPr="00B81ACB">
        <w:rPr>
          <w:sz w:val="24"/>
        </w:rPr>
        <w:tab/>
      </w:r>
      <w:r w:rsidRPr="00B81ACB">
        <w:rPr>
          <w:sz w:val="24"/>
          <w:u w:val="single"/>
        </w:rPr>
        <w:t>Use of Information Technology</w:t>
      </w:r>
      <w:r w:rsidRPr="00B81ACB">
        <w:rPr>
          <w:sz w:val="24"/>
        </w:rPr>
        <w:t xml:space="preserve">   </w:t>
      </w:r>
    </w:p>
    <w:p w:rsidR="00240753" w:rsidP="00C67D01" w14:paraId="117C49AA" w14:textId="1F3313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C37DC" w:rsidP="00A1413C" w14:paraId="05835D6D" w14:textId="7596B2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C37DC">
        <w:rPr>
          <w:sz w:val="24"/>
        </w:rPr>
        <w:t>1915(c) waiver</w:t>
      </w:r>
      <w:r w:rsidR="005A1F01">
        <w:rPr>
          <w:sz w:val="24"/>
        </w:rPr>
        <w:t xml:space="preserve"> application</w:t>
      </w:r>
      <w:r w:rsidRPr="00BC37DC">
        <w:rPr>
          <w:sz w:val="24"/>
        </w:rPr>
        <w:t xml:space="preserve">s are submitted </w:t>
      </w:r>
      <w:r w:rsidR="005A1F01">
        <w:rPr>
          <w:sz w:val="24"/>
        </w:rPr>
        <w:t xml:space="preserve">by states </w:t>
      </w:r>
      <w:r w:rsidRPr="00BC37DC">
        <w:rPr>
          <w:sz w:val="24"/>
        </w:rPr>
        <w:t xml:space="preserve">and approved </w:t>
      </w:r>
      <w:r w:rsidR="005A1F01">
        <w:rPr>
          <w:sz w:val="24"/>
        </w:rPr>
        <w:t xml:space="preserve">by CMS </w:t>
      </w:r>
      <w:r w:rsidRPr="00BC37DC">
        <w:rPr>
          <w:sz w:val="24"/>
        </w:rPr>
        <w:t>through the WMS</w:t>
      </w:r>
      <w:r w:rsidR="00EA3CFA">
        <w:rPr>
          <w:sz w:val="24"/>
        </w:rPr>
        <w:t xml:space="preserve"> at</w:t>
      </w:r>
      <w:r w:rsidRPr="00EA3CFA" w:rsidR="00EA3CFA">
        <w:rPr>
          <w:sz w:val="24"/>
        </w:rPr>
        <w:t xml:space="preserve"> </w:t>
      </w:r>
      <w:hyperlink r:id="rId5" w:history="1">
        <w:r w:rsidRPr="00F035A4" w:rsidR="00EA3CFA">
          <w:rPr>
            <w:rStyle w:val="Hyperlink"/>
            <w:sz w:val="24"/>
          </w:rPr>
          <w:t>https://wms-mmdl.cms.gov/WMS/faces/portal.jsp</w:t>
        </w:r>
      </w:hyperlink>
      <w:r w:rsidRPr="00BC37DC">
        <w:rPr>
          <w:sz w:val="24"/>
        </w:rPr>
        <w:t>.</w:t>
      </w:r>
    </w:p>
    <w:p w:rsidR="00BC37DC" w:rsidRPr="00B81ACB" w:rsidP="00C67D01" w14:paraId="793D17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63CB1" w:rsidRPr="00B81ACB" w:rsidP="00C67D01" w14:paraId="6822CC62" w14:textId="10521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online </w:t>
      </w:r>
      <w:r w:rsidR="00DD76CF">
        <w:rPr>
          <w:sz w:val="24"/>
        </w:rPr>
        <w:t>application</w:t>
      </w:r>
      <w:r w:rsidRPr="00B81ACB">
        <w:rPr>
          <w:sz w:val="24"/>
        </w:rPr>
        <w:t xml:space="preserve"> provides automated calculation features, reduces the need for redundant data entry, </w:t>
      </w:r>
      <w:r w:rsidRPr="00B81ACB" w:rsidR="00E71BC0">
        <w:rPr>
          <w:sz w:val="24"/>
        </w:rPr>
        <w:t>improves transparency and record retent</w:t>
      </w:r>
      <w:r w:rsidRPr="00B81ACB" w:rsidR="009E15BC">
        <w:rPr>
          <w:sz w:val="24"/>
        </w:rPr>
        <w:t>ion capabilities (for both the s</w:t>
      </w:r>
      <w:r w:rsidRPr="00B81ACB" w:rsidR="00E71BC0">
        <w:rPr>
          <w:sz w:val="24"/>
        </w:rPr>
        <w:t xml:space="preserve">tate and the </w:t>
      </w:r>
      <w:r w:rsidR="00F72271">
        <w:rPr>
          <w:sz w:val="24"/>
        </w:rPr>
        <w:t>f</w:t>
      </w:r>
      <w:r w:rsidRPr="00B81ACB" w:rsidR="00E71BC0">
        <w:rPr>
          <w:sz w:val="24"/>
        </w:rPr>
        <w:t>ederal gov</w:t>
      </w:r>
      <w:r w:rsidRPr="00B81ACB" w:rsidR="009A06C4">
        <w:rPr>
          <w:sz w:val="24"/>
        </w:rPr>
        <w:t xml:space="preserve">ernment), eases submission, </w:t>
      </w:r>
      <w:r w:rsidRPr="00B81ACB" w:rsidR="004777C6">
        <w:rPr>
          <w:sz w:val="24"/>
        </w:rPr>
        <w:t xml:space="preserve">eases </w:t>
      </w:r>
      <w:r w:rsidR="00F72271">
        <w:rPr>
          <w:sz w:val="24"/>
        </w:rPr>
        <w:t>f</w:t>
      </w:r>
      <w:r w:rsidRPr="00B81ACB" w:rsidR="00E71BC0">
        <w:rPr>
          <w:sz w:val="24"/>
        </w:rPr>
        <w:t>ederal review and approval activities</w:t>
      </w:r>
      <w:r w:rsidRPr="00B81ACB" w:rsidR="009A06C4">
        <w:rPr>
          <w:sz w:val="24"/>
        </w:rPr>
        <w:t>, and simplifies and standardizes data retention activities</w:t>
      </w:r>
      <w:r w:rsidRPr="00B81ACB" w:rsidR="00E71BC0">
        <w:rPr>
          <w:sz w:val="24"/>
        </w:rPr>
        <w:t>.</w:t>
      </w:r>
      <w:r w:rsidRPr="00B81ACB" w:rsidR="00280F5E">
        <w:rPr>
          <w:sz w:val="24"/>
        </w:rPr>
        <w:t xml:space="preserve">  CMS make</w:t>
      </w:r>
      <w:r w:rsidRPr="00B81ACB" w:rsidR="009E15BC">
        <w:rPr>
          <w:sz w:val="24"/>
        </w:rPr>
        <w:t>s</w:t>
      </w:r>
      <w:r w:rsidRPr="00B81ACB" w:rsidR="00280F5E">
        <w:rPr>
          <w:sz w:val="24"/>
        </w:rPr>
        <w:t xml:space="preserve"> only the web-based version of</w:t>
      </w:r>
      <w:r w:rsidRPr="00B81ACB" w:rsidR="009E15BC">
        <w:rPr>
          <w:sz w:val="24"/>
        </w:rPr>
        <w:t xml:space="preserve"> the form available for use by s</w:t>
      </w:r>
      <w:r w:rsidRPr="00B81ACB" w:rsidR="00280F5E">
        <w:rPr>
          <w:sz w:val="24"/>
        </w:rPr>
        <w:t>tates to ensure consistency of information, accessibility of information, and aggregated information on the country’s home and community</w:t>
      </w:r>
      <w:r w:rsidR="00EF707E">
        <w:rPr>
          <w:sz w:val="24"/>
        </w:rPr>
        <w:t>-</w:t>
      </w:r>
      <w:r w:rsidRPr="00B81ACB" w:rsidR="00280F5E">
        <w:rPr>
          <w:sz w:val="24"/>
        </w:rPr>
        <w:t xml:space="preserve">based services </w:t>
      </w:r>
      <w:r w:rsidR="00EF707E">
        <w:rPr>
          <w:sz w:val="24"/>
        </w:rPr>
        <w:t xml:space="preserve">waiver </w:t>
      </w:r>
      <w:r w:rsidRPr="00B81ACB" w:rsidR="00280F5E">
        <w:rPr>
          <w:sz w:val="24"/>
        </w:rPr>
        <w:t>programs.</w:t>
      </w:r>
    </w:p>
    <w:p w:rsidR="008F1EB4" w:rsidRPr="00B81ACB" w:rsidP="00C67D01" w14:paraId="1A07AC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336B25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4.</w:t>
      </w:r>
      <w:r w:rsidRPr="00B81ACB">
        <w:rPr>
          <w:sz w:val="24"/>
        </w:rPr>
        <w:tab/>
      </w:r>
      <w:r w:rsidRPr="00B81ACB">
        <w:rPr>
          <w:sz w:val="24"/>
          <w:u w:val="single"/>
        </w:rPr>
        <w:t>Duplication of Efforts</w:t>
      </w:r>
    </w:p>
    <w:p w:rsidR="008F1EB4" w:rsidRPr="00B81ACB" w:rsidP="00C67D01" w14:paraId="3096ED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40753" w:rsidRPr="00B81ACB" w:rsidP="00C67D01" w14:paraId="29239177" w14:textId="3FE09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data captured on the </w:t>
      </w:r>
      <w:r w:rsidR="00281E22">
        <w:rPr>
          <w:sz w:val="24"/>
        </w:rPr>
        <w:t>w</w:t>
      </w:r>
      <w:r w:rsidRPr="00A00229" w:rsidR="00FB32F7">
        <w:rPr>
          <w:sz w:val="24"/>
        </w:rPr>
        <w:t xml:space="preserve">aiver </w:t>
      </w:r>
      <w:r w:rsidR="00281E22">
        <w:rPr>
          <w:sz w:val="24"/>
        </w:rPr>
        <w:t>a</w:t>
      </w:r>
      <w:r w:rsidRPr="00A00229" w:rsidR="00FB32F7">
        <w:rPr>
          <w:sz w:val="24"/>
        </w:rPr>
        <w:t>pplication</w:t>
      </w:r>
      <w:r w:rsidRPr="00B81ACB">
        <w:rPr>
          <w:sz w:val="24"/>
        </w:rPr>
        <w:t xml:space="preserve"> are not duplicated through any other public information collection.  </w:t>
      </w:r>
    </w:p>
    <w:p w:rsidR="008F1EB4" w:rsidRPr="00B81ACB" w:rsidP="00C67D01" w14:paraId="54903C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3C7D26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5.</w:t>
      </w:r>
      <w:r w:rsidRPr="00B81ACB">
        <w:rPr>
          <w:sz w:val="24"/>
        </w:rPr>
        <w:tab/>
      </w:r>
      <w:r w:rsidRPr="00B81ACB">
        <w:rPr>
          <w:sz w:val="24"/>
          <w:u w:val="single"/>
        </w:rPr>
        <w:t>Small Businesses</w:t>
      </w:r>
    </w:p>
    <w:p w:rsidR="008F1EB4" w:rsidRPr="00B81ACB" w:rsidP="00C67D01" w14:paraId="28280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1717C" w:rsidRPr="00B81ACB" w:rsidP="00C67D01" w14:paraId="23C0C3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does not involve small businesses or other small entities.  Rather, information is</w:t>
      </w:r>
      <w:r w:rsidRPr="00B81ACB" w:rsidR="007E29B9">
        <w:rPr>
          <w:sz w:val="24"/>
        </w:rPr>
        <w:t xml:space="preserve"> collected from Medicaid State A</w:t>
      </w:r>
      <w:r w:rsidRPr="00B81ACB">
        <w:rPr>
          <w:sz w:val="24"/>
        </w:rPr>
        <w:t>gencies.</w:t>
      </w:r>
    </w:p>
    <w:p w:rsidR="0001717C" w:rsidRPr="00B81ACB" w:rsidP="00C67D01" w14:paraId="351CBD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2AADB0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6.</w:t>
      </w:r>
      <w:r w:rsidRPr="00B81ACB">
        <w:rPr>
          <w:sz w:val="24"/>
        </w:rPr>
        <w:tab/>
      </w:r>
      <w:r w:rsidRPr="00B81ACB">
        <w:rPr>
          <w:sz w:val="24"/>
          <w:u w:val="single"/>
        </w:rPr>
        <w:t>Less Frequent Collection</w:t>
      </w:r>
    </w:p>
    <w:p w:rsidR="008F1EB4" w:rsidRPr="00B81ACB" w:rsidP="00C67D01" w14:paraId="645C65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75DB" w:rsidRPr="00B81ACB" w:rsidP="00C67D01" w14:paraId="47B848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 frequency with which data is collected is dictated in statute.  States</w:t>
      </w:r>
      <w:r w:rsidRPr="00B81ACB">
        <w:rPr>
          <w:sz w:val="24"/>
        </w:rPr>
        <w:t xml:space="preserve"> seeking a 1915(c) waiver </w:t>
      </w:r>
      <w:r w:rsidRPr="00B81ACB">
        <w:rPr>
          <w:sz w:val="24"/>
        </w:rPr>
        <w:t xml:space="preserve">must submit an initial waiver request, which is approved </w:t>
      </w:r>
      <w:r w:rsidRPr="00B81ACB" w:rsidR="009E15BC">
        <w:rPr>
          <w:sz w:val="24"/>
        </w:rPr>
        <w:t xml:space="preserve">by CMS </w:t>
      </w:r>
      <w:r w:rsidRPr="00B81ACB">
        <w:rPr>
          <w:sz w:val="24"/>
        </w:rPr>
        <w:t xml:space="preserve">for a three </w:t>
      </w:r>
      <w:r w:rsidRPr="00B81ACB" w:rsidR="009E15BC">
        <w:rPr>
          <w:sz w:val="24"/>
        </w:rPr>
        <w:t xml:space="preserve">or five </w:t>
      </w:r>
      <w:r w:rsidRPr="00B81ACB">
        <w:rPr>
          <w:sz w:val="24"/>
        </w:rPr>
        <w:t>year period.  In order</w:t>
      </w:r>
      <w:r w:rsidRPr="00B81ACB" w:rsidR="00E7496A">
        <w:rPr>
          <w:sz w:val="24"/>
        </w:rPr>
        <w:t xml:space="preserve"> to</w:t>
      </w:r>
      <w:r w:rsidRPr="00B81ACB">
        <w:rPr>
          <w:sz w:val="24"/>
        </w:rPr>
        <w:t xml:space="preserve"> renew a</w:t>
      </w:r>
      <w:r w:rsidRPr="00B81ACB" w:rsidR="009E15BC">
        <w:rPr>
          <w:sz w:val="24"/>
        </w:rPr>
        <w:t xml:space="preserve"> 1915(c) waiver, the s</w:t>
      </w:r>
      <w:r w:rsidRPr="00B81ACB">
        <w:rPr>
          <w:sz w:val="24"/>
        </w:rPr>
        <w:t>tate must submit an ap</w:t>
      </w:r>
      <w:r w:rsidRPr="00B81ACB" w:rsidR="009E15BC">
        <w:rPr>
          <w:sz w:val="24"/>
        </w:rPr>
        <w:t xml:space="preserve">plication.  CMS approves a renewal for a five year period.  </w:t>
      </w:r>
      <w:r w:rsidRPr="00B81ACB">
        <w:rPr>
          <w:sz w:val="24"/>
        </w:rPr>
        <w:t>Ame</w:t>
      </w:r>
      <w:r w:rsidRPr="00B81ACB" w:rsidR="009E15BC">
        <w:rPr>
          <w:sz w:val="24"/>
        </w:rPr>
        <w:t>ndments, which are done at the s</w:t>
      </w:r>
      <w:r w:rsidRPr="00B81ACB">
        <w:rPr>
          <w:sz w:val="24"/>
        </w:rPr>
        <w:t>tates’ discretion, may be completed at any time during a waiver’s approval period.</w:t>
      </w:r>
    </w:p>
    <w:p w:rsidR="007E75DB" w:rsidRPr="00B81ACB" w:rsidP="00C67D01" w14:paraId="03D06F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E2AA5" w:rsidRPr="00B81ACB" w:rsidP="00C67D01" w14:paraId="6E5FB3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Section 1915(c) waivers</w:t>
      </w:r>
      <w:r w:rsidRPr="00B81ACB" w:rsidR="00FB32F7">
        <w:rPr>
          <w:sz w:val="24"/>
        </w:rPr>
        <w:t xml:space="preserve"> </w:t>
      </w:r>
      <w:r w:rsidRPr="00B81ACB">
        <w:rPr>
          <w:sz w:val="24"/>
        </w:rPr>
        <w:t>are entirely discretionary on the par</w:t>
      </w:r>
      <w:r w:rsidRPr="00B81ACB" w:rsidR="009E15BC">
        <w:rPr>
          <w:sz w:val="24"/>
        </w:rPr>
        <w:t>t of the s</w:t>
      </w:r>
      <w:r w:rsidRPr="00B81ACB" w:rsidR="00F241EC">
        <w:rPr>
          <w:sz w:val="24"/>
        </w:rPr>
        <w:t xml:space="preserve">tate. </w:t>
      </w:r>
    </w:p>
    <w:p w:rsidR="001E2AA5" w:rsidRPr="00B81ACB" w:rsidP="00C67D01" w14:paraId="687D81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31E434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7.</w:t>
      </w:r>
      <w:r w:rsidRPr="00B81ACB">
        <w:rPr>
          <w:sz w:val="24"/>
        </w:rPr>
        <w:tab/>
      </w:r>
      <w:r w:rsidRPr="00B81ACB">
        <w:rPr>
          <w:sz w:val="24"/>
          <w:u w:val="single"/>
        </w:rPr>
        <w:t>Special Circumstances</w:t>
      </w:r>
    </w:p>
    <w:p w:rsidR="0001717C" w:rsidRPr="00B81ACB" w:rsidP="00C67D01" w14:paraId="1AAD69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04D5" w:rsidRPr="00B81ACB" w:rsidP="00F54338" w14:paraId="09ADB0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special circumstances that would require an information collection to be conducted in a manner that requires respondents to:</w:t>
      </w:r>
    </w:p>
    <w:p w:rsidR="003F04D5" w:rsidRPr="00B81ACB" w:rsidP="003F04D5" w14:paraId="676B1F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F04D5" w:rsidRPr="00B81ACB" w:rsidP="003F04D5" w14:paraId="13B43D96"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Report information to the agency more often than quarterly;</w:t>
      </w:r>
    </w:p>
    <w:p w:rsidR="003F04D5" w:rsidRPr="00B81ACB" w:rsidP="003F04D5" w14:paraId="04AB5459"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 xml:space="preserve">Prepare a written response to a collection of information in fewer than 30 days after receipt of it; </w:t>
      </w:r>
    </w:p>
    <w:p w:rsidR="003F04D5" w:rsidRPr="00B81ACB" w:rsidP="003F04D5" w14:paraId="3BCF9E4B"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Submit more than an original and two copies of any document;</w:t>
      </w:r>
    </w:p>
    <w:p w:rsidR="003F04D5" w:rsidRPr="00B81ACB" w:rsidP="003F04D5" w14:paraId="26F8736C"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Retain records, other than health, medical, government contract, grant-in-aid, or tax records for more than three years;</w:t>
      </w:r>
    </w:p>
    <w:p w:rsidR="003F04D5" w:rsidRPr="00B81ACB" w:rsidP="003F04D5" w14:paraId="2470B759"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Collect data in connection with a statistical survey that is not designed to produce valid and reliable results that can be generalized to the universe of study,</w:t>
      </w:r>
    </w:p>
    <w:p w:rsidR="003F04D5" w:rsidRPr="00B81ACB" w:rsidP="003F04D5" w14:paraId="1336A541"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Use a statistical data classification that has not been reviewed and approved by OMB;</w:t>
      </w:r>
    </w:p>
    <w:p w:rsidR="003F04D5" w:rsidRPr="00B81ACB" w:rsidP="003F04D5" w14:paraId="326E72E0"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F04D5" w:rsidRPr="00B81ACB" w:rsidP="003F04D5" w14:paraId="5239C10F"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Submit proprietary trade secret, or other confidential information unless the agency can demonstrate that it has instituted procedures to protect the information's confidentiality to the extent permitted by law.</w:t>
      </w:r>
    </w:p>
    <w:p w:rsidR="006D4F56" w:rsidRPr="00B81ACB" w:rsidP="00C67D01" w14:paraId="0CB033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5EB24B78" w14:textId="11D6F6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8.</w:t>
      </w:r>
      <w:r w:rsidRPr="00B81ACB">
        <w:rPr>
          <w:sz w:val="24"/>
        </w:rPr>
        <w:tab/>
      </w:r>
      <w:r w:rsidRPr="00B81ACB">
        <w:rPr>
          <w:sz w:val="24"/>
          <w:u w:val="single"/>
        </w:rPr>
        <w:t>Federal Register/Outside Consultation</w:t>
      </w:r>
    </w:p>
    <w:p w:rsidR="008F1EB4" w:rsidP="00C67D01" w14:paraId="790617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17E28" w:rsidRPr="00131616" w:rsidP="00817E28" w14:paraId="42F063A2" w14:textId="606109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53858">
        <w:rPr>
          <w:sz w:val="24"/>
        </w:rPr>
        <w:t xml:space="preserve">The 60-day notice published in the Federal Register on </w:t>
      </w:r>
      <w:r w:rsidR="00991633">
        <w:rPr>
          <w:sz w:val="24"/>
        </w:rPr>
        <w:t>S</w:t>
      </w:r>
      <w:r w:rsidRPr="00991633" w:rsidR="00991633">
        <w:rPr>
          <w:sz w:val="24"/>
        </w:rPr>
        <w:t>eptember 11, 2023</w:t>
      </w:r>
      <w:r w:rsidR="00991633">
        <w:rPr>
          <w:sz w:val="24"/>
        </w:rPr>
        <w:t xml:space="preserve"> (88 FR </w:t>
      </w:r>
      <w:r w:rsidRPr="00991633" w:rsidR="00991633">
        <w:rPr>
          <w:sz w:val="24"/>
        </w:rPr>
        <w:t>62377</w:t>
      </w:r>
      <w:r w:rsidR="00991633">
        <w:rPr>
          <w:sz w:val="24"/>
        </w:rPr>
        <w:t xml:space="preserve">). </w:t>
      </w:r>
      <w:r w:rsidRPr="00060F7D" w:rsidR="00060F7D">
        <w:rPr>
          <w:sz w:val="24"/>
        </w:rPr>
        <w:t xml:space="preserve">Comments </w:t>
      </w:r>
      <w:r w:rsidR="00060F7D">
        <w:rPr>
          <w:sz w:val="24"/>
        </w:rPr>
        <w:t xml:space="preserve">were </w:t>
      </w:r>
      <w:r w:rsidRPr="00131616">
        <w:rPr>
          <w:sz w:val="24"/>
        </w:rPr>
        <w:t>received</w:t>
      </w:r>
      <w:r>
        <w:rPr>
          <w:sz w:val="24"/>
        </w:rPr>
        <w:t xml:space="preserve">. </w:t>
      </w:r>
      <w:r w:rsidR="00682056">
        <w:rPr>
          <w:sz w:val="24"/>
        </w:rPr>
        <w:t>In response, t</w:t>
      </w:r>
      <w:r>
        <w:rPr>
          <w:sz w:val="24"/>
        </w:rPr>
        <w:t xml:space="preserve">he </w:t>
      </w:r>
      <w:r w:rsidRPr="00131616">
        <w:rPr>
          <w:sz w:val="24"/>
        </w:rPr>
        <w:t>Application for a §1915(c) Home and Community-Based Services Waiver</w:t>
      </w:r>
      <w:r>
        <w:rPr>
          <w:sz w:val="24"/>
        </w:rPr>
        <w:t xml:space="preserve"> and the </w:t>
      </w:r>
      <w:r w:rsidRPr="00131616">
        <w:rPr>
          <w:sz w:val="24"/>
        </w:rPr>
        <w:t xml:space="preserve">application’s Instructions, Technical Guide, and Review Criteria document </w:t>
      </w:r>
      <w:r>
        <w:rPr>
          <w:sz w:val="24"/>
        </w:rPr>
        <w:t>have been revised</w:t>
      </w:r>
      <w:r w:rsidR="00682056">
        <w:rPr>
          <w:sz w:val="24"/>
        </w:rPr>
        <w:t xml:space="preserve">. </w:t>
      </w:r>
      <w:r w:rsidRPr="00131616">
        <w:rPr>
          <w:sz w:val="24"/>
        </w:rPr>
        <w:t xml:space="preserve">Details can be found </w:t>
      </w:r>
      <w:r w:rsidR="00715ABE">
        <w:rPr>
          <w:sz w:val="24"/>
        </w:rPr>
        <w:t xml:space="preserve">in section 15 of this Supporting Statement and </w:t>
      </w:r>
      <w:r w:rsidRPr="00131616">
        <w:rPr>
          <w:sz w:val="24"/>
        </w:rPr>
        <w:t>in the attached crosswalks.</w:t>
      </w:r>
    </w:p>
    <w:p w:rsidR="00E02FDF" w:rsidP="00C67D01" w14:paraId="6A52AD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356C" w:rsidP="00C67D01" w14:paraId="47573C4D" w14:textId="05B439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53858">
        <w:rPr>
          <w:sz w:val="24"/>
        </w:rPr>
        <w:t xml:space="preserve">The </w:t>
      </w:r>
      <w:r>
        <w:rPr>
          <w:sz w:val="24"/>
        </w:rPr>
        <w:t>3</w:t>
      </w:r>
      <w:r w:rsidRPr="00453858">
        <w:rPr>
          <w:sz w:val="24"/>
        </w:rPr>
        <w:t>0-day notice published in the Federal Register o</w:t>
      </w:r>
      <w:r>
        <w:rPr>
          <w:sz w:val="24"/>
        </w:rPr>
        <w:t xml:space="preserve">n </w:t>
      </w:r>
      <w:r w:rsidRPr="00C3356C">
        <w:rPr>
          <w:sz w:val="24"/>
        </w:rPr>
        <w:t>March 18, 2024</w:t>
      </w:r>
      <w:r>
        <w:rPr>
          <w:sz w:val="24"/>
        </w:rPr>
        <w:t xml:space="preserve"> (89 FR </w:t>
      </w:r>
      <w:r w:rsidRPr="00C3356C">
        <w:rPr>
          <w:sz w:val="24"/>
        </w:rPr>
        <w:t>19314</w:t>
      </w:r>
      <w:r>
        <w:rPr>
          <w:sz w:val="24"/>
        </w:rPr>
        <w:t xml:space="preserve">). </w:t>
      </w:r>
      <w:r w:rsidRPr="00C3356C">
        <w:rPr>
          <w:sz w:val="24"/>
        </w:rPr>
        <w:t>Comments must be received by April 17, 2024.</w:t>
      </w:r>
    </w:p>
    <w:p w:rsidR="00C3356C" w:rsidRPr="00B81ACB" w:rsidP="00C67D01" w14:paraId="42EB34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14B0D6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9.</w:t>
      </w:r>
      <w:r w:rsidRPr="00B81ACB">
        <w:rPr>
          <w:sz w:val="24"/>
        </w:rPr>
        <w:tab/>
      </w:r>
      <w:r w:rsidRPr="00B81ACB">
        <w:rPr>
          <w:sz w:val="24"/>
          <w:u w:val="single"/>
        </w:rPr>
        <w:t>Payments/Gifts to Respondents</w:t>
      </w:r>
    </w:p>
    <w:p w:rsidR="00E21DEB" w:rsidRPr="00B81ACB" w:rsidP="00C67D01" w14:paraId="5F2EFB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E21DEB" w:rsidRPr="00B81ACB" w:rsidP="00C67D01" w14:paraId="286C9D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No payments or gifts will be given to respondents.</w:t>
      </w:r>
    </w:p>
    <w:p w:rsidR="00E21DEB" w:rsidRPr="00B81ACB" w:rsidP="00C67D01" w14:paraId="69EAFA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81ACB" w:rsidP="00C67D01" w14:paraId="769BC0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10.</w:t>
      </w:r>
      <w:r w:rsidRPr="00B81ACB">
        <w:rPr>
          <w:sz w:val="24"/>
        </w:rPr>
        <w:tab/>
      </w:r>
      <w:r w:rsidRPr="00B81ACB">
        <w:rPr>
          <w:sz w:val="24"/>
          <w:u w:val="single"/>
        </w:rPr>
        <w:t>Confidentiality</w:t>
      </w:r>
    </w:p>
    <w:p w:rsidR="00E21DEB" w:rsidRPr="00B81ACB" w:rsidP="00C67D01" w14:paraId="503D8B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6072" w:rsidRPr="00B81ACB" w:rsidP="00C67D01" w14:paraId="642D83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No assurances of confidentiality have been </w:t>
      </w:r>
      <w:r w:rsidRPr="00B81ACB">
        <w:rPr>
          <w:sz w:val="24"/>
        </w:rPr>
        <w:t xml:space="preserve">provided. </w:t>
      </w:r>
    </w:p>
    <w:p w:rsidR="00E21DEB" w:rsidRPr="00B81ACB" w:rsidP="00C67D01" w14:paraId="410850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76F3D8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11.</w:t>
      </w:r>
      <w:r w:rsidRPr="00B81ACB">
        <w:rPr>
          <w:sz w:val="24"/>
        </w:rPr>
        <w:tab/>
      </w:r>
      <w:r w:rsidRPr="00B81ACB">
        <w:rPr>
          <w:sz w:val="24"/>
          <w:u w:val="single"/>
        </w:rPr>
        <w:t>Sensitive Questions</w:t>
      </w:r>
    </w:p>
    <w:p w:rsidR="00C36072" w:rsidRPr="00B81ACB" w:rsidP="00C67D01" w14:paraId="03C618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70B75" w:rsidRPr="00B81ACB" w:rsidP="00504B82" w14:paraId="61B8B3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B70B75" w:rsidRPr="00B81ACB" w:rsidP="00C67D01" w14:paraId="05D81F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81ACB" w:rsidP="00C67D01" w14:paraId="4F3BE255" w14:textId="56BEFA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12.</w:t>
      </w:r>
      <w:r w:rsidRPr="00B81ACB">
        <w:rPr>
          <w:sz w:val="24"/>
        </w:rPr>
        <w:tab/>
      </w:r>
      <w:r w:rsidRPr="00173B88" w:rsidR="00FC6DB0">
        <w:rPr>
          <w:sz w:val="24"/>
          <w:u w:val="single"/>
        </w:rPr>
        <w:t xml:space="preserve">Collection of Information Requirements and Associated </w:t>
      </w:r>
      <w:r w:rsidRPr="00B81ACB">
        <w:rPr>
          <w:sz w:val="24"/>
          <w:u w:val="single"/>
        </w:rPr>
        <w:t>Burden Estimates</w:t>
      </w:r>
    </w:p>
    <w:p w:rsidR="00060C5E" w:rsidRPr="00B81ACB" w:rsidP="00C67D01" w14:paraId="4766C9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412F" w:rsidRPr="00B81ACB" w:rsidP="0060412F" w14:paraId="4D4809F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i/>
          <w:sz w:val="24"/>
        </w:rPr>
      </w:pPr>
      <w:r w:rsidRPr="00B81ACB">
        <w:rPr>
          <w:rFonts w:eastAsia="Calibri"/>
          <w:i/>
          <w:sz w:val="24"/>
        </w:rPr>
        <w:t>Wages</w:t>
      </w:r>
    </w:p>
    <w:p w:rsidR="0060412F" w:rsidRPr="00B81ACB" w:rsidP="0060412F" w14:paraId="5FB33B5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u w:val="single"/>
        </w:rPr>
      </w:pPr>
    </w:p>
    <w:p w:rsidR="0060412F" w:rsidRPr="00B81ACB" w:rsidP="0060412F" w14:paraId="79F981E7" w14:textId="022C7DB0">
      <w:pPr>
        <w:autoSpaceDE/>
        <w:autoSpaceDN/>
        <w:adjustRightInd/>
        <w:rPr>
          <w:rFonts w:eastAsia="Calibri"/>
          <w:sz w:val="24"/>
        </w:rPr>
      </w:pPr>
      <w:r w:rsidRPr="00B81ACB">
        <w:rPr>
          <w:rFonts w:eastAsia="Calibri"/>
          <w:sz w:val="24"/>
        </w:rPr>
        <w:t xml:space="preserve">To derive average costs, we used data from the U.S. Bureau of Labor Statistics’ May </w:t>
      </w:r>
      <w:r w:rsidR="00FC6DB0">
        <w:rPr>
          <w:rFonts w:eastAsia="Calibri"/>
          <w:sz w:val="24"/>
        </w:rPr>
        <w:t>2022</w:t>
      </w:r>
      <w:r w:rsidRPr="00B81ACB">
        <w:rPr>
          <w:rFonts w:eastAsia="Calibri"/>
          <w:sz w:val="24"/>
        </w:rPr>
        <w:t xml:space="preserve"> National Occupational Employment and Wage Estimates for all salary estimates </w:t>
      </w:r>
      <w:r w:rsidRPr="008D0E64">
        <w:rPr>
          <w:rFonts w:eastAsia="Calibri"/>
          <w:sz w:val="24"/>
        </w:rPr>
        <w:t>(</w:t>
      </w:r>
      <w:hyperlink r:id="rId6" w:history="1">
        <w:r w:rsidRPr="00266DE0" w:rsidR="00353928">
          <w:rPr>
            <w:rStyle w:val="Hyperlink"/>
            <w:sz w:val="24"/>
          </w:rPr>
          <w:t>https://www.bls.gov/oes/2022/may/oes_nat.htm</w:t>
        </w:r>
      </w:hyperlink>
      <w:r w:rsidRPr="008D0E64">
        <w:rPr>
          <w:rFonts w:eastAsia="Calibri"/>
          <w:sz w:val="24"/>
        </w:rPr>
        <w:t>). In this</w:t>
      </w:r>
      <w:r w:rsidRPr="00B81ACB">
        <w:rPr>
          <w:rFonts w:eastAsia="Calibri"/>
          <w:sz w:val="24"/>
        </w:rPr>
        <w:t xml:space="preserve"> regard, the following table presents </w:t>
      </w:r>
      <w:r w:rsidR="00FC6DB0">
        <w:rPr>
          <w:rFonts w:eastAsia="Calibri"/>
          <w:sz w:val="24"/>
        </w:rPr>
        <w:t>BLS’</w:t>
      </w:r>
      <w:r w:rsidRPr="00B81ACB">
        <w:rPr>
          <w:rFonts w:eastAsia="Calibri"/>
          <w:sz w:val="24"/>
        </w:rPr>
        <w:t xml:space="preserve"> me</w:t>
      </w:r>
      <w:r w:rsidR="00AE3438">
        <w:rPr>
          <w:rFonts w:eastAsia="Calibri"/>
          <w:sz w:val="24"/>
        </w:rPr>
        <w:t>an</w:t>
      </w:r>
      <w:r w:rsidRPr="00B81ACB">
        <w:rPr>
          <w:rFonts w:eastAsia="Calibri"/>
          <w:sz w:val="24"/>
        </w:rPr>
        <w:t xml:space="preserve"> hourly wage, </w:t>
      </w:r>
      <w:r w:rsidR="00B877A1">
        <w:rPr>
          <w:rFonts w:eastAsia="Calibri"/>
          <w:sz w:val="24"/>
        </w:rPr>
        <w:t xml:space="preserve">our estimated </w:t>
      </w:r>
      <w:r w:rsidRPr="00B81ACB">
        <w:rPr>
          <w:rFonts w:eastAsia="Calibri"/>
          <w:sz w:val="24"/>
        </w:rPr>
        <w:t xml:space="preserve">cost of fringe benefits </w:t>
      </w:r>
      <w:r w:rsidR="0001232C">
        <w:rPr>
          <w:rFonts w:eastAsia="Calibri"/>
          <w:sz w:val="24"/>
        </w:rPr>
        <w:t>and o</w:t>
      </w:r>
      <w:r w:rsidR="00B877A1">
        <w:rPr>
          <w:rFonts w:eastAsia="Calibri"/>
          <w:sz w:val="24"/>
        </w:rPr>
        <w:t>ther indirect costs</w:t>
      </w:r>
      <w:r w:rsidR="0001232C">
        <w:rPr>
          <w:rFonts w:eastAsia="Calibri"/>
          <w:sz w:val="24"/>
        </w:rPr>
        <w:t xml:space="preserve"> </w:t>
      </w:r>
      <w:r w:rsidRPr="00B81ACB">
        <w:rPr>
          <w:rFonts w:eastAsia="Calibri"/>
          <w:sz w:val="24"/>
        </w:rPr>
        <w:t xml:space="preserve">(calculated at 100 percent of salary), and </w:t>
      </w:r>
      <w:r w:rsidR="00B877A1">
        <w:rPr>
          <w:rFonts w:eastAsia="Calibri"/>
          <w:sz w:val="24"/>
        </w:rPr>
        <w:t>our</w:t>
      </w:r>
      <w:r w:rsidRPr="00B81ACB">
        <w:rPr>
          <w:rFonts w:eastAsia="Calibri"/>
          <w:sz w:val="24"/>
        </w:rPr>
        <w:t xml:space="preserve"> adjusted hourly wage.</w:t>
      </w:r>
    </w:p>
    <w:p w:rsidR="0060412F" w:rsidRPr="00B81ACB" w:rsidP="0060412F" w14:paraId="73F96550" w14:textId="77777777">
      <w:pPr>
        <w:autoSpaceDE/>
        <w:autoSpaceDN/>
        <w:adjustRightInd/>
        <w:ind w:firstLine="720"/>
        <w:rPr>
          <w:rFonts w:eastAsia="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7C5EA8B1" w14:textId="77777777" w:rsidTr="00304D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809" w:type="dxa"/>
            <w:shd w:val="clear" w:color="auto" w:fill="auto"/>
          </w:tcPr>
          <w:p w:rsidR="0060412F" w:rsidRPr="00952D0A" w:rsidP="0060412F" w14:paraId="41B0AB91" w14:textId="77777777">
            <w:pPr>
              <w:autoSpaceDE/>
              <w:autoSpaceDN/>
              <w:adjustRightInd/>
              <w:rPr>
                <w:rFonts w:eastAsia="Calibri"/>
                <w:szCs w:val="20"/>
              </w:rPr>
            </w:pPr>
            <w:r w:rsidRPr="00952D0A">
              <w:rPr>
                <w:rFonts w:eastAsia="Calibri"/>
                <w:szCs w:val="20"/>
              </w:rPr>
              <w:t>Occupation Title</w:t>
            </w:r>
          </w:p>
        </w:tc>
        <w:tc>
          <w:tcPr>
            <w:tcW w:w="1809" w:type="dxa"/>
            <w:shd w:val="clear" w:color="auto" w:fill="auto"/>
          </w:tcPr>
          <w:p w:rsidR="0060412F" w:rsidRPr="00952D0A" w:rsidP="0060412F" w14:paraId="31B2BD1B" w14:textId="77777777">
            <w:pPr>
              <w:autoSpaceDE/>
              <w:autoSpaceDN/>
              <w:adjustRightInd/>
              <w:rPr>
                <w:rFonts w:eastAsia="Calibri"/>
                <w:szCs w:val="20"/>
              </w:rPr>
            </w:pPr>
            <w:r w:rsidRPr="00952D0A">
              <w:rPr>
                <w:rFonts w:eastAsia="Calibri"/>
                <w:szCs w:val="20"/>
              </w:rPr>
              <w:t>Occupation Code</w:t>
            </w:r>
          </w:p>
        </w:tc>
        <w:tc>
          <w:tcPr>
            <w:tcW w:w="1733" w:type="dxa"/>
            <w:shd w:val="clear" w:color="auto" w:fill="auto"/>
          </w:tcPr>
          <w:p w:rsidR="00B877A1" w:rsidRPr="00952D0A" w:rsidP="00266DE0" w14:paraId="02838F02" w14:textId="77777777">
            <w:pPr>
              <w:autoSpaceDE/>
              <w:autoSpaceDN/>
              <w:adjustRightInd/>
              <w:jc w:val="center"/>
              <w:rPr>
                <w:rFonts w:eastAsia="Calibri"/>
                <w:szCs w:val="20"/>
              </w:rPr>
            </w:pPr>
            <w:r w:rsidRPr="00952D0A">
              <w:rPr>
                <w:rFonts w:eastAsia="Calibri"/>
                <w:szCs w:val="20"/>
              </w:rPr>
              <w:t>Mean Hourly Wage</w:t>
            </w:r>
          </w:p>
          <w:p w:rsidR="0060412F" w:rsidRPr="00952D0A" w:rsidP="00266DE0" w14:paraId="310D9013" w14:textId="14A6F12A">
            <w:pPr>
              <w:autoSpaceDE/>
              <w:autoSpaceDN/>
              <w:adjustRightInd/>
              <w:jc w:val="center"/>
              <w:rPr>
                <w:rFonts w:eastAsia="Calibri"/>
                <w:szCs w:val="20"/>
              </w:rPr>
            </w:pPr>
            <w:r w:rsidRPr="00952D0A">
              <w:rPr>
                <w:rFonts w:eastAsia="Calibri"/>
                <w:szCs w:val="20"/>
              </w:rPr>
              <w:t>($/hr)</w:t>
            </w:r>
          </w:p>
        </w:tc>
        <w:tc>
          <w:tcPr>
            <w:tcW w:w="1738" w:type="dxa"/>
            <w:shd w:val="clear" w:color="auto" w:fill="auto"/>
          </w:tcPr>
          <w:p w:rsidR="00B877A1" w:rsidRPr="00952D0A" w:rsidP="00266DE0" w14:paraId="0509DB7A" w14:textId="56C260AE">
            <w:pPr>
              <w:autoSpaceDE/>
              <w:autoSpaceDN/>
              <w:adjustRightInd/>
              <w:jc w:val="center"/>
              <w:rPr>
                <w:rFonts w:eastAsia="Calibri"/>
                <w:szCs w:val="20"/>
              </w:rPr>
            </w:pPr>
            <w:r w:rsidRPr="00952D0A">
              <w:rPr>
                <w:rFonts w:eastAsia="Calibri"/>
                <w:szCs w:val="20"/>
              </w:rPr>
              <w:t>Fringe Benefit</w:t>
            </w:r>
            <w:r w:rsidRPr="00952D0A" w:rsidR="0001232C">
              <w:rPr>
                <w:rFonts w:eastAsia="Calibri"/>
                <w:szCs w:val="20"/>
              </w:rPr>
              <w:t xml:space="preserve">s and </w:t>
            </w:r>
            <w:r w:rsidRPr="00952D0A" w:rsidR="007E2472">
              <w:rPr>
                <w:rFonts w:eastAsia="Calibri"/>
                <w:szCs w:val="20"/>
              </w:rPr>
              <w:t>O</w:t>
            </w:r>
            <w:r w:rsidRPr="00952D0A">
              <w:rPr>
                <w:rFonts w:eastAsia="Calibri"/>
                <w:szCs w:val="20"/>
              </w:rPr>
              <w:t xml:space="preserve">ther </w:t>
            </w:r>
            <w:r w:rsidRPr="00952D0A" w:rsidR="007E2472">
              <w:rPr>
                <w:rFonts w:eastAsia="Calibri"/>
                <w:szCs w:val="20"/>
              </w:rPr>
              <w:t>I</w:t>
            </w:r>
            <w:r w:rsidRPr="00952D0A">
              <w:rPr>
                <w:rFonts w:eastAsia="Calibri"/>
                <w:szCs w:val="20"/>
              </w:rPr>
              <w:t xml:space="preserve">ndirect </w:t>
            </w:r>
            <w:r w:rsidRPr="00952D0A" w:rsidR="007E2472">
              <w:rPr>
                <w:rFonts w:eastAsia="Calibri"/>
                <w:szCs w:val="20"/>
              </w:rPr>
              <w:t>C</w:t>
            </w:r>
            <w:r w:rsidRPr="00952D0A">
              <w:rPr>
                <w:rFonts w:eastAsia="Calibri"/>
                <w:szCs w:val="20"/>
              </w:rPr>
              <w:t>osts</w:t>
            </w:r>
          </w:p>
          <w:p w:rsidR="0060412F" w:rsidRPr="00952D0A" w:rsidP="00266DE0" w14:paraId="705CE584" w14:textId="637E8E5B">
            <w:pPr>
              <w:autoSpaceDE/>
              <w:autoSpaceDN/>
              <w:adjustRightInd/>
              <w:jc w:val="center"/>
              <w:rPr>
                <w:rFonts w:eastAsia="Calibri"/>
                <w:szCs w:val="20"/>
              </w:rPr>
            </w:pPr>
            <w:r w:rsidRPr="00952D0A">
              <w:rPr>
                <w:rFonts w:eastAsia="Calibri"/>
                <w:szCs w:val="20"/>
              </w:rPr>
              <w:t>($/hr)</w:t>
            </w:r>
          </w:p>
        </w:tc>
        <w:tc>
          <w:tcPr>
            <w:tcW w:w="1767" w:type="dxa"/>
            <w:shd w:val="clear" w:color="auto" w:fill="auto"/>
          </w:tcPr>
          <w:p w:rsidR="00B877A1" w:rsidRPr="00952D0A" w:rsidP="00266DE0" w14:paraId="2E31B042" w14:textId="77777777">
            <w:pPr>
              <w:autoSpaceDE/>
              <w:autoSpaceDN/>
              <w:adjustRightInd/>
              <w:jc w:val="center"/>
              <w:rPr>
                <w:rFonts w:eastAsia="Calibri"/>
                <w:szCs w:val="20"/>
              </w:rPr>
            </w:pPr>
            <w:r w:rsidRPr="00952D0A">
              <w:rPr>
                <w:rFonts w:eastAsia="Calibri"/>
                <w:szCs w:val="20"/>
              </w:rPr>
              <w:t>Adjusted Hourly Wage</w:t>
            </w:r>
          </w:p>
          <w:p w:rsidR="0060412F" w:rsidRPr="00952D0A" w:rsidP="00266DE0" w14:paraId="36DDF722" w14:textId="09281872">
            <w:pPr>
              <w:autoSpaceDE/>
              <w:autoSpaceDN/>
              <w:adjustRightInd/>
              <w:jc w:val="center"/>
              <w:rPr>
                <w:rFonts w:eastAsia="Calibri"/>
                <w:szCs w:val="20"/>
              </w:rPr>
            </w:pPr>
            <w:r w:rsidRPr="00952D0A">
              <w:rPr>
                <w:rFonts w:eastAsia="Calibri"/>
                <w:szCs w:val="20"/>
              </w:rPr>
              <w:t>($/hr)</w:t>
            </w:r>
          </w:p>
        </w:tc>
      </w:tr>
      <w:tr w14:paraId="78A372F6" w14:textId="77777777" w:rsidTr="00304DAC">
        <w:tblPrEx>
          <w:tblW w:w="0" w:type="auto"/>
          <w:tblLook w:val="04A0"/>
        </w:tblPrEx>
        <w:trPr>
          <w:cantSplit/>
        </w:trPr>
        <w:tc>
          <w:tcPr>
            <w:tcW w:w="1809" w:type="dxa"/>
            <w:shd w:val="clear" w:color="auto" w:fill="auto"/>
          </w:tcPr>
          <w:p w:rsidR="0060412F" w:rsidRPr="00952D0A" w:rsidP="0060412F" w14:paraId="567A8A3B" w14:textId="77777777">
            <w:pPr>
              <w:autoSpaceDE/>
              <w:autoSpaceDN/>
              <w:adjustRightInd/>
              <w:rPr>
                <w:rFonts w:eastAsia="Calibri"/>
                <w:szCs w:val="20"/>
              </w:rPr>
            </w:pPr>
            <w:r w:rsidRPr="00952D0A">
              <w:rPr>
                <w:rFonts w:eastAsia="Calibri"/>
                <w:szCs w:val="20"/>
              </w:rPr>
              <w:t>Business Operation</w:t>
            </w:r>
            <w:r w:rsidRPr="00952D0A" w:rsidR="0018176F">
              <w:rPr>
                <w:rFonts w:eastAsia="Calibri"/>
                <w:szCs w:val="20"/>
              </w:rPr>
              <w:t>s</w:t>
            </w:r>
            <w:r w:rsidRPr="00952D0A">
              <w:rPr>
                <w:rFonts w:eastAsia="Calibri"/>
                <w:szCs w:val="20"/>
              </w:rPr>
              <w:t xml:space="preserve"> Specialist</w:t>
            </w:r>
          </w:p>
        </w:tc>
        <w:tc>
          <w:tcPr>
            <w:tcW w:w="1809" w:type="dxa"/>
            <w:shd w:val="clear" w:color="auto" w:fill="auto"/>
          </w:tcPr>
          <w:p w:rsidR="0060412F" w:rsidRPr="00952D0A" w:rsidP="0060412F" w14:paraId="3615E40F" w14:textId="77777777">
            <w:pPr>
              <w:autoSpaceDE/>
              <w:autoSpaceDN/>
              <w:adjustRightInd/>
              <w:rPr>
                <w:rFonts w:eastAsia="Calibri"/>
                <w:szCs w:val="20"/>
              </w:rPr>
            </w:pPr>
            <w:r w:rsidRPr="00952D0A">
              <w:rPr>
                <w:rFonts w:eastAsia="Calibri"/>
                <w:szCs w:val="20"/>
              </w:rPr>
              <w:t>13-1000</w:t>
            </w:r>
          </w:p>
        </w:tc>
        <w:tc>
          <w:tcPr>
            <w:tcW w:w="1733" w:type="dxa"/>
            <w:shd w:val="clear" w:color="auto" w:fill="auto"/>
          </w:tcPr>
          <w:p w:rsidR="0060412F" w:rsidRPr="00952D0A" w:rsidP="00266DE0" w14:paraId="00DAD923" w14:textId="7A03C6D4">
            <w:pPr>
              <w:autoSpaceDE/>
              <w:autoSpaceDN/>
              <w:adjustRightInd/>
              <w:jc w:val="center"/>
              <w:rPr>
                <w:rFonts w:eastAsia="Calibri"/>
                <w:szCs w:val="20"/>
              </w:rPr>
            </w:pPr>
            <w:r w:rsidRPr="00952D0A">
              <w:rPr>
                <w:rFonts w:eastAsia="Calibri"/>
                <w:szCs w:val="20"/>
              </w:rPr>
              <w:t>40.0</w:t>
            </w:r>
            <w:r w:rsidRPr="00952D0A" w:rsidR="004419B2">
              <w:rPr>
                <w:rFonts w:eastAsia="Calibri"/>
                <w:szCs w:val="20"/>
              </w:rPr>
              <w:t>4</w:t>
            </w:r>
          </w:p>
        </w:tc>
        <w:tc>
          <w:tcPr>
            <w:tcW w:w="1738" w:type="dxa"/>
            <w:shd w:val="clear" w:color="auto" w:fill="auto"/>
          </w:tcPr>
          <w:p w:rsidR="0060412F" w:rsidRPr="00952D0A" w:rsidP="00266DE0" w14:paraId="66C8C457" w14:textId="7DEFA820">
            <w:pPr>
              <w:autoSpaceDE/>
              <w:autoSpaceDN/>
              <w:adjustRightInd/>
              <w:jc w:val="center"/>
              <w:rPr>
                <w:rFonts w:eastAsia="Calibri"/>
                <w:szCs w:val="20"/>
              </w:rPr>
            </w:pPr>
            <w:r w:rsidRPr="00952D0A">
              <w:rPr>
                <w:rFonts w:eastAsia="Calibri"/>
                <w:szCs w:val="20"/>
              </w:rPr>
              <w:t>40.04</w:t>
            </w:r>
          </w:p>
        </w:tc>
        <w:tc>
          <w:tcPr>
            <w:tcW w:w="1767" w:type="dxa"/>
            <w:shd w:val="clear" w:color="auto" w:fill="auto"/>
          </w:tcPr>
          <w:p w:rsidR="0060412F" w:rsidRPr="00952D0A" w:rsidP="00266DE0" w14:paraId="3F213963" w14:textId="6E11D03A">
            <w:pPr>
              <w:autoSpaceDE/>
              <w:autoSpaceDN/>
              <w:adjustRightInd/>
              <w:jc w:val="center"/>
              <w:rPr>
                <w:rFonts w:eastAsia="Calibri"/>
                <w:szCs w:val="20"/>
              </w:rPr>
            </w:pPr>
            <w:r w:rsidRPr="00952D0A">
              <w:rPr>
                <w:rFonts w:eastAsia="Calibri"/>
                <w:szCs w:val="20"/>
              </w:rPr>
              <w:t>80.08</w:t>
            </w:r>
          </w:p>
        </w:tc>
      </w:tr>
    </w:tbl>
    <w:p w:rsidR="0060412F" w:rsidRPr="00B81ACB" w:rsidP="0060412F" w14:paraId="317E4C1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p>
    <w:p w:rsidR="0060412F" w:rsidRPr="00B81ACB" w:rsidP="0054192E" w14:paraId="5538F606" w14:textId="3C6E43F8">
      <w:pPr>
        <w:autoSpaceDE/>
        <w:autoSpaceDN/>
        <w:adjustRightInd/>
        <w:rPr>
          <w:rFonts w:eastAsia="Calibri"/>
          <w:sz w:val="24"/>
        </w:rPr>
      </w:pPr>
      <w:r w:rsidRPr="00B81ACB">
        <w:rPr>
          <w:rFonts w:eastAsia="Calibri"/>
          <w:sz w:val="24"/>
        </w:rPr>
        <w:t xml:space="preserve">As indicated, we are adjusting our employee hourly wage estimates by a factor of 100 percent. This is necessarily a rough adjustment, both because fringe benefits and </w:t>
      </w:r>
      <w:r w:rsidR="005A03E4">
        <w:rPr>
          <w:rFonts w:eastAsia="Calibri"/>
          <w:sz w:val="24"/>
        </w:rPr>
        <w:t>other indirect costs</w:t>
      </w:r>
      <w:r w:rsidRPr="00B81ACB">
        <w:rPr>
          <w:rFonts w:eastAsia="Calibri"/>
          <w:sz w:val="24"/>
        </w:rPr>
        <w:t xml:space="preserve"> vary significantly from employer to employer, and because methods of estimating these costs vary widely from study to study. Nonetheless</w:t>
      </w:r>
      <w:r w:rsidRPr="00B81ACB" w:rsidR="00347023">
        <w:rPr>
          <w:rFonts w:eastAsia="Calibri"/>
          <w:sz w:val="24"/>
        </w:rPr>
        <w:t>, we</w:t>
      </w:r>
      <w:r w:rsidRPr="00B81ACB">
        <w:rPr>
          <w:rFonts w:eastAsia="Calibri"/>
          <w:sz w:val="24"/>
        </w:rPr>
        <w:t xml:space="preserve"> believe that doubling the hourly wage to estimate total cost is a reasonably accurate estimation method.</w:t>
      </w:r>
    </w:p>
    <w:p w:rsidR="0060412F" w:rsidRPr="00B81ACB" w:rsidP="0060412F" w14:paraId="054339D2" w14:textId="77777777">
      <w:pPr>
        <w:autoSpaceDE/>
        <w:autoSpaceDN/>
        <w:adjustRightInd/>
        <w:spacing w:before="14" w:line="280" w:lineRule="exact"/>
        <w:rPr>
          <w:rFonts w:eastAsia="Calibri"/>
          <w:sz w:val="24"/>
        </w:rPr>
      </w:pPr>
    </w:p>
    <w:p w:rsidR="0060412F" w:rsidRPr="00C22C7E" w:rsidP="0060412F" w14:paraId="7F0DE781" w14:textId="77777777">
      <w:pPr>
        <w:autoSpaceDE/>
        <w:autoSpaceDN/>
        <w:adjustRightInd/>
        <w:spacing w:before="14" w:line="280" w:lineRule="exact"/>
        <w:rPr>
          <w:rFonts w:eastAsia="Calibri"/>
          <w:i/>
          <w:sz w:val="24"/>
        </w:rPr>
      </w:pPr>
      <w:r w:rsidRPr="00C22C7E">
        <w:rPr>
          <w:rFonts w:eastAsia="Calibri"/>
          <w:i/>
          <w:sz w:val="24"/>
        </w:rPr>
        <w:t>Requirements and Associated Burden Estimates</w:t>
      </w:r>
    </w:p>
    <w:p w:rsidR="0060412F" w:rsidP="00C67D01" w14:paraId="5377453C" w14:textId="779ED3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F05CB" w:rsidP="00C67D01" w14:paraId="23242027" w14:textId="75C739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w:t>
      </w:r>
      <w:r w:rsidRPr="00C22C7E">
        <w:rPr>
          <w:sz w:val="24"/>
        </w:rPr>
        <w:t>ased on an evaluation of the activities comprising the state recordkeeping and reporting processes, and CMS’s review and approval of 1915(c) waivers</w:t>
      </w:r>
      <w:r>
        <w:rPr>
          <w:sz w:val="24"/>
        </w:rPr>
        <w:t>, a</w:t>
      </w:r>
      <w:r w:rsidRPr="00266DE0">
        <w:rPr>
          <w:sz w:val="24"/>
        </w:rPr>
        <w:t>s of 202</w:t>
      </w:r>
      <w:r w:rsidR="00BC6CD5">
        <w:rPr>
          <w:sz w:val="24"/>
        </w:rPr>
        <w:t>3</w:t>
      </w:r>
      <w:r w:rsidRPr="00266DE0">
        <w:rPr>
          <w:sz w:val="24"/>
        </w:rPr>
        <w:t>, there are 25</w:t>
      </w:r>
      <w:r w:rsidR="00BC6CD5">
        <w:rPr>
          <w:sz w:val="24"/>
        </w:rPr>
        <w:t>8</w:t>
      </w:r>
      <w:r w:rsidRPr="00266DE0">
        <w:rPr>
          <w:sz w:val="24"/>
        </w:rPr>
        <w:t xml:space="preserve"> CMS approved HCBS waivers in 47 states and the District of Columbia.</w:t>
      </w:r>
    </w:p>
    <w:p w:rsidR="00060C5E" w:rsidRPr="00C22C7E" w:rsidP="00C67D01" w14:paraId="436BF1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B3737" w:rsidRPr="00C22C7E" w:rsidP="00C67D01" w14:paraId="1F2361ED" w14:textId="29E418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following considers the effort for states to prepare and submit  their </w:t>
      </w:r>
      <w:r w:rsidRPr="00C22C7E" w:rsidR="00DE58EB">
        <w:rPr>
          <w:sz w:val="24"/>
        </w:rPr>
        <w:t>initial and renewal</w:t>
      </w:r>
      <w:r>
        <w:rPr>
          <w:sz w:val="24"/>
        </w:rPr>
        <w:t xml:space="preserve"> waiver applications.</w:t>
      </w:r>
    </w:p>
    <w:p w:rsidR="008B3737" w:rsidRPr="00C22C7E" w:rsidP="00C67D01" w14:paraId="2B708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E58EB" w:rsidRPr="00B81ACB" w:rsidP="00C67D01" w14:paraId="15ECC94A" w14:textId="7143AF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66DE0">
        <w:rPr>
          <w:sz w:val="24"/>
        </w:rPr>
        <w:t xml:space="preserve">In addition to the existing pool of waivers, CMS estimates that </w:t>
      </w:r>
      <w:r w:rsidR="000B37F2">
        <w:rPr>
          <w:sz w:val="24"/>
        </w:rPr>
        <w:t xml:space="preserve">a total of </w:t>
      </w:r>
      <w:r w:rsidR="00250A63">
        <w:rPr>
          <w:sz w:val="24"/>
        </w:rPr>
        <w:t>4</w:t>
      </w:r>
      <w:r w:rsidRPr="00266DE0" w:rsidR="005867CC">
        <w:rPr>
          <w:sz w:val="24"/>
        </w:rPr>
        <w:t xml:space="preserve"> </w:t>
      </w:r>
      <w:r w:rsidRPr="00266DE0">
        <w:rPr>
          <w:sz w:val="24"/>
        </w:rPr>
        <w:t>new waiver</w:t>
      </w:r>
      <w:r w:rsidRPr="00C22C7E">
        <w:rPr>
          <w:sz w:val="24"/>
        </w:rPr>
        <w:t xml:space="preserve"> applications</w:t>
      </w:r>
      <w:r w:rsidRPr="00C22C7E" w:rsidR="00E15AB5">
        <w:rPr>
          <w:sz w:val="24"/>
        </w:rPr>
        <w:t xml:space="preserve"> will be submitted annually by s</w:t>
      </w:r>
      <w:r w:rsidRPr="00C22C7E">
        <w:rPr>
          <w:sz w:val="24"/>
        </w:rPr>
        <w:t>tates seeking to expand the array of community</w:t>
      </w:r>
      <w:r w:rsidR="001C22F4">
        <w:rPr>
          <w:sz w:val="24"/>
        </w:rPr>
        <w:t>-</w:t>
      </w:r>
      <w:r w:rsidRPr="00C22C7E">
        <w:rPr>
          <w:sz w:val="24"/>
        </w:rPr>
        <w:t>based services available to populations who would otherwise require the level of care provided in</w:t>
      </w:r>
      <w:r w:rsidRPr="00B81ACB">
        <w:rPr>
          <w:sz w:val="24"/>
        </w:rPr>
        <w:t xml:space="preserve"> institutional settings.</w:t>
      </w:r>
    </w:p>
    <w:p w:rsidR="00DA7B2F" w:rsidP="00C67D01" w14:paraId="1B5FF4A9" w14:textId="47F04A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867CC" w:rsidRPr="00B81ACB" w:rsidP="00C67D01" w14:paraId="7C37497E" w14:textId="1C0853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81ACB">
        <w:rPr>
          <w:sz w:val="24"/>
          <w:u w:val="single"/>
        </w:rPr>
        <w:t>New</w:t>
      </w:r>
      <w:r w:rsidR="0096245A">
        <w:rPr>
          <w:sz w:val="24"/>
          <w:u w:val="single"/>
        </w:rPr>
        <w:t>/Initial</w:t>
      </w:r>
      <w:r w:rsidRPr="00B81ACB">
        <w:rPr>
          <w:sz w:val="24"/>
          <w:u w:val="single"/>
        </w:rPr>
        <w:t xml:space="preserve"> Waivers</w:t>
      </w:r>
    </w:p>
    <w:p w:rsidR="00C42DEE" w:rsidRPr="00B81ACB" w:rsidP="00C67D01" w14:paraId="700B57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23EC" w:rsidRPr="00B81ACB" w:rsidP="00C67D01" w14:paraId="7E1BD1C7" w14:textId="61BA3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In</w:t>
      </w:r>
      <w:r w:rsidRPr="00B81ACB" w:rsidR="00E15AB5">
        <w:rPr>
          <w:sz w:val="24"/>
        </w:rPr>
        <w:t xml:space="preserve"> order to initiate a </w:t>
      </w:r>
      <w:r w:rsidR="0096245A">
        <w:rPr>
          <w:sz w:val="24"/>
        </w:rPr>
        <w:t xml:space="preserve">new </w:t>
      </w:r>
      <w:r w:rsidRPr="00B81ACB" w:rsidR="00E15AB5">
        <w:rPr>
          <w:sz w:val="24"/>
        </w:rPr>
        <w:t>waiver, a s</w:t>
      </w:r>
      <w:r w:rsidRPr="00B81ACB">
        <w:rPr>
          <w:sz w:val="24"/>
        </w:rPr>
        <w:t>tate must submit an application to CMS for consideration a</w:t>
      </w:r>
      <w:r w:rsidRPr="00B81ACB" w:rsidR="00E15AB5">
        <w:rPr>
          <w:sz w:val="24"/>
        </w:rPr>
        <w:t>nd approval.  The first time a s</w:t>
      </w:r>
      <w:r w:rsidRPr="00B81ACB">
        <w:rPr>
          <w:sz w:val="24"/>
        </w:rPr>
        <w:t xml:space="preserve">tate completes </w:t>
      </w:r>
      <w:r w:rsidRPr="00B81ACB" w:rsidR="002008CE">
        <w:rPr>
          <w:sz w:val="24"/>
        </w:rPr>
        <w:t>the</w:t>
      </w:r>
      <w:r w:rsidRPr="00B81ACB" w:rsidR="005867CC">
        <w:rPr>
          <w:sz w:val="24"/>
        </w:rPr>
        <w:t xml:space="preserve"> web-based</w:t>
      </w:r>
      <w:r w:rsidRPr="00B81ACB" w:rsidR="002008CE">
        <w:rPr>
          <w:sz w:val="24"/>
        </w:rPr>
        <w:t xml:space="preserve"> application, significant time and attention </w:t>
      </w:r>
      <w:r w:rsidRPr="00B81ACB" w:rsidR="005867CC">
        <w:rPr>
          <w:sz w:val="24"/>
        </w:rPr>
        <w:t>is required to complete all required fields.  As in</w:t>
      </w:r>
      <w:r w:rsidRPr="00B81ACB" w:rsidR="00C81645">
        <w:rPr>
          <w:sz w:val="24"/>
        </w:rPr>
        <w:t xml:space="preserve">dicated above, CMS anticipates </w:t>
      </w:r>
      <w:r w:rsidR="00F72271">
        <w:rPr>
          <w:sz w:val="24"/>
        </w:rPr>
        <w:t>4</w:t>
      </w:r>
      <w:r w:rsidRPr="00B81ACB" w:rsidR="005867CC">
        <w:rPr>
          <w:sz w:val="24"/>
        </w:rPr>
        <w:t xml:space="preserve"> new waivers annually.  The estimated </w:t>
      </w:r>
      <w:r w:rsidR="0033600C">
        <w:rPr>
          <w:sz w:val="24"/>
        </w:rPr>
        <w:t>time</w:t>
      </w:r>
      <w:r w:rsidRPr="00B81ACB" w:rsidR="005867CC">
        <w:rPr>
          <w:sz w:val="24"/>
        </w:rPr>
        <w:t xml:space="preserve"> to develop a new waiver application is 1</w:t>
      </w:r>
      <w:r w:rsidRPr="00B81ACB" w:rsidR="00E7496A">
        <w:rPr>
          <w:sz w:val="24"/>
        </w:rPr>
        <w:t>6</w:t>
      </w:r>
      <w:r w:rsidR="00F72271">
        <w:rPr>
          <w:sz w:val="24"/>
        </w:rPr>
        <w:t>3</w:t>
      </w:r>
      <w:r w:rsidRPr="00B81ACB" w:rsidR="005867CC">
        <w:rPr>
          <w:sz w:val="24"/>
        </w:rPr>
        <w:t xml:space="preserve"> hours.</w:t>
      </w:r>
    </w:p>
    <w:p w:rsidR="005423EC" w:rsidRPr="00B81ACB" w:rsidP="00C67D01" w14:paraId="0C4BB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64DE" w:rsidRPr="00C22C7E" w:rsidP="00C67D01" w14:paraId="38B25231" w14:textId="5C6323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In aggregate, t</w:t>
      </w:r>
      <w:r w:rsidRPr="00C22C7E" w:rsidR="005867CC">
        <w:rPr>
          <w:sz w:val="24"/>
        </w:rPr>
        <w:t xml:space="preserve">he </w:t>
      </w:r>
      <w:r w:rsidRPr="00C22C7E">
        <w:rPr>
          <w:sz w:val="24"/>
        </w:rPr>
        <w:t xml:space="preserve">annual </w:t>
      </w:r>
      <w:r w:rsidRPr="00C22C7E" w:rsidR="0033600C">
        <w:rPr>
          <w:sz w:val="24"/>
        </w:rPr>
        <w:t xml:space="preserve">burden </w:t>
      </w:r>
      <w:r w:rsidRPr="00C22C7E">
        <w:rPr>
          <w:sz w:val="24"/>
        </w:rPr>
        <w:t xml:space="preserve">to complete </w:t>
      </w:r>
      <w:r w:rsidRPr="00C22C7E" w:rsidR="005452ED">
        <w:rPr>
          <w:sz w:val="24"/>
        </w:rPr>
        <w:t xml:space="preserve">all </w:t>
      </w:r>
      <w:r w:rsidRPr="00C22C7E" w:rsidR="005867CC">
        <w:rPr>
          <w:sz w:val="24"/>
        </w:rPr>
        <w:t>new wai</w:t>
      </w:r>
      <w:r w:rsidRPr="00C22C7E" w:rsidR="00490636">
        <w:rPr>
          <w:sz w:val="24"/>
        </w:rPr>
        <w:t>ver application</w:t>
      </w:r>
      <w:r w:rsidRPr="00C22C7E">
        <w:rPr>
          <w:sz w:val="24"/>
        </w:rPr>
        <w:t>s</w:t>
      </w:r>
      <w:r w:rsidRPr="00C22C7E" w:rsidR="00490636">
        <w:rPr>
          <w:sz w:val="24"/>
        </w:rPr>
        <w:t xml:space="preserve"> </w:t>
      </w:r>
      <w:r w:rsidRPr="00C22C7E" w:rsidR="00C81645">
        <w:rPr>
          <w:sz w:val="24"/>
        </w:rPr>
        <w:t xml:space="preserve">is </w:t>
      </w:r>
      <w:r w:rsidRPr="00C22C7E">
        <w:rPr>
          <w:sz w:val="24"/>
        </w:rPr>
        <w:t xml:space="preserve">estimated at </w:t>
      </w:r>
      <w:r w:rsidR="009A4EE3">
        <w:rPr>
          <w:sz w:val="24"/>
        </w:rPr>
        <w:t>652</w:t>
      </w:r>
      <w:r w:rsidRPr="00C22C7E" w:rsidR="005867CC">
        <w:rPr>
          <w:sz w:val="24"/>
        </w:rPr>
        <w:t xml:space="preserve"> hours</w:t>
      </w:r>
      <w:r w:rsidRPr="00C22C7E" w:rsidR="002517BC">
        <w:rPr>
          <w:sz w:val="24"/>
        </w:rPr>
        <w:t xml:space="preserve"> </w:t>
      </w:r>
      <w:r w:rsidRPr="00C22C7E">
        <w:rPr>
          <w:sz w:val="24"/>
        </w:rPr>
        <w:t>(</w:t>
      </w:r>
      <w:r w:rsidR="009A4EE3">
        <w:rPr>
          <w:sz w:val="24"/>
        </w:rPr>
        <w:t>4</w:t>
      </w:r>
      <w:r w:rsidRPr="00C22C7E">
        <w:rPr>
          <w:sz w:val="24"/>
        </w:rPr>
        <w:t xml:space="preserve"> waivers/year x 16</w:t>
      </w:r>
      <w:r w:rsidR="009A4EE3">
        <w:rPr>
          <w:sz w:val="24"/>
        </w:rPr>
        <w:t>3</w:t>
      </w:r>
      <w:r w:rsidRPr="00C22C7E">
        <w:rPr>
          <w:sz w:val="24"/>
        </w:rPr>
        <w:t xml:space="preserve"> hr/response) at </w:t>
      </w:r>
      <w:r w:rsidRPr="00C22C7E" w:rsidR="002517BC">
        <w:rPr>
          <w:sz w:val="24"/>
        </w:rPr>
        <w:t>a cost of $</w:t>
      </w:r>
      <w:r w:rsidR="009A4EE3">
        <w:rPr>
          <w:sz w:val="24"/>
        </w:rPr>
        <w:t xml:space="preserve">52,212 </w:t>
      </w:r>
      <w:r w:rsidRPr="00C22C7E" w:rsidR="002517BC">
        <w:rPr>
          <w:sz w:val="24"/>
        </w:rPr>
        <w:t>(</w:t>
      </w:r>
      <w:r w:rsidR="009A4EE3">
        <w:rPr>
          <w:sz w:val="24"/>
        </w:rPr>
        <w:t>652</w:t>
      </w:r>
      <w:r w:rsidRPr="00C22C7E" w:rsidR="002517BC">
        <w:rPr>
          <w:sz w:val="24"/>
        </w:rPr>
        <w:t xml:space="preserve"> hr x $</w:t>
      </w:r>
      <w:r w:rsidR="007E2472">
        <w:rPr>
          <w:sz w:val="24"/>
        </w:rPr>
        <w:t>80.08</w:t>
      </w:r>
      <w:r w:rsidRPr="00C22C7E" w:rsidR="002517BC">
        <w:rPr>
          <w:rFonts w:eastAsia="Calibri"/>
          <w:sz w:val="24"/>
        </w:rPr>
        <w:t>/hr)</w:t>
      </w:r>
      <w:r w:rsidRPr="00C22C7E" w:rsidR="005867CC">
        <w:rPr>
          <w:sz w:val="24"/>
        </w:rPr>
        <w:t>.</w:t>
      </w:r>
      <w:r w:rsidR="009802F5">
        <w:rPr>
          <w:sz w:val="24"/>
        </w:rPr>
        <w:t xml:space="preserve"> </w:t>
      </w:r>
      <w:r w:rsidRPr="006B64DE">
        <w:rPr>
          <w:sz w:val="24"/>
        </w:rPr>
        <w:t xml:space="preserve">Taking into account the Federal administrative match of 50 percent, the requirement will cost </w:t>
      </w:r>
      <w:r w:rsidR="009A4EE3">
        <w:rPr>
          <w:sz w:val="24"/>
        </w:rPr>
        <w:t>s</w:t>
      </w:r>
      <w:r w:rsidRPr="006B64DE">
        <w:rPr>
          <w:sz w:val="24"/>
        </w:rPr>
        <w:t>tates $</w:t>
      </w:r>
      <w:r w:rsidR="009A4EE3">
        <w:rPr>
          <w:sz w:val="24"/>
        </w:rPr>
        <w:t>26,106</w:t>
      </w:r>
      <w:r w:rsidRPr="006B64DE">
        <w:rPr>
          <w:sz w:val="24"/>
        </w:rPr>
        <w:t xml:space="preserve"> ($</w:t>
      </w:r>
      <w:r w:rsidR="009A4EE3">
        <w:rPr>
          <w:sz w:val="24"/>
        </w:rPr>
        <w:t>52,212</w:t>
      </w:r>
      <w:r w:rsidRPr="006B64DE">
        <w:rPr>
          <w:sz w:val="24"/>
        </w:rPr>
        <w:t xml:space="preserve"> x 0.50).</w:t>
      </w:r>
    </w:p>
    <w:p w:rsidR="005867CC" w:rsidRPr="00C22C7E" w:rsidP="00C67D01" w14:paraId="7409BD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867CC" w:rsidRPr="00C22C7E" w:rsidP="00C67D01" w14:paraId="34BF77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22C7E">
        <w:rPr>
          <w:sz w:val="24"/>
          <w:u w:val="single"/>
        </w:rPr>
        <w:t>Renewal Waivers</w:t>
      </w:r>
    </w:p>
    <w:p w:rsidR="00C42DEE" w:rsidRPr="00C22C7E" w:rsidP="00C67D01" w14:paraId="304FFD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867CC" w:rsidRPr="00B81ACB" w:rsidP="00C67D01" w14:paraId="07C5394A" w14:textId="20E481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 xml:space="preserve">On an annual basis, </w:t>
      </w:r>
      <w:r w:rsidRPr="00C22C7E" w:rsidR="00A12877">
        <w:rPr>
          <w:sz w:val="24"/>
        </w:rPr>
        <w:t>approximately</w:t>
      </w:r>
      <w:r w:rsidRPr="00C22C7E" w:rsidR="00C81645">
        <w:rPr>
          <w:sz w:val="24"/>
        </w:rPr>
        <w:t xml:space="preserve"> </w:t>
      </w:r>
      <w:r w:rsidRPr="00C22C7E" w:rsidR="00126F96">
        <w:rPr>
          <w:sz w:val="24"/>
        </w:rPr>
        <w:t>6</w:t>
      </w:r>
      <w:r w:rsidR="00F72271">
        <w:rPr>
          <w:sz w:val="24"/>
        </w:rPr>
        <w:t>0</w:t>
      </w:r>
      <w:r w:rsidRPr="00C22C7E">
        <w:rPr>
          <w:sz w:val="24"/>
        </w:rPr>
        <w:t xml:space="preserve"> renewal application</w:t>
      </w:r>
      <w:r w:rsidRPr="00C22C7E" w:rsidR="00A12877">
        <w:rPr>
          <w:sz w:val="24"/>
        </w:rPr>
        <w:t>s</w:t>
      </w:r>
      <w:r w:rsidRPr="00C22C7E">
        <w:rPr>
          <w:sz w:val="24"/>
        </w:rPr>
        <w:t xml:space="preserve"> </w:t>
      </w:r>
      <w:r w:rsidRPr="00C22C7E" w:rsidR="00A12877">
        <w:rPr>
          <w:sz w:val="24"/>
        </w:rPr>
        <w:t>are</w:t>
      </w:r>
      <w:r w:rsidRPr="00C22C7E">
        <w:rPr>
          <w:sz w:val="24"/>
        </w:rPr>
        <w:t xml:space="preserve"> submitted to CMS for review and</w:t>
      </w:r>
      <w:r w:rsidRPr="00B81ACB">
        <w:rPr>
          <w:sz w:val="24"/>
        </w:rPr>
        <w:t xml:space="preserve"> approval.  </w:t>
      </w:r>
      <w:r w:rsidR="00CC3AB9">
        <w:rPr>
          <w:sz w:val="24"/>
        </w:rPr>
        <w:t>A</w:t>
      </w:r>
      <w:r w:rsidRPr="00B81ACB" w:rsidR="005452ED">
        <w:rPr>
          <w:sz w:val="24"/>
        </w:rPr>
        <w:t xml:space="preserve">ll 1915(c) </w:t>
      </w:r>
      <w:r w:rsidRPr="00B81ACB" w:rsidR="00E15AB5">
        <w:rPr>
          <w:sz w:val="24"/>
        </w:rPr>
        <w:t xml:space="preserve">waivers are </w:t>
      </w:r>
      <w:r w:rsidRPr="00B81ACB" w:rsidR="00E7496A">
        <w:rPr>
          <w:sz w:val="24"/>
        </w:rPr>
        <w:t xml:space="preserve">included in the web-based system.   CMS expects that, for the next three years, </w:t>
      </w:r>
      <w:r w:rsidRPr="00B81ACB" w:rsidR="005452ED">
        <w:rPr>
          <w:sz w:val="24"/>
        </w:rPr>
        <w:t xml:space="preserve">states will submit </w:t>
      </w:r>
      <w:r w:rsidRPr="00B81ACB" w:rsidR="00126F96">
        <w:rPr>
          <w:sz w:val="24"/>
        </w:rPr>
        <w:t>18</w:t>
      </w:r>
      <w:r w:rsidR="00F72271">
        <w:rPr>
          <w:sz w:val="24"/>
        </w:rPr>
        <w:t>0</w:t>
      </w:r>
      <w:r w:rsidRPr="00B81ACB" w:rsidR="00E7496A">
        <w:rPr>
          <w:sz w:val="24"/>
        </w:rPr>
        <w:t xml:space="preserve"> waiver</w:t>
      </w:r>
      <w:r w:rsidRPr="00B81ACB" w:rsidR="005452ED">
        <w:rPr>
          <w:sz w:val="24"/>
        </w:rPr>
        <w:t xml:space="preserve"> application</w:t>
      </w:r>
      <w:r w:rsidRPr="00B81ACB" w:rsidR="00E7496A">
        <w:rPr>
          <w:sz w:val="24"/>
        </w:rPr>
        <w:t xml:space="preserve">s </w:t>
      </w:r>
      <w:r w:rsidRPr="00B81ACB" w:rsidR="005423EC">
        <w:rPr>
          <w:sz w:val="24"/>
        </w:rPr>
        <w:t>(again, 6</w:t>
      </w:r>
      <w:r w:rsidR="00F72271">
        <w:rPr>
          <w:sz w:val="24"/>
        </w:rPr>
        <w:t>0</w:t>
      </w:r>
      <w:r w:rsidRPr="00B81ACB" w:rsidR="005423EC">
        <w:rPr>
          <w:sz w:val="24"/>
        </w:rPr>
        <w:t xml:space="preserve">/year) </w:t>
      </w:r>
      <w:r w:rsidRPr="00B81ACB" w:rsidR="00490636">
        <w:rPr>
          <w:sz w:val="24"/>
        </w:rPr>
        <w:t>for renewal</w:t>
      </w:r>
      <w:r w:rsidRPr="00B81ACB" w:rsidR="005452ED">
        <w:rPr>
          <w:sz w:val="24"/>
        </w:rPr>
        <w:t xml:space="preserve"> </w:t>
      </w:r>
      <w:r w:rsidRPr="00B81ACB" w:rsidR="00E7496A">
        <w:rPr>
          <w:sz w:val="24"/>
        </w:rPr>
        <w:t xml:space="preserve">in the system.  </w:t>
      </w:r>
      <w:r w:rsidRPr="00B81ACB" w:rsidR="00E844F5">
        <w:rPr>
          <w:sz w:val="24"/>
        </w:rPr>
        <w:t>R</w:t>
      </w:r>
      <w:r w:rsidRPr="00B81ACB" w:rsidR="005330B0">
        <w:rPr>
          <w:sz w:val="24"/>
        </w:rPr>
        <w:t xml:space="preserve">enewals </w:t>
      </w:r>
      <w:r w:rsidRPr="00B81ACB" w:rsidR="00E844F5">
        <w:rPr>
          <w:sz w:val="24"/>
        </w:rPr>
        <w:t xml:space="preserve">in the WMS </w:t>
      </w:r>
      <w:r w:rsidRPr="00B81ACB" w:rsidR="005330B0">
        <w:rPr>
          <w:sz w:val="24"/>
        </w:rPr>
        <w:t xml:space="preserve">are </w:t>
      </w:r>
      <w:r w:rsidRPr="00B81ACB" w:rsidR="00E844F5">
        <w:rPr>
          <w:sz w:val="24"/>
        </w:rPr>
        <w:t xml:space="preserve">more </w:t>
      </w:r>
      <w:r w:rsidRPr="00B81ACB" w:rsidR="004622BE">
        <w:rPr>
          <w:sz w:val="24"/>
        </w:rPr>
        <w:t xml:space="preserve">efficient </w:t>
      </w:r>
      <w:r w:rsidRPr="00B81ACB" w:rsidR="00E844F5">
        <w:rPr>
          <w:sz w:val="24"/>
        </w:rPr>
        <w:t xml:space="preserve">than new applications </w:t>
      </w:r>
      <w:r w:rsidRPr="00B81ACB" w:rsidR="004622BE">
        <w:rPr>
          <w:sz w:val="24"/>
        </w:rPr>
        <w:t>since much of the data</w:t>
      </w:r>
      <w:r w:rsidRPr="00B81ACB" w:rsidR="005330B0">
        <w:rPr>
          <w:sz w:val="24"/>
        </w:rPr>
        <w:t xml:space="preserve"> carries forth from the previously approved application and the </w:t>
      </w:r>
      <w:r w:rsidRPr="00B81ACB" w:rsidR="00E844F5">
        <w:rPr>
          <w:sz w:val="24"/>
        </w:rPr>
        <w:t>s</w:t>
      </w:r>
      <w:r w:rsidRPr="00B81ACB" w:rsidR="005330B0">
        <w:rPr>
          <w:sz w:val="24"/>
        </w:rPr>
        <w:t xml:space="preserve">tate need only </w:t>
      </w:r>
      <w:r w:rsidRPr="00B81ACB" w:rsidR="00A12877">
        <w:rPr>
          <w:sz w:val="24"/>
        </w:rPr>
        <w:t xml:space="preserve">make </w:t>
      </w:r>
      <w:r w:rsidRPr="00B81ACB" w:rsidR="00A12877">
        <w:rPr>
          <w:sz w:val="24"/>
        </w:rPr>
        <w:t>modifications to the data as necessary to reflect changes or improvements to their waiver program.</w:t>
      </w:r>
      <w:r w:rsidRPr="00B81ACB" w:rsidR="00E7496A">
        <w:rPr>
          <w:sz w:val="24"/>
        </w:rPr>
        <w:t xml:space="preserve">  CMS </w:t>
      </w:r>
      <w:r w:rsidRPr="00B81ACB" w:rsidR="00E844F5">
        <w:rPr>
          <w:sz w:val="24"/>
        </w:rPr>
        <w:t xml:space="preserve">continues to </w:t>
      </w:r>
      <w:r w:rsidRPr="00B81ACB" w:rsidR="00E7496A">
        <w:rPr>
          <w:sz w:val="24"/>
        </w:rPr>
        <w:t xml:space="preserve">estimate that the burden </w:t>
      </w:r>
      <w:r w:rsidRPr="00B81ACB" w:rsidR="00280F5E">
        <w:rPr>
          <w:sz w:val="24"/>
        </w:rPr>
        <w:t xml:space="preserve">for renewing waivers in the web-based application </w:t>
      </w:r>
      <w:r w:rsidRPr="00B81ACB" w:rsidR="00E7496A">
        <w:rPr>
          <w:sz w:val="24"/>
        </w:rPr>
        <w:t>would be approximately 7</w:t>
      </w:r>
      <w:r w:rsidR="00F72271">
        <w:rPr>
          <w:sz w:val="24"/>
        </w:rPr>
        <w:t>8</w:t>
      </w:r>
      <w:r w:rsidRPr="00B81ACB" w:rsidR="00E7496A">
        <w:rPr>
          <w:sz w:val="24"/>
        </w:rPr>
        <w:t xml:space="preserve"> hours</w:t>
      </w:r>
      <w:r w:rsidRPr="00B81ACB" w:rsidR="005423EC">
        <w:rPr>
          <w:sz w:val="24"/>
        </w:rPr>
        <w:t>/response</w:t>
      </w:r>
      <w:r w:rsidRPr="00B81ACB" w:rsidR="00E7496A">
        <w:rPr>
          <w:sz w:val="24"/>
        </w:rPr>
        <w:t>.</w:t>
      </w:r>
      <w:r w:rsidRPr="00B81ACB" w:rsidR="00A12877">
        <w:rPr>
          <w:sz w:val="24"/>
        </w:rPr>
        <w:t xml:space="preserve">  </w:t>
      </w:r>
    </w:p>
    <w:p w:rsidR="00490636" w:rsidRPr="00B81ACB" w:rsidP="00C67D01" w14:paraId="34337D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1019" w:rsidRPr="00B81ACB" w:rsidP="00411019" w14:paraId="365941B7" w14:textId="1E9DCF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In aggregate, the annual </w:t>
      </w:r>
      <w:r w:rsidR="00455FD8">
        <w:rPr>
          <w:sz w:val="24"/>
        </w:rPr>
        <w:t xml:space="preserve">burden </w:t>
      </w:r>
      <w:r w:rsidRPr="00B81ACB">
        <w:rPr>
          <w:sz w:val="24"/>
        </w:rPr>
        <w:t>to renew existing waiver applications is estimated at</w:t>
      </w:r>
      <w:r w:rsidRPr="00B81ACB" w:rsidR="006A701E">
        <w:rPr>
          <w:sz w:val="24"/>
        </w:rPr>
        <w:t xml:space="preserve"> 4,</w:t>
      </w:r>
      <w:r w:rsidR="005C5E75">
        <w:rPr>
          <w:sz w:val="24"/>
        </w:rPr>
        <w:t>680</w:t>
      </w:r>
      <w:r w:rsidRPr="00B81ACB">
        <w:rPr>
          <w:sz w:val="24"/>
        </w:rPr>
        <w:t xml:space="preserve"> hours (6</w:t>
      </w:r>
      <w:r w:rsidR="003D44F3">
        <w:rPr>
          <w:sz w:val="24"/>
        </w:rPr>
        <w:t>0</w:t>
      </w:r>
      <w:r w:rsidRPr="00B81ACB">
        <w:rPr>
          <w:sz w:val="24"/>
        </w:rPr>
        <w:t xml:space="preserve"> waivers/year x 7</w:t>
      </w:r>
      <w:r w:rsidR="003D44F3">
        <w:rPr>
          <w:sz w:val="24"/>
        </w:rPr>
        <w:t>8</w:t>
      </w:r>
      <w:r w:rsidRPr="00B81ACB">
        <w:rPr>
          <w:sz w:val="24"/>
        </w:rPr>
        <w:t xml:space="preserve"> hr/response) at a cost of $</w:t>
      </w:r>
      <w:r w:rsidR="005C5E75">
        <w:rPr>
          <w:sz w:val="24"/>
        </w:rPr>
        <w:t>374,774</w:t>
      </w:r>
      <w:r w:rsidR="003D44F3">
        <w:rPr>
          <w:sz w:val="24"/>
        </w:rPr>
        <w:t xml:space="preserve"> </w:t>
      </w:r>
      <w:r w:rsidRPr="00B81ACB">
        <w:rPr>
          <w:sz w:val="24"/>
        </w:rPr>
        <w:t>(</w:t>
      </w:r>
      <w:r w:rsidR="005C5E75">
        <w:rPr>
          <w:sz w:val="24"/>
        </w:rPr>
        <w:t>4,680</w:t>
      </w:r>
      <w:r w:rsidR="003D44F3">
        <w:rPr>
          <w:sz w:val="24"/>
        </w:rPr>
        <w:t xml:space="preserve"> </w:t>
      </w:r>
      <w:r w:rsidRPr="00B81ACB">
        <w:rPr>
          <w:sz w:val="24"/>
        </w:rPr>
        <w:t>hr x $</w:t>
      </w:r>
      <w:r w:rsidR="007E2472">
        <w:rPr>
          <w:sz w:val="24"/>
        </w:rPr>
        <w:t>80.08</w:t>
      </w:r>
      <w:r w:rsidRPr="00B81ACB">
        <w:rPr>
          <w:rFonts w:eastAsia="Calibri"/>
          <w:sz w:val="24"/>
        </w:rPr>
        <w:t>/hr)</w:t>
      </w:r>
      <w:r w:rsidRPr="00B81ACB">
        <w:rPr>
          <w:sz w:val="24"/>
        </w:rPr>
        <w:t>.</w:t>
      </w:r>
      <w:r w:rsidR="009802F5">
        <w:rPr>
          <w:sz w:val="24"/>
        </w:rPr>
        <w:t xml:space="preserve"> </w:t>
      </w:r>
      <w:r w:rsidRPr="006B64DE" w:rsidR="009802F5">
        <w:rPr>
          <w:sz w:val="24"/>
        </w:rPr>
        <w:t>Taking into</w:t>
      </w:r>
      <w:r w:rsidR="005C5E75">
        <w:rPr>
          <w:sz w:val="24"/>
        </w:rPr>
        <w:t xml:space="preserve"> </w:t>
      </w:r>
      <w:r w:rsidRPr="006B64DE" w:rsidR="009802F5">
        <w:rPr>
          <w:sz w:val="24"/>
        </w:rPr>
        <w:t xml:space="preserve">account the Federal administrative match of 50 percent, the requirement will cost </w:t>
      </w:r>
      <w:r w:rsidR="003D44F3">
        <w:rPr>
          <w:sz w:val="24"/>
        </w:rPr>
        <w:t>s</w:t>
      </w:r>
      <w:r w:rsidRPr="006B64DE" w:rsidR="009802F5">
        <w:rPr>
          <w:sz w:val="24"/>
        </w:rPr>
        <w:t>tates $</w:t>
      </w:r>
      <w:r w:rsidR="005C5E75">
        <w:rPr>
          <w:sz w:val="24"/>
        </w:rPr>
        <w:t>187,387</w:t>
      </w:r>
      <w:r w:rsidRPr="006B64DE" w:rsidR="009802F5">
        <w:rPr>
          <w:sz w:val="24"/>
        </w:rPr>
        <w:t xml:space="preserve"> ($</w:t>
      </w:r>
      <w:r w:rsidR="005C5E75">
        <w:rPr>
          <w:sz w:val="24"/>
        </w:rPr>
        <w:t>374,774</w:t>
      </w:r>
      <w:r w:rsidRPr="006B64DE" w:rsidR="009802F5">
        <w:rPr>
          <w:sz w:val="24"/>
        </w:rPr>
        <w:t xml:space="preserve"> x 0.50).</w:t>
      </w:r>
    </w:p>
    <w:p w:rsidR="00427DA8" w:rsidRPr="00B81ACB" w:rsidP="00427DA8" w14:paraId="193AE32C" w14:textId="77777777">
      <w:pPr>
        <w:pStyle w:val="ListParagraph"/>
        <w:tabs>
          <w:tab w:val="left" w:pos="680"/>
        </w:tabs>
        <w:ind w:left="0" w:firstLine="0"/>
        <w:rPr>
          <w:sz w:val="24"/>
          <w:szCs w:val="24"/>
        </w:rPr>
      </w:pPr>
    </w:p>
    <w:p w:rsidR="00427DA8" w:rsidRPr="00B81ACB" w:rsidP="00427DA8" w14:paraId="0329D2B9" w14:textId="77777777">
      <w:pPr>
        <w:pStyle w:val="ListParagraph"/>
        <w:tabs>
          <w:tab w:val="left" w:pos="680"/>
        </w:tabs>
        <w:ind w:left="0" w:firstLine="0"/>
        <w:rPr>
          <w:i/>
          <w:sz w:val="24"/>
          <w:szCs w:val="24"/>
        </w:rPr>
      </w:pPr>
      <w:r w:rsidRPr="00B81ACB">
        <w:rPr>
          <w:i/>
          <w:sz w:val="24"/>
          <w:szCs w:val="24"/>
        </w:rPr>
        <w:t xml:space="preserve">Summary </w:t>
      </w:r>
      <w:r w:rsidRPr="00B81ACB">
        <w:rPr>
          <w:i/>
          <w:spacing w:val="3"/>
          <w:sz w:val="24"/>
          <w:szCs w:val="24"/>
        </w:rPr>
        <w:t xml:space="preserve">of </w:t>
      </w:r>
      <w:r w:rsidRPr="00B81ACB">
        <w:rPr>
          <w:i/>
          <w:spacing w:val="4"/>
          <w:sz w:val="24"/>
          <w:szCs w:val="24"/>
        </w:rPr>
        <w:t>Annual</w:t>
      </w:r>
      <w:r w:rsidRPr="00B81ACB">
        <w:rPr>
          <w:i/>
          <w:spacing w:val="-39"/>
          <w:sz w:val="24"/>
          <w:szCs w:val="24"/>
        </w:rPr>
        <w:t xml:space="preserve"> </w:t>
      </w:r>
      <w:r w:rsidRPr="00B81ACB">
        <w:rPr>
          <w:i/>
          <w:sz w:val="24"/>
          <w:szCs w:val="24"/>
        </w:rPr>
        <w:t>Burden Estimates</w:t>
      </w:r>
    </w:p>
    <w:p w:rsidR="00427DA8" w:rsidRPr="00B81ACB" w:rsidP="00427DA8" w14:paraId="7685BE79" w14:textId="77777777">
      <w:pPr>
        <w:pStyle w:val="BodyText"/>
        <w:rPr>
          <w:i/>
        </w:rPr>
      </w:pP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6"/>
        <w:gridCol w:w="1197"/>
        <w:gridCol w:w="1094"/>
        <w:gridCol w:w="1018"/>
        <w:gridCol w:w="930"/>
        <w:gridCol w:w="1103"/>
        <w:gridCol w:w="929"/>
        <w:gridCol w:w="929"/>
      </w:tblGrid>
      <w:tr w14:paraId="336BF823" w14:textId="77777777" w:rsidTr="00D023BB">
        <w:tblPrEx>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426" w:type="dxa"/>
            <w:vAlign w:val="bottom"/>
          </w:tcPr>
          <w:p w:rsidR="00427DA8" w:rsidRPr="00AE7CF1" w:rsidP="00D023BB" w14:paraId="03E91BC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Requirement</w:t>
            </w:r>
          </w:p>
        </w:tc>
        <w:tc>
          <w:tcPr>
            <w:tcW w:w="1197" w:type="dxa"/>
            <w:vAlign w:val="bottom"/>
          </w:tcPr>
          <w:p w:rsidR="00427DA8" w:rsidRPr="00AE7CF1" w:rsidP="00D023BB" w14:paraId="20DC4AF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Respondents</w:t>
            </w:r>
          </w:p>
        </w:tc>
        <w:tc>
          <w:tcPr>
            <w:tcW w:w="1094" w:type="dxa"/>
            <w:vAlign w:val="bottom"/>
          </w:tcPr>
          <w:p w:rsidR="00427DA8" w:rsidRPr="00AE7CF1" w:rsidP="00D023BB" w14:paraId="3E35724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Responses</w:t>
            </w:r>
          </w:p>
        </w:tc>
        <w:tc>
          <w:tcPr>
            <w:tcW w:w="1018" w:type="dxa"/>
            <w:vAlign w:val="bottom"/>
          </w:tcPr>
          <w:p w:rsidR="00427DA8" w:rsidRPr="00AE7CF1" w:rsidP="002248C5" w14:paraId="236DC14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 xml:space="preserve">Time </w:t>
            </w:r>
            <w:r w:rsidRPr="00AE7CF1">
              <w:rPr>
                <w:bCs/>
                <w:sz w:val="18"/>
                <w:szCs w:val="18"/>
              </w:rPr>
              <w:t>per Response (h</w:t>
            </w:r>
            <w:r>
              <w:rPr>
                <w:bCs/>
                <w:sz w:val="18"/>
                <w:szCs w:val="18"/>
              </w:rPr>
              <w:t>r</w:t>
            </w:r>
            <w:r w:rsidRPr="00AE7CF1">
              <w:rPr>
                <w:bCs/>
                <w:sz w:val="18"/>
                <w:szCs w:val="18"/>
              </w:rPr>
              <w:t>)</w:t>
            </w:r>
          </w:p>
        </w:tc>
        <w:tc>
          <w:tcPr>
            <w:tcW w:w="930" w:type="dxa"/>
            <w:vAlign w:val="bottom"/>
          </w:tcPr>
          <w:p w:rsidR="00427DA8" w:rsidRPr="00AE7CF1" w:rsidP="00824FA7" w14:paraId="449C45B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 xml:space="preserve">Total </w:t>
            </w:r>
            <w:r w:rsidR="00824FA7">
              <w:rPr>
                <w:bCs/>
                <w:sz w:val="18"/>
                <w:szCs w:val="18"/>
              </w:rPr>
              <w:t>Time</w:t>
            </w:r>
            <w:r w:rsidRPr="00AE7CF1">
              <w:rPr>
                <w:bCs/>
                <w:sz w:val="18"/>
                <w:szCs w:val="18"/>
              </w:rPr>
              <w:t xml:space="preserve"> (h</w:t>
            </w:r>
            <w:r w:rsidR="00824FA7">
              <w:rPr>
                <w:bCs/>
                <w:sz w:val="18"/>
                <w:szCs w:val="18"/>
              </w:rPr>
              <w:t>r</w:t>
            </w:r>
            <w:r w:rsidRPr="00AE7CF1">
              <w:rPr>
                <w:bCs/>
                <w:sz w:val="18"/>
                <w:szCs w:val="18"/>
              </w:rPr>
              <w:t>)</w:t>
            </w:r>
          </w:p>
        </w:tc>
        <w:tc>
          <w:tcPr>
            <w:tcW w:w="1103" w:type="dxa"/>
            <w:vAlign w:val="bottom"/>
          </w:tcPr>
          <w:p w:rsidR="00427DA8" w:rsidRPr="00AE7CF1" w:rsidP="00824FA7" w14:paraId="3A2C3D0D" w14:textId="77777777">
            <w:pPr>
              <w:widowControl/>
              <w:jc w:val="center"/>
              <w:rPr>
                <w:sz w:val="18"/>
                <w:szCs w:val="18"/>
              </w:rPr>
            </w:pPr>
            <w:r w:rsidRPr="00AE7CF1">
              <w:rPr>
                <w:bCs/>
                <w:sz w:val="18"/>
                <w:szCs w:val="18"/>
              </w:rPr>
              <w:t>Labor</w:t>
            </w:r>
            <w:r w:rsidR="00824FA7">
              <w:rPr>
                <w:bCs/>
                <w:sz w:val="18"/>
                <w:szCs w:val="18"/>
              </w:rPr>
              <w:t xml:space="preserve"> </w:t>
            </w:r>
            <w:r w:rsidRPr="00AE7CF1">
              <w:rPr>
                <w:bCs/>
                <w:sz w:val="18"/>
                <w:szCs w:val="18"/>
              </w:rPr>
              <w:t xml:space="preserve">Cost </w:t>
            </w:r>
            <w:r w:rsidR="00824FA7">
              <w:rPr>
                <w:bCs/>
                <w:sz w:val="18"/>
                <w:szCs w:val="18"/>
              </w:rPr>
              <w:t>($/hr)</w:t>
            </w:r>
          </w:p>
        </w:tc>
        <w:tc>
          <w:tcPr>
            <w:tcW w:w="929" w:type="dxa"/>
            <w:vAlign w:val="bottom"/>
          </w:tcPr>
          <w:p w:rsidR="00427DA8" w:rsidRPr="00AE7CF1" w:rsidP="00D023BB" w14:paraId="4E2EE9F2" w14:textId="6EE2E18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Total Cost</w:t>
            </w:r>
          </w:p>
          <w:p w:rsidR="00427DA8" w:rsidRPr="00AE7CF1" w:rsidP="00D023BB" w14:paraId="78D1DB0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w:t>
            </w:r>
          </w:p>
        </w:tc>
        <w:tc>
          <w:tcPr>
            <w:tcW w:w="929" w:type="dxa"/>
          </w:tcPr>
          <w:p w:rsidR="00572255" w:rsidP="00D023BB" w14:paraId="21A5CFD6" w14:textId="09D08FB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State Share</w:t>
            </w:r>
          </w:p>
          <w:p w:rsidR="00427DA8" w:rsidRPr="00AE7CF1" w:rsidP="00D023BB" w14:paraId="25CC8DE3" w14:textId="2126AC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w:t>
            </w:r>
          </w:p>
        </w:tc>
      </w:tr>
      <w:tr w14:paraId="0B69BFFF" w14:textId="77777777" w:rsidTr="00D023BB">
        <w:tblPrEx>
          <w:tblW w:w="8626" w:type="dxa"/>
          <w:jc w:val="center"/>
          <w:tblLook w:val="00A0"/>
        </w:tblPrEx>
        <w:trPr>
          <w:jc w:val="center"/>
        </w:trPr>
        <w:tc>
          <w:tcPr>
            <w:tcW w:w="1426" w:type="dxa"/>
          </w:tcPr>
          <w:p w:rsidR="00275790" w:rsidRPr="00B81ACB" w:rsidP="00427DA8" w14:paraId="501B12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81ACB">
              <w:rPr>
                <w:sz w:val="18"/>
                <w:szCs w:val="18"/>
              </w:rPr>
              <w:t>New Waivers</w:t>
            </w:r>
          </w:p>
        </w:tc>
        <w:tc>
          <w:tcPr>
            <w:tcW w:w="1197" w:type="dxa"/>
          </w:tcPr>
          <w:p w:rsidR="00275790" w:rsidRPr="00B81ACB" w:rsidP="00D023BB" w14:paraId="39AD5C9A" w14:textId="4DC07F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4</w:t>
            </w:r>
          </w:p>
        </w:tc>
        <w:tc>
          <w:tcPr>
            <w:tcW w:w="1094" w:type="dxa"/>
          </w:tcPr>
          <w:p w:rsidR="00275790" w:rsidRPr="00B81ACB" w:rsidP="00D023BB" w14:paraId="4AC64BC6" w14:textId="35505C1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4</w:t>
            </w:r>
          </w:p>
        </w:tc>
        <w:tc>
          <w:tcPr>
            <w:tcW w:w="1018" w:type="dxa"/>
          </w:tcPr>
          <w:p w:rsidR="00275790" w:rsidRPr="00B81ACB" w:rsidP="00D023BB" w14:paraId="3455BDE0" w14:textId="68D7D2B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16</w:t>
            </w:r>
            <w:r w:rsidR="00373F07">
              <w:rPr>
                <w:sz w:val="18"/>
                <w:szCs w:val="18"/>
              </w:rPr>
              <w:t>3</w:t>
            </w:r>
          </w:p>
        </w:tc>
        <w:tc>
          <w:tcPr>
            <w:tcW w:w="930" w:type="dxa"/>
          </w:tcPr>
          <w:p w:rsidR="00275790" w:rsidRPr="00B81ACB" w:rsidP="00D023BB" w14:paraId="58621723" w14:textId="69ACAE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Pr>
                <w:sz w:val="18"/>
                <w:szCs w:val="18"/>
              </w:rPr>
              <w:t>652</w:t>
            </w:r>
          </w:p>
        </w:tc>
        <w:tc>
          <w:tcPr>
            <w:tcW w:w="1103" w:type="dxa"/>
          </w:tcPr>
          <w:p w:rsidR="00275790" w:rsidRPr="00B81ACB" w:rsidP="00824FA7" w14:paraId="461E6E9C" w14:textId="039378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80.08</w:t>
            </w:r>
          </w:p>
        </w:tc>
        <w:tc>
          <w:tcPr>
            <w:tcW w:w="929" w:type="dxa"/>
          </w:tcPr>
          <w:p w:rsidR="00275790" w:rsidRPr="00B81ACB" w:rsidP="0033600C" w14:paraId="188628CC" w14:textId="094E4C8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52,212</w:t>
            </w:r>
          </w:p>
        </w:tc>
        <w:tc>
          <w:tcPr>
            <w:tcW w:w="929" w:type="dxa"/>
          </w:tcPr>
          <w:p w:rsidR="00275790" w:rsidRPr="00B81ACB" w:rsidP="00D023BB" w14:paraId="6DD7D094" w14:textId="3DA3A29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26,106</w:t>
            </w:r>
          </w:p>
        </w:tc>
      </w:tr>
      <w:tr w14:paraId="54453382" w14:textId="77777777" w:rsidTr="00D023BB">
        <w:tblPrEx>
          <w:tblW w:w="8626" w:type="dxa"/>
          <w:jc w:val="center"/>
          <w:tblLook w:val="00A0"/>
        </w:tblPrEx>
        <w:trPr>
          <w:jc w:val="center"/>
        </w:trPr>
        <w:tc>
          <w:tcPr>
            <w:tcW w:w="1426" w:type="dxa"/>
          </w:tcPr>
          <w:p w:rsidR="00275790" w:rsidRPr="00B81ACB" w:rsidP="00D023BB" w14:paraId="72F741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81ACB">
              <w:rPr>
                <w:sz w:val="18"/>
                <w:szCs w:val="18"/>
              </w:rPr>
              <w:t>Renewal Applications</w:t>
            </w:r>
          </w:p>
        </w:tc>
        <w:tc>
          <w:tcPr>
            <w:tcW w:w="1197" w:type="dxa"/>
          </w:tcPr>
          <w:p w:rsidR="00275790" w:rsidRPr="00B81ACB" w:rsidP="00D023BB" w14:paraId="1295B763" w14:textId="5D92FAC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30</w:t>
            </w:r>
          </w:p>
        </w:tc>
        <w:tc>
          <w:tcPr>
            <w:tcW w:w="1094" w:type="dxa"/>
          </w:tcPr>
          <w:p w:rsidR="00275790" w:rsidRPr="00B81ACB" w:rsidP="00D023BB" w14:paraId="14A8FADA" w14:textId="09E8417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6</w:t>
            </w:r>
            <w:r w:rsidR="00373F07">
              <w:rPr>
                <w:sz w:val="18"/>
                <w:szCs w:val="18"/>
              </w:rPr>
              <w:t>0</w:t>
            </w:r>
          </w:p>
        </w:tc>
        <w:tc>
          <w:tcPr>
            <w:tcW w:w="1018" w:type="dxa"/>
          </w:tcPr>
          <w:p w:rsidR="00275790" w:rsidRPr="00B81ACB" w:rsidP="00D023BB" w14:paraId="31AC4547" w14:textId="5FB2619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7</w:t>
            </w:r>
            <w:r w:rsidR="00373F07">
              <w:rPr>
                <w:sz w:val="18"/>
                <w:szCs w:val="18"/>
              </w:rPr>
              <w:t>8</w:t>
            </w:r>
          </w:p>
        </w:tc>
        <w:tc>
          <w:tcPr>
            <w:tcW w:w="930" w:type="dxa"/>
          </w:tcPr>
          <w:p w:rsidR="00275790" w:rsidRPr="00B81ACB" w:rsidP="00D023BB" w14:paraId="38EA8498" w14:textId="3933286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4,</w:t>
            </w:r>
            <w:r w:rsidR="003D44F3">
              <w:rPr>
                <w:sz w:val="18"/>
                <w:szCs w:val="18"/>
              </w:rPr>
              <w:t>680</w:t>
            </w:r>
          </w:p>
        </w:tc>
        <w:tc>
          <w:tcPr>
            <w:tcW w:w="1103" w:type="dxa"/>
          </w:tcPr>
          <w:p w:rsidR="00275790" w:rsidRPr="00B81ACB" w:rsidP="00D023BB" w14:paraId="17ED7FDB" w14:textId="7AA1324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80.08</w:t>
            </w:r>
          </w:p>
        </w:tc>
        <w:tc>
          <w:tcPr>
            <w:tcW w:w="929" w:type="dxa"/>
          </w:tcPr>
          <w:p w:rsidR="00275790" w:rsidRPr="00B81ACB" w:rsidP="00455FD8" w14:paraId="0D4EB6B9" w14:textId="562741F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374,774</w:t>
            </w:r>
          </w:p>
        </w:tc>
        <w:tc>
          <w:tcPr>
            <w:tcW w:w="929" w:type="dxa"/>
          </w:tcPr>
          <w:p w:rsidR="00275790" w:rsidRPr="00B81ACB" w:rsidP="00D023BB" w14:paraId="1FC49999" w14:textId="5F027DA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1</w:t>
            </w:r>
            <w:r w:rsidR="003D44F3">
              <w:rPr>
                <w:sz w:val="18"/>
                <w:szCs w:val="18"/>
              </w:rPr>
              <w:t>87,387</w:t>
            </w:r>
          </w:p>
        </w:tc>
      </w:tr>
      <w:tr w14:paraId="58CB39FD" w14:textId="77777777" w:rsidTr="00427DA8">
        <w:tblPrEx>
          <w:tblW w:w="8626" w:type="dxa"/>
          <w:jc w:val="center"/>
          <w:tblLook w:val="00A0"/>
        </w:tblPrEx>
        <w:trPr>
          <w:jc w:val="center"/>
        </w:trPr>
        <w:tc>
          <w:tcPr>
            <w:tcW w:w="1426" w:type="dxa"/>
            <w:shd w:val="clear" w:color="auto" w:fill="F2F2F2"/>
          </w:tcPr>
          <w:p w:rsidR="00427DA8" w:rsidRPr="008E5D0D" w:rsidP="00D023BB" w14:paraId="7DD5F3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Pr>
                <w:b/>
                <w:sz w:val="18"/>
                <w:szCs w:val="18"/>
              </w:rPr>
              <w:t>TOTAL</w:t>
            </w:r>
          </w:p>
        </w:tc>
        <w:tc>
          <w:tcPr>
            <w:tcW w:w="1197" w:type="dxa"/>
            <w:shd w:val="clear" w:color="auto" w:fill="F2F2F2"/>
          </w:tcPr>
          <w:p w:rsidR="00427DA8" w:rsidRPr="00905822" w:rsidP="003D44F3" w14:paraId="13EC015F" w14:textId="0741BEB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34</w:t>
            </w:r>
          </w:p>
        </w:tc>
        <w:tc>
          <w:tcPr>
            <w:tcW w:w="1094" w:type="dxa"/>
            <w:shd w:val="clear" w:color="auto" w:fill="F2F2F2"/>
          </w:tcPr>
          <w:p w:rsidR="00427DA8" w:rsidRPr="00905822" w:rsidP="00D023BB" w14:paraId="5FFD5B13" w14:textId="3F5CBA2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64</w:t>
            </w:r>
          </w:p>
        </w:tc>
        <w:tc>
          <w:tcPr>
            <w:tcW w:w="1018" w:type="dxa"/>
            <w:shd w:val="clear" w:color="auto" w:fill="F2F2F2"/>
          </w:tcPr>
          <w:p w:rsidR="00427DA8" w:rsidRPr="00905822" w:rsidP="00D023BB" w14:paraId="159BBF4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varies</w:t>
            </w:r>
          </w:p>
        </w:tc>
        <w:tc>
          <w:tcPr>
            <w:tcW w:w="930" w:type="dxa"/>
            <w:shd w:val="clear" w:color="auto" w:fill="F2F2F2"/>
          </w:tcPr>
          <w:p w:rsidR="00427DA8" w:rsidRPr="00905822" w:rsidP="00D023BB" w14:paraId="13058BF7" w14:textId="6E032A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szCs w:val="18"/>
              </w:rPr>
            </w:pPr>
            <w:r>
              <w:rPr>
                <w:b/>
                <w:sz w:val="18"/>
                <w:szCs w:val="18"/>
              </w:rPr>
              <w:t>5</w:t>
            </w:r>
            <w:r w:rsidR="002C5B60">
              <w:rPr>
                <w:b/>
                <w:sz w:val="18"/>
                <w:szCs w:val="18"/>
              </w:rPr>
              <w:t>,</w:t>
            </w:r>
            <w:r>
              <w:rPr>
                <w:b/>
                <w:sz w:val="18"/>
                <w:szCs w:val="18"/>
              </w:rPr>
              <w:t>332</w:t>
            </w:r>
          </w:p>
        </w:tc>
        <w:tc>
          <w:tcPr>
            <w:tcW w:w="1103" w:type="dxa"/>
            <w:shd w:val="clear" w:color="auto" w:fill="F2F2F2"/>
          </w:tcPr>
          <w:p w:rsidR="00427DA8" w:rsidRPr="00905822" w:rsidP="00824FA7" w14:paraId="56D74AA9" w14:textId="7D9A8F8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80.08</w:t>
            </w:r>
          </w:p>
        </w:tc>
        <w:tc>
          <w:tcPr>
            <w:tcW w:w="929" w:type="dxa"/>
            <w:shd w:val="clear" w:color="auto" w:fill="F2F2F2"/>
          </w:tcPr>
          <w:p w:rsidR="00427DA8" w:rsidRPr="00905822" w:rsidP="00D023BB" w14:paraId="1C581D9F" w14:textId="129AD63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4</w:t>
            </w:r>
            <w:r w:rsidR="003D44F3">
              <w:rPr>
                <w:b/>
                <w:sz w:val="18"/>
                <w:szCs w:val="18"/>
              </w:rPr>
              <w:t>26,986</w:t>
            </w:r>
          </w:p>
        </w:tc>
        <w:tc>
          <w:tcPr>
            <w:tcW w:w="929" w:type="dxa"/>
            <w:shd w:val="clear" w:color="auto" w:fill="F2F2F2"/>
          </w:tcPr>
          <w:p w:rsidR="00427DA8" w:rsidRPr="00905822" w:rsidP="00D023BB" w14:paraId="7B7529A3" w14:textId="62F789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2</w:t>
            </w:r>
            <w:r w:rsidR="003D44F3">
              <w:rPr>
                <w:b/>
                <w:sz w:val="18"/>
                <w:szCs w:val="18"/>
              </w:rPr>
              <w:t>13</w:t>
            </w:r>
            <w:r>
              <w:rPr>
                <w:b/>
                <w:sz w:val="18"/>
                <w:szCs w:val="18"/>
              </w:rPr>
              <w:t>,</w:t>
            </w:r>
            <w:r w:rsidR="003D44F3">
              <w:rPr>
                <w:b/>
                <w:sz w:val="18"/>
                <w:szCs w:val="18"/>
              </w:rPr>
              <w:t>493</w:t>
            </w:r>
          </w:p>
        </w:tc>
      </w:tr>
    </w:tbl>
    <w:p w:rsidR="0033600C" w:rsidP="00C67D01" w14:paraId="507E4966" w14:textId="75F122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20B12" w:rsidRPr="006A730F" w:rsidP="00C67D01" w14:paraId="3EBCCD35" w14:textId="20846B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6A730F">
        <w:rPr>
          <w:i/>
          <w:sz w:val="24"/>
        </w:rPr>
        <w:t>Collection of Information Instruments and Instruction/Guidance Materials</w:t>
      </w:r>
    </w:p>
    <w:p w:rsidR="00420B12" w:rsidP="00C67D01" w14:paraId="212AD4D3" w14:textId="44004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D57F3" w:rsidP="00C67D01" w14:paraId="5A8D4E65" w14:textId="780388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D57F3">
        <w:rPr>
          <w:sz w:val="24"/>
        </w:rPr>
        <w:t>Application for a §1915(c) Home and Community-Based Services Waiver</w:t>
      </w:r>
      <w:r w:rsidR="003E1B40">
        <w:rPr>
          <w:sz w:val="24"/>
        </w:rPr>
        <w:t xml:space="preserve"> (Revised</w:t>
      </w:r>
      <w:r w:rsidR="006179EE">
        <w:rPr>
          <w:sz w:val="24"/>
        </w:rPr>
        <w:t>)</w:t>
      </w:r>
    </w:p>
    <w:p w:rsidR="000A5456" w:rsidP="00C67D01" w14:paraId="0E6088A3" w14:textId="2866A0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456" w:rsidP="00C67D01" w14:paraId="041D575E" w14:textId="4F0CB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5456">
        <w:rPr>
          <w:sz w:val="24"/>
        </w:rPr>
        <w:t>Instructions, Technical Guide and Review Criteria</w:t>
      </w:r>
      <w:r>
        <w:rPr>
          <w:sz w:val="24"/>
        </w:rPr>
        <w:t xml:space="preserve"> (Revise</w:t>
      </w:r>
      <w:r w:rsidR="006179EE">
        <w:rPr>
          <w:sz w:val="24"/>
        </w:rPr>
        <w:t>d</w:t>
      </w:r>
      <w:r>
        <w:rPr>
          <w:sz w:val="24"/>
        </w:rPr>
        <w:t>)</w:t>
      </w:r>
    </w:p>
    <w:p w:rsidR="00420B12" w:rsidRPr="00B81ACB" w:rsidP="00C67D01" w14:paraId="63B57F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81ACB" w:rsidP="00C67D01" w14:paraId="17D2B7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1ACB">
        <w:rPr>
          <w:sz w:val="24"/>
        </w:rPr>
        <w:t>13.</w:t>
      </w:r>
      <w:r w:rsidRPr="00B81ACB">
        <w:rPr>
          <w:sz w:val="24"/>
        </w:rPr>
        <w:tab/>
      </w:r>
      <w:r w:rsidRPr="00B81ACB">
        <w:rPr>
          <w:sz w:val="24"/>
          <w:u w:val="single"/>
        </w:rPr>
        <w:t>Capital Costs</w:t>
      </w:r>
      <w:r w:rsidRPr="00B81ACB" w:rsidR="00C36072">
        <w:rPr>
          <w:sz w:val="24"/>
          <w:u w:val="single"/>
        </w:rPr>
        <w:t xml:space="preserve"> </w:t>
      </w:r>
    </w:p>
    <w:p w:rsidR="00C36072" w:rsidRPr="00B81ACB" w:rsidP="00C67D01" w14:paraId="09D5B2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663F7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capital costs associated with this collection of information.</w:t>
      </w:r>
    </w:p>
    <w:p w:rsidR="00C36072" w:rsidRPr="009C222F" w:rsidP="00C67D01" w14:paraId="2C3595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C222F" w:rsidP="00C67D01" w14:paraId="1EAB80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C222F">
        <w:rPr>
          <w:sz w:val="24"/>
        </w:rPr>
        <w:t>14.</w:t>
      </w:r>
      <w:r w:rsidRPr="009C222F">
        <w:rPr>
          <w:sz w:val="24"/>
        </w:rPr>
        <w:tab/>
      </w:r>
      <w:r w:rsidRPr="009C222F">
        <w:rPr>
          <w:sz w:val="24"/>
          <w:u w:val="single"/>
        </w:rPr>
        <w:t>Cost to Federal Government</w:t>
      </w:r>
    </w:p>
    <w:p w:rsidR="008F1EB4" w:rsidRPr="009C222F" w:rsidP="00C67D01" w14:paraId="3469EC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D2E96" w:rsidRPr="009C222F" w:rsidP="00C67D01" w14:paraId="5EA49DBC" w14:textId="0BA4E3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The esti</w:t>
      </w:r>
      <w:r w:rsidRPr="009C222F" w:rsidR="00B615E3">
        <w:rPr>
          <w:sz w:val="24"/>
        </w:rPr>
        <w:t>mate of annualized cost to the F</w:t>
      </w:r>
      <w:r w:rsidRPr="009C222F">
        <w:rPr>
          <w:sz w:val="24"/>
        </w:rPr>
        <w:t>ederal government is $</w:t>
      </w:r>
      <w:r w:rsidRPr="00A27C47" w:rsidR="00A27C47">
        <w:rPr>
          <w:sz w:val="24"/>
        </w:rPr>
        <w:t>5</w:t>
      </w:r>
      <w:r w:rsidR="00690928">
        <w:rPr>
          <w:sz w:val="24"/>
        </w:rPr>
        <w:t>1</w:t>
      </w:r>
      <w:r w:rsidR="005A776B">
        <w:rPr>
          <w:sz w:val="24"/>
        </w:rPr>
        <w:t>8</w:t>
      </w:r>
      <w:r w:rsidRPr="00A27C47" w:rsidR="00A27C47">
        <w:rPr>
          <w:sz w:val="24"/>
        </w:rPr>
        <w:t>,</w:t>
      </w:r>
      <w:r w:rsidR="00690928">
        <w:rPr>
          <w:sz w:val="24"/>
        </w:rPr>
        <w:t>858</w:t>
      </w:r>
      <w:r w:rsidRPr="009C222F" w:rsidR="005F72F7">
        <w:rPr>
          <w:sz w:val="24"/>
        </w:rPr>
        <w:t xml:space="preserve"> </w:t>
      </w:r>
      <w:r w:rsidRPr="009C222F" w:rsidR="005A7BD8">
        <w:rPr>
          <w:sz w:val="24"/>
        </w:rPr>
        <w:t xml:space="preserve">for CMS’ review of </w:t>
      </w:r>
      <w:r w:rsidRPr="009C222F" w:rsidR="00F166F6">
        <w:rPr>
          <w:sz w:val="24"/>
        </w:rPr>
        <w:t>s</w:t>
      </w:r>
      <w:r w:rsidRPr="009C222F">
        <w:rPr>
          <w:sz w:val="24"/>
        </w:rPr>
        <w:t xml:space="preserve">tates’ </w:t>
      </w:r>
      <w:r w:rsidRPr="009C222F" w:rsidR="005A7BD8">
        <w:rPr>
          <w:sz w:val="24"/>
        </w:rPr>
        <w:t>new and renewal applications for home and community-based services waivers. This</w:t>
      </w:r>
      <w:r w:rsidRPr="009C222F">
        <w:rPr>
          <w:sz w:val="24"/>
        </w:rPr>
        <w:t xml:space="preserve"> estimate is based on CMS’ </w:t>
      </w:r>
      <w:r w:rsidRPr="009C222F" w:rsidR="00B615E3">
        <w:rPr>
          <w:sz w:val="24"/>
        </w:rPr>
        <w:t>recent experience in reviewing s</w:t>
      </w:r>
      <w:r w:rsidRPr="009C222F">
        <w:rPr>
          <w:sz w:val="24"/>
        </w:rPr>
        <w:t xml:space="preserve">tate cost reports.  </w:t>
      </w:r>
    </w:p>
    <w:p w:rsidR="00435AB6" w:rsidRPr="009C222F" w:rsidP="00C67D01" w14:paraId="6C441E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70D5" w:rsidRPr="009C222F" w:rsidP="00DD63A2" w14:paraId="0C4749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C222F">
        <w:rPr>
          <w:sz w:val="24"/>
          <w:u w:val="single"/>
        </w:rPr>
        <w:t>New Waivers</w:t>
      </w:r>
      <w:r w:rsidRPr="009C222F" w:rsidR="00DD63A2">
        <w:rPr>
          <w:sz w:val="24"/>
          <w:u w:val="single"/>
        </w:rPr>
        <w:t xml:space="preserve"> (</w:t>
      </w:r>
      <w:r w:rsidRPr="009C222F">
        <w:rPr>
          <w:sz w:val="24"/>
          <w:u w:val="single"/>
        </w:rPr>
        <w:t>Salary/Labor</w:t>
      </w:r>
      <w:r w:rsidRPr="009C222F" w:rsidR="00DD63A2">
        <w:rPr>
          <w:sz w:val="24"/>
          <w:u w:val="single"/>
        </w:rPr>
        <w:t>)</w:t>
      </w:r>
    </w:p>
    <w:p w:rsidR="00FC70D5" w:rsidRPr="009C222F" w:rsidP="00C67D01" w14:paraId="25D76A74" w14:textId="77A5B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r>
      <w:r w:rsidR="007613B6">
        <w:rPr>
          <w:sz w:val="24"/>
        </w:rPr>
        <w:t>4</w:t>
      </w:r>
      <w:r w:rsidRPr="009C222F">
        <w:rPr>
          <w:sz w:val="24"/>
        </w:rPr>
        <w:t xml:space="preserve"> Applications x 16</w:t>
      </w:r>
      <w:r w:rsidR="00690928">
        <w:rPr>
          <w:sz w:val="24"/>
        </w:rPr>
        <w:t>3</w:t>
      </w:r>
      <w:r w:rsidRPr="009C222F">
        <w:rPr>
          <w:sz w:val="24"/>
        </w:rPr>
        <w:t xml:space="preserve"> hours = </w:t>
      </w:r>
      <w:r w:rsidR="007613B6">
        <w:rPr>
          <w:sz w:val="24"/>
        </w:rPr>
        <w:t>6</w:t>
      </w:r>
      <w:r w:rsidR="00690928">
        <w:rPr>
          <w:sz w:val="24"/>
        </w:rPr>
        <w:t>52</w:t>
      </w:r>
      <w:r w:rsidRPr="009C222F">
        <w:rPr>
          <w:sz w:val="24"/>
        </w:rPr>
        <w:t xml:space="preserve"> hours</w:t>
      </w:r>
    </w:p>
    <w:p w:rsidR="00FC70D5" w:rsidRPr="009C222F" w:rsidP="00C67D01" w14:paraId="541BB7E9" w14:textId="32C4B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w:t>
      </w:r>
      <w:r w:rsidRPr="004B3862" w:rsidR="004B3862">
        <w:rPr>
          <w:sz w:val="24"/>
        </w:rPr>
        <w:t>56.52</w:t>
      </w:r>
      <w:r w:rsidRPr="009C222F" w:rsidR="00EE54A6">
        <w:rPr>
          <w:sz w:val="24"/>
        </w:rPr>
        <w:t>/hr</w:t>
      </w:r>
      <w:r w:rsidRPr="009C222F" w:rsidR="00B615E3">
        <w:rPr>
          <w:sz w:val="24"/>
        </w:rPr>
        <w:t xml:space="preserve"> (Federal hourly rate</w:t>
      </w:r>
      <w:r w:rsidRPr="009C222F">
        <w:rPr>
          <w:sz w:val="24"/>
        </w:rPr>
        <w:t xml:space="preserve"> GS</w:t>
      </w:r>
      <w:r w:rsidRPr="009C222F" w:rsidR="0033523D">
        <w:rPr>
          <w:sz w:val="24"/>
        </w:rPr>
        <w:t xml:space="preserve"> </w:t>
      </w:r>
      <w:r w:rsidRPr="009C222F" w:rsidR="00B615E3">
        <w:rPr>
          <w:sz w:val="24"/>
        </w:rPr>
        <w:t>13</w:t>
      </w:r>
      <w:r w:rsidRPr="009C222F">
        <w:rPr>
          <w:sz w:val="24"/>
        </w:rPr>
        <w:t>-</w:t>
      </w:r>
      <w:r w:rsidRPr="009C222F" w:rsidR="00B615E3">
        <w:rPr>
          <w:sz w:val="24"/>
        </w:rPr>
        <w:t>1)*</w:t>
      </w:r>
      <w:r w:rsidRPr="009C222F">
        <w:rPr>
          <w:sz w:val="24"/>
        </w:rPr>
        <w:t xml:space="preserve"> </w:t>
      </w:r>
    </w:p>
    <w:p w:rsidR="00FC70D5" w:rsidRPr="009C222F" w:rsidP="00C67D01" w14:paraId="466B4255" w14:textId="5447FE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w:t>
      </w:r>
      <w:r w:rsidRPr="004B3862" w:rsidR="004B3862">
        <w:rPr>
          <w:sz w:val="24"/>
        </w:rPr>
        <w:t>56.52</w:t>
      </w:r>
      <w:r w:rsidRPr="009C222F" w:rsidR="00972141">
        <w:rPr>
          <w:sz w:val="24"/>
        </w:rPr>
        <w:t>/</w:t>
      </w:r>
      <w:r w:rsidR="00533E62">
        <w:rPr>
          <w:sz w:val="24"/>
        </w:rPr>
        <w:t>hr</w:t>
      </w:r>
      <w:r w:rsidRPr="009C222F">
        <w:rPr>
          <w:sz w:val="24"/>
        </w:rPr>
        <w:t xml:space="preserve"> x </w:t>
      </w:r>
      <w:r w:rsidR="007613B6">
        <w:rPr>
          <w:sz w:val="24"/>
        </w:rPr>
        <w:t>6</w:t>
      </w:r>
      <w:r w:rsidR="00690928">
        <w:rPr>
          <w:sz w:val="24"/>
        </w:rPr>
        <w:t>52</w:t>
      </w:r>
      <w:r w:rsidRPr="009C222F">
        <w:rPr>
          <w:sz w:val="24"/>
        </w:rPr>
        <w:t xml:space="preserve"> hours =</w:t>
      </w:r>
      <w:r w:rsidRPr="009C222F" w:rsidR="0005685F">
        <w:rPr>
          <w:sz w:val="24"/>
        </w:rPr>
        <w:t xml:space="preserve"> </w:t>
      </w:r>
      <w:r w:rsidRPr="009C222F">
        <w:rPr>
          <w:sz w:val="24"/>
        </w:rPr>
        <w:t>$</w:t>
      </w:r>
      <w:r w:rsidR="007613B6">
        <w:rPr>
          <w:sz w:val="24"/>
        </w:rPr>
        <w:t>3</w:t>
      </w:r>
      <w:r w:rsidR="008B5058">
        <w:rPr>
          <w:sz w:val="24"/>
        </w:rPr>
        <w:t>6,</w:t>
      </w:r>
      <w:r w:rsidR="00690928">
        <w:rPr>
          <w:sz w:val="24"/>
        </w:rPr>
        <w:t>851</w:t>
      </w:r>
      <w:r w:rsidRPr="009C222F">
        <w:rPr>
          <w:sz w:val="24"/>
        </w:rPr>
        <w:t xml:space="preserve"> </w:t>
      </w:r>
      <w:r w:rsidRPr="009C222F" w:rsidR="00EE54A6">
        <w:rPr>
          <w:sz w:val="24"/>
        </w:rPr>
        <w:t>estimated federal cost for new waiver applications</w:t>
      </w:r>
    </w:p>
    <w:p w:rsidR="00FC70D5" w:rsidRPr="009C222F" w:rsidP="00C67D01" w14:paraId="1BDC84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C70D5" w:rsidRPr="009C222F" w:rsidP="00DD63A2" w14:paraId="75DFA9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9C222F">
        <w:rPr>
          <w:sz w:val="24"/>
          <w:u w:val="single"/>
        </w:rPr>
        <w:t>Web-Based Renewal Applications</w:t>
      </w:r>
      <w:r w:rsidRPr="009C222F" w:rsidR="00DD63A2">
        <w:rPr>
          <w:sz w:val="24"/>
          <w:u w:val="single"/>
        </w:rPr>
        <w:t xml:space="preserve"> (S</w:t>
      </w:r>
      <w:r w:rsidRPr="009C222F">
        <w:rPr>
          <w:sz w:val="24"/>
          <w:u w:val="single"/>
        </w:rPr>
        <w:t>alary/Labor</w:t>
      </w:r>
      <w:r w:rsidRPr="009C222F" w:rsidR="00DD63A2">
        <w:rPr>
          <w:sz w:val="24"/>
          <w:u w:val="single"/>
        </w:rPr>
        <w:t>)</w:t>
      </w:r>
    </w:p>
    <w:p w:rsidR="00FC70D5" w:rsidRPr="009C222F" w:rsidP="00C67D01" w14:paraId="206640BB" w14:textId="2A9989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r>
      <w:r w:rsidRPr="009C222F" w:rsidR="00C06996">
        <w:rPr>
          <w:sz w:val="24"/>
        </w:rPr>
        <w:t>6</w:t>
      </w:r>
      <w:r w:rsidR="007613B6">
        <w:rPr>
          <w:sz w:val="24"/>
        </w:rPr>
        <w:t>0</w:t>
      </w:r>
      <w:r w:rsidRPr="009C222F">
        <w:rPr>
          <w:sz w:val="24"/>
        </w:rPr>
        <w:t xml:space="preserve"> Applications x 7</w:t>
      </w:r>
      <w:r w:rsidR="00690928">
        <w:rPr>
          <w:sz w:val="24"/>
        </w:rPr>
        <w:t>8</w:t>
      </w:r>
      <w:r w:rsidRPr="009C222F">
        <w:rPr>
          <w:sz w:val="24"/>
        </w:rPr>
        <w:t xml:space="preserve"> hours = </w:t>
      </w:r>
      <w:r w:rsidRPr="009C222F" w:rsidR="00E73F04">
        <w:rPr>
          <w:sz w:val="24"/>
        </w:rPr>
        <w:t>4,</w:t>
      </w:r>
      <w:r w:rsidR="00690928">
        <w:rPr>
          <w:sz w:val="24"/>
        </w:rPr>
        <w:t>68</w:t>
      </w:r>
      <w:r w:rsidR="007613B6">
        <w:rPr>
          <w:sz w:val="24"/>
        </w:rPr>
        <w:t>0</w:t>
      </w:r>
      <w:r w:rsidRPr="009C222F" w:rsidR="0033523D">
        <w:rPr>
          <w:sz w:val="24"/>
        </w:rPr>
        <w:t xml:space="preserve"> </w:t>
      </w:r>
      <w:r w:rsidRPr="009C222F">
        <w:rPr>
          <w:sz w:val="24"/>
        </w:rPr>
        <w:t>hours</w:t>
      </w:r>
    </w:p>
    <w:p w:rsidR="00F27EB3" w:rsidRPr="009C222F" w:rsidP="00C67D01" w14:paraId="0DCDFF1B" w14:textId="2A68FA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r>
      <w:r w:rsidRPr="009C222F" w:rsidR="00B615E3">
        <w:rPr>
          <w:sz w:val="24"/>
        </w:rPr>
        <w:t>$</w:t>
      </w:r>
      <w:r w:rsidRPr="004B3862" w:rsidR="004B3862">
        <w:rPr>
          <w:sz w:val="24"/>
        </w:rPr>
        <w:t>56.52</w:t>
      </w:r>
      <w:r w:rsidRPr="009C222F" w:rsidR="00EE54A6">
        <w:rPr>
          <w:sz w:val="24"/>
        </w:rPr>
        <w:t>/hr</w:t>
      </w:r>
      <w:r w:rsidRPr="009C222F" w:rsidR="00B615E3">
        <w:rPr>
          <w:sz w:val="24"/>
        </w:rPr>
        <w:t xml:space="preserve"> (Federal hourly rate GS 13-1)*</w:t>
      </w:r>
    </w:p>
    <w:p w:rsidR="00FC70D5" w:rsidRPr="009C222F" w:rsidP="00C67D01" w14:paraId="32C078FD" w14:textId="6BC2F2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C222F">
        <w:rPr>
          <w:sz w:val="24"/>
        </w:rPr>
        <w:tab/>
      </w:r>
      <w:r w:rsidRPr="009C222F" w:rsidR="00E73F04">
        <w:rPr>
          <w:sz w:val="24"/>
        </w:rPr>
        <w:t>4,</w:t>
      </w:r>
      <w:r w:rsidR="00690928">
        <w:rPr>
          <w:sz w:val="24"/>
        </w:rPr>
        <w:t>680</w:t>
      </w:r>
      <w:r w:rsidRPr="009C222F">
        <w:rPr>
          <w:sz w:val="24"/>
        </w:rPr>
        <w:t xml:space="preserve"> hours x $</w:t>
      </w:r>
      <w:r w:rsidRPr="004B3862" w:rsidR="004B3862">
        <w:rPr>
          <w:sz w:val="24"/>
        </w:rPr>
        <w:t>56.52</w:t>
      </w:r>
      <w:r w:rsidRPr="009C222F" w:rsidR="00EE54A6">
        <w:rPr>
          <w:sz w:val="24"/>
        </w:rPr>
        <w:t xml:space="preserve">/hr = </w:t>
      </w:r>
      <w:r w:rsidRPr="009C222F">
        <w:rPr>
          <w:sz w:val="24"/>
        </w:rPr>
        <w:t>$</w:t>
      </w:r>
      <w:r w:rsidRPr="003B44DF" w:rsidR="003B44DF">
        <w:rPr>
          <w:sz w:val="24"/>
        </w:rPr>
        <w:t>2</w:t>
      </w:r>
      <w:r w:rsidR="00690928">
        <w:rPr>
          <w:sz w:val="24"/>
        </w:rPr>
        <w:t>6</w:t>
      </w:r>
      <w:r w:rsidRPr="003B44DF" w:rsidR="003B44DF">
        <w:rPr>
          <w:sz w:val="24"/>
        </w:rPr>
        <w:t>4,</w:t>
      </w:r>
      <w:r w:rsidR="00690928">
        <w:rPr>
          <w:sz w:val="24"/>
        </w:rPr>
        <w:t>514</w:t>
      </w:r>
      <w:r w:rsidRPr="009C222F" w:rsidR="00EE54A6">
        <w:rPr>
          <w:sz w:val="24"/>
        </w:rPr>
        <w:t xml:space="preserve"> estimated cost for subsequent web-based renewal app.</w:t>
      </w:r>
    </w:p>
    <w:p w:rsidR="00F27EB3" w:rsidRPr="009C222F" w:rsidP="00C67D01" w14:paraId="1CEE55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35AB6" w:rsidRPr="009C222F" w:rsidP="00C67D01" w14:paraId="7E3FF20F" w14:textId="4A887B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Salary/Labor</w:t>
      </w:r>
      <w:r w:rsidRPr="009C222F">
        <w:rPr>
          <w:sz w:val="24"/>
        </w:rPr>
        <w:tab/>
      </w:r>
      <w:r w:rsidRPr="009C222F">
        <w:rPr>
          <w:sz w:val="24"/>
        </w:rPr>
        <w:tab/>
      </w:r>
      <w:r w:rsidRPr="009C222F">
        <w:rPr>
          <w:sz w:val="24"/>
        </w:rPr>
        <w:tab/>
      </w:r>
      <w:r w:rsidRPr="009C222F">
        <w:rPr>
          <w:sz w:val="24"/>
        </w:rPr>
        <w:tab/>
      </w:r>
      <w:r w:rsidRPr="009C222F" w:rsidR="001840F5">
        <w:rPr>
          <w:sz w:val="24"/>
        </w:rPr>
        <w:tab/>
      </w:r>
      <w:r w:rsidRPr="009C222F" w:rsidR="001840F5">
        <w:rPr>
          <w:sz w:val="24"/>
        </w:rPr>
        <w:tab/>
        <w:t xml:space="preserve"> </w:t>
      </w:r>
      <w:r w:rsidRPr="009C222F">
        <w:rPr>
          <w:sz w:val="24"/>
        </w:rPr>
        <w:t>$</w:t>
      </w:r>
      <w:r w:rsidR="005A776B">
        <w:rPr>
          <w:sz w:val="24"/>
        </w:rPr>
        <w:t>303</w:t>
      </w:r>
      <w:r w:rsidRPr="003B44DF" w:rsidR="003B44DF">
        <w:rPr>
          <w:sz w:val="24"/>
        </w:rPr>
        <w:t>,</w:t>
      </w:r>
      <w:r w:rsidR="005A776B">
        <w:rPr>
          <w:sz w:val="24"/>
        </w:rPr>
        <w:t>365</w:t>
      </w:r>
      <w:r w:rsidRPr="003B44DF" w:rsidR="003B44DF">
        <w:rPr>
          <w:sz w:val="24"/>
        </w:rPr>
        <w:t>‬</w:t>
      </w:r>
      <w:r w:rsidRPr="009C222F" w:rsidR="002A2CA6">
        <w:rPr>
          <w:sz w:val="24"/>
        </w:rPr>
        <w:t xml:space="preserve"> ($</w:t>
      </w:r>
      <w:r w:rsidR="00E0526E">
        <w:rPr>
          <w:sz w:val="24"/>
        </w:rPr>
        <w:t>3</w:t>
      </w:r>
      <w:r w:rsidR="008B5058">
        <w:rPr>
          <w:sz w:val="24"/>
        </w:rPr>
        <w:t>6,</w:t>
      </w:r>
      <w:r w:rsidR="00690928">
        <w:rPr>
          <w:sz w:val="24"/>
        </w:rPr>
        <w:t>851</w:t>
      </w:r>
      <w:r w:rsidRPr="009C222F" w:rsidR="002A2CA6">
        <w:rPr>
          <w:sz w:val="24"/>
        </w:rPr>
        <w:t xml:space="preserve"> + $</w:t>
      </w:r>
      <w:r w:rsidRPr="003B44DF" w:rsidR="003B44DF">
        <w:rPr>
          <w:sz w:val="24"/>
        </w:rPr>
        <w:t>2</w:t>
      </w:r>
      <w:r w:rsidR="00690928">
        <w:rPr>
          <w:sz w:val="24"/>
        </w:rPr>
        <w:t>6</w:t>
      </w:r>
      <w:r w:rsidRPr="003B44DF" w:rsidR="003B44DF">
        <w:rPr>
          <w:sz w:val="24"/>
        </w:rPr>
        <w:t>4,</w:t>
      </w:r>
      <w:r w:rsidR="00690928">
        <w:rPr>
          <w:sz w:val="24"/>
        </w:rPr>
        <w:t>514</w:t>
      </w:r>
      <w:r w:rsidRPr="009C222F" w:rsidR="002A2CA6">
        <w:rPr>
          <w:sz w:val="24"/>
        </w:rPr>
        <w:t>)</w:t>
      </w:r>
    </w:p>
    <w:p w:rsidR="00435AB6" w:rsidRPr="009C222F" w:rsidP="00C67D01" w14:paraId="76361C76" w14:textId="6E839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Computer and Other Administrative Costs</w:t>
      </w:r>
      <w:r w:rsidRPr="009C222F">
        <w:rPr>
          <w:sz w:val="24"/>
        </w:rPr>
        <w:tab/>
      </w:r>
      <w:r w:rsidRPr="009C222F">
        <w:rPr>
          <w:sz w:val="24"/>
        </w:rPr>
        <w:tab/>
      </w:r>
      <w:r w:rsidRPr="009C222F" w:rsidR="001840F5">
        <w:rPr>
          <w:sz w:val="24"/>
        </w:rPr>
        <w:t xml:space="preserve"> </w:t>
      </w:r>
      <w:r w:rsidRPr="009C222F">
        <w:rPr>
          <w:sz w:val="24"/>
        </w:rPr>
        <w:t>$2,000</w:t>
      </w:r>
    </w:p>
    <w:p w:rsidR="0005685F" w:rsidRPr="009C222F" w:rsidP="00C67D01" w14:paraId="14EED42E" w14:textId="489E55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C222F">
        <w:rPr>
          <w:sz w:val="24"/>
          <w:u w:val="single"/>
        </w:rPr>
        <w:t>Reimbursement for s</w:t>
      </w:r>
      <w:r w:rsidRPr="009C222F" w:rsidR="00347023">
        <w:rPr>
          <w:sz w:val="24"/>
          <w:u w:val="single"/>
        </w:rPr>
        <w:t>tate administrative costs:</w:t>
      </w:r>
      <w:r w:rsidRPr="009C222F" w:rsidR="00347023">
        <w:rPr>
          <w:sz w:val="24"/>
          <w:u w:val="single"/>
        </w:rPr>
        <w:tab/>
      </w:r>
      <w:r w:rsidRPr="009C222F" w:rsidR="001840F5">
        <w:rPr>
          <w:sz w:val="24"/>
          <w:u w:val="single"/>
        </w:rPr>
        <w:t>+</w:t>
      </w:r>
      <w:r w:rsidRPr="009C222F">
        <w:rPr>
          <w:sz w:val="24"/>
          <w:u w:val="single"/>
        </w:rPr>
        <w:t>$</w:t>
      </w:r>
      <w:r w:rsidR="00F26551">
        <w:rPr>
          <w:sz w:val="24"/>
          <w:u w:val="single"/>
        </w:rPr>
        <w:t>213</w:t>
      </w:r>
      <w:r w:rsidR="00E4751D">
        <w:rPr>
          <w:sz w:val="24"/>
          <w:u w:val="single"/>
        </w:rPr>
        <w:t>,</w:t>
      </w:r>
      <w:r w:rsidR="00F26551">
        <w:rPr>
          <w:sz w:val="24"/>
          <w:u w:val="single"/>
        </w:rPr>
        <w:t>493</w:t>
      </w:r>
      <w:r w:rsidRPr="009C222F" w:rsidR="00302DA8">
        <w:rPr>
          <w:sz w:val="24"/>
          <w:u w:val="single"/>
        </w:rPr>
        <w:t xml:space="preserve"> (see section 12)</w:t>
      </w:r>
    </w:p>
    <w:p w:rsidR="00B33CCE" w:rsidP="00C67D01" w14:paraId="483DA9F0" w14:textId="7A7440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Total Federal Costs</w:t>
      </w:r>
      <w:r w:rsidRPr="009C222F">
        <w:rPr>
          <w:sz w:val="24"/>
        </w:rPr>
        <w:tab/>
      </w:r>
      <w:r w:rsidRPr="009C222F">
        <w:rPr>
          <w:sz w:val="24"/>
        </w:rPr>
        <w:tab/>
      </w:r>
      <w:r w:rsidRPr="009C222F">
        <w:rPr>
          <w:sz w:val="24"/>
        </w:rPr>
        <w:tab/>
      </w:r>
      <w:r w:rsidRPr="009C222F">
        <w:rPr>
          <w:sz w:val="24"/>
        </w:rPr>
        <w:tab/>
      </w:r>
      <w:r w:rsidRPr="009C222F">
        <w:rPr>
          <w:sz w:val="24"/>
        </w:rPr>
        <w:tab/>
        <w:t>$</w:t>
      </w:r>
      <w:r w:rsidRPr="00A27C47" w:rsidR="00A27C47">
        <w:rPr>
          <w:sz w:val="24"/>
        </w:rPr>
        <w:t>5</w:t>
      </w:r>
      <w:r w:rsidR="00690928">
        <w:rPr>
          <w:sz w:val="24"/>
        </w:rPr>
        <w:t>1</w:t>
      </w:r>
      <w:r w:rsidR="005A776B">
        <w:rPr>
          <w:sz w:val="24"/>
        </w:rPr>
        <w:t>8</w:t>
      </w:r>
      <w:r w:rsidRPr="00A27C47" w:rsidR="00A27C47">
        <w:rPr>
          <w:sz w:val="24"/>
        </w:rPr>
        <w:t>,</w:t>
      </w:r>
      <w:r w:rsidR="00690928">
        <w:rPr>
          <w:sz w:val="24"/>
        </w:rPr>
        <w:t>858</w:t>
      </w:r>
    </w:p>
    <w:p w:rsidR="00173B88" w:rsidRPr="009C222F" w:rsidP="00C67D01" w14:paraId="26CD08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E15E4" w:rsidRPr="002E15E4" w:rsidP="00C67D01" w14:paraId="3840AB25" w14:textId="3DB750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15E4">
        <w:rPr>
          <w:sz w:val="24"/>
        </w:rPr>
        <w:t xml:space="preserve">*The hourly rate was </w:t>
      </w:r>
      <w:r w:rsidRPr="002E15E4" w:rsidR="00B615E3">
        <w:rPr>
          <w:sz w:val="24"/>
        </w:rPr>
        <w:t xml:space="preserve">derived from </w:t>
      </w:r>
      <w:r w:rsidRPr="002E15E4">
        <w:rPr>
          <w:sz w:val="24"/>
        </w:rPr>
        <w:t xml:space="preserve">the calendar year </w:t>
      </w:r>
      <w:r w:rsidRPr="002E15E4" w:rsidR="000269BF">
        <w:rPr>
          <w:sz w:val="24"/>
        </w:rPr>
        <w:t>202</w:t>
      </w:r>
      <w:r w:rsidRPr="002E15E4">
        <w:rPr>
          <w:sz w:val="24"/>
        </w:rPr>
        <w:t>4</w:t>
      </w:r>
      <w:r w:rsidRPr="002E15E4">
        <w:rPr>
          <w:sz w:val="24"/>
        </w:rPr>
        <w:t xml:space="preserve"> Federal pay scale for the Washington D.C.-Baltimore area.</w:t>
      </w:r>
      <w:r w:rsidRPr="002E15E4" w:rsidR="005C1281">
        <w:rPr>
          <w:sz w:val="24"/>
        </w:rPr>
        <w:t xml:space="preserve"> </w:t>
      </w:r>
      <w:r w:rsidRPr="002E15E4" w:rsidR="00E4751D">
        <w:rPr>
          <w:sz w:val="24"/>
        </w:rPr>
        <w:t xml:space="preserve">(See </w:t>
      </w:r>
      <w:hyperlink r:id="rId7" w:history="1">
        <w:r w:rsidRPr="002E15E4">
          <w:rPr>
            <w:rStyle w:val="Hyperlink"/>
            <w:sz w:val="24"/>
          </w:rPr>
          <w:t>https://www.opm.gov/policy-data-oversight/pay-leave/salaries-wages/salary-tables/24Tables/html/DCB_h.aspx</w:t>
        </w:r>
      </w:hyperlink>
      <w:r w:rsidRPr="002E15E4">
        <w:rPr>
          <w:sz w:val="24"/>
        </w:rPr>
        <w:t>.</w:t>
      </w:r>
    </w:p>
    <w:p w:rsidR="009831FE" w:rsidRPr="002E15E4" w:rsidP="00C67D01" w14:paraId="0E3850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B4635" w:rsidP="00C67D01" w14:paraId="217AC8A6" w14:textId="62D82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B4635">
        <w:rPr>
          <w:sz w:val="24"/>
        </w:rPr>
        <w:t>15.</w:t>
      </w:r>
      <w:r w:rsidRPr="002B4635">
        <w:rPr>
          <w:sz w:val="24"/>
        </w:rPr>
        <w:tab/>
      </w:r>
      <w:r w:rsidRPr="002B4635">
        <w:rPr>
          <w:sz w:val="24"/>
          <w:u w:val="single"/>
        </w:rPr>
        <w:t xml:space="preserve">Changes to </w:t>
      </w:r>
      <w:r w:rsidRPr="002B4635" w:rsidR="00771556">
        <w:rPr>
          <w:sz w:val="24"/>
          <w:u w:val="single"/>
        </w:rPr>
        <w:t xml:space="preserve">Requirements and </w:t>
      </w:r>
      <w:r w:rsidRPr="002B4635">
        <w:rPr>
          <w:sz w:val="24"/>
          <w:u w:val="single"/>
        </w:rPr>
        <w:t>Burden</w:t>
      </w:r>
      <w:r w:rsidRPr="002B4635" w:rsidR="00C36072">
        <w:rPr>
          <w:sz w:val="24"/>
          <w:u w:val="single"/>
        </w:rPr>
        <w:t xml:space="preserve"> </w:t>
      </w:r>
      <w:r w:rsidRPr="002B4635" w:rsidR="00771556">
        <w:rPr>
          <w:sz w:val="24"/>
          <w:u w:val="single"/>
        </w:rPr>
        <w:t>Estimates</w:t>
      </w:r>
    </w:p>
    <w:p w:rsidR="00DE7DD8" w:rsidRPr="002B4635" w:rsidP="00DE7DD8" w14:paraId="7E704D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B4635" w:rsidRPr="001E3FF0" w:rsidP="002B4635" w14:paraId="37041A3B" w14:textId="5EA397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B4635">
        <w:rPr>
          <w:sz w:val="24"/>
        </w:rPr>
        <w:t xml:space="preserve">The 60-day iteration of this collection of information request received public comment. In response, this 30-day iteration sets out a revised Application for a §1915(c) Home and Community-Based Services Waiver.  The revisions are intended to improve the quality of the application, remove outdated language, and streamline the review process.  We have also revised </w:t>
      </w:r>
      <w:r w:rsidRPr="001E3FF0">
        <w:rPr>
          <w:sz w:val="24"/>
        </w:rPr>
        <w:t>the application’s Instructions, Technical Guide, and Review Criteria document to align with the application changes and to align guidance with current CMS regulations and policy. Details can be found in the attached crosswalks.</w:t>
      </w:r>
    </w:p>
    <w:p w:rsidR="002B4635" w:rsidRPr="001E3FF0" w:rsidP="002B4635" w14:paraId="336F21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70911" w:rsidP="002B4635" w14:paraId="2B5F6E2A" w14:textId="0DBD80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3FF0">
        <w:rPr>
          <w:sz w:val="24"/>
        </w:rPr>
        <w:t xml:space="preserve">For new waivers, </w:t>
      </w:r>
      <w:r w:rsidRPr="001E3FF0" w:rsidR="002305CB">
        <w:rPr>
          <w:sz w:val="24"/>
        </w:rPr>
        <w:t xml:space="preserve">we have </w:t>
      </w:r>
      <w:r w:rsidRPr="001E3FF0">
        <w:rPr>
          <w:sz w:val="24"/>
        </w:rPr>
        <w:t>reduced t</w:t>
      </w:r>
      <w:r w:rsidRPr="001E3FF0" w:rsidR="002305CB">
        <w:rPr>
          <w:sz w:val="24"/>
        </w:rPr>
        <w:t xml:space="preserve">he number of responses </w:t>
      </w:r>
      <w:r w:rsidRPr="001E3FF0">
        <w:rPr>
          <w:sz w:val="24"/>
        </w:rPr>
        <w:t>by minus 4 (</w:t>
      </w:r>
      <w:r w:rsidRPr="001E3FF0" w:rsidR="002305CB">
        <w:rPr>
          <w:sz w:val="24"/>
        </w:rPr>
        <w:t xml:space="preserve">from </w:t>
      </w:r>
      <w:r w:rsidRPr="001E3FF0">
        <w:rPr>
          <w:sz w:val="24"/>
        </w:rPr>
        <w:t>8</w:t>
      </w:r>
      <w:r w:rsidRPr="001E3FF0" w:rsidR="002305CB">
        <w:rPr>
          <w:sz w:val="24"/>
        </w:rPr>
        <w:t xml:space="preserve"> to 4</w:t>
      </w:r>
      <w:r w:rsidRPr="001E3FF0">
        <w:rPr>
          <w:sz w:val="24"/>
        </w:rPr>
        <w:t>)</w:t>
      </w:r>
      <w:r w:rsidRPr="001E3FF0" w:rsidR="002305CB">
        <w:rPr>
          <w:sz w:val="24"/>
        </w:rPr>
        <w:t xml:space="preserve">, </w:t>
      </w:r>
      <w:r w:rsidRPr="001E3FF0">
        <w:rPr>
          <w:sz w:val="24"/>
        </w:rPr>
        <w:t>i</w:t>
      </w:r>
      <w:r>
        <w:rPr>
          <w:sz w:val="24"/>
        </w:rPr>
        <w:t xml:space="preserve">ncreased </w:t>
      </w:r>
      <w:r w:rsidR="002305CB">
        <w:rPr>
          <w:sz w:val="24"/>
        </w:rPr>
        <w:t>the time per response</w:t>
      </w:r>
      <w:r>
        <w:rPr>
          <w:sz w:val="24"/>
        </w:rPr>
        <w:t xml:space="preserve"> by 3 hours (from 160 hr to 163 hr)</w:t>
      </w:r>
      <w:r w:rsidR="002305CB">
        <w:rPr>
          <w:sz w:val="24"/>
        </w:rPr>
        <w:t xml:space="preserve">, and </w:t>
      </w:r>
      <w:r>
        <w:rPr>
          <w:sz w:val="24"/>
        </w:rPr>
        <w:t xml:space="preserve">reduced </w:t>
      </w:r>
      <w:r w:rsidR="002305CB">
        <w:rPr>
          <w:sz w:val="24"/>
        </w:rPr>
        <w:t>the total time</w:t>
      </w:r>
      <w:r>
        <w:rPr>
          <w:sz w:val="24"/>
        </w:rPr>
        <w:t xml:space="preserve"> by </w:t>
      </w:r>
      <w:r w:rsidR="00C15E5D">
        <w:rPr>
          <w:sz w:val="24"/>
        </w:rPr>
        <w:t xml:space="preserve">minus </w:t>
      </w:r>
      <w:r>
        <w:rPr>
          <w:sz w:val="24"/>
        </w:rPr>
        <w:t>628 hours (from 1,280 hr to 652 hr)</w:t>
      </w:r>
      <w:r w:rsidR="002305CB">
        <w:rPr>
          <w:sz w:val="24"/>
        </w:rPr>
        <w:t xml:space="preserve">. </w:t>
      </w:r>
    </w:p>
    <w:p w:rsidR="00470911" w:rsidP="002B4635" w14:paraId="5BB4EA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206E" w:rsidP="002B4635" w14:paraId="1E751FC4" w14:textId="0B43FA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w:t>
      </w:r>
      <w:r w:rsidR="00C1056E">
        <w:rPr>
          <w:sz w:val="24"/>
        </w:rPr>
        <w:t xml:space="preserve"> change to number of responses is to </w:t>
      </w:r>
      <w:r>
        <w:rPr>
          <w:sz w:val="24"/>
        </w:rPr>
        <w:t xml:space="preserve">account for historical experience of </w:t>
      </w:r>
      <w:r w:rsidR="00C1056E">
        <w:rPr>
          <w:sz w:val="24"/>
        </w:rPr>
        <w:t xml:space="preserve">total </w:t>
      </w:r>
      <w:r>
        <w:rPr>
          <w:sz w:val="24"/>
        </w:rPr>
        <w:t>new waiver submissions</w:t>
      </w:r>
      <w:r w:rsidR="00C1056E">
        <w:rPr>
          <w:sz w:val="24"/>
        </w:rPr>
        <w:t xml:space="preserve">.  The change to time per response </w:t>
      </w:r>
      <w:r w:rsidR="00546AEC">
        <w:rPr>
          <w:sz w:val="24"/>
        </w:rPr>
        <w:t xml:space="preserve">accounts for increases and decreases in time expected to complete initial waiver applications.  For the increases, this number accounts for the following </w:t>
      </w:r>
      <w:r w:rsidR="00C1056E">
        <w:rPr>
          <w:sz w:val="24"/>
        </w:rPr>
        <w:t xml:space="preserve">information </w:t>
      </w:r>
      <w:r w:rsidR="00546AEC">
        <w:rPr>
          <w:sz w:val="24"/>
        </w:rPr>
        <w:t xml:space="preserve">that states are expected to </w:t>
      </w:r>
      <w:r w:rsidR="00057619">
        <w:rPr>
          <w:sz w:val="24"/>
        </w:rPr>
        <w:t>include</w:t>
      </w:r>
      <w:r w:rsidR="00546AEC">
        <w:rPr>
          <w:sz w:val="24"/>
        </w:rPr>
        <w:t xml:space="preserve"> </w:t>
      </w:r>
      <w:r w:rsidR="0039349C">
        <w:rPr>
          <w:sz w:val="24"/>
        </w:rPr>
        <w:t xml:space="preserve">in the waiver application </w:t>
      </w:r>
      <w:r w:rsidR="00C1056E">
        <w:rPr>
          <w:sz w:val="24"/>
        </w:rPr>
        <w:t>regarding</w:t>
      </w:r>
      <w:r w:rsidR="00546AEC">
        <w:rPr>
          <w:sz w:val="24"/>
        </w:rPr>
        <w:t>:</w:t>
      </w:r>
      <w:r w:rsidR="00C1056E">
        <w:rPr>
          <w:sz w:val="24"/>
        </w:rPr>
        <w:t xml:space="preserve"> the requirements on the HCBS settings regulation and person-centered service planning requirements to case management training, remote/telehealth deliver of waiver services, the process for ensuring continuity of care for a waiver participant whose service provider was added to the abuse registry, the state’s process for allowing payment for delivery of waiver services by relatives/legal guardians/legally responsible individuals, HCBS delivered in acute care hospitals in accordance with section 1902(h)(1) of the Act, </w:t>
      </w:r>
      <w:r w:rsidR="00546AEC">
        <w:rPr>
          <w:sz w:val="24"/>
        </w:rPr>
        <w:t xml:space="preserve">and </w:t>
      </w:r>
      <w:r w:rsidR="00C1056E">
        <w:rPr>
          <w:sz w:val="24"/>
        </w:rPr>
        <w:t>HCBS settings requirements</w:t>
      </w:r>
      <w:r w:rsidR="00546AEC">
        <w:rPr>
          <w:sz w:val="24"/>
        </w:rPr>
        <w:t xml:space="preserve"> for the service plan.  For the decreases, this number accounts for changes to what and how the state provides information pertaining to how their new waiver will comport with the HCBS settings requirements and the service plan development safeguards to mitigate conflict of interest.</w:t>
      </w:r>
    </w:p>
    <w:p w:rsidR="003A206E" w:rsidP="002B4635" w14:paraId="78C13C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192E" w:rsidP="00057619" w14:paraId="54CF9584" w14:textId="48A02B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For r</w:t>
      </w:r>
      <w:r w:rsidRPr="003A206E">
        <w:rPr>
          <w:sz w:val="24"/>
        </w:rPr>
        <w:t xml:space="preserve">enewal </w:t>
      </w:r>
      <w:r>
        <w:rPr>
          <w:sz w:val="24"/>
        </w:rPr>
        <w:t>a</w:t>
      </w:r>
      <w:r w:rsidRPr="003A206E">
        <w:rPr>
          <w:sz w:val="24"/>
        </w:rPr>
        <w:t>pplications</w:t>
      </w:r>
      <w:r>
        <w:rPr>
          <w:sz w:val="24"/>
        </w:rPr>
        <w:t xml:space="preserve">, we have reduced the number of </w:t>
      </w:r>
      <w:r w:rsidR="0039349C">
        <w:rPr>
          <w:sz w:val="24"/>
        </w:rPr>
        <w:t xml:space="preserve">respondents </w:t>
      </w:r>
      <w:r w:rsidR="007969B4">
        <w:rPr>
          <w:sz w:val="24"/>
        </w:rPr>
        <w:t xml:space="preserve">by minus 33 </w:t>
      </w:r>
      <w:r w:rsidR="0039349C">
        <w:rPr>
          <w:sz w:val="24"/>
        </w:rPr>
        <w:t xml:space="preserve">(from 63 to 30), reduced the number of </w:t>
      </w:r>
      <w:r>
        <w:rPr>
          <w:sz w:val="24"/>
        </w:rPr>
        <w:t xml:space="preserve">responses by minus 3 (from 63 to </w:t>
      </w:r>
      <w:r w:rsidR="00690928">
        <w:rPr>
          <w:sz w:val="24"/>
        </w:rPr>
        <w:t>6</w:t>
      </w:r>
      <w:r>
        <w:rPr>
          <w:sz w:val="24"/>
        </w:rPr>
        <w:t xml:space="preserve">0), increased the time per response by 3 hours (from 75 hr to 78 hr), and reduced the total time by </w:t>
      </w:r>
      <w:r w:rsidR="007969B4">
        <w:rPr>
          <w:sz w:val="24"/>
        </w:rPr>
        <w:t xml:space="preserve">minus </w:t>
      </w:r>
      <w:r w:rsidR="00F169D2">
        <w:rPr>
          <w:sz w:val="24"/>
        </w:rPr>
        <w:t>45</w:t>
      </w:r>
      <w:r>
        <w:rPr>
          <w:sz w:val="24"/>
        </w:rPr>
        <w:t xml:space="preserve"> hours (from </w:t>
      </w:r>
      <w:r w:rsidR="00F169D2">
        <w:rPr>
          <w:sz w:val="24"/>
        </w:rPr>
        <w:t>4</w:t>
      </w:r>
      <w:r>
        <w:rPr>
          <w:sz w:val="24"/>
        </w:rPr>
        <w:t>,</w:t>
      </w:r>
      <w:r w:rsidR="00F169D2">
        <w:rPr>
          <w:sz w:val="24"/>
        </w:rPr>
        <w:t>725</w:t>
      </w:r>
      <w:r>
        <w:rPr>
          <w:sz w:val="24"/>
        </w:rPr>
        <w:t xml:space="preserve"> hr to </w:t>
      </w:r>
      <w:r w:rsidR="00F169D2">
        <w:rPr>
          <w:sz w:val="24"/>
        </w:rPr>
        <w:t>4,680</w:t>
      </w:r>
      <w:r>
        <w:rPr>
          <w:sz w:val="24"/>
        </w:rPr>
        <w:t xml:space="preserve"> hr). </w:t>
      </w:r>
    </w:p>
    <w:p w:rsidR="0054192E" w:rsidP="00057619" w14:paraId="54B44B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57619" w:rsidP="00057619" w14:paraId="1691B0B8" w14:textId="3AA7DC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change</w:t>
      </w:r>
      <w:r w:rsidR="0039349C">
        <w:rPr>
          <w:sz w:val="24"/>
        </w:rPr>
        <w:t>s</w:t>
      </w:r>
      <w:r>
        <w:rPr>
          <w:sz w:val="24"/>
        </w:rPr>
        <w:t xml:space="preserve"> to number of </w:t>
      </w:r>
      <w:r w:rsidR="0039349C">
        <w:rPr>
          <w:sz w:val="24"/>
        </w:rPr>
        <w:t xml:space="preserve">respondents and number of </w:t>
      </w:r>
      <w:r>
        <w:rPr>
          <w:sz w:val="24"/>
        </w:rPr>
        <w:t xml:space="preserve">responses </w:t>
      </w:r>
      <w:r w:rsidR="0039349C">
        <w:rPr>
          <w:sz w:val="24"/>
        </w:rPr>
        <w:t>are</w:t>
      </w:r>
      <w:r>
        <w:rPr>
          <w:sz w:val="24"/>
        </w:rPr>
        <w:t xml:space="preserve"> to </w:t>
      </w:r>
      <w:r w:rsidR="0039349C">
        <w:rPr>
          <w:sz w:val="24"/>
        </w:rPr>
        <w:t xml:space="preserve">correct the total number of respondents (states) and </w:t>
      </w:r>
      <w:r>
        <w:rPr>
          <w:sz w:val="24"/>
        </w:rPr>
        <w:t xml:space="preserve">account for historical experience of total waiver renewal submissions.  The change to time per response accounts for increases and decreases in time expected to complete waiver renewal applications.  For the increases, this number accounts for the following information that states are expected to include </w:t>
      </w:r>
      <w:r w:rsidR="0039349C">
        <w:rPr>
          <w:sz w:val="24"/>
        </w:rPr>
        <w:t xml:space="preserve">in the waiver application </w:t>
      </w:r>
      <w:r>
        <w:rPr>
          <w:sz w:val="24"/>
        </w:rPr>
        <w:t xml:space="preserve">regarding: the requirements on the HCBS settings regulation and person-centered service planning requirements to case management training, remote/telehealth deliver of waiver services, the </w:t>
      </w:r>
      <w:r>
        <w:rPr>
          <w:sz w:val="24"/>
        </w:rPr>
        <w:t xml:space="preserve">process for ensuring continuity of care for a waiver participant whose service provider was added to the abuse registry, the state’s process for allowing payment for delivery of waiver services by relatives/legal guardians/legally responsible individuals, HCBS delivered in acute care hospitals in accordance with section 1902(h)(1) of the Act, and HCBS settings requirements for the service plan.  For the decreases, this number accounts for changes to what and how the state provides information </w:t>
      </w:r>
      <w:r w:rsidR="0039349C">
        <w:rPr>
          <w:sz w:val="24"/>
        </w:rPr>
        <w:t xml:space="preserve">in the waiver application </w:t>
      </w:r>
      <w:r>
        <w:rPr>
          <w:sz w:val="24"/>
        </w:rPr>
        <w:t>pertaining to how their waiver renewal comport</w:t>
      </w:r>
      <w:r w:rsidR="0039349C">
        <w:rPr>
          <w:sz w:val="24"/>
        </w:rPr>
        <w:t>s</w:t>
      </w:r>
      <w:r>
        <w:rPr>
          <w:sz w:val="24"/>
        </w:rPr>
        <w:t xml:space="preserve"> with the HCBS settings requirements and the service plan development safeguards to mitigate conflict of interest.</w:t>
      </w:r>
    </w:p>
    <w:p w:rsidR="003A206E" w:rsidP="002B4635" w14:paraId="3D34DB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92811" w:rsidRPr="001E3FF0" w:rsidP="00192811" w14:paraId="06F2F759" w14:textId="604A41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3FF0">
        <w:rPr>
          <w:sz w:val="24"/>
        </w:rPr>
        <w:t xml:space="preserve">We have also </w:t>
      </w:r>
      <w:r>
        <w:rPr>
          <w:sz w:val="24"/>
        </w:rPr>
        <w:t xml:space="preserve">revised </w:t>
      </w:r>
      <w:r w:rsidRPr="001E3FF0">
        <w:rPr>
          <w:sz w:val="24"/>
        </w:rPr>
        <w:t>our costs estimates to align with current BLS wage data. This is a non-adjusted change of plus $2</w:t>
      </w:r>
      <w:r w:rsidRPr="001E3FF0">
        <w:rPr>
          <w:rFonts w:eastAsia="Calibri"/>
          <w:sz w:val="24"/>
        </w:rPr>
        <w:t>.38/hr</w:t>
      </w:r>
      <w:r w:rsidRPr="001E3FF0">
        <w:rPr>
          <w:sz w:val="24"/>
        </w:rPr>
        <w:t xml:space="preserve"> (from $37.66/hr to $</w:t>
      </w:r>
      <w:r w:rsidRPr="001E3FF0">
        <w:rPr>
          <w:rFonts w:eastAsia="Calibri"/>
          <w:sz w:val="24"/>
        </w:rPr>
        <w:t>40.04/hr).</w:t>
      </w:r>
    </w:p>
    <w:p w:rsidR="00192811" w:rsidP="002B4635" w14:paraId="2632D3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5"/>
        <w:gridCol w:w="1188"/>
        <w:gridCol w:w="1077"/>
        <w:gridCol w:w="1002"/>
        <w:gridCol w:w="885"/>
        <w:gridCol w:w="1037"/>
        <w:gridCol w:w="1026"/>
        <w:gridCol w:w="1026"/>
      </w:tblGrid>
      <w:tr w14:paraId="6EE28A1B" w14:textId="77777777" w:rsidTr="002305CB">
        <w:tblPrEx>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385" w:type="dxa"/>
            <w:vAlign w:val="bottom"/>
          </w:tcPr>
          <w:p w:rsidR="002305CB" w:rsidRPr="00AE7CF1" w:rsidP="009F754F" w14:paraId="4863CBC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Requirement</w:t>
            </w:r>
          </w:p>
        </w:tc>
        <w:tc>
          <w:tcPr>
            <w:tcW w:w="1188" w:type="dxa"/>
            <w:vAlign w:val="bottom"/>
          </w:tcPr>
          <w:p w:rsidR="002305CB" w:rsidRPr="00AE7CF1" w:rsidP="009F754F" w14:paraId="378D9D0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Respondents</w:t>
            </w:r>
          </w:p>
        </w:tc>
        <w:tc>
          <w:tcPr>
            <w:tcW w:w="1077" w:type="dxa"/>
            <w:vAlign w:val="bottom"/>
          </w:tcPr>
          <w:p w:rsidR="002305CB" w:rsidRPr="00AE7CF1" w:rsidP="009F754F" w14:paraId="4ECE32E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Responses</w:t>
            </w:r>
          </w:p>
        </w:tc>
        <w:tc>
          <w:tcPr>
            <w:tcW w:w="1002" w:type="dxa"/>
            <w:vAlign w:val="bottom"/>
          </w:tcPr>
          <w:p w:rsidR="002305CB" w:rsidRPr="00AE7CF1" w:rsidP="009F754F" w14:paraId="57833FC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 xml:space="preserve">Time </w:t>
            </w:r>
            <w:r w:rsidRPr="00AE7CF1">
              <w:rPr>
                <w:bCs/>
                <w:sz w:val="18"/>
                <w:szCs w:val="18"/>
              </w:rPr>
              <w:t>per Response (h</w:t>
            </w:r>
            <w:r>
              <w:rPr>
                <w:bCs/>
                <w:sz w:val="18"/>
                <w:szCs w:val="18"/>
              </w:rPr>
              <w:t>r</w:t>
            </w:r>
            <w:r w:rsidRPr="00AE7CF1">
              <w:rPr>
                <w:bCs/>
                <w:sz w:val="18"/>
                <w:szCs w:val="18"/>
              </w:rPr>
              <w:t>)</w:t>
            </w:r>
          </w:p>
        </w:tc>
        <w:tc>
          <w:tcPr>
            <w:tcW w:w="885" w:type="dxa"/>
            <w:vAlign w:val="bottom"/>
          </w:tcPr>
          <w:p w:rsidR="002305CB" w:rsidRPr="00AE7CF1" w:rsidP="009F754F" w14:paraId="61318A4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 xml:space="preserve">Total </w:t>
            </w:r>
            <w:r>
              <w:rPr>
                <w:bCs/>
                <w:sz w:val="18"/>
                <w:szCs w:val="18"/>
              </w:rPr>
              <w:t>Time</w:t>
            </w:r>
            <w:r w:rsidRPr="00AE7CF1">
              <w:rPr>
                <w:bCs/>
                <w:sz w:val="18"/>
                <w:szCs w:val="18"/>
              </w:rPr>
              <w:t xml:space="preserve"> (h</w:t>
            </w:r>
            <w:r>
              <w:rPr>
                <w:bCs/>
                <w:sz w:val="18"/>
                <w:szCs w:val="18"/>
              </w:rPr>
              <w:t>r</w:t>
            </w:r>
            <w:r w:rsidRPr="00AE7CF1">
              <w:rPr>
                <w:bCs/>
                <w:sz w:val="18"/>
                <w:szCs w:val="18"/>
              </w:rPr>
              <w:t>)</w:t>
            </w:r>
          </w:p>
        </w:tc>
        <w:tc>
          <w:tcPr>
            <w:tcW w:w="1037" w:type="dxa"/>
            <w:vAlign w:val="bottom"/>
          </w:tcPr>
          <w:p w:rsidR="002305CB" w:rsidRPr="00AE7CF1" w:rsidP="009F754F" w14:paraId="4493BF35" w14:textId="274484C5">
            <w:pPr>
              <w:widowControl/>
              <w:jc w:val="center"/>
              <w:rPr>
                <w:sz w:val="18"/>
                <w:szCs w:val="18"/>
              </w:rPr>
            </w:pPr>
            <w:r>
              <w:rPr>
                <w:bCs/>
                <w:sz w:val="18"/>
                <w:szCs w:val="18"/>
              </w:rPr>
              <w:t>Adjusted Wage</w:t>
            </w:r>
            <w:r w:rsidRPr="00AE7CF1">
              <w:rPr>
                <w:bCs/>
                <w:sz w:val="18"/>
                <w:szCs w:val="18"/>
              </w:rPr>
              <w:t xml:space="preserve"> </w:t>
            </w:r>
            <w:r>
              <w:rPr>
                <w:bCs/>
                <w:sz w:val="18"/>
                <w:szCs w:val="18"/>
              </w:rPr>
              <w:t>($/hr)</w:t>
            </w:r>
          </w:p>
        </w:tc>
        <w:tc>
          <w:tcPr>
            <w:tcW w:w="1026" w:type="dxa"/>
            <w:vAlign w:val="bottom"/>
          </w:tcPr>
          <w:p w:rsidR="002305CB" w:rsidRPr="00AE7CF1" w:rsidP="009F754F" w14:paraId="731B2B2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Total Cost</w:t>
            </w:r>
          </w:p>
          <w:p w:rsidR="002305CB" w:rsidRPr="00AE7CF1" w:rsidP="009F754F" w14:paraId="7454056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w:t>
            </w:r>
          </w:p>
        </w:tc>
        <w:tc>
          <w:tcPr>
            <w:tcW w:w="1026" w:type="dxa"/>
          </w:tcPr>
          <w:p w:rsidR="002305CB" w:rsidRPr="00AE7CF1" w:rsidP="009F754F" w14:paraId="5661540E" w14:textId="51F7E18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150114">
              <w:rPr>
                <w:sz w:val="18"/>
                <w:szCs w:val="18"/>
              </w:rPr>
              <w:t>State Share</w:t>
            </w:r>
            <w:r>
              <w:rPr>
                <w:sz w:val="18"/>
                <w:szCs w:val="18"/>
              </w:rPr>
              <w:t xml:space="preserve"> ($)</w:t>
            </w:r>
          </w:p>
        </w:tc>
      </w:tr>
      <w:tr w14:paraId="4E29F1F3" w14:textId="77777777" w:rsidTr="002305CB">
        <w:tblPrEx>
          <w:tblW w:w="8626" w:type="dxa"/>
          <w:jc w:val="center"/>
          <w:tblLook w:val="00A0"/>
        </w:tblPrEx>
        <w:trPr>
          <w:jc w:val="center"/>
        </w:trPr>
        <w:tc>
          <w:tcPr>
            <w:tcW w:w="1385" w:type="dxa"/>
          </w:tcPr>
          <w:p w:rsidR="002305CB" w:rsidRPr="00B81ACB" w:rsidP="009F754F" w14:paraId="03D912AB" w14:textId="3F0224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sz w:val="18"/>
                <w:szCs w:val="18"/>
              </w:rPr>
              <w:t xml:space="preserve">Active: </w:t>
            </w:r>
            <w:r w:rsidRPr="00B81ACB">
              <w:rPr>
                <w:sz w:val="18"/>
                <w:szCs w:val="18"/>
              </w:rPr>
              <w:t>New Waivers</w:t>
            </w:r>
          </w:p>
        </w:tc>
        <w:tc>
          <w:tcPr>
            <w:tcW w:w="1188" w:type="dxa"/>
          </w:tcPr>
          <w:p w:rsidR="002305CB" w:rsidRPr="00B81ACB" w:rsidP="009F754F" w14:paraId="39ADCA1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8</w:t>
            </w:r>
          </w:p>
        </w:tc>
        <w:tc>
          <w:tcPr>
            <w:tcW w:w="1077" w:type="dxa"/>
          </w:tcPr>
          <w:p w:rsidR="002305CB" w:rsidRPr="00B81ACB" w:rsidP="009F754F" w14:paraId="5B2FA9E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8</w:t>
            </w:r>
          </w:p>
        </w:tc>
        <w:tc>
          <w:tcPr>
            <w:tcW w:w="1002" w:type="dxa"/>
          </w:tcPr>
          <w:p w:rsidR="002305CB" w:rsidRPr="00B81ACB" w:rsidP="009F754F" w14:paraId="4E94F36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160</w:t>
            </w:r>
          </w:p>
        </w:tc>
        <w:tc>
          <w:tcPr>
            <w:tcW w:w="885" w:type="dxa"/>
          </w:tcPr>
          <w:p w:rsidR="002305CB" w:rsidRPr="00B81ACB" w:rsidP="009F754F" w14:paraId="434BA2D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1,280</w:t>
            </w:r>
          </w:p>
        </w:tc>
        <w:tc>
          <w:tcPr>
            <w:tcW w:w="1037" w:type="dxa"/>
          </w:tcPr>
          <w:p w:rsidR="002305CB" w:rsidRPr="00B81ACB" w:rsidP="009F754F" w14:paraId="47B40BA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75.32</w:t>
            </w:r>
          </w:p>
        </w:tc>
        <w:tc>
          <w:tcPr>
            <w:tcW w:w="1026" w:type="dxa"/>
          </w:tcPr>
          <w:p w:rsidR="002305CB" w:rsidRPr="00B81ACB" w:rsidP="009F754F" w14:paraId="613083F9" w14:textId="2EB3E0E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96,409</w:t>
            </w:r>
          </w:p>
        </w:tc>
        <w:tc>
          <w:tcPr>
            <w:tcW w:w="1026" w:type="dxa"/>
          </w:tcPr>
          <w:p w:rsidR="002305CB" w:rsidRPr="00B81ACB" w:rsidP="009F754F" w14:paraId="1D43D408" w14:textId="65BC9C7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48,205</w:t>
            </w:r>
          </w:p>
        </w:tc>
      </w:tr>
      <w:tr w14:paraId="678191B8" w14:textId="77777777" w:rsidTr="002305CB">
        <w:tblPrEx>
          <w:tblW w:w="8626" w:type="dxa"/>
          <w:jc w:val="center"/>
          <w:tblLook w:val="00A0"/>
        </w:tblPrEx>
        <w:trPr>
          <w:jc w:val="center"/>
        </w:trPr>
        <w:tc>
          <w:tcPr>
            <w:tcW w:w="1385" w:type="dxa"/>
          </w:tcPr>
          <w:p w:rsidR="002305CB" w:rsidRPr="00B81ACB" w:rsidP="002305CB" w14:paraId="52C9D23D" w14:textId="499F91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sz w:val="18"/>
                <w:szCs w:val="18"/>
              </w:rPr>
              <w:t xml:space="preserve">2024: </w:t>
            </w:r>
            <w:r w:rsidRPr="00B81ACB">
              <w:rPr>
                <w:sz w:val="18"/>
                <w:szCs w:val="18"/>
              </w:rPr>
              <w:t>New Waivers</w:t>
            </w:r>
          </w:p>
        </w:tc>
        <w:tc>
          <w:tcPr>
            <w:tcW w:w="1188" w:type="dxa"/>
          </w:tcPr>
          <w:p w:rsidR="002305CB" w:rsidRPr="00B81ACB" w:rsidP="002305CB" w14:paraId="23935D22" w14:textId="4EB1519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4</w:t>
            </w:r>
          </w:p>
        </w:tc>
        <w:tc>
          <w:tcPr>
            <w:tcW w:w="1077" w:type="dxa"/>
          </w:tcPr>
          <w:p w:rsidR="002305CB" w:rsidRPr="00B81ACB" w:rsidP="002305CB" w14:paraId="67689533" w14:textId="0394DAB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4</w:t>
            </w:r>
          </w:p>
        </w:tc>
        <w:tc>
          <w:tcPr>
            <w:tcW w:w="1002" w:type="dxa"/>
          </w:tcPr>
          <w:p w:rsidR="002305CB" w:rsidRPr="00B81ACB" w:rsidP="002305CB" w14:paraId="3230BA0B" w14:textId="009665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16</w:t>
            </w:r>
            <w:r>
              <w:rPr>
                <w:sz w:val="18"/>
                <w:szCs w:val="18"/>
              </w:rPr>
              <w:t>3</w:t>
            </w:r>
          </w:p>
        </w:tc>
        <w:tc>
          <w:tcPr>
            <w:tcW w:w="885" w:type="dxa"/>
          </w:tcPr>
          <w:p w:rsidR="002305CB" w:rsidRPr="00B81ACB" w:rsidP="002305CB" w14:paraId="125DFCC9" w14:textId="24D14D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Pr>
                <w:sz w:val="18"/>
                <w:szCs w:val="18"/>
              </w:rPr>
              <w:t>652</w:t>
            </w:r>
          </w:p>
        </w:tc>
        <w:tc>
          <w:tcPr>
            <w:tcW w:w="1037" w:type="dxa"/>
          </w:tcPr>
          <w:p w:rsidR="002305CB" w:rsidP="002305CB" w14:paraId="3AB754C1" w14:textId="0C85D3A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80.08</w:t>
            </w:r>
          </w:p>
        </w:tc>
        <w:tc>
          <w:tcPr>
            <w:tcW w:w="1026" w:type="dxa"/>
          </w:tcPr>
          <w:p w:rsidR="002305CB" w:rsidP="002305CB" w14:paraId="263B509F" w14:textId="05156A2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52,212</w:t>
            </w:r>
          </w:p>
        </w:tc>
        <w:tc>
          <w:tcPr>
            <w:tcW w:w="1026" w:type="dxa"/>
          </w:tcPr>
          <w:p w:rsidR="002305CB" w:rsidP="002305CB" w14:paraId="4C90BBCD" w14:textId="2196FA8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26,106</w:t>
            </w:r>
          </w:p>
        </w:tc>
      </w:tr>
      <w:tr w14:paraId="08887B0D" w14:textId="77777777" w:rsidTr="002305CB">
        <w:tblPrEx>
          <w:tblW w:w="8626" w:type="dxa"/>
          <w:jc w:val="center"/>
          <w:tblLook w:val="00A0"/>
        </w:tblPrEx>
        <w:trPr>
          <w:jc w:val="center"/>
        </w:trPr>
        <w:tc>
          <w:tcPr>
            <w:tcW w:w="1385" w:type="dxa"/>
            <w:shd w:val="clear" w:color="auto" w:fill="F2F2F2" w:themeFill="background1" w:themeFillShade="F2"/>
          </w:tcPr>
          <w:p w:rsidR="002305CB" w:rsidRPr="00997A11" w:rsidP="002305CB" w14:paraId="508119BC" w14:textId="628F670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18"/>
                <w:szCs w:val="18"/>
              </w:rPr>
            </w:pPr>
            <w:r w:rsidRPr="00997A11">
              <w:rPr>
                <w:i/>
                <w:iCs/>
                <w:sz w:val="18"/>
                <w:szCs w:val="18"/>
              </w:rPr>
              <w:t>Subtotal: New Waivers</w:t>
            </w:r>
          </w:p>
        </w:tc>
        <w:tc>
          <w:tcPr>
            <w:tcW w:w="1188" w:type="dxa"/>
            <w:shd w:val="clear" w:color="auto" w:fill="F2F2F2" w:themeFill="background1" w:themeFillShade="F2"/>
          </w:tcPr>
          <w:p w:rsidR="002305CB" w:rsidRPr="00997A11" w:rsidP="002305CB" w14:paraId="03C52328" w14:textId="7D824A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(4)</w:t>
            </w:r>
          </w:p>
        </w:tc>
        <w:tc>
          <w:tcPr>
            <w:tcW w:w="1077" w:type="dxa"/>
            <w:shd w:val="clear" w:color="auto" w:fill="F2F2F2" w:themeFill="background1" w:themeFillShade="F2"/>
          </w:tcPr>
          <w:p w:rsidR="002305CB" w:rsidRPr="00997A11" w:rsidP="002305CB" w14:paraId="3CE2718D" w14:textId="7A1A36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(4)</w:t>
            </w:r>
          </w:p>
        </w:tc>
        <w:tc>
          <w:tcPr>
            <w:tcW w:w="1002" w:type="dxa"/>
            <w:shd w:val="clear" w:color="auto" w:fill="F2F2F2" w:themeFill="background1" w:themeFillShade="F2"/>
          </w:tcPr>
          <w:p w:rsidR="002305CB" w:rsidRPr="00997A11" w:rsidP="002305CB" w14:paraId="562AF4A7" w14:textId="6AD1321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+3</w:t>
            </w:r>
          </w:p>
        </w:tc>
        <w:tc>
          <w:tcPr>
            <w:tcW w:w="885" w:type="dxa"/>
            <w:shd w:val="clear" w:color="auto" w:fill="F2F2F2" w:themeFill="background1" w:themeFillShade="F2"/>
          </w:tcPr>
          <w:p w:rsidR="002305CB" w:rsidRPr="00997A11" w:rsidP="002305CB" w14:paraId="48F8A0FB" w14:textId="46F00B5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18"/>
                <w:szCs w:val="18"/>
              </w:rPr>
            </w:pPr>
            <w:r w:rsidRPr="00997A11">
              <w:rPr>
                <w:i/>
                <w:iCs/>
                <w:sz w:val="18"/>
                <w:szCs w:val="18"/>
              </w:rPr>
              <w:t>(628)</w:t>
            </w:r>
          </w:p>
        </w:tc>
        <w:tc>
          <w:tcPr>
            <w:tcW w:w="1037" w:type="dxa"/>
            <w:shd w:val="clear" w:color="auto" w:fill="F2F2F2" w:themeFill="background1" w:themeFillShade="F2"/>
          </w:tcPr>
          <w:p w:rsidR="002305CB" w:rsidRPr="00997A11" w:rsidP="002305CB" w14:paraId="05448FC2" w14:textId="36BEC1A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w:t>
            </w:r>
            <w:r w:rsidRPr="00997A11" w:rsidR="002151B9">
              <w:rPr>
                <w:i/>
                <w:iCs/>
                <w:sz w:val="18"/>
                <w:szCs w:val="18"/>
              </w:rPr>
              <w:t>4</w:t>
            </w:r>
            <w:r w:rsidRPr="00997A11">
              <w:rPr>
                <w:i/>
                <w:iCs/>
                <w:sz w:val="18"/>
                <w:szCs w:val="18"/>
              </w:rPr>
              <w:t>.</w:t>
            </w:r>
            <w:r w:rsidRPr="00997A11" w:rsidR="002151B9">
              <w:rPr>
                <w:i/>
                <w:iCs/>
                <w:sz w:val="18"/>
                <w:szCs w:val="18"/>
              </w:rPr>
              <w:t>76</w:t>
            </w:r>
          </w:p>
        </w:tc>
        <w:tc>
          <w:tcPr>
            <w:tcW w:w="1026" w:type="dxa"/>
            <w:shd w:val="clear" w:color="auto" w:fill="F2F2F2" w:themeFill="background1" w:themeFillShade="F2"/>
          </w:tcPr>
          <w:p w:rsidR="002305CB" w:rsidRPr="00997A11" w:rsidP="002305CB" w14:paraId="324BBF66" w14:textId="10DFEB8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w:t>
            </w:r>
            <w:r w:rsidRPr="00997A11" w:rsidR="005B0407">
              <w:rPr>
                <w:i/>
                <w:iCs/>
                <w:sz w:val="18"/>
                <w:szCs w:val="18"/>
              </w:rPr>
              <w:t>44,197)</w:t>
            </w:r>
          </w:p>
        </w:tc>
        <w:tc>
          <w:tcPr>
            <w:tcW w:w="1026" w:type="dxa"/>
            <w:shd w:val="clear" w:color="auto" w:fill="F2F2F2" w:themeFill="background1" w:themeFillShade="F2"/>
          </w:tcPr>
          <w:p w:rsidR="002305CB" w:rsidRPr="00997A11" w:rsidP="002305CB" w14:paraId="1EFA6F31" w14:textId="4A6F490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(22,099)</w:t>
            </w:r>
          </w:p>
        </w:tc>
      </w:tr>
      <w:tr w14:paraId="5793E573" w14:textId="77777777" w:rsidTr="002305CB">
        <w:tblPrEx>
          <w:tblW w:w="8626" w:type="dxa"/>
          <w:jc w:val="center"/>
          <w:tblLook w:val="00A0"/>
        </w:tblPrEx>
        <w:trPr>
          <w:jc w:val="center"/>
        </w:trPr>
        <w:tc>
          <w:tcPr>
            <w:tcW w:w="1385" w:type="dxa"/>
          </w:tcPr>
          <w:p w:rsidR="002305CB" w:rsidRPr="00B81ACB" w:rsidP="002305CB" w14:paraId="3A33D636" w14:textId="7DB8533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sz w:val="18"/>
                <w:szCs w:val="18"/>
              </w:rPr>
              <w:t xml:space="preserve">Active: </w:t>
            </w:r>
            <w:r w:rsidRPr="00B81ACB">
              <w:rPr>
                <w:sz w:val="18"/>
                <w:szCs w:val="18"/>
              </w:rPr>
              <w:t>Renewal Applications</w:t>
            </w:r>
          </w:p>
        </w:tc>
        <w:tc>
          <w:tcPr>
            <w:tcW w:w="1188" w:type="dxa"/>
          </w:tcPr>
          <w:p w:rsidR="002305CB" w:rsidRPr="00B81ACB" w:rsidP="002305CB" w14:paraId="71ADB4C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63</w:t>
            </w:r>
          </w:p>
        </w:tc>
        <w:tc>
          <w:tcPr>
            <w:tcW w:w="1077" w:type="dxa"/>
          </w:tcPr>
          <w:p w:rsidR="002305CB" w:rsidRPr="00B81ACB" w:rsidP="002305CB" w14:paraId="2FFD03F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63</w:t>
            </w:r>
          </w:p>
        </w:tc>
        <w:tc>
          <w:tcPr>
            <w:tcW w:w="1002" w:type="dxa"/>
          </w:tcPr>
          <w:p w:rsidR="002305CB" w:rsidRPr="00B81ACB" w:rsidP="002305CB" w14:paraId="188F0F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75</w:t>
            </w:r>
          </w:p>
        </w:tc>
        <w:tc>
          <w:tcPr>
            <w:tcW w:w="885" w:type="dxa"/>
          </w:tcPr>
          <w:p w:rsidR="002305CB" w:rsidRPr="00B81ACB" w:rsidP="002305CB" w14:paraId="43412F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4,725</w:t>
            </w:r>
          </w:p>
        </w:tc>
        <w:tc>
          <w:tcPr>
            <w:tcW w:w="1037" w:type="dxa"/>
          </w:tcPr>
          <w:p w:rsidR="002305CB" w:rsidRPr="00B81ACB" w:rsidP="002305CB" w14:paraId="36BAC54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75.32</w:t>
            </w:r>
          </w:p>
        </w:tc>
        <w:tc>
          <w:tcPr>
            <w:tcW w:w="1026" w:type="dxa"/>
          </w:tcPr>
          <w:p w:rsidR="002305CB" w:rsidRPr="00B81ACB" w:rsidP="002305CB" w14:paraId="36302EE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355,887</w:t>
            </w:r>
          </w:p>
        </w:tc>
        <w:tc>
          <w:tcPr>
            <w:tcW w:w="1026" w:type="dxa"/>
          </w:tcPr>
          <w:p w:rsidR="002305CB" w:rsidRPr="00B81ACB" w:rsidP="002305CB" w14:paraId="71835D01" w14:textId="22337C8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177,94</w:t>
            </w:r>
            <w:r w:rsidR="00D522CD">
              <w:rPr>
                <w:sz w:val="18"/>
                <w:szCs w:val="18"/>
              </w:rPr>
              <w:t>4</w:t>
            </w:r>
          </w:p>
        </w:tc>
      </w:tr>
      <w:tr w14:paraId="47CA3336" w14:textId="77777777" w:rsidTr="002305CB">
        <w:tblPrEx>
          <w:tblW w:w="8626" w:type="dxa"/>
          <w:jc w:val="center"/>
          <w:tblLook w:val="00A0"/>
        </w:tblPrEx>
        <w:trPr>
          <w:jc w:val="center"/>
        </w:trPr>
        <w:tc>
          <w:tcPr>
            <w:tcW w:w="1385" w:type="dxa"/>
          </w:tcPr>
          <w:p w:rsidR="00D522CD" w:rsidRPr="00B81ACB" w:rsidP="00D522CD" w14:paraId="09B43415" w14:textId="179A41C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sz w:val="18"/>
                <w:szCs w:val="18"/>
              </w:rPr>
              <w:t xml:space="preserve">2024: </w:t>
            </w:r>
            <w:r w:rsidRPr="00B81ACB">
              <w:rPr>
                <w:sz w:val="18"/>
                <w:szCs w:val="18"/>
              </w:rPr>
              <w:t>Renewal Applications</w:t>
            </w:r>
          </w:p>
        </w:tc>
        <w:tc>
          <w:tcPr>
            <w:tcW w:w="1188" w:type="dxa"/>
          </w:tcPr>
          <w:p w:rsidR="00D522CD" w:rsidP="00D522CD" w14:paraId="613ECEF0" w14:textId="32B8F23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30</w:t>
            </w:r>
          </w:p>
        </w:tc>
        <w:tc>
          <w:tcPr>
            <w:tcW w:w="1077" w:type="dxa"/>
          </w:tcPr>
          <w:p w:rsidR="00D522CD" w:rsidRPr="00B81ACB" w:rsidP="00D522CD" w14:paraId="4195A7B3" w14:textId="7C31F2D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6</w:t>
            </w:r>
            <w:r>
              <w:rPr>
                <w:sz w:val="18"/>
                <w:szCs w:val="18"/>
              </w:rPr>
              <w:t>0</w:t>
            </w:r>
          </w:p>
        </w:tc>
        <w:tc>
          <w:tcPr>
            <w:tcW w:w="1002" w:type="dxa"/>
          </w:tcPr>
          <w:p w:rsidR="00D522CD" w:rsidRPr="00B81ACB" w:rsidP="00D522CD" w14:paraId="254F680E" w14:textId="233EE6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7</w:t>
            </w:r>
            <w:r>
              <w:rPr>
                <w:sz w:val="18"/>
                <w:szCs w:val="18"/>
              </w:rPr>
              <w:t>8</w:t>
            </w:r>
          </w:p>
        </w:tc>
        <w:tc>
          <w:tcPr>
            <w:tcW w:w="885" w:type="dxa"/>
          </w:tcPr>
          <w:p w:rsidR="00D522CD" w:rsidRPr="00B81ACB" w:rsidP="00D522CD" w14:paraId="72579562" w14:textId="3F2DAF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4,</w:t>
            </w:r>
            <w:r>
              <w:rPr>
                <w:sz w:val="18"/>
                <w:szCs w:val="18"/>
              </w:rPr>
              <w:t>680</w:t>
            </w:r>
          </w:p>
        </w:tc>
        <w:tc>
          <w:tcPr>
            <w:tcW w:w="1037" w:type="dxa"/>
          </w:tcPr>
          <w:p w:rsidR="00D522CD" w:rsidP="00D522CD" w14:paraId="250AC890" w14:textId="56A310D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80.08</w:t>
            </w:r>
          </w:p>
        </w:tc>
        <w:tc>
          <w:tcPr>
            <w:tcW w:w="1026" w:type="dxa"/>
          </w:tcPr>
          <w:p w:rsidR="00D522CD" w:rsidP="00D522CD" w14:paraId="29BD0ECF" w14:textId="48CB1D1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374,774</w:t>
            </w:r>
          </w:p>
        </w:tc>
        <w:tc>
          <w:tcPr>
            <w:tcW w:w="1026" w:type="dxa"/>
          </w:tcPr>
          <w:p w:rsidR="00D522CD" w:rsidP="00D522CD" w14:paraId="54EDF483" w14:textId="3327F2A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187,387</w:t>
            </w:r>
          </w:p>
        </w:tc>
      </w:tr>
      <w:tr w14:paraId="1CD53D5A" w14:textId="77777777" w:rsidTr="002305CB">
        <w:tblPrEx>
          <w:tblW w:w="8626" w:type="dxa"/>
          <w:jc w:val="center"/>
          <w:tblLook w:val="00A0"/>
        </w:tblPrEx>
        <w:trPr>
          <w:jc w:val="center"/>
        </w:trPr>
        <w:tc>
          <w:tcPr>
            <w:tcW w:w="1385" w:type="dxa"/>
            <w:shd w:val="clear" w:color="auto" w:fill="F2F2F2" w:themeFill="background1" w:themeFillShade="F2"/>
          </w:tcPr>
          <w:p w:rsidR="00D522CD" w:rsidRPr="00997A11" w:rsidP="00D522CD" w14:paraId="2A150C00" w14:textId="077D434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18"/>
                <w:szCs w:val="18"/>
              </w:rPr>
            </w:pPr>
            <w:r w:rsidRPr="00997A11">
              <w:rPr>
                <w:i/>
                <w:iCs/>
                <w:sz w:val="18"/>
                <w:szCs w:val="18"/>
              </w:rPr>
              <w:t>Subtotal: Renewal Applications</w:t>
            </w:r>
          </w:p>
        </w:tc>
        <w:tc>
          <w:tcPr>
            <w:tcW w:w="1188" w:type="dxa"/>
            <w:shd w:val="clear" w:color="auto" w:fill="F2F2F2" w:themeFill="background1" w:themeFillShade="F2"/>
          </w:tcPr>
          <w:p w:rsidR="00D522CD" w:rsidRPr="00997A11" w:rsidP="00D522CD" w14:paraId="047A358B" w14:textId="06CB1A8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(33)</w:t>
            </w:r>
          </w:p>
        </w:tc>
        <w:tc>
          <w:tcPr>
            <w:tcW w:w="1077" w:type="dxa"/>
            <w:shd w:val="clear" w:color="auto" w:fill="F2F2F2" w:themeFill="background1" w:themeFillShade="F2"/>
          </w:tcPr>
          <w:p w:rsidR="00D522CD" w:rsidRPr="00997A11" w:rsidP="00D522CD" w14:paraId="5F64CB4B" w14:textId="2D0F8F4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(3)</w:t>
            </w:r>
          </w:p>
        </w:tc>
        <w:tc>
          <w:tcPr>
            <w:tcW w:w="1002" w:type="dxa"/>
            <w:shd w:val="clear" w:color="auto" w:fill="F2F2F2" w:themeFill="background1" w:themeFillShade="F2"/>
          </w:tcPr>
          <w:p w:rsidR="00D522CD" w:rsidRPr="00997A11" w:rsidP="00D522CD" w14:paraId="38D7E61F" w14:textId="0C3A04E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+3</w:t>
            </w:r>
          </w:p>
        </w:tc>
        <w:tc>
          <w:tcPr>
            <w:tcW w:w="885" w:type="dxa"/>
            <w:shd w:val="clear" w:color="auto" w:fill="F2F2F2" w:themeFill="background1" w:themeFillShade="F2"/>
          </w:tcPr>
          <w:p w:rsidR="00D522CD" w:rsidRPr="00997A11" w:rsidP="00D522CD" w14:paraId="4DA3FFFD" w14:textId="4F7FCFA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18"/>
                <w:szCs w:val="18"/>
              </w:rPr>
            </w:pPr>
            <w:r w:rsidRPr="00997A11">
              <w:rPr>
                <w:i/>
                <w:iCs/>
                <w:sz w:val="18"/>
                <w:szCs w:val="18"/>
              </w:rPr>
              <w:t>(45)</w:t>
            </w:r>
          </w:p>
        </w:tc>
        <w:tc>
          <w:tcPr>
            <w:tcW w:w="1037" w:type="dxa"/>
            <w:shd w:val="clear" w:color="auto" w:fill="F2F2F2" w:themeFill="background1" w:themeFillShade="F2"/>
          </w:tcPr>
          <w:p w:rsidR="00D522CD" w:rsidRPr="00997A11" w:rsidP="00D522CD" w14:paraId="27A066C0" w14:textId="7BE075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w:t>
            </w:r>
            <w:r w:rsidRPr="00997A11" w:rsidR="003A18E4">
              <w:rPr>
                <w:i/>
                <w:iCs/>
                <w:sz w:val="18"/>
                <w:szCs w:val="18"/>
              </w:rPr>
              <w:t>4</w:t>
            </w:r>
            <w:r w:rsidRPr="00997A11">
              <w:rPr>
                <w:i/>
                <w:iCs/>
                <w:sz w:val="18"/>
                <w:szCs w:val="18"/>
              </w:rPr>
              <w:t>.</w:t>
            </w:r>
            <w:r w:rsidRPr="00997A11" w:rsidR="003A18E4">
              <w:rPr>
                <w:i/>
                <w:iCs/>
                <w:sz w:val="18"/>
                <w:szCs w:val="18"/>
              </w:rPr>
              <w:t>76</w:t>
            </w:r>
          </w:p>
        </w:tc>
        <w:tc>
          <w:tcPr>
            <w:tcW w:w="1026" w:type="dxa"/>
            <w:shd w:val="clear" w:color="auto" w:fill="F2F2F2" w:themeFill="background1" w:themeFillShade="F2"/>
          </w:tcPr>
          <w:p w:rsidR="00D522CD" w:rsidRPr="00997A11" w:rsidP="00D522CD" w14:paraId="4F92A56C" w14:textId="70A3BBB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+18,887</w:t>
            </w:r>
          </w:p>
        </w:tc>
        <w:tc>
          <w:tcPr>
            <w:tcW w:w="1026" w:type="dxa"/>
            <w:shd w:val="clear" w:color="auto" w:fill="F2F2F2" w:themeFill="background1" w:themeFillShade="F2"/>
          </w:tcPr>
          <w:p w:rsidR="00D522CD" w:rsidRPr="00997A11" w:rsidP="00D522CD" w14:paraId="47E0F9A0" w14:textId="748F32F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i/>
                <w:iCs/>
                <w:sz w:val="18"/>
                <w:szCs w:val="18"/>
              </w:rPr>
            </w:pPr>
            <w:r w:rsidRPr="00997A11">
              <w:rPr>
                <w:i/>
                <w:iCs/>
                <w:sz w:val="18"/>
                <w:szCs w:val="18"/>
              </w:rPr>
              <w:t>+9,433</w:t>
            </w:r>
          </w:p>
        </w:tc>
      </w:tr>
      <w:tr w14:paraId="22F6E280" w14:textId="77777777" w:rsidTr="002305CB">
        <w:tblPrEx>
          <w:tblW w:w="8626" w:type="dxa"/>
          <w:jc w:val="center"/>
          <w:tblLook w:val="00A0"/>
        </w:tblPrEx>
        <w:trPr>
          <w:jc w:val="center"/>
        </w:trPr>
        <w:tc>
          <w:tcPr>
            <w:tcW w:w="1385" w:type="dxa"/>
            <w:shd w:val="clear" w:color="auto" w:fill="F2F2F2"/>
          </w:tcPr>
          <w:p w:rsidR="00D522CD" w:rsidRPr="008E5D0D" w:rsidP="00D522CD" w14:paraId="5FD650CE" w14:textId="5C33228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Pr>
                <w:b/>
                <w:sz w:val="18"/>
                <w:szCs w:val="18"/>
              </w:rPr>
              <w:t>TOTAL</w:t>
            </w:r>
            <w:r w:rsidR="00F968BE">
              <w:rPr>
                <w:b/>
                <w:sz w:val="18"/>
                <w:szCs w:val="18"/>
              </w:rPr>
              <w:t xml:space="preserve"> CHANGE</w:t>
            </w:r>
          </w:p>
        </w:tc>
        <w:tc>
          <w:tcPr>
            <w:tcW w:w="1188" w:type="dxa"/>
            <w:shd w:val="clear" w:color="auto" w:fill="F2F2F2"/>
          </w:tcPr>
          <w:p w:rsidR="00D522CD" w:rsidRPr="00905822" w:rsidP="00D522CD" w14:paraId="3BE6DB7C" w14:textId="7359321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(3</w:t>
            </w:r>
            <w:r w:rsidRPr="00905822">
              <w:rPr>
                <w:b/>
                <w:sz w:val="18"/>
                <w:szCs w:val="18"/>
              </w:rPr>
              <w:t>7</w:t>
            </w:r>
            <w:r>
              <w:rPr>
                <w:b/>
                <w:sz w:val="18"/>
                <w:szCs w:val="18"/>
              </w:rPr>
              <w:t>)</w:t>
            </w:r>
          </w:p>
        </w:tc>
        <w:tc>
          <w:tcPr>
            <w:tcW w:w="1077" w:type="dxa"/>
            <w:shd w:val="clear" w:color="auto" w:fill="F2F2F2"/>
          </w:tcPr>
          <w:p w:rsidR="00D522CD" w:rsidRPr="00905822" w:rsidP="00D522CD" w14:paraId="227EE610" w14:textId="2B1FF2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w:t>
            </w:r>
            <w:r w:rsidRPr="00905822">
              <w:rPr>
                <w:b/>
                <w:sz w:val="18"/>
                <w:szCs w:val="18"/>
              </w:rPr>
              <w:t>7</w:t>
            </w:r>
            <w:r>
              <w:rPr>
                <w:b/>
                <w:sz w:val="18"/>
                <w:szCs w:val="18"/>
              </w:rPr>
              <w:t>)</w:t>
            </w:r>
          </w:p>
        </w:tc>
        <w:tc>
          <w:tcPr>
            <w:tcW w:w="1002" w:type="dxa"/>
            <w:shd w:val="clear" w:color="auto" w:fill="F2F2F2"/>
          </w:tcPr>
          <w:p w:rsidR="00D522CD" w:rsidRPr="00905822" w:rsidP="00D522CD" w14:paraId="794CA842" w14:textId="1A4429C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+6</w:t>
            </w:r>
          </w:p>
        </w:tc>
        <w:tc>
          <w:tcPr>
            <w:tcW w:w="885" w:type="dxa"/>
            <w:shd w:val="clear" w:color="auto" w:fill="F2F2F2"/>
          </w:tcPr>
          <w:p w:rsidR="00D522CD" w:rsidRPr="00905822" w:rsidP="00D522CD" w14:paraId="0CDFF1E0" w14:textId="08AAEA7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szCs w:val="18"/>
              </w:rPr>
            </w:pPr>
            <w:r>
              <w:rPr>
                <w:b/>
                <w:sz w:val="18"/>
                <w:szCs w:val="18"/>
              </w:rPr>
              <w:t>(</w:t>
            </w:r>
            <w:r w:rsidRPr="00905822">
              <w:rPr>
                <w:b/>
                <w:sz w:val="18"/>
                <w:szCs w:val="18"/>
              </w:rPr>
              <w:t>6</w:t>
            </w:r>
            <w:r>
              <w:rPr>
                <w:b/>
                <w:sz w:val="18"/>
                <w:szCs w:val="18"/>
              </w:rPr>
              <w:t>73)</w:t>
            </w:r>
          </w:p>
        </w:tc>
        <w:tc>
          <w:tcPr>
            <w:tcW w:w="1037" w:type="dxa"/>
            <w:shd w:val="clear" w:color="auto" w:fill="F2F2F2"/>
          </w:tcPr>
          <w:p w:rsidR="00D522CD" w:rsidRPr="00905822" w:rsidP="00D522CD" w14:paraId="064EE8A2" w14:textId="5CA017E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+4.76</w:t>
            </w:r>
          </w:p>
        </w:tc>
        <w:tc>
          <w:tcPr>
            <w:tcW w:w="1026" w:type="dxa"/>
            <w:shd w:val="clear" w:color="auto" w:fill="F2F2F2"/>
          </w:tcPr>
          <w:p w:rsidR="00D522CD" w:rsidRPr="00905822" w:rsidP="00D522CD" w14:paraId="1C3F428E" w14:textId="31D11AB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(2</w:t>
            </w:r>
            <w:r w:rsidR="000A1127">
              <w:rPr>
                <w:b/>
                <w:sz w:val="18"/>
                <w:szCs w:val="18"/>
              </w:rPr>
              <w:t>5</w:t>
            </w:r>
            <w:r>
              <w:rPr>
                <w:b/>
                <w:sz w:val="18"/>
                <w:szCs w:val="18"/>
              </w:rPr>
              <w:t>,310)</w:t>
            </w:r>
          </w:p>
        </w:tc>
        <w:tc>
          <w:tcPr>
            <w:tcW w:w="1026" w:type="dxa"/>
            <w:shd w:val="clear" w:color="auto" w:fill="F2F2F2"/>
          </w:tcPr>
          <w:p w:rsidR="00D522CD" w:rsidRPr="00905822" w:rsidP="00D522CD" w14:paraId="41E901CD" w14:textId="3B8E6B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(1</w:t>
            </w:r>
            <w:r>
              <w:rPr>
                <w:b/>
                <w:sz w:val="18"/>
                <w:szCs w:val="18"/>
              </w:rPr>
              <w:t>2</w:t>
            </w:r>
            <w:r>
              <w:rPr>
                <w:b/>
                <w:sz w:val="18"/>
                <w:szCs w:val="18"/>
              </w:rPr>
              <w:t>,656)</w:t>
            </w:r>
          </w:p>
        </w:tc>
      </w:tr>
    </w:tbl>
    <w:p w:rsidR="00735529" w:rsidP="00735529" w14:paraId="7C9AFAC4" w14:textId="73AFB6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1ACB" w:rsidP="00C67D01" w14:paraId="497FCD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16.</w:t>
      </w:r>
      <w:r w:rsidRPr="00B81ACB">
        <w:rPr>
          <w:sz w:val="24"/>
        </w:rPr>
        <w:tab/>
      </w:r>
      <w:r w:rsidRPr="00B81ACB">
        <w:rPr>
          <w:sz w:val="24"/>
          <w:u w:val="single"/>
        </w:rPr>
        <w:t>Publication/Tabulation Dates</w:t>
      </w:r>
    </w:p>
    <w:p w:rsidR="00FC600B" w:rsidRPr="00B81ACB" w:rsidP="00782B04" w14:paraId="46EC69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6072" w:rsidRPr="00B81ACB" w:rsidP="00782B04" w14:paraId="768D25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is not intended for publication.</w:t>
      </w:r>
    </w:p>
    <w:p w:rsidR="00C36072" w:rsidRPr="00B81ACB" w:rsidP="00C67D01" w14:paraId="1FEDBD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81ACB" w:rsidP="00C67D01" w14:paraId="7E96F1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17.</w:t>
      </w:r>
      <w:r w:rsidRPr="00B81ACB">
        <w:rPr>
          <w:sz w:val="24"/>
        </w:rPr>
        <w:tab/>
      </w:r>
      <w:r w:rsidRPr="00B81ACB">
        <w:rPr>
          <w:sz w:val="24"/>
          <w:u w:val="single"/>
        </w:rPr>
        <w:t>Expiration Date</w:t>
      </w:r>
    </w:p>
    <w:p w:rsidR="00C36072" w:rsidRPr="00B81ACB" w:rsidP="00C67D01" w14:paraId="7FBEBC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6072" w:rsidRPr="00B81ACB" w:rsidP="00C67D01" w14:paraId="53652A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exceptions to the expiration date.</w:t>
      </w:r>
    </w:p>
    <w:p w:rsidR="00C36072" w:rsidRPr="00B81ACB" w:rsidP="00C67D01" w14:paraId="6B195C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B81ACB" w:rsidP="00C67D01" w14:paraId="46FCCB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18.</w:t>
      </w:r>
      <w:r w:rsidRPr="00B81ACB">
        <w:rPr>
          <w:sz w:val="24"/>
        </w:rPr>
        <w:tab/>
      </w:r>
      <w:r w:rsidRPr="00B81ACB">
        <w:rPr>
          <w:sz w:val="24"/>
          <w:u w:val="single"/>
        </w:rPr>
        <w:t>Certification Statement</w:t>
      </w:r>
    </w:p>
    <w:p w:rsidR="008F1EB4" w:rsidRPr="00B81ACB" w:rsidP="00C67D01" w14:paraId="6B1A7C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36072" w:rsidRPr="00B81ACB" w:rsidP="00C67D01" w14:paraId="7229F9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exceptions to the certification statement.</w:t>
      </w:r>
    </w:p>
    <w:p w:rsidR="000F3AF4" w:rsidRPr="00B81ACB" w:rsidP="00C67D01" w14:paraId="4F5F3F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p>
    <w:p w:rsidR="008F1EB4" w:rsidRPr="00B81ACB" w:rsidP="00C67D01" w14:paraId="141D6C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sidRPr="00B81ACB">
        <w:rPr>
          <w:b/>
          <w:bCs/>
          <w:sz w:val="24"/>
        </w:rPr>
        <w:t>B</w:t>
      </w:r>
      <w:r w:rsidRPr="00B81ACB">
        <w:rPr>
          <w:b/>
          <w:bCs/>
          <w:sz w:val="24"/>
        </w:rPr>
        <w:t>.</w:t>
      </w:r>
      <w:r w:rsidRPr="00B81ACB">
        <w:rPr>
          <w:b/>
          <w:bCs/>
          <w:sz w:val="24"/>
        </w:rPr>
        <w:tab/>
        <w:t>Collections of Information Employing Statistical Methods</w:t>
      </w:r>
    </w:p>
    <w:p w:rsidR="00685030" w:rsidRPr="00B81ACB" w:rsidP="00C67D01" w14:paraId="47C953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E63BB" w:rsidRPr="00B81ACB" w:rsidP="00C67D01" w14:paraId="118E79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does not employ statistical methods.</w:t>
      </w:r>
    </w:p>
    <w:p w:rsidR="00BA22C9" w:rsidRPr="00B81ACB" w:rsidP="00C67D01" w14:paraId="21CDC3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Sect="00BD0A3A">
      <w:footerReference w:type="default" r:id="rId8"/>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7565118"/>
      <w:docPartObj>
        <w:docPartGallery w:val="Page Numbers (Bottom of Page)"/>
        <w:docPartUnique/>
      </w:docPartObj>
    </w:sdtPr>
    <w:sdtEndPr>
      <w:rPr>
        <w:noProof/>
      </w:rPr>
    </w:sdtEndPr>
    <w:sdtContent>
      <w:p w:rsidR="008972A9" w14:paraId="6B7F94D7" w14:textId="088F26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675AFD"/>
    <w:multiLevelType w:val="hybridMultilevel"/>
    <w:tmpl w:val="185CEB3C"/>
    <w:lvl w:ilvl="0">
      <w:start w:val="3"/>
      <w:numFmt w:val="decimal"/>
      <w:lvlText w:val="%1."/>
      <w:lvlJc w:val="left"/>
      <w:pPr>
        <w:tabs>
          <w:tab w:val="num" w:pos="795"/>
        </w:tabs>
        <w:ind w:left="795" w:hanging="4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BC14D5D"/>
    <w:multiLevelType w:val="multilevel"/>
    <w:tmpl w:val="CBCAAEFC"/>
    <w:lvl w:ilvl="0">
      <w:start w:val="12"/>
      <w:numFmt w:val="decimal"/>
      <w:lvlText w:val="%1"/>
      <w:lvlJc w:val="left"/>
      <w:pPr>
        <w:ind w:left="679" w:hanging="560"/>
      </w:pPr>
      <w:rPr>
        <w:rFonts w:hint="default"/>
      </w:rPr>
    </w:lvl>
    <w:lvl w:ilvl="1">
      <w:start w:val="3"/>
      <w:numFmt w:val="decimal"/>
      <w:lvlText w:val="%1.%2."/>
      <w:lvlJc w:val="left"/>
      <w:pPr>
        <w:ind w:left="679" w:hanging="560"/>
      </w:pPr>
      <w:rPr>
        <w:rFonts w:ascii="Times New Roman" w:eastAsia="Times New Roman" w:hAnsi="Times New Roman" w:cs="Times New Roman" w:hint="default"/>
        <w:i/>
        <w:spacing w:val="0"/>
        <w:w w:val="100"/>
        <w:sz w:val="24"/>
        <w:szCs w:val="24"/>
      </w:rPr>
    </w:lvl>
    <w:lvl w:ilvl="2">
      <w:start w:val="0"/>
      <w:numFmt w:val="bullet"/>
      <w:lvlText w:val=""/>
      <w:lvlJc w:val="left"/>
      <w:pPr>
        <w:ind w:left="1208" w:hanging="369"/>
      </w:pPr>
      <w:rPr>
        <w:rFonts w:ascii="Symbol" w:eastAsia="Symbol" w:hAnsi="Symbol" w:cs="Symbol" w:hint="default"/>
        <w:w w:val="100"/>
        <w:sz w:val="24"/>
        <w:szCs w:val="24"/>
      </w:rPr>
    </w:lvl>
    <w:lvl w:ilvl="3">
      <w:start w:val="0"/>
      <w:numFmt w:val="bullet"/>
      <w:lvlText w:val="•"/>
      <w:lvlJc w:val="left"/>
      <w:pPr>
        <w:ind w:left="3000" w:hanging="369"/>
      </w:pPr>
      <w:rPr>
        <w:rFonts w:hint="default"/>
      </w:rPr>
    </w:lvl>
    <w:lvl w:ilvl="4">
      <w:start w:val="0"/>
      <w:numFmt w:val="bullet"/>
      <w:lvlText w:val="•"/>
      <w:lvlJc w:val="left"/>
      <w:pPr>
        <w:ind w:left="3900" w:hanging="369"/>
      </w:pPr>
      <w:rPr>
        <w:rFonts w:hint="default"/>
      </w:rPr>
    </w:lvl>
    <w:lvl w:ilvl="5">
      <w:start w:val="0"/>
      <w:numFmt w:val="bullet"/>
      <w:lvlText w:val="•"/>
      <w:lvlJc w:val="left"/>
      <w:pPr>
        <w:ind w:left="4800" w:hanging="369"/>
      </w:pPr>
      <w:rPr>
        <w:rFonts w:hint="default"/>
      </w:rPr>
    </w:lvl>
    <w:lvl w:ilvl="6">
      <w:start w:val="0"/>
      <w:numFmt w:val="bullet"/>
      <w:lvlText w:val="•"/>
      <w:lvlJc w:val="left"/>
      <w:pPr>
        <w:ind w:left="5700" w:hanging="369"/>
      </w:pPr>
      <w:rPr>
        <w:rFonts w:hint="default"/>
      </w:rPr>
    </w:lvl>
    <w:lvl w:ilvl="7">
      <w:start w:val="0"/>
      <w:numFmt w:val="bullet"/>
      <w:lvlText w:val="•"/>
      <w:lvlJc w:val="left"/>
      <w:pPr>
        <w:ind w:left="6600" w:hanging="369"/>
      </w:pPr>
      <w:rPr>
        <w:rFonts w:hint="default"/>
      </w:rPr>
    </w:lvl>
    <w:lvl w:ilvl="8">
      <w:start w:val="0"/>
      <w:numFmt w:val="bullet"/>
      <w:lvlText w:val="•"/>
      <w:lvlJc w:val="left"/>
      <w:pPr>
        <w:ind w:left="7500" w:hanging="369"/>
      </w:pPr>
      <w:rPr>
        <w:rFonts w:hint="default"/>
      </w:rPr>
    </w:lvl>
  </w:abstractNum>
  <w:abstractNum w:abstractNumId="2">
    <w:nsid w:val="48BE6CAC"/>
    <w:multiLevelType w:val="hybridMultilevel"/>
    <w:tmpl w:val="8D28D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94E33EC"/>
    <w:multiLevelType w:val="hybridMultilevel"/>
    <w:tmpl w:val="EF3EC0CE"/>
    <w:lvl w:ilvl="0">
      <w:start w:val="1"/>
      <w:numFmt w:val="lowerLetter"/>
      <w:lvlText w:val="%1."/>
      <w:lvlJc w:val="left"/>
      <w:pPr>
        <w:tabs>
          <w:tab w:val="num" w:pos="1077"/>
        </w:tabs>
        <w:ind w:left="1077" w:hanging="360"/>
      </w:pPr>
      <w:rPr>
        <w:rFonts w:hint="default"/>
      </w:rPr>
    </w:lvl>
    <w:lvl w:ilvl="1" w:tentative="1">
      <w:start w:val="1"/>
      <w:numFmt w:val="lowerLetter"/>
      <w:lvlText w:val="%2."/>
      <w:lvlJc w:val="left"/>
      <w:pPr>
        <w:tabs>
          <w:tab w:val="num" w:pos="1797"/>
        </w:tabs>
        <w:ind w:left="1797" w:hanging="360"/>
      </w:pPr>
    </w:lvl>
    <w:lvl w:ilvl="2" w:tentative="1">
      <w:start w:val="1"/>
      <w:numFmt w:val="lowerRoman"/>
      <w:lvlText w:val="%3."/>
      <w:lvlJc w:val="right"/>
      <w:pPr>
        <w:tabs>
          <w:tab w:val="num" w:pos="2517"/>
        </w:tabs>
        <w:ind w:left="2517" w:hanging="180"/>
      </w:pPr>
    </w:lvl>
    <w:lvl w:ilvl="3" w:tentative="1">
      <w:start w:val="1"/>
      <w:numFmt w:val="decimal"/>
      <w:lvlText w:val="%4."/>
      <w:lvlJc w:val="left"/>
      <w:pPr>
        <w:tabs>
          <w:tab w:val="num" w:pos="3237"/>
        </w:tabs>
        <w:ind w:left="3237" w:hanging="360"/>
      </w:pPr>
    </w:lvl>
    <w:lvl w:ilvl="4" w:tentative="1">
      <w:start w:val="1"/>
      <w:numFmt w:val="lowerLetter"/>
      <w:lvlText w:val="%5."/>
      <w:lvlJc w:val="left"/>
      <w:pPr>
        <w:tabs>
          <w:tab w:val="num" w:pos="3957"/>
        </w:tabs>
        <w:ind w:left="3957" w:hanging="360"/>
      </w:pPr>
    </w:lvl>
    <w:lvl w:ilvl="5" w:tentative="1">
      <w:start w:val="1"/>
      <w:numFmt w:val="lowerRoman"/>
      <w:lvlText w:val="%6."/>
      <w:lvlJc w:val="right"/>
      <w:pPr>
        <w:tabs>
          <w:tab w:val="num" w:pos="4677"/>
        </w:tabs>
        <w:ind w:left="4677" w:hanging="180"/>
      </w:pPr>
    </w:lvl>
    <w:lvl w:ilvl="6" w:tentative="1">
      <w:start w:val="1"/>
      <w:numFmt w:val="decimal"/>
      <w:lvlText w:val="%7."/>
      <w:lvlJc w:val="left"/>
      <w:pPr>
        <w:tabs>
          <w:tab w:val="num" w:pos="5397"/>
        </w:tabs>
        <w:ind w:left="5397" w:hanging="360"/>
      </w:pPr>
    </w:lvl>
    <w:lvl w:ilvl="7" w:tentative="1">
      <w:start w:val="1"/>
      <w:numFmt w:val="lowerLetter"/>
      <w:lvlText w:val="%8."/>
      <w:lvlJc w:val="left"/>
      <w:pPr>
        <w:tabs>
          <w:tab w:val="num" w:pos="6117"/>
        </w:tabs>
        <w:ind w:left="6117" w:hanging="360"/>
      </w:pPr>
    </w:lvl>
    <w:lvl w:ilvl="8" w:tentative="1">
      <w:start w:val="1"/>
      <w:numFmt w:val="lowerRoman"/>
      <w:lvlText w:val="%9."/>
      <w:lvlJc w:val="right"/>
      <w:pPr>
        <w:tabs>
          <w:tab w:val="num" w:pos="6837"/>
        </w:tabs>
        <w:ind w:left="6837" w:hanging="180"/>
      </w:pPr>
    </w:lvl>
  </w:abstractNum>
  <w:abstractNum w:abstractNumId="4">
    <w:nsid w:val="78CD2C1A"/>
    <w:multiLevelType w:val="hybridMultilevel"/>
    <w:tmpl w:val="57AE2D7C"/>
    <w:lvl w:ilvl="0">
      <w:start w:val="1"/>
      <w:numFmt w:val="bullet"/>
      <w:lvlText w:val=""/>
      <w:lvlJc w:val="left"/>
      <w:pPr>
        <w:ind w:left="360"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num w:numId="1" w16cid:durableId="1612472770">
    <w:abstractNumId w:val="3"/>
  </w:num>
  <w:num w:numId="2" w16cid:durableId="108623610">
    <w:abstractNumId w:val="0"/>
  </w:num>
  <w:num w:numId="3" w16cid:durableId="568465221">
    <w:abstractNumId w:val="4"/>
  </w:num>
  <w:num w:numId="4" w16cid:durableId="855580663">
    <w:abstractNumId w:val="1"/>
  </w:num>
  <w:num w:numId="5" w16cid:durableId="253442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224"/>
    <w:rsid w:val="0001232C"/>
    <w:rsid w:val="00013CDD"/>
    <w:rsid w:val="0001717C"/>
    <w:rsid w:val="000269BF"/>
    <w:rsid w:val="00026F2F"/>
    <w:rsid w:val="00032C18"/>
    <w:rsid w:val="00032F0A"/>
    <w:rsid w:val="00042072"/>
    <w:rsid w:val="00047949"/>
    <w:rsid w:val="00054772"/>
    <w:rsid w:val="00054932"/>
    <w:rsid w:val="0005685F"/>
    <w:rsid w:val="00056B8E"/>
    <w:rsid w:val="00057619"/>
    <w:rsid w:val="000603D2"/>
    <w:rsid w:val="00060C5E"/>
    <w:rsid w:val="00060F7D"/>
    <w:rsid w:val="000624F9"/>
    <w:rsid w:val="00067461"/>
    <w:rsid w:val="0007712D"/>
    <w:rsid w:val="0008147C"/>
    <w:rsid w:val="00082A68"/>
    <w:rsid w:val="000908A7"/>
    <w:rsid w:val="000A0F7C"/>
    <w:rsid w:val="000A1127"/>
    <w:rsid w:val="000A539D"/>
    <w:rsid w:val="000A5456"/>
    <w:rsid w:val="000B2C88"/>
    <w:rsid w:val="000B37A3"/>
    <w:rsid w:val="000B37F2"/>
    <w:rsid w:val="000B715D"/>
    <w:rsid w:val="000C0694"/>
    <w:rsid w:val="000C2289"/>
    <w:rsid w:val="000C2D48"/>
    <w:rsid w:val="000D23F1"/>
    <w:rsid w:val="000D39C9"/>
    <w:rsid w:val="000D4FB3"/>
    <w:rsid w:val="000D50D1"/>
    <w:rsid w:val="000E2FC1"/>
    <w:rsid w:val="000F1CCD"/>
    <w:rsid w:val="000F21C1"/>
    <w:rsid w:val="000F3AF4"/>
    <w:rsid w:val="000F46BD"/>
    <w:rsid w:val="00100A9C"/>
    <w:rsid w:val="0010230C"/>
    <w:rsid w:val="00120EB8"/>
    <w:rsid w:val="00120F84"/>
    <w:rsid w:val="00126F96"/>
    <w:rsid w:val="00131616"/>
    <w:rsid w:val="00136BA3"/>
    <w:rsid w:val="001416E3"/>
    <w:rsid w:val="001420E2"/>
    <w:rsid w:val="0014328C"/>
    <w:rsid w:val="00144D37"/>
    <w:rsid w:val="00150114"/>
    <w:rsid w:val="0015118A"/>
    <w:rsid w:val="00151E35"/>
    <w:rsid w:val="00154FBC"/>
    <w:rsid w:val="00164967"/>
    <w:rsid w:val="001701DA"/>
    <w:rsid w:val="00173B88"/>
    <w:rsid w:val="001810E1"/>
    <w:rsid w:val="0018176F"/>
    <w:rsid w:val="001840F5"/>
    <w:rsid w:val="00186721"/>
    <w:rsid w:val="0019160A"/>
    <w:rsid w:val="00191996"/>
    <w:rsid w:val="00192811"/>
    <w:rsid w:val="00192997"/>
    <w:rsid w:val="001A2320"/>
    <w:rsid w:val="001A5896"/>
    <w:rsid w:val="001A7AB6"/>
    <w:rsid w:val="001B5CD1"/>
    <w:rsid w:val="001C22F4"/>
    <w:rsid w:val="001C5F3D"/>
    <w:rsid w:val="001E2AA5"/>
    <w:rsid w:val="001E3FF0"/>
    <w:rsid w:val="001E6AA3"/>
    <w:rsid w:val="001F0B08"/>
    <w:rsid w:val="001F2911"/>
    <w:rsid w:val="001F67FE"/>
    <w:rsid w:val="002008CE"/>
    <w:rsid w:val="00201293"/>
    <w:rsid w:val="002151B9"/>
    <w:rsid w:val="002248C5"/>
    <w:rsid w:val="002302A2"/>
    <w:rsid w:val="002305CB"/>
    <w:rsid w:val="00231B80"/>
    <w:rsid w:val="00235914"/>
    <w:rsid w:val="00240753"/>
    <w:rsid w:val="00243804"/>
    <w:rsid w:val="00243C79"/>
    <w:rsid w:val="00250A63"/>
    <w:rsid w:val="002517BC"/>
    <w:rsid w:val="002525CF"/>
    <w:rsid w:val="00266DE0"/>
    <w:rsid w:val="00275790"/>
    <w:rsid w:val="00275FCA"/>
    <w:rsid w:val="00276DCF"/>
    <w:rsid w:val="00280F5E"/>
    <w:rsid w:val="00281E22"/>
    <w:rsid w:val="00290486"/>
    <w:rsid w:val="00290BB9"/>
    <w:rsid w:val="002A0180"/>
    <w:rsid w:val="002A04AC"/>
    <w:rsid w:val="002A2CA6"/>
    <w:rsid w:val="002B4635"/>
    <w:rsid w:val="002C28A7"/>
    <w:rsid w:val="002C5B60"/>
    <w:rsid w:val="002C5E44"/>
    <w:rsid w:val="002D0F54"/>
    <w:rsid w:val="002E15E4"/>
    <w:rsid w:val="002E32B0"/>
    <w:rsid w:val="002F2474"/>
    <w:rsid w:val="00302DA8"/>
    <w:rsid w:val="003038C9"/>
    <w:rsid w:val="00304DAC"/>
    <w:rsid w:val="0031358E"/>
    <w:rsid w:val="003137A3"/>
    <w:rsid w:val="0033523D"/>
    <w:rsid w:val="0033600C"/>
    <w:rsid w:val="00336FD0"/>
    <w:rsid w:val="00347023"/>
    <w:rsid w:val="00352FEE"/>
    <w:rsid w:val="00353928"/>
    <w:rsid w:val="00363966"/>
    <w:rsid w:val="003725DF"/>
    <w:rsid w:val="00373F07"/>
    <w:rsid w:val="003761B6"/>
    <w:rsid w:val="0039349C"/>
    <w:rsid w:val="0039551E"/>
    <w:rsid w:val="003A18E4"/>
    <w:rsid w:val="003A206E"/>
    <w:rsid w:val="003A4ED0"/>
    <w:rsid w:val="003B44DF"/>
    <w:rsid w:val="003B520C"/>
    <w:rsid w:val="003C20B8"/>
    <w:rsid w:val="003D44F3"/>
    <w:rsid w:val="003D6ED1"/>
    <w:rsid w:val="003D7813"/>
    <w:rsid w:val="003E1B40"/>
    <w:rsid w:val="003E437F"/>
    <w:rsid w:val="003E5D59"/>
    <w:rsid w:val="003E6BC9"/>
    <w:rsid w:val="003F04D5"/>
    <w:rsid w:val="003F3EB9"/>
    <w:rsid w:val="003F699D"/>
    <w:rsid w:val="0040466D"/>
    <w:rsid w:val="00404D36"/>
    <w:rsid w:val="00406B3B"/>
    <w:rsid w:val="00411019"/>
    <w:rsid w:val="00413347"/>
    <w:rsid w:val="00413F82"/>
    <w:rsid w:val="00420B12"/>
    <w:rsid w:val="00424FB5"/>
    <w:rsid w:val="00427DA8"/>
    <w:rsid w:val="00435AB6"/>
    <w:rsid w:val="00437A7D"/>
    <w:rsid w:val="004419B2"/>
    <w:rsid w:val="00442345"/>
    <w:rsid w:val="004455D2"/>
    <w:rsid w:val="00451BF3"/>
    <w:rsid w:val="00453858"/>
    <w:rsid w:val="00455FD8"/>
    <w:rsid w:val="00456ACC"/>
    <w:rsid w:val="0045790D"/>
    <w:rsid w:val="004622BE"/>
    <w:rsid w:val="004649C4"/>
    <w:rsid w:val="0046675E"/>
    <w:rsid w:val="00470263"/>
    <w:rsid w:val="00470911"/>
    <w:rsid w:val="00470BC2"/>
    <w:rsid w:val="004777C6"/>
    <w:rsid w:val="00480B10"/>
    <w:rsid w:val="00482E83"/>
    <w:rsid w:val="00484D9E"/>
    <w:rsid w:val="00490636"/>
    <w:rsid w:val="004926ED"/>
    <w:rsid w:val="0049745A"/>
    <w:rsid w:val="004B27A8"/>
    <w:rsid w:val="004B3862"/>
    <w:rsid w:val="004B3F58"/>
    <w:rsid w:val="004B57A4"/>
    <w:rsid w:val="004C362C"/>
    <w:rsid w:val="004C619E"/>
    <w:rsid w:val="004C7582"/>
    <w:rsid w:val="004D00B4"/>
    <w:rsid w:val="004F1875"/>
    <w:rsid w:val="0050237F"/>
    <w:rsid w:val="00503ECB"/>
    <w:rsid w:val="00504B82"/>
    <w:rsid w:val="005169D3"/>
    <w:rsid w:val="00523D15"/>
    <w:rsid w:val="005330B0"/>
    <w:rsid w:val="00533E62"/>
    <w:rsid w:val="00534B10"/>
    <w:rsid w:val="0054192E"/>
    <w:rsid w:val="005419A5"/>
    <w:rsid w:val="005423EC"/>
    <w:rsid w:val="005452ED"/>
    <w:rsid w:val="00546AEC"/>
    <w:rsid w:val="00572255"/>
    <w:rsid w:val="005867CC"/>
    <w:rsid w:val="005908AF"/>
    <w:rsid w:val="0059184B"/>
    <w:rsid w:val="00593867"/>
    <w:rsid w:val="00593F2F"/>
    <w:rsid w:val="00594871"/>
    <w:rsid w:val="00594C2A"/>
    <w:rsid w:val="00595942"/>
    <w:rsid w:val="005A03E4"/>
    <w:rsid w:val="005A0519"/>
    <w:rsid w:val="005A1F01"/>
    <w:rsid w:val="005A3F85"/>
    <w:rsid w:val="005A6BC0"/>
    <w:rsid w:val="005A776B"/>
    <w:rsid w:val="005A7BD8"/>
    <w:rsid w:val="005B0407"/>
    <w:rsid w:val="005C1272"/>
    <w:rsid w:val="005C1281"/>
    <w:rsid w:val="005C53A1"/>
    <w:rsid w:val="005C5E75"/>
    <w:rsid w:val="005D0790"/>
    <w:rsid w:val="005D0EB2"/>
    <w:rsid w:val="005D23F9"/>
    <w:rsid w:val="005D3B89"/>
    <w:rsid w:val="005D4B55"/>
    <w:rsid w:val="005D7053"/>
    <w:rsid w:val="005E5965"/>
    <w:rsid w:val="005F34A8"/>
    <w:rsid w:val="005F468B"/>
    <w:rsid w:val="005F4F06"/>
    <w:rsid w:val="005F52DC"/>
    <w:rsid w:val="005F5C3B"/>
    <w:rsid w:val="005F72F7"/>
    <w:rsid w:val="0060378E"/>
    <w:rsid w:val="0060412F"/>
    <w:rsid w:val="0061010A"/>
    <w:rsid w:val="006139B9"/>
    <w:rsid w:val="0061456D"/>
    <w:rsid w:val="006179EE"/>
    <w:rsid w:val="00620673"/>
    <w:rsid w:val="006515C6"/>
    <w:rsid w:val="0065431A"/>
    <w:rsid w:val="00656EBE"/>
    <w:rsid w:val="0066131B"/>
    <w:rsid w:val="00664240"/>
    <w:rsid w:val="0067028E"/>
    <w:rsid w:val="00677357"/>
    <w:rsid w:val="0067791F"/>
    <w:rsid w:val="006779A4"/>
    <w:rsid w:val="00682056"/>
    <w:rsid w:val="00685030"/>
    <w:rsid w:val="00690928"/>
    <w:rsid w:val="00691826"/>
    <w:rsid w:val="006A0BD2"/>
    <w:rsid w:val="006A701E"/>
    <w:rsid w:val="006A730F"/>
    <w:rsid w:val="006B64DE"/>
    <w:rsid w:val="006D4F56"/>
    <w:rsid w:val="006D695E"/>
    <w:rsid w:val="006E2910"/>
    <w:rsid w:val="006E5F14"/>
    <w:rsid w:val="006F1EE0"/>
    <w:rsid w:val="006F23BB"/>
    <w:rsid w:val="006F3495"/>
    <w:rsid w:val="0070026F"/>
    <w:rsid w:val="0070197A"/>
    <w:rsid w:val="00715ABE"/>
    <w:rsid w:val="00725E08"/>
    <w:rsid w:val="00726525"/>
    <w:rsid w:val="00735529"/>
    <w:rsid w:val="0073589D"/>
    <w:rsid w:val="00743776"/>
    <w:rsid w:val="00750E06"/>
    <w:rsid w:val="00755975"/>
    <w:rsid w:val="007613B6"/>
    <w:rsid w:val="00763859"/>
    <w:rsid w:val="00771556"/>
    <w:rsid w:val="00782B04"/>
    <w:rsid w:val="00791A65"/>
    <w:rsid w:val="007969B4"/>
    <w:rsid w:val="007A0D83"/>
    <w:rsid w:val="007C274B"/>
    <w:rsid w:val="007C5727"/>
    <w:rsid w:val="007D6B55"/>
    <w:rsid w:val="007E0B57"/>
    <w:rsid w:val="007E2472"/>
    <w:rsid w:val="007E29B9"/>
    <w:rsid w:val="007E75DB"/>
    <w:rsid w:val="008061A1"/>
    <w:rsid w:val="00812157"/>
    <w:rsid w:val="00817E28"/>
    <w:rsid w:val="00824FA7"/>
    <w:rsid w:val="00844C3C"/>
    <w:rsid w:val="008555A4"/>
    <w:rsid w:val="008677E3"/>
    <w:rsid w:val="00870259"/>
    <w:rsid w:val="008758FE"/>
    <w:rsid w:val="0088299F"/>
    <w:rsid w:val="00883206"/>
    <w:rsid w:val="00884474"/>
    <w:rsid w:val="008972A9"/>
    <w:rsid w:val="00897778"/>
    <w:rsid w:val="008A3CAC"/>
    <w:rsid w:val="008A615A"/>
    <w:rsid w:val="008A78E1"/>
    <w:rsid w:val="008B3316"/>
    <w:rsid w:val="008B3737"/>
    <w:rsid w:val="008B415E"/>
    <w:rsid w:val="008B5058"/>
    <w:rsid w:val="008C78A7"/>
    <w:rsid w:val="008D07C6"/>
    <w:rsid w:val="008D0E64"/>
    <w:rsid w:val="008E32FF"/>
    <w:rsid w:val="008E4AA9"/>
    <w:rsid w:val="008E5D0D"/>
    <w:rsid w:val="008F05EA"/>
    <w:rsid w:val="008F1EB4"/>
    <w:rsid w:val="00902233"/>
    <w:rsid w:val="00905822"/>
    <w:rsid w:val="00905FC3"/>
    <w:rsid w:val="009105B7"/>
    <w:rsid w:val="009143AA"/>
    <w:rsid w:val="009302EF"/>
    <w:rsid w:val="00930DF4"/>
    <w:rsid w:val="00936777"/>
    <w:rsid w:val="009419CB"/>
    <w:rsid w:val="00952D0A"/>
    <w:rsid w:val="00961A65"/>
    <w:rsid w:val="0096245A"/>
    <w:rsid w:val="00963CB1"/>
    <w:rsid w:val="00971E75"/>
    <w:rsid w:val="00972141"/>
    <w:rsid w:val="00975AF7"/>
    <w:rsid w:val="009802F5"/>
    <w:rsid w:val="009831FE"/>
    <w:rsid w:val="00991633"/>
    <w:rsid w:val="00997A11"/>
    <w:rsid w:val="009A06C4"/>
    <w:rsid w:val="009A4EE3"/>
    <w:rsid w:val="009A7223"/>
    <w:rsid w:val="009B6174"/>
    <w:rsid w:val="009C222F"/>
    <w:rsid w:val="009D3E82"/>
    <w:rsid w:val="009E15BC"/>
    <w:rsid w:val="009F754F"/>
    <w:rsid w:val="009F7DA1"/>
    <w:rsid w:val="00A00229"/>
    <w:rsid w:val="00A057AD"/>
    <w:rsid w:val="00A12877"/>
    <w:rsid w:val="00A1413C"/>
    <w:rsid w:val="00A27C47"/>
    <w:rsid w:val="00A31558"/>
    <w:rsid w:val="00A32536"/>
    <w:rsid w:val="00A41143"/>
    <w:rsid w:val="00A418F8"/>
    <w:rsid w:val="00A47D9C"/>
    <w:rsid w:val="00A6487D"/>
    <w:rsid w:val="00A65F08"/>
    <w:rsid w:val="00A66BD4"/>
    <w:rsid w:val="00A855CB"/>
    <w:rsid w:val="00AA09F9"/>
    <w:rsid w:val="00AB240D"/>
    <w:rsid w:val="00AC1950"/>
    <w:rsid w:val="00AC66BE"/>
    <w:rsid w:val="00AD25C2"/>
    <w:rsid w:val="00AD6DA6"/>
    <w:rsid w:val="00AE1354"/>
    <w:rsid w:val="00AE3438"/>
    <w:rsid w:val="00AE594D"/>
    <w:rsid w:val="00AE63BB"/>
    <w:rsid w:val="00AE7CF1"/>
    <w:rsid w:val="00B000AF"/>
    <w:rsid w:val="00B059B9"/>
    <w:rsid w:val="00B0605A"/>
    <w:rsid w:val="00B11060"/>
    <w:rsid w:val="00B2769D"/>
    <w:rsid w:val="00B27FE2"/>
    <w:rsid w:val="00B327E8"/>
    <w:rsid w:val="00B32E7F"/>
    <w:rsid w:val="00B33CCE"/>
    <w:rsid w:val="00B429D1"/>
    <w:rsid w:val="00B47C35"/>
    <w:rsid w:val="00B514E9"/>
    <w:rsid w:val="00B529D4"/>
    <w:rsid w:val="00B545D6"/>
    <w:rsid w:val="00B615E3"/>
    <w:rsid w:val="00B626E2"/>
    <w:rsid w:val="00B642FC"/>
    <w:rsid w:val="00B70B75"/>
    <w:rsid w:val="00B71552"/>
    <w:rsid w:val="00B81ACB"/>
    <w:rsid w:val="00B877A1"/>
    <w:rsid w:val="00B90CD4"/>
    <w:rsid w:val="00BA00B1"/>
    <w:rsid w:val="00BA1BEE"/>
    <w:rsid w:val="00BA22C9"/>
    <w:rsid w:val="00BA33B9"/>
    <w:rsid w:val="00BB2C22"/>
    <w:rsid w:val="00BB5657"/>
    <w:rsid w:val="00BC0176"/>
    <w:rsid w:val="00BC37DC"/>
    <w:rsid w:val="00BC50C0"/>
    <w:rsid w:val="00BC6CD5"/>
    <w:rsid w:val="00BD0A3A"/>
    <w:rsid w:val="00BD7C14"/>
    <w:rsid w:val="00BE1840"/>
    <w:rsid w:val="00BF2449"/>
    <w:rsid w:val="00BF58B1"/>
    <w:rsid w:val="00C04437"/>
    <w:rsid w:val="00C04D93"/>
    <w:rsid w:val="00C06996"/>
    <w:rsid w:val="00C1056E"/>
    <w:rsid w:val="00C1117C"/>
    <w:rsid w:val="00C131DF"/>
    <w:rsid w:val="00C15E5D"/>
    <w:rsid w:val="00C20042"/>
    <w:rsid w:val="00C2213C"/>
    <w:rsid w:val="00C22ADD"/>
    <w:rsid w:val="00C22C7E"/>
    <w:rsid w:val="00C3356C"/>
    <w:rsid w:val="00C36072"/>
    <w:rsid w:val="00C42DEE"/>
    <w:rsid w:val="00C42FBB"/>
    <w:rsid w:val="00C47206"/>
    <w:rsid w:val="00C478EA"/>
    <w:rsid w:val="00C65EB9"/>
    <w:rsid w:val="00C67D01"/>
    <w:rsid w:val="00C81645"/>
    <w:rsid w:val="00C90290"/>
    <w:rsid w:val="00C909EB"/>
    <w:rsid w:val="00C93FA0"/>
    <w:rsid w:val="00CA4DE8"/>
    <w:rsid w:val="00CB4BB6"/>
    <w:rsid w:val="00CC3AB9"/>
    <w:rsid w:val="00CC3AE2"/>
    <w:rsid w:val="00CC70FD"/>
    <w:rsid w:val="00CD296C"/>
    <w:rsid w:val="00CD45D1"/>
    <w:rsid w:val="00CD5A55"/>
    <w:rsid w:val="00CF05CB"/>
    <w:rsid w:val="00CF53AE"/>
    <w:rsid w:val="00CF68EF"/>
    <w:rsid w:val="00CF7C4C"/>
    <w:rsid w:val="00D023BB"/>
    <w:rsid w:val="00D1241B"/>
    <w:rsid w:val="00D15FAE"/>
    <w:rsid w:val="00D25F22"/>
    <w:rsid w:val="00D31524"/>
    <w:rsid w:val="00D32DCC"/>
    <w:rsid w:val="00D33513"/>
    <w:rsid w:val="00D43D49"/>
    <w:rsid w:val="00D45734"/>
    <w:rsid w:val="00D522CD"/>
    <w:rsid w:val="00D53AAB"/>
    <w:rsid w:val="00D54AF0"/>
    <w:rsid w:val="00D577E3"/>
    <w:rsid w:val="00D64E29"/>
    <w:rsid w:val="00D72751"/>
    <w:rsid w:val="00D74FDB"/>
    <w:rsid w:val="00D76565"/>
    <w:rsid w:val="00D9121E"/>
    <w:rsid w:val="00D96C44"/>
    <w:rsid w:val="00DA43BE"/>
    <w:rsid w:val="00DA7B2F"/>
    <w:rsid w:val="00DB15F6"/>
    <w:rsid w:val="00DB2399"/>
    <w:rsid w:val="00DC25C9"/>
    <w:rsid w:val="00DD57F3"/>
    <w:rsid w:val="00DD63A2"/>
    <w:rsid w:val="00DD76CF"/>
    <w:rsid w:val="00DE4003"/>
    <w:rsid w:val="00DE58EB"/>
    <w:rsid w:val="00DE7DD8"/>
    <w:rsid w:val="00DF3117"/>
    <w:rsid w:val="00E02FDF"/>
    <w:rsid w:val="00E0526E"/>
    <w:rsid w:val="00E078D5"/>
    <w:rsid w:val="00E07945"/>
    <w:rsid w:val="00E15AB5"/>
    <w:rsid w:val="00E21DEB"/>
    <w:rsid w:val="00E245EA"/>
    <w:rsid w:val="00E34768"/>
    <w:rsid w:val="00E4188A"/>
    <w:rsid w:val="00E43BA2"/>
    <w:rsid w:val="00E4751D"/>
    <w:rsid w:val="00E55598"/>
    <w:rsid w:val="00E624E1"/>
    <w:rsid w:val="00E648A1"/>
    <w:rsid w:val="00E658A4"/>
    <w:rsid w:val="00E71BC0"/>
    <w:rsid w:val="00E73F04"/>
    <w:rsid w:val="00E7496A"/>
    <w:rsid w:val="00E74E2E"/>
    <w:rsid w:val="00E844F5"/>
    <w:rsid w:val="00E936BC"/>
    <w:rsid w:val="00EA3CFA"/>
    <w:rsid w:val="00EA45B8"/>
    <w:rsid w:val="00EA7F3F"/>
    <w:rsid w:val="00EB5436"/>
    <w:rsid w:val="00EB5BDA"/>
    <w:rsid w:val="00EC2BDF"/>
    <w:rsid w:val="00ED13BD"/>
    <w:rsid w:val="00ED2E96"/>
    <w:rsid w:val="00ED6D79"/>
    <w:rsid w:val="00EE3E48"/>
    <w:rsid w:val="00EE54A6"/>
    <w:rsid w:val="00EF6C5A"/>
    <w:rsid w:val="00EF707E"/>
    <w:rsid w:val="00EF79CC"/>
    <w:rsid w:val="00F035A4"/>
    <w:rsid w:val="00F05FF4"/>
    <w:rsid w:val="00F166F6"/>
    <w:rsid w:val="00F169D2"/>
    <w:rsid w:val="00F16AC1"/>
    <w:rsid w:val="00F17F4C"/>
    <w:rsid w:val="00F241EC"/>
    <w:rsid w:val="00F251A0"/>
    <w:rsid w:val="00F26551"/>
    <w:rsid w:val="00F2718D"/>
    <w:rsid w:val="00F27EB3"/>
    <w:rsid w:val="00F54338"/>
    <w:rsid w:val="00F5485A"/>
    <w:rsid w:val="00F562A6"/>
    <w:rsid w:val="00F65CE6"/>
    <w:rsid w:val="00F66F64"/>
    <w:rsid w:val="00F72271"/>
    <w:rsid w:val="00F7563E"/>
    <w:rsid w:val="00F767BD"/>
    <w:rsid w:val="00F80AAE"/>
    <w:rsid w:val="00F968BE"/>
    <w:rsid w:val="00FA77B0"/>
    <w:rsid w:val="00FB315C"/>
    <w:rsid w:val="00FB32F7"/>
    <w:rsid w:val="00FB4EDC"/>
    <w:rsid w:val="00FB5CD0"/>
    <w:rsid w:val="00FC3A87"/>
    <w:rsid w:val="00FC600B"/>
    <w:rsid w:val="00FC6DB0"/>
    <w:rsid w:val="00FC70D5"/>
    <w:rsid w:val="00FD098C"/>
    <w:rsid w:val="00FD3E06"/>
    <w:rsid w:val="00FD4A8C"/>
    <w:rsid w:val="00FE0D4C"/>
    <w:rsid w:val="00FE4F95"/>
    <w:rsid w:val="00FF008C"/>
    <w:rsid w:val="00FF6A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A00546"/>
  <w15:chartTrackingRefBased/>
  <w15:docId w15:val="{BFC45C74-6804-4F5E-8167-A040E887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5D0EB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963CB1"/>
    <w:rPr>
      <w:color w:val="0000FF"/>
      <w:u w:val="single"/>
    </w:rPr>
  </w:style>
  <w:style w:type="paragraph" w:styleId="BalloonText">
    <w:name w:val="Balloon Text"/>
    <w:basedOn w:val="Normal"/>
    <w:semiHidden/>
    <w:rsid w:val="001420E2"/>
    <w:rPr>
      <w:rFonts w:ascii="Tahoma" w:hAnsi="Tahoma" w:cs="Tahoma"/>
      <w:sz w:val="16"/>
      <w:szCs w:val="16"/>
    </w:rPr>
  </w:style>
  <w:style w:type="character" w:styleId="CommentReference">
    <w:name w:val="annotation reference"/>
    <w:rsid w:val="00C06996"/>
    <w:rPr>
      <w:sz w:val="16"/>
      <w:szCs w:val="16"/>
    </w:rPr>
  </w:style>
  <w:style w:type="paragraph" w:styleId="CommentText">
    <w:name w:val="annotation text"/>
    <w:basedOn w:val="Normal"/>
    <w:link w:val="CommentTextChar"/>
    <w:rsid w:val="00C06996"/>
    <w:rPr>
      <w:szCs w:val="20"/>
    </w:rPr>
  </w:style>
  <w:style w:type="character" w:customStyle="1" w:styleId="CommentTextChar">
    <w:name w:val="Comment Text Char"/>
    <w:basedOn w:val="DefaultParagraphFont"/>
    <w:link w:val="CommentText"/>
    <w:rsid w:val="00C06996"/>
  </w:style>
  <w:style w:type="paragraph" w:styleId="CommentSubject">
    <w:name w:val="annotation subject"/>
    <w:basedOn w:val="CommentText"/>
    <w:next w:val="CommentText"/>
    <w:link w:val="CommentSubjectChar"/>
    <w:rsid w:val="00C06996"/>
    <w:rPr>
      <w:b/>
      <w:bCs/>
    </w:rPr>
  </w:style>
  <w:style w:type="character" w:customStyle="1" w:styleId="CommentSubjectChar">
    <w:name w:val="Comment Subject Char"/>
    <w:link w:val="CommentSubject"/>
    <w:rsid w:val="00C06996"/>
    <w:rPr>
      <w:b/>
      <w:bCs/>
    </w:rPr>
  </w:style>
  <w:style w:type="paragraph" w:styleId="Revision">
    <w:name w:val="Revision"/>
    <w:hidden/>
    <w:uiPriority w:val="99"/>
    <w:semiHidden/>
    <w:rsid w:val="00595942"/>
    <w:rPr>
      <w:szCs w:val="24"/>
    </w:rPr>
  </w:style>
  <w:style w:type="character" w:styleId="FollowedHyperlink">
    <w:name w:val="FollowedHyperlink"/>
    <w:rsid w:val="000D39C9"/>
    <w:rPr>
      <w:color w:val="954F72"/>
      <w:u w:val="single"/>
    </w:rPr>
  </w:style>
  <w:style w:type="paragraph" w:styleId="BodyText">
    <w:name w:val="Body Text"/>
    <w:basedOn w:val="Normal"/>
    <w:link w:val="BodyTextChar"/>
    <w:uiPriority w:val="1"/>
    <w:qFormat/>
    <w:rsid w:val="00427DA8"/>
    <w:pPr>
      <w:adjustRightInd/>
    </w:pPr>
    <w:rPr>
      <w:sz w:val="24"/>
    </w:rPr>
  </w:style>
  <w:style w:type="character" w:customStyle="1" w:styleId="BodyTextChar">
    <w:name w:val="Body Text Char"/>
    <w:link w:val="BodyText"/>
    <w:uiPriority w:val="1"/>
    <w:rsid w:val="00427DA8"/>
    <w:rPr>
      <w:sz w:val="24"/>
      <w:szCs w:val="24"/>
    </w:rPr>
  </w:style>
  <w:style w:type="paragraph" w:styleId="ListParagraph">
    <w:name w:val="List Paragraph"/>
    <w:basedOn w:val="Normal"/>
    <w:uiPriority w:val="34"/>
    <w:qFormat/>
    <w:rsid w:val="00427DA8"/>
    <w:pPr>
      <w:adjustRightInd/>
      <w:ind w:left="532" w:hanging="1519"/>
    </w:pPr>
    <w:rPr>
      <w:sz w:val="22"/>
      <w:szCs w:val="22"/>
    </w:rPr>
  </w:style>
  <w:style w:type="table" w:styleId="TableGrid">
    <w:name w:val="Table Grid"/>
    <w:basedOn w:val="TableNormal"/>
    <w:uiPriority w:val="39"/>
    <w:rsid w:val="0005493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5EA"/>
    <w:pPr>
      <w:widowControl/>
      <w:autoSpaceDE/>
      <w:autoSpaceDN/>
      <w:adjustRightInd/>
      <w:spacing w:before="100" w:beforeAutospacing="1" w:after="100" w:afterAutospacing="1"/>
    </w:pPr>
    <w:rPr>
      <w:sz w:val="24"/>
    </w:rPr>
  </w:style>
  <w:style w:type="character" w:styleId="UnresolvedMention">
    <w:name w:val="Unresolved Mention"/>
    <w:basedOn w:val="DefaultParagraphFont"/>
    <w:uiPriority w:val="99"/>
    <w:semiHidden/>
    <w:unhideWhenUsed/>
    <w:rsid w:val="00E4751D"/>
    <w:rPr>
      <w:color w:val="605E5C"/>
      <w:shd w:val="clear" w:color="auto" w:fill="E1DFDD"/>
    </w:rPr>
  </w:style>
  <w:style w:type="paragraph" w:styleId="Header">
    <w:name w:val="header"/>
    <w:basedOn w:val="Normal"/>
    <w:link w:val="HeaderChar"/>
    <w:rsid w:val="000F46BD"/>
    <w:pPr>
      <w:tabs>
        <w:tab w:val="center" w:pos="4680"/>
        <w:tab w:val="right" w:pos="9360"/>
      </w:tabs>
    </w:pPr>
  </w:style>
  <w:style w:type="character" w:customStyle="1" w:styleId="HeaderChar">
    <w:name w:val="Header Char"/>
    <w:basedOn w:val="DefaultParagraphFont"/>
    <w:link w:val="Header"/>
    <w:rsid w:val="000F46BD"/>
    <w:rPr>
      <w:szCs w:val="24"/>
    </w:rPr>
  </w:style>
  <w:style w:type="paragraph" w:styleId="Footer">
    <w:name w:val="footer"/>
    <w:basedOn w:val="Normal"/>
    <w:link w:val="FooterChar"/>
    <w:uiPriority w:val="99"/>
    <w:rsid w:val="000F46BD"/>
    <w:pPr>
      <w:tabs>
        <w:tab w:val="center" w:pos="4680"/>
        <w:tab w:val="right" w:pos="9360"/>
      </w:tabs>
    </w:pPr>
  </w:style>
  <w:style w:type="character" w:customStyle="1" w:styleId="FooterChar">
    <w:name w:val="Footer Char"/>
    <w:basedOn w:val="DefaultParagraphFont"/>
    <w:link w:val="Footer"/>
    <w:uiPriority w:val="99"/>
    <w:rsid w:val="000F46BD"/>
    <w:rPr>
      <w:szCs w:val="24"/>
    </w:rPr>
  </w:style>
  <w:style w:type="character" w:customStyle="1" w:styleId="Heading1Char">
    <w:name w:val="Heading 1 Char"/>
    <w:basedOn w:val="DefaultParagraphFont"/>
    <w:link w:val="Heading1"/>
    <w:rsid w:val="005D0E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ms-mmdl.cms.gov/WMS/faces/portal.jsp" TargetMode="External" /><Relationship Id="rId6" Type="http://schemas.openxmlformats.org/officeDocument/2006/relationships/hyperlink" Target="https://www.bls.gov/oes/2022/may/oes_nat.htm" TargetMode="External" /><Relationship Id="rId7" Type="http://schemas.openxmlformats.org/officeDocument/2006/relationships/hyperlink" Target="https://www.opm.gov/policy-data-oversight/pay-leave/salaries-wages/salary-tables/24Tables/html/DCB_h.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C566-F739-4F06-B7A6-E2622BD6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2957</Words>
  <Characters>17294</Characters>
  <Application>Microsoft Office Word</Application>
  <DocSecurity>0</DocSecurity>
  <Lines>540</Lines>
  <Paragraphs>289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14</cp:revision>
  <cp:lastPrinted>2017-03-01T17:57:00Z</cp:lastPrinted>
  <dcterms:created xsi:type="dcterms:W3CDTF">2024-03-19T11:58:00Z</dcterms:created>
  <dcterms:modified xsi:type="dcterms:W3CDTF">2024-03-19T12:13:00Z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