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5B46" w:rsidRPr="00913F82" w:rsidP="00BC5B46" w14:paraId="1E5CBA66" w14:textId="77777777">
      <w:pPr>
        <w:pStyle w:val="Title"/>
        <w:widowControl w:val="0"/>
        <w:suppressAutoHyphens/>
        <w:contextualSpacing/>
        <w:rPr>
          <w:color w:val="auto"/>
        </w:rPr>
      </w:pPr>
      <w:r>
        <w:rPr>
          <w:color w:val="auto"/>
        </w:rPr>
        <w:t>S</w:t>
      </w:r>
      <w:r w:rsidRPr="00913F82">
        <w:rPr>
          <w:color w:val="auto"/>
        </w:rPr>
        <w:t>upporting Statement for Function Reports - Child</w:t>
      </w:r>
    </w:p>
    <w:p w:rsidR="00BC5B46" w:rsidRPr="00913F82" w:rsidP="00BC5B46" w14:paraId="6667AE86" w14:textId="77777777">
      <w:pPr>
        <w:pStyle w:val="Title"/>
        <w:widowControl w:val="0"/>
        <w:suppressAutoHyphens/>
        <w:contextualSpacing/>
        <w:rPr>
          <w:color w:val="auto"/>
        </w:rPr>
      </w:pPr>
      <w:r w:rsidRPr="00913F82">
        <w:rPr>
          <w:color w:val="auto"/>
        </w:rPr>
        <w:t xml:space="preserve">Forms SSA-3375, </w:t>
      </w:r>
      <w:r>
        <w:rPr>
          <w:color w:val="auto"/>
        </w:rPr>
        <w:t>SSA-</w:t>
      </w:r>
      <w:r w:rsidRPr="00913F82">
        <w:rPr>
          <w:color w:val="auto"/>
        </w:rPr>
        <w:t xml:space="preserve">3376, </w:t>
      </w:r>
      <w:r>
        <w:rPr>
          <w:color w:val="auto"/>
        </w:rPr>
        <w:t>SSA-</w:t>
      </w:r>
      <w:r w:rsidRPr="00913F82">
        <w:rPr>
          <w:color w:val="auto"/>
        </w:rPr>
        <w:t xml:space="preserve">3377, </w:t>
      </w:r>
      <w:r>
        <w:rPr>
          <w:color w:val="auto"/>
        </w:rPr>
        <w:t>SSA-</w:t>
      </w:r>
      <w:r w:rsidRPr="00913F82">
        <w:rPr>
          <w:color w:val="auto"/>
        </w:rPr>
        <w:t>3378, and</w:t>
      </w:r>
      <w:r>
        <w:rPr>
          <w:color w:val="auto"/>
        </w:rPr>
        <w:t xml:space="preserve"> SSA-</w:t>
      </w:r>
      <w:r w:rsidRPr="00913F82">
        <w:rPr>
          <w:color w:val="auto"/>
        </w:rPr>
        <w:t>3379</w:t>
      </w:r>
    </w:p>
    <w:p w:rsidR="00BC5B46" w:rsidRPr="00913F82" w:rsidP="00BC5B46" w14:paraId="329F31DB" w14:textId="77777777">
      <w:pPr>
        <w:pStyle w:val="Title"/>
        <w:widowControl w:val="0"/>
        <w:suppressAutoHyphens/>
        <w:contextualSpacing/>
        <w:rPr>
          <w:color w:val="auto"/>
        </w:rPr>
      </w:pPr>
      <w:r w:rsidRPr="00913F82">
        <w:rPr>
          <w:color w:val="auto"/>
        </w:rPr>
        <w:t>20 CFR 416.912 and 416.924a(a)(2)</w:t>
      </w:r>
    </w:p>
    <w:p w:rsidR="00BC5B46" w:rsidP="00BC5B46" w14:paraId="20487CF8" w14:textId="77777777">
      <w:pPr>
        <w:widowControl w:val="0"/>
        <w:suppressAutoHyphens/>
        <w:contextualSpacing/>
        <w:jc w:val="center"/>
        <w:rPr>
          <w:b/>
          <w:color w:val="auto"/>
        </w:rPr>
      </w:pPr>
      <w:r w:rsidRPr="00913F82">
        <w:rPr>
          <w:b/>
          <w:color w:val="auto"/>
        </w:rPr>
        <w:t>OMB No. 0960-0542</w:t>
      </w:r>
    </w:p>
    <w:p w:rsidR="00BC5B46" w:rsidRPr="00913F82" w:rsidP="00BC5B46" w14:paraId="17EF0AD7" w14:textId="77777777">
      <w:pPr>
        <w:widowControl w:val="0"/>
        <w:tabs>
          <w:tab w:val="left" w:pos="2805"/>
        </w:tabs>
        <w:suppressAutoHyphens/>
        <w:contextualSpacing/>
        <w:rPr>
          <w:color w:val="auto"/>
        </w:rPr>
      </w:pPr>
      <w:r>
        <w:rPr>
          <w:color w:val="auto"/>
        </w:rPr>
        <w:tab/>
      </w:r>
    </w:p>
    <w:p w:rsidR="00BC5B46" w:rsidRPr="00913F82" w:rsidP="00BC5B46" w14:paraId="487F9E4A" w14:textId="77777777">
      <w:pPr>
        <w:pStyle w:val="Heading1"/>
        <w:keepNext w:val="0"/>
        <w:widowControl w:val="0"/>
        <w:numPr>
          <w:ilvl w:val="0"/>
          <w:numId w:val="0"/>
        </w:numPr>
        <w:suppressAutoHyphens/>
        <w:ind w:left="720" w:hanging="540"/>
        <w:contextualSpacing/>
        <w:rPr>
          <w:color w:val="auto"/>
          <w:u w:val="none"/>
        </w:rPr>
      </w:pPr>
      <w:r w:rsidRPr="00913F82">
        <w:rPr>
          <w:color w:val="auto"/>
          <w:u w:val="none"/>
        </w:rPr>
        <w:t>A.</w:t>
      </w:r>
      <w:r w:rsidRPr="00913F82">
        <w:rPr>
          <w:color w:val="auto"/>
          <w:u w:val="none"/>
        </w:rPr>
        <w:tab/>
      </w:r>
      <w:r w:rsidRPr="00913F82">
        <w:rPr>
          <w:color w:val="auto"/>
        </w:rPr>
        <w:t>Justification</w:t>
      </w:r>
    </w:p>
    <w:p w:rsidR="00BC5B46" w:rsidRPr="00913F82" w:rsidP="00BC5B46" w14:paraId="62E861F6" w14:textId="77777777">
      <w:pPr>
        <w:widowControl w:val="0"/>
        <w:suppressAutoHyphens/>
        <w:contextualSpacing/>
        <w:rPr>
          <w:color w:val="auto"/>
        </w:rPr>
      </w:pPr>
    </w:p>
    <w:p w:rsidR="00BC5B46" w:rsidRPr="00495B66" w:rsidP="00BC5B46" w14:paraId="0802F57C" w14:textId="77777777">
      <w:pPr>
        <w:pStyle w:val="BodyTextIndent"/>
        <w:widowControl w:val="0"/>
        <w:numPr>
          <w:ilvl w:val="0"/>
          <w:numId w:val="2"/>
        </w:numPr>
        <w:suppressAutoHyphens/>
        <w:ind w:left="1440" w:hanging="720"/>
        <w:contextualSpacing/>
        <w:rPr>
          <w:color w:val="auto"/>
        </w:rPr>
      </w:pPr>
      <w:r>
        <w:rPr>
          <w:b/>
          <w:color w:val="auto"/>
        </w:rPr>
        <w:t>Introduction/</w:t>
      </w:r>
      <w:r w:rsidRPr="00913F82">
        <w:rPr>
          <w:b/>
          <w:color w:val="auto"/>
        </w:rPr>
        <w:t xml:space="preserve">Authoring Laws and Regulations </w:t>
      </w:r>
    </w:p>
    <w:p w:rsidR="00BC5B46" w:rsidRPr="00913F82" w:rsidP="00BC5B46" w14:paraId="749044B9" w14:textId="77777777">
      <w:pPr>
        <w:pStyle w:val="BodyTextIndent"/>
        <w:widowControl w:val="0"/>
        <w:suppressAutoHyphens/>
        <w:ind w:left="1440"/>
        <w:contextualSpacing/>
        <w:rPr>
          <w:color w:val="auto"/>
        </w:rPr>
      </w:pPr>
      <w:r w:rsidRPr="00AF1CAA">
        <w:rPr>
          <w:color w:val="auto"/>
        </w:rPr>
        <w:t>Section</w:t>
      </w:r>
      <w:r w:rsidRPr="00913F82">
        <w:rPr>
          <w:i/>
          <w:color w:val="auto"/>
        </w:rPr>
        <w:t xml:space="preserve"> 1614(a)(3)(A) </w:t>
      </w:r>
      <w:r w:rsidRPr="00AF1CAA">
        <w:rPr>
          <w:color w:val="auto"/>
        </w:rPr>
        <w:t>of the</w:t>
      </w:r>
      <w:r>
        <w:rPr>
          <w:i/>
          <w:color w:val="auto"/>
        </w:rPr>
        <w:t xml:space="preserve"> </w:t>
      </w:r>
      <w:r w:rsidRPr="00617387">
        <w:rPr>
          <w:i/>
          <w:color w:val="auto"/>
        </w:rPr>
        <w:t>Social Security Act (Act)</w:t>
      </w:r>
      <w:r w:rsidRPr="00495B66">
        <w:rPr>
          <w:color w:val="auto"/>
        </w:rPr>
        <w:t>,</w:t>
      </w:r>
      <w:r>
        <w:rPr>
          <w:color w:val="auto"/>
        </w:rPr>
        <w:t xml:space="preserve"> mandates the Social Security Administration (SSA) consider children disabled under </w:t>
      </w:r>
      <w:r w:rsidRPr="003C4E14">
        <w:rPr>
          <w:i/>
          <w:color w:val="auto"/>
        </w:rPr>
        <w:t>Title XVI</w:t>
      </w:r>
      <w:r>
        <w:rPr>
          <w:color w:val="auto"/>
        </w:rPr>
        <w:t xml:space="preserve"> of the </w:t>
      </w:r>
      <w:r w:rsidRPr="00CD023D">
        <w:rPr>
          <w:i/>
          <w:color w:val="auto"/>
        </w:rPr>
        <w:t>Act</w:t>
      </w:r>
      <w:r>
        <w:rPr>
          <w:color w:val="auto"/>
        </w:rPr>
        <w:t xml:space="preserve"> if they have “</w:t>
      </w:r>
      <w:r w:rsidRPr="00913F82">
        <w:rPr>
          <w:color w:val="auto"/>
        </w:rPr>
        <w:t>a medically determinable physical or mental impairment, which results in marked and severe functional limitations….”</w:t>
      </w:r>
      <w:r>
        <w:rPr>
          <w:color w:val="auto"/>
        </w:rPr>
        <w:t xml:space="preserve">  </w:t>
      </w:r>
      <w:r w:rsidRPr="00495B66">
        <w:rPr>
          <w:color w:val="auto"/>
        </w:rPr>
        <w:t xml:space="preserve">Sections </w:t>
      </w:r>
      <w:r w:rsidRPr="00495B66">
        <w:rPr>
          <w:i/>
          <w:color w:val="auto"/>
        </w:rPr>
        <w:t>1614(a)(3)(H)(i)</w:t>
      </w:r>
      <w:r w:rsidRPr="00495B66">
        <w:rPr>
          <w:color w:val="auto"/>
        </w:rPr>
        <w:t xml:space="preserve"> and </w:t>
      </w:r>
      <w:r w:rsidRPr="00495B66">
        <w:rPr>
          <w:i/>
          <w:color w:val="auto"/>
        </w:rPr>
        <w:t>1631(e)(1)(A)</w:t>
      </w:r>
      <w:r w:rsidRPr="00495B66">
        <w:rPr>
          <w:color w:val="auto"/>
        </w:rPr>
        <w:t xml:space="preserve"> of the </w:t>
      </w:r>
      <w:r w:rsidRPr="00CD023D">
        <w:rPr>
          <w:i/>
          <w:color w:val="auto"/>
        </w:rPr>
        <w:t>Act</w:t>
      </w:r>
      <w:r w:rsidRPr="00495B66">
        <w:rPr>
          <w:color w:val="auto"/>
        </w:rPr>
        <w:t xml:space="preserve"> and </w:t>
      </w:r>
      <w:r w:rsidRPr="00495B66">
        <w:rPr>
          <w:i/>
          <w:color w:val="auto"/>
        </w:rPr>
        <w:t>20 CFR 416.912</w:t>
      </w:r>
      <w:r w:rsidRPr="00495B66">
        <w:rPr>
          <w:color w:val="auto"/>
        </w:rPr>
        <w:t xml:space="preserve"> of the </w:t>
      </w:r>
      <w:r w:rsidRPr="00617387">
        <w:rPr>
          <w:i/>
          <w:color w:val="auto"/>
        </w:rPr>
        <w:t>Code of Federal Regulations</w:t>
      </w:r>
      <w:r w:rsidRPr="00495B66">
        <w:rPr>
          <w:color w:val="auto"/>
        </w:rPr>
        <w:t xml:space="preserve"> </w:t>
      </w:r>
      <w:r w:rsidRPr="00143E54">
        <w:rPr>
          <w:i/>
          <w:color w:val="auto"/>
        </w:rPr>
        <w:t>(Code)</w:t>
      </w:r>
      <w:r>
        <w:rPr>
          <w:color w:val="auto"/>
        </w:rPr>
        <w:t xml:space="preserve"> </w:t>
      </w:r>
      <w:r w:rsidRPr="00495B66">
        <w:rPr>
          <w:color w:val="auto"/>
        </w:rPr>
        <w:t>grant SSA the authority to establish requirements for the collection of information to help determi</w:t>
      </w:r>
      <w:r>
        <w:rPr>
          <w:color w:val="auto"/>
        </w:rPr>
        <w:t xml:space="preserve">ne a child’s eligibility under </w:t>
      </w:r>
      <w:r w:rsidRPr="00143E54">
        <w:rPr>
          <w:i/>
          <w:color w:val="auto"/>
        </w:rPr>
        <w:t>Title XVI</w:t>
      </w:r>
      <w:r w:rsidRPr="00495B66">
        <w:rPr>
          <w:color w:val="auto"/>
        </w:rPr>
        <w:t>.</w:t>
      </w:r>
      <w:r>
        <w:rPr>
          <w:color w:val="auto"/>
        </w:rPr>
        <w:t xml:space="preserve">  We</w:t>
      </w:r>
      <w:r w:rsidRPr="00913F82">
        <w:rPr>
          <w:color w:val="auto"/>
        </w:rPr>
        <w:t xml:space="preserve"> collect information from </w:t>
      </w:r>
      <w:r>
        <w:rPr>
          <w:color w:val="auto"/>
        </w:rPr>
        <w:t xml:space="preserve">people who know the child’s </w:t>
      </w:r>
      <w:r w:rsidRPr="00913F82">
        <w:rPr>
          <w:color w:val="auto"/>
        </w:rPr>
        <w:t xml:space="preserve">daily functioning, </w:t>
      </w:r>
      <w:r>
        <w:rPr>
          <w:color w:val="auto"/>
        </w:rPr>
        <w:t xml:space="preserve">including the child’s parent(s) or other primary caregiver(s) (hereinafter, referred to as “parent”), to assess the child’s functional limitations, as discussed in </w:t>
      </w:r>
      <w:r w:rsidRPr="00495B66">
        <w:rPr>
          <w:i/>
          <w:color w:val="auto"/>
        </w:rPr>
        <w:t>20 CFR 416.924a(a)(2)</w:t>
      </w:r>
      <w:r>
        <w:rPr>
          <w:i/>
          <w:color w:val="auto"/>
        </w:rPr>
        <w:t xml:space="preserve"> </w:t>
      </w:r>
      <w:r w:rsidRPr="00143E54">
        <w:rPr>
          <w:color w:val="auto"/>
        </w:rPr>
        <w:t>of the</w:t>
      </w:r>
      <w:r>
        <w:rPr>
          <w:i/>
          <w:color w:val="auto"/>
        </w:rPr>
        <w:t xml:space="preserve"> Code</w:t>
      </w:r>
      <w:r w:rsidRPr="00913F82">
        <w:rPr>
          <w:color w:val="auto"/>
        </w:rPr>
        <w:t>.</w:t>
      </w:r>
    </w:p>
    <w:p w:rsidR="00BC5B46" w:rsidRPr="00913F82" w:rsidP="00BC5B46" w14:paraId="5DA973A0" w14:textId="77777777">
      <w:pPr>
        <w:widowControl w:val="0"/>
        <w:suppressAutoHyphens/>
        <w:ind w:left="1440"/>
        <w:contextualSpacing/>
        <w:rPr>
          <w:color w:val="auto"/>
        </w:rPr>
      </w:pPr>
    </w:p>
    <w:p w:rsidR="00BC5B46" w:rsidRPr="00495B66" w:rsidP="00BC5B46" w14:paraId="48C5BC3B" w14:textId="77777777">
      <w:pPr>
        <w:pStyle w:val="ListParagraph"/>
        <w:widowControl w:val="0"/>
        <w:numPr>
          <w:ilvl w:val="0"/>
          <w:numId w:val="2"/>
        </w:numPr>
        <w:suppressAutoHyphens/>
        <w:ind w:left="1440" w:hanging="720"/>
        <w:rPr>
          <w:b/>
          <w:color w:val="auto"/>
        </w:rPr>
      </w:pPr>
      <w:r w:rsidRPr="00495B66">
        <w:rPr>
          <w:b/>
          <w:color w:val="auto"/>
        </w:rPr>
        <w:t xml:space="preserve">Description of Collection </w:t>
      </w:r>
    </w:p>
    <w:p w:rsidR="00BC5B46" w:rsidP="00BC5B46" w14:paraId="64D30DFB" w14:textId="77777777">
      <w:pPr>
        <w:ind w:left="1440"/>
        <w:rPr>
          <w:color w:val="000000" w:themeColor="text1"/>
          <w:lang w:eastAsia="en-US"/>
        </w:rPr>
      </w:pPr>
      <w:r w:rsidRPr="00143E54">
        <w:rPr>
          <w:color w:val="000000" w:themeColor="text1"/>
          <w:lang w:eastAsia="en-US"/>
        </w:rPr>
        <w:t xml:space="preserve">As part of SSA’s </w:t>
      </w:r>
      <w:r w:rsidRPr="00143E54">
        <w:rPr>
          <w:color w:val="auto"/>
        </w:rPr>
        <w:t>Supplemental Security Income (SSI)</w:t>
      </w:r>
      <w:r>
        <w:rPr>
          <w:color w:val="auto"/>
        </w:rPr>
        <w:t xml:space="preserve"> </w:t>
      </w:r>
      <w:r w:rsidRPr="00143E54">
        <w:rPr>
          <w:color w:val="000000" w:themeColor="text1"/>
          <w:lang w:eastAsia="en-US"/>
        </w:rPr>
        <w:t>disability</w:t>
      </w:r>
      <w:r w:rsidRPr="00143E54">
        <w:rPr>
          <w:bCs/>
          <w:color w:val="000000" w:themeColor="text1"/>
        </w:rPr>
        <w:t xml:space="preserve"> </w:t>
      </w:r>
      <w:r w:rsidRPr="00143E54">
        <w:rPr>
          <w:color w:val="000000" w:themeColor="text1"/>
          <w:lang w:eastAsia="en-US"/>
        </w:rPr>
        <w:t>determination process, we use Forms</w:t>
      </w:r>
      <w:r w:rsidRPr="00143E54">
        <w:rPr>
          <w:bCs/>
          <w:color w:val="000000" w:themeColor="text1"/>
        </w:rPr>
        <w:t xml:space="preserve"> </w:t>
      </w:r>
      <w:r w:rsidRPr="00143E54">
        <w:rPr>
          <w:color w:val="000000" w:themeColor="text1"/>
          <w:lang w:eastAsia="en-US"/>
        </w:rPr>
        <w:t>SSA-3375-BK through SSA-3379-BK</w:t>
      </w:r>
      <w:r w:rsidRPr="00143E54">
        <w:rPr>
          <w:bCs/>
          <w:color w:val="000000" w:themeColor="text1"/>
        </w:rPr>
        <w:t xml:space="preserve"> </w:t>
      </w:r>
      <w:r w:rsidRPr="00143E54">
        <w:rPr>
          <w:color w:val="000000" w:themeColor="text1"/>
          <w:lang w:eastAsia="en-US"/>
        </w:rPr>
        <w:t>to request information from a child’s</w:t>
      </w:r>
      <w:r w:rsidRPr="00143E54">
        <w:rPr>
          <w:bCs/>
          <w:color w:val="000000" w:themeColor="text1"/>
        </w:rPr>
        <w:t xml:space="preserve"> </w:t>
      </w:r>
      <w:r>
        <w:rPr>
          <w:color w:val="000000" w:themeColor="text1"/>
          <w:lang w:eastAsia="en-US"/>
        </w:rPr>
        <w:t xml:space="preserve">"caregiver”, meaning someone who has a close, familial-type relationship with the child, such as a </w:t>
      </w:r>
      <w:r w:rsidRPr="00143E54">
        <w:rPr>
          <w:color w:val="000000" w:themeColor="text1"/>
          <w:lang w:eastAsia="en-US"/>
        </w:rPr>
        <w:t>parent or guardian</w:t>
      </w:r>
      <w:r>
        <w:rPr>
          <w:color w:val="000000" w:themeColor="text1"/>
          <w:lang w:eastAsia="en-US"/>
        </w:rPr>
        <w:t>,</w:t>
      </w:r>
      <w:r w:rsidRPr="00143E54">
        <w:rPr>
          <w:color w:val="000000" w:themeColor="text1"/>
          <w:lang w:eastAsia="en-US"/>
        </w:rPr>
        <w:t xml:space="preserve"> for children applying</w:t>
      </w:r>
      <w:r w:rsidRPr="00143E54">
        <w:rPr>
          <w:bCs/>
          <w:color w:val="000000" w:themeColor="text1"/>
        </w:rPr>
        <w:t xml:space="preserve"> </w:t>
      </w:r>
      <w:r w:rsidRPr="00143E54">
        <w:rPr>
          <w:color w:val="000000" w:themeColor="text1"/>
          <w:lang w:eastAsia="en-US"/>
        </w:rPr>
        <w:t xml:space="preserve">for SSI. </w:t>
      </w:r>
      <w:r>
        <w:rPr>
          <w:color w:val="000000" w:themeColor="text1"/>
          <w:lang w:eastAsia="en-US"/>
        </w:rPr>
        <w:t xml:space="preserve"> </w:t>
      </w:r>
      <w:r w:rsidRPr="002D45F5">
        <w:rPr>
          <w:color w:val="000000" w:themeColor="text1"/>
          <w:lang w:eastAsia="en-US"/>
        </w:rPr>
        <w:t xml:space="preserve">SSA developed these forms in the late 1990s, as part of an inter-component workgroup.  Using input from regional offices, policy experts, and stakeholders, the workgroup developed the questions within each form based on SSI policy and available medical and scientific information.  The purpose of the forms was to create national uniformity in information collected about children under SSI. </w:t>
      </w:r>
      <w:r>
        <w:rPr>
          <w:color w:val="000000" w:themeColor="text1"/>
          <w:lang w:eastAsia="en-US"/>
        </w:rPr>
        <w:t xml:space="preserve"> </w:t>
      </w:r>
      <w:r w:rsidRPr="002D45F5">
        <w:rPr>
          <w:color w:val="000000" w:themeColor="text1"/>
          <w:lang w:eastAsia="en-US"/>
        </w:rPr>
        <w:t>The adjudication steps are periodically reviewed by subject matter experts in the Office of Medical Policy to monitor and ensure consistency with changes or advancements in relevant scientific fields.</w:t>
      </w:r>
      <w:r w:rsidRPr="00143E54">
        <w:rPr>
          <w:color w:val="000000" w:themeColor="text1"/>
          <w:lang w:eastAsia="en-US"/>
        </w:rPr>
        <w:t xml:space="preserve"> </w:t>
      </w:r>
    </w:p>
    <w:p w:rsidR="00BC5B46" w:rsidP="00BC5B46" w14:paraId="0FCC3B44" w14:textId="77777777">
      <w:pPr>
        <w:ind w:left="1440"/>
        <w:rPr>
          <w:color w:val="000000" w:themeColor="text1"/>
          <w:lang w:eastAsia="en-US"/>
        </w:rPr>
      </w:pPr>
    </w:p>
    <w:p w:rsidR="002910EF" w:rsidRPr="002910EF" w:rsidP="002910EF" w14:paraId="14843AF2" w14:textId="6663C996">
      <w:pPr>
        <w:ind w:left="1440"/>
        <w:rPr>
          <w:color w:val="auto"/>
        </w:rPr>
      </w:pPr>
      <w:r w:rsidRPr="002910EF">
        <w:rPr>
          <w:rStyle w:val="cf01"/>
          <w:rFonts w:ascii="Times New Roman" w:hAnsi="Times New Roman" w:cs="Times New Roman"/>
          <w:color w:val="auto"/>
          <w:sz w:val="24"/>
          <w:szCs w:val="24"/>
        </w:rPr>
        <w:t>For childhood disability claims, the respondent usually obtains and completes the form at the time of filing/when the interview is conducted (whether it be in person or via phone).</w:t>
      </w:r>
      <w:r w:rsidRPr="002910EF">
        <w:rPr>
          <w:rStyle w:val="cf01"/>
          <w:rFonts w:ascii="Times New Roman" w:hAnsi="Times New Roman" w:cs="Times New Roman"/>
          <w:color w:val="auto"/>
          <w:sz w:val="24"/>
          <w:szCs w:val="24"/>
        </w:rPr>
        <w:t xml:space="preserve"> </w:t>
      </w:r>
      <w:r w:rsidRPr="002910EF">
        <w:rPr>
          <w:rStyle w:val="cf01"/>
          <w:rFonts w:ascii="Times New Roman" w:hAnsi="Times New Roman" w:cs="Times New Roman"/>
          <w:color w:val="auto"/>
          <w:sz w:val="24"/>
          <w:szCs w:val="24"/>
        </w:rPr>
        <w:t xml:space="preserve"> However, there are times in which the adjudicative team will send out the form via mail </w:t>
      </w:r>
      <w:r>
        <w:rPr>
          <w:rStyle w:val="cf01"/>
          <w:rFonts w:ascii="Times New Roman" w:hAnsi="Times New Roman" w:cs="Times New Roman"/>
          <w:color w:val="auto"/>
          <w:sz w:val="24"/>
          <w:szCs w:val="24"/>
        </w:rPr>
        <w:t>for the respondent to</w:t>
      </w:r>
      <w:r w:rsidRPr="002910EF">
        <w:rPr>
          <w:rStyle w:val="cf01"/>
          <w:rFonts w:ascii="Times New Roman" w:hAnsi="Times New Roman" w:cs="Times New Roman"/>
          <w:color w:val="auto"/>
          <w:sz w:val="24"/>
          <w:szCs w:val="24"/>
        </w:rPr>
        <w:t xml:space="preserve"> complete and returned via mail</w:t>
      </w:r>
      <w:r>
        <w:rPr>
          <w:rStyle w:val="cf01"/>
          <w:rFonts w:ascii="Times New Roman" w:hAnsi="Times New Roman" w:cs="Times New Roman"/>
          <w:color w:val="auto"/>
          <w:sz w:val="24"/>
          <w:szCs w:val="24"/>
        </w:rPr>
        <w:t xml:space="preserve"> or </w:t>
      </w:r>
      <w:r w:rsidRPr="002910EF">
        <w:rPr>
          <w:rStyle w:val="cf01"/>
          <w:rFonts w:ascii="Times New Roman" w:hAnsi="Times New Roman" w:cs="Times New Roman"/>
          <w:color w:val="auto"/>
          <w:sz w:val="24"/>
          <w:szCs w:val="24"/>
        </w:rPr>
        <w:t xml:space="preserve">fax, or the examiner may take the information over the phone and submit the form electronically into the file. </w:t>
      </w:r>
      <w:r>
        <w:rPr>
          <w:rStyle w:val="cf01"/>
          <w:rFonts w:ascii="Times New Roman" w:hAnsi="Times New Roman" w:cs="Times New Roman"/>
          <w:color w:val="auto"/>
          <w:sz w:val="24"/>
          <w:szCs w:val="24"/>
        </w:rPr>
        <w:t xml:space="preserve"> </w:t>
      </w:r>
      <w:r w:rsidRPr="002910EF">
        <w:rPr>
          <w:rStyle w:val="cf01"/>
          <w:rFonts w:ascii="Times New Roman" w:hAnsi="Times New Roman" w:cs="Times New Roman"/>
          <w:color w:val="auto"/>
          <w:sz w:val="24"/>
          <w:szCs w:val="24"/>
        </w:rPr>
        <w:t xml:space="preserve">The adjudicative team </w:t>
      </w:r>
      <w:r>
        <w:rPr>
          <w:rStyle w:val="cf01"/>
          <w:rFonts w:ascii="Times New Roman" w:hAnsi="Times New Roman" w:cs="Times New Roman"/>
          <w:color w:val="auto"/>
          <w:sz w:val="24"/>
          <w:szCs w:val="24"/>
        </w:rPr>
        <w:t>does</w:t>
      </w:r>
      <w:r w:rsidRPr="002910EF">
        <w:rPr>
          <w:rStyle w:val="cf01"/>
          <w:rFonts w:ascii="Times New Roman" w:hAnsi="Times New Roman" w:cs="Times New Roman"/>
          <w:color w:val="auto"/>
          <w:sz w:val="24"/>
          <w:szCs w:val="24"/>
        </w:rPr>
        <w:t xml:space="preserve"> this in the event that the form is not in the electronic file when </w:t>
      </w:r>
      <w:r>
        <w:rPr>
          <w:rStyle w:val="cf01"/>
          <w:rFonts w:ascii="Times New Roman" w:hAnsi="Times New Roman" w:cs="Times New Roman"/>
          <w:color w:val="auto"/>
          <w:sz w:val="24"/>
          <w:szCs w:val="24"/>
        </w:rPr>
        <w:t xml:space="preserve">they </w:t>
      </w:r>
      <w:r w:rsidRPr="002910EF">
        <w:rPr>
          <w:rStyle w:val="cf01"/>
          <w:rFonts w:ascii="Times New Roman" w:hAnsi="Times New Roman" w:cs="Times New Roman"/>
          <w:color w:val="auto"/>
          <w:sz w:val="24"/>
          <w:szCs w:val="24"/>
        </w:rPr>
        <w:t>receiv</w:t>
      </w:r>
      <w:r>
        <w:rPr>
          <w:rStyle w:val="cf01"/>
          <w:rFonts w:ascii="Times New Roman" w:hAnsi="Times New Roman" w:cs="Times New Roman"/>
          <w:color w:val="auto"/>
          <w:sz w:val="24"/>
          <w:szCs w:val="24"/>
        </w:rPr>
        <w:t>e</w:t>
      </w:r>
      <w:r w:rsidRPr="002910EF">
        <w:rPr>
          <w:rStyle w:val="cf01"/>
          <w:rFonts w:ascii="Times New Roman" w:hAnsi="Times New Roman" w:cs="Times New Roman"/>
          <w:color w:val="auto"/>
          <w:sz w:val="24"/>
          <w:szCs w:val="24"/>
        </w:rPr>
        <w:t xml:space="preserve"> the case, the form was inaccurately completed at the time of filing, or the</w:t>
      </w:r>
      <w:r>
        <w:rPr>
          <w:rStyle w:val="cf01"/>
          <w:rFonts w:ascii="Times New Roman" w:hAnsi="Times New Roman" w:cs="Times New Roman"/>
          <w:color w:val="auto"/>
          <w:sz w:val="24"/>
          <w:szCs w:val="24"/>
        </w:rPr>
        <w:t xml:space="preserve"> respondent</w:t>
      </w:r>
      <w:r w:rsidRPr="002910EF">
        <w:rPr>
          <w:rStyle w:val="cf01"/>
          <w:rFonts w:ascii="Times New Roman" w:hAnsi="Times New Roman" w:cs="Times New Roman"/>
          <w:color w:val="auto"/>
          <w:sz w:val="24"/>
          <w:szCs w:val="24"/>
        </w:rPr>
        <w:t xml:space="preserve"> failed to provide or elaborate on the appropriate details necessary to assist with case adjudication regarding functioning. </w:t>
      </w:r>
      <w:r>
        <w:rPr>
          <w:rStyle w:val="cf01"/>
          <w:rFonts w:ascii="Times New Roman" w:hAnsi="Times New Roman" w:cs="Times New Roman"/>
          <w:color w:val="auto"/>
          <w:sz w:val="24"/>
          <w:szCs w:val="24"/>
        </w:rPr>
        <w:t xml:space="preserve"> </w:t>
      </w:r>
      <w:r w:rsidRPr="002910EF">
        <w:rPr>
          <w:rStyle w:val="cf01"/>
          <w:rFonts w:ascii="Times New Roman" w:hAnsi="Times New Roman" w:cs="Times New Roman"/>
          <w:color w:val="auto"/>
          <w:sz w:val="24"/>
          <w:szCs w:val="24"/>
        </w:rPr>
        <w:t>The respondents generally answer the questions on their own whether it be through personal interview (electronic submission) or handwritten and returned to the FO or DDS.</w:t>
      </w:r>
    </w:p>
    <w:p w:rsidR="002910EF" w:rsidP="002910EF" w14:paraId="6359A3FA" w14:textId="77777777">
      <w:pPr>
        <w:rPr>
          <w:rStyle w:val="cf01"/>
        </w:rPr>
      </w:pPr>
    </w:p>
    <w:p w:rsidR="00BC5B46" w:rsidP="00BC5B46" w14:paraId="290A5474" w14:textId="5D4CB8C7">
      <w:pPr>
        <w:ind w:left="1440"/>
        <w:rPr>
          <w:color w:val="auto"/>
        </w:rPr>
      </w:pPr>
      <w:r w:rsidRPr="00143E54">
        <w:rPr>
          <w:color w:val="000000" w:themeColor="text1"/>
          <w:lang w:eastAsia="en-US"/>
        </w:rPr>
        <w:t>The five different versions of the</w:t>
      </w:r>
      <w:r w:rsidRPr="00143E54">
        <w:rPr>
          <w:bCs/>
          <w:color w:val="000000" w:themeColor="text1"/>
        </w:rPr>
        <w:t xml:space="preserve"> </w:t>
      </w:r>
      <w:r w:rsidRPr="00143E54">
        <w:rPr>
          <w:color w:val="000000" w:themeColor="text1"/>
          <w:lang w:eastAsia="en-US"/>
        </w:rPr>
        <w:t>form contain questions about the child’s</w:t>
      </w:r>
      <w:r w:rsidRPr="00143E54">
        <w:rPr>
          <w:bCs/>
          <w:color w:val="000000" w:themeColor="text1"/>
        </w:rPr>
        <w:t xml:space="preserve"> </w:t>
      </w:r>
      <w:r w:rsidRPr="00143E54">
        <w:rPr>
          <w:color w:val="000000" w:themeColor="text1"/>
          <w:lang w:eastAsia="en-US"/>
        </w:rPr>
        <w:t>day</w:t>
      </w:r>
      <w:r w:rsidR="002374D5">
        <w:rPr>
          <w:color w:val="000000" w:themeColor="text1"/>
          <w:lang w:eastAsia="en-US"/>
        </w:rPr>
        <w:noBreakHyphen/>
      </w:r>
      <w:r w:rsidRPr="00143E54">
        <w:rPr>
          <w:color w:val="000000" w:themeColor="text1"/>
          <w:lang w:eastAsia="en-US"/>
        </w:rPr>
        <w:t>to</w:t>
      </w:r>
      <w:r w:rsidR="002374D5">
        <w:rPr>
          <w:color w:val="000000" w:themeColor="text1"/>
          <w:lang w:eastAsia="en-US"/>
        </w:rPr>
        <w:noBreakHyphen/>
      </w:r>
      <w:r w:rsidRPr="00143E54">
        <w:rPr>
          <w:color w:val="000000" w:themeColor="text1"/>
          <w:lang w:eastAsia="en-US"/>
        </w:rPr>
        <w:t>day functioning appropriate to a</w:t>
      </w:r>
      <w:r w:rsidRPr="00143E54">
        <w:rPr>
          <w:bCs/>
          <w:color w:val="000000" w:themeColor="text1"/>
        </w:rPr>
        <w:t xml:space="preserve"> </w:t>
      </w:r>
      <w:r w:rsidRPr="00143E54">
        <w:rPr>
          <w:color w:val="000000" w:themeColor="text1"/>
          <w:lang w:eastAsia="en-US"/>
        </w:rPr>
        <w:t>particular age group; thus, respondents</w:t>
      </w:r>
      <w:r w:rsidRPr="00143E54">
        <w:rPr>
          <w:bCs/>
          <w:color w:val="000000" w:themeColor="text1"/>
        </w:rPr>
        <w:t xml:space="preserve"> </w:t>
      </w:r>
      <w:r w:rsidRPr="00143E54">
        <w:rPr>
          <w:color w:val="000000" w:themeColor="text1"/>
          <w:lang w:eastAsia="en-US"/>
        </w:rPr>
        <w:t>use only one version of the form for</w:t>
      </w:r>
      <w:r w:rsidRPr="00143E54">
        <w:rPr>
          <w:bCs/>
          <w:color w:val="000000" w:themeColor="text1"/>
        </w:rPr>
        <w:t xml:space="preserve"> </w:t>
      </w:r>
      <w:r w:rsidRPr="00143E54">
        <w:rPr>
          <w:color w:val="000000" w:themeColor="text1"/>
          <w:lang w:eastAsia="en-US"/>
        </w:rPr>
        <w:t>each child.  The adjudicative team</w:t>
      </w:r>
      <w:r w:rsidRPr="00143E54">
        <w:rPr>
          <w:bCs/>
          <w:color w:val="000000" w:themeColor="text1"/>
        </w:rPr>
        <w:t xml:space="preserve"> </w:t>
      </w:r>
      <w:r w:rsidRPr="00143E54">
        <w:rPr>
          <w:color w:val="000000" w:themeColor="text1"/>
          <w:lang w:eastAsia="en-US"/>
        </w:rPr>
        <w:t xml:space="preserve">(disability examiners and medical </w:t>
      </w:r>
      <w:r>
        <w:rPr>
          <w:color w:val="000000" w:themeColor="text1"/>
          <w:lang w:eastAsia="en-US"/>
        </w:rPr>
        <w:t>and/</w:t>
      </w:r>
      <w:r w:rsidRPr="00143E54">
        <w:rPr>
          <w:color w:val="000000" w:themeColor="text1"/>
          <w:lang w:eastAsia="en-US"/>
        </w:rPr>
        <w:t>or</w:t>
      </w:r>
      <w:r w:rsidRPr="00143E54">
        <w:rPr>
          <w:bCs/>
          <w:color w:val="000000" w:themeColor="text1"/>
        </w:rPr>
        <w:t xml:space="preserve"> </w:t>
      </w:r>
      <w:r w:rsidRPr="00143E54">
        <w:rPr>
          <w:color w:val="000000" w:themeColor="text1"/>
          <w:lang w:eastAsia="en-US"/>
        </w:rPr>
        <w:t>psychological consultants) of State</w:t>
      </w:r>
      <w:r w:rsidRPr="00143E54">
        <w:rPr>
          <w:bCs/>
          <w:color w:val="000000" w:themeColor="text1"/>
        </w:rPr>
        <w:t xml:space="preserve"> </w:t>
      </w:r>
      <w:r w:rsidR="008D2CB2">
        <w:rPr>
          <w:color w:val="000000" w:themeColor="text1"/>
          <w:lang w:eastAsia="en-US"/>
        </w:rPr>
        <w:t>D</w:t>
      </w:r>
      <w:r w:rsidRPr="00143E54">
        <w:rPr>
          <w:color w:val="000000" w:themeColor="text1"/>
          <w:lang w:eastAsia="en-US"/>
        </w:rPr>
        <w:t xml:space="preserve">isability </w:t>
      </w:r>
      <w:r w:rsidR="008D2CB2">
        <w:rPr>
          <w:color w:val="000000" w:themeColor="text1"/>
          <w:lang w:eastAsia="en-US"/>
        </w:rPr>
        <w:t>D</w:t>
      </w:r>
      <w:r w:rsidRPr="00143E54">
        <w:rPr>
          <w:color w:val="000000" w:themeColor="text1"/>
          <w:lang w:eastAsia="en-US"/>
        </w:rPr>
        <w:t xml:space="preserve">etermination </w:t>
      </w:r>
      <w:r w:rsidR="008D2CB2">
        <w:rPr>
          <w:color w:val="000000" w:themeColor="text1"/>
          <w:lang w:eastAsia="en-US"/>
        </w:rPr>
        <w:t>S</w:t>
      </w:r>
      <w:r w:rsidRPr="00143E54">
        <w:rPr>
          <w:color w:val="000000" w:themeColor="text1"/>
          <w:lang w:eastAsia="en-US"/>
        </w:rPr>
        <w:t>ervices</w:t>
      </w:r>
      <w:r>
        <w:rPr>
          <w:color w:val="000000" w:themeColor="text1"/>
          <w:lang w:eastAsia="en-US"/>
        </w:rPr>
        <w:t xml:space="preserve"> (DDS)</w:t>
      </w:r>
      <w:r w:rsidRPr="00143E54">
        <w:rPr>
          <w:color w:val="000000" w:themeColor="text1"/>
          <w:lang w:eastAsia="en-US"/>
        </w:rPr>
        <w:t xml:space="preserve"> offices</w:t>
      </w:r>
      <w:r w:rsidRPr="00143E54">
        <w:rPr>
          <w:bCs/>
          <w:color w:val="000000" w:themeColor="text1"/>
        </w:rPr>
        <w:t xml:space="preserve"> </w:t>
      </w:r>
      <w:r w:rsidRPr="00143E54">
        <w:rPr>
          <w:color w:val="000000" w:themeColor="text1"/>
          <w:lang w:eastAsia="en-US"/>
        </w:rPr>
        <w:t>collect the information on the</w:t>
      </w:r>
      <w:r w:rsidRPr="00143E54">
        <w:rPr>
          <w:bCs/>
          <w:color w:val="000000" w:themeColor="text1"/>
        </w:rPr>
        <w:t xml:space="preserve"> </w:t>
      </w:r>
      <w:r>
        <w:rPr>
          <w:bCs/>
          <w:color w:val="000000" w:themeColor="text1"/>
        </w:rPr>
        <w:t>age</w:t>
      </w:r>
      <w:r w:rsidR="002374D5">
        <w:rPr>
          <w:bCs/>
          <w:color w:val="000000" w:themeColor="text1"/>
        </w:rPr>
        <w:noBreakHyphen/>
      </w:r>
      <w:r w:rsidRPr="00143E54">
        <w:rPr>
          <w:color w:val="000000" w:themeColor="text1"/>
          <w:lang w:eastAsia="en-US"/>
        </w:rPr>
        <w:t xml:space="preserve">appropriate version of </w:t>
      </w:r>
      <w:r>
        <w:rPr>
          <w:color w:val="000000" w:themeColor="text1"/>
          <w:lang w:eastAsia="en-US"/>
        </w:rPr>
        <w:t xml:space="preserve">Forms SSA-3375-BK through SSA-3379-BK, </w:t>
      </w:r>
      <w:r w:rsidRPr="00143E54">
        <w:rPr>
          <w:color w:val="000000" w:themeColor="text1"/>
          <w:lang w:eastAsia="en-US"/>
        </w:rPr>
        <w:t>in</w:t>
      </w:r>
      <w:r w:rsidRPr="00143E54">
        <w:rPr>
          <w:bCs/>
          <w:color w:val="000000" w:themeColor="text1"/>
        </w:rPr>
        <w:t xml:space="preserve"> </w:t>
      </w:r>
      <w:r w:rsidRPr="00143E54">
        <w:rPr>
          <w:color w:val="000000" w:themeColor="text1"/>
          <w:lang w:eastAsia="en-US"/>
        </w:rPr>
        <w:t>conjunction with medical and other</w:t>
      </w:r>
      <w:r w:rsidRPr="00143E54">
        <w:rPr>
          <w:bCs/>
          <w:color w:val="000000" w:themeColor="text1"/>
        </w:rPr>
        <w:t xml:space="preserve"> </w:t>
      </w:r>
      <w:r w:rsidRPr="00143E54">
        <w:rPr>
          <w:color w:val="000000" w:themeColor="text1"/>
          <w:lang w:eastAsia="en-US"/>
        </w:rPr>
        <w:t>evidence</w:t>
      </w:r>
      <w:r>
        <w:rPr>
          <w:color w:val="000000" w:themeColor="text1"/>
          <w:lang w:eastAsia="en-US"/>
        </w:rPr>
        <w:t>,</w:t>
      </w:r>
      <w:r w:rsidRPr="00143E54">
        <w:rPr>
          <w:color w:val="000000" w:themeColor="text1"/>
          <w:lang w:eastAsia="en-US"/>
        </w:rPr>
        <w:t xml:space="preserve"> to form a </w:t>
      </w:r>
      <w:r>
        <w:rPr>
          <w:color w:val="000000" w:themeColor="text1"/>
          <w:lang w:eastAsia="en-US"/>
        </w:rPr>
        <w:t xml:space="preserve">comprehensive depiction </w:t>
      </w:r>
      <w:r w:rsidRPr="00143E54">
        <w:rPr>
          <w:color w:val="000000" w:themeColor="text1"/>
          <w:lang w:eastAsia="en-US"/>
        </w:rPr>
        <w:t>of</w:t>
      </w:r>
      <w:r w:rsidRPr="00143E54">
        <w:rPr>
          <w:bCs/>
          <w:color w:val="000000" w:themeColor="text1"/>
        </w:rPr>
        <w:t xml:space="preserve"> </w:t>
      </w:r>
      <w:r w:rsidRPr="00143E54">
        <w:rPr>
          <w:color w:val="000000" w:themeColor="text1"/>
          <w:lang w:eastAsia="en-US"/>
        </w:rPr>
        <w:t>the child’s function</w:t>
      </w:r>
      <w:r>
        <w:rPr>
          <w:color w:val="000000" w:themeColor="text1"/>
          <w:lang w:eastAsia="en-US"/>
        </w:rPr>
        <w:t>ing</w:t>
      </w:r>
      <w:r w:rsidRPr="00143E54">
        <w:rPr>
          <w:color w:val="000000" w:themeColor="text1"/>
          <w:lang w:eastAsia="en-US"/>
        </w:rPr>
        <w:t xml:space="preserve"> and</w:t>
      </w:r>
      <w:r w:rsidRPr="00143E54">
        <w:rPr>
          <w:bCs/>
          <w:color w:val="000000" w:themeColor="text1"/>
        </w:rPr>
        <w:t xml:space="preserve"> </w:t>
      </w:r>
      <w:r>
        <w:rPr>
          <w:bCs/>
          <w:color w:val="000000" w:themeColor="text1"/>
        </w:rPr>
        <w:t>any</w:t>
      </w:r>
      <w:r w:rsidRPr="00143E54">
        <w:rPr>
          <w:color w:val="000000" w:themeColor="text1"/>
          <w:lang w:eastAsia="en-US"/>
        </w:rPr>
        <w:t xml:space="preserve"> impairment-related limitations.</w:t>
      </w:r>
      <w:r w:rsidRPr="00143E54">
        <w:rPr>
          <w:bCs/>
          <w:color w:val="000000" w:themeColor="text1"/>
        </w:rPr>
        <w:t xml:space="preserve">  </w:t>
      </w:r>
      <w:r w:rsidRPr="00143E54">
        <w:rPr>
          <w:color w:val="000000" w:themeColor="text1"/>
          <w:lang w:eastAsia="en-US"/>
        </w:rPr>
        <w:t>The adjudicative team uses the</w:t>
      </w:r>
      <w:r w:rsidRPr="00143E54">
        <w:rPr>
          <w:bCs/>
          <w:color w:val="000000" w:themeColor="text1"/>
        </w:rPr>
        <w:t xml:space="preserve"> </w:t>
      </w:r>
      <w:r w:rsidRPr="00143E54">
        <w:rPr>
          <w:color w:val="000000" w:themeColor="text1"/>
          <w:lang w:eastAsia="en-US"/>
        </w:rPr>
        <w:t xml:space="preserve">completed </w:t>
      </w:r>
      <w:r>
        <w:rPr>
          <w:color w:val="000000" w:themeColor="text1"/>
          <w:lang w:eastAsia="en-US"/>
        </w:rPr>
        <w:t>form</w:t>
      </w:r>
      <w:r w:rsidRPr="00143E54">
        <w:rPr>
          <w:color w:val="000000" w:themeColor="text1"/>
          <w:lang w:eastAsia="en-US"/>
        </w:rPr>
        <w:t xml:space="preserve"> to determine: </w:t>
      </w:r>
      <w:r w:rsidR="00AC4912">
        <w:rPr>
          <w:color w:val="000000" w:themeColor="text1"/>
          <w:lang w:eastAsia="en-US"/>
        </w:rPr>
        <w:t xml:space="preserve"> </w:t>
      </w:r>
      <w:r w:rsidRPr="00143E54">
        <w:rPr>
          <w:color w:val="000000" w:themeColor="text1"/>
          <w:lang w:eastAsia="en-US"/>
        </w:rPr>
        <w:t>(1) if</w:t>
      </w:r>
      <w:r w:rsidRPr="00143E54">
        <w:rPr>
          <w:bCs/>
          <w:color w:val="000000" w:themeColor="text1"/>
        </w:rPr>
        <w:t xml:space="preserve"> </w:t>
      </w:r>
      <w:r w:rsidRPr="00143E54">
        <w:rPr>
          <w:color w:val="000000" w:themeColor="text1"/>
          <w:lang w:eastAsia="en-US"/>
        </w:rPr>
        <w:t>each child’s impairment(s) results in</w:t>
      </w:r>
      <w:r w:rsidRPr="00143E54">
        <w:rPr>
          <w:bCs/>
          <w:color w:val="000000" w:themeColor="text1"/>
        </w:rPr>
        <w:t xml:space="preserve"> </w:t>
      </w:r>
      <w:r w:rsidRPr="00143E54">
        <w:rPr>
          <w:color w:val="000000" w:themeColor="text1"/>
          <w:lang w:eastAsia="en-US"/>
        </w:rPr>
        <w:t>marked and severe functional</w:t>
      </w:r>
      <w:r w:rsidRPr="00143E54">
        <w:rPr>
          <w:bCs/>
          <w:color w:val="000000" w:themeColor="text1"/>
        </w:rPr>
        <w:t xml:space="preserve"> </w:t>
      </w:r>
      <w:r w:rsidRPr="00143E54">
        <w:rPr>
          <w:color w:val="000000" w:themeColor="text1"/>
          <w:lang w:eastAsia="en-US"/>
        </w:rPr>
        <w:t>limitations; and (2) whether each child</w:t>
      </w:r>
      <w:r w:rsidRPr="00143E54">
        <w:rPr>
          <w:bCs/>
          <w:color w:val="000000" w:themeColor="text1"/>
        </w:rPr>
        <w:t xml:space="preserve"> </w:t>
      </w:r>
      <w:r w:rsidRPr="00143E54">
        <w:rPr>
          <w:color w:val="000000" w:themeColor="text1"/>
          <w:lang w:eastAsia="en-US"/>
        </w:rPr>
        <w:t xml:space="preserve">is disabled.  </w:t>
      </w:r>
    </w:p>
    <w:p w:rsidR="00125CBB" w:rsidP="00BC5B46" w14:paraId="61E3A002" w14:textId="77777777">
      <w:pPr>
        <w:ind w:left="1440"/>
        <w:rPr>
          <w:color w:val="auto"/>
        </w:rPr>
      </w:pPr>
    </w:p>
    <w:p w:rsidR="00125CBB" w:rsidRPr="001F2CF1" w:rsidP="00125CBB" w14:paraId="5A8498F2" w14:textId="481C0CF0">
      <w:pPr>
        <w:ind w:left="1440"/>
        <w:rPr>
          <w:color w:val="000000" w:themeColor="text1"/>
        </w:rPr>
      </w:pPr>
      <w:r w:rsidRPr="001F2CF1">
        <w:rPr>
          <w:color w:val="000000" w:themeColor="text1"/>
        </w:rPr>
        <w:t>We identified the following psychological cost based on the requirements for this information collection:</w:t>
      </w:r>
    </w:p>
    <w:p w:rsidR="00125CBB" w:rsidRPr="008D5701" w:rsidP="00125CBB" w14:paraId="2BEC6AF6" w14:textId="77777777">
      <w:pPr>
        <w:ind w:left="1440"/>
      </w:pPr>
    </w:p>
    <w:p w:rsidR="00125CBB" w:rsidRPr="00125CBB" w:rsidP="00125CBB" w14:paraId="27D01A30" w14:textId="6030B852">
      <w:pPr>
        <w:pStyle w:val="ListParagraph"/>
        <w:numPr>
          <w:ilvl w:val="0"/>
          <w:numId w:val="6"/>
        </w:numPr>
        <w:ind w:left="1890" w:hanging="450"/>
        <w:rPr>
          <w:color w:val="000000" w:themeColor="text1"/>
        </w:rPr>
      </w:pPr>
      <w:r w:rsidRPr="00125CBB">
        <w:rPr>
          <w:b/>
          <w:bCs/>
          <w:color w:val="000000" w:themeColor="text1"/>
          <w:u w:val="single"/>
        </w:rPr>
        <w:t>Psychological Cost</w:t>
      </w:r>
      <w:r w:rsidRPr="00125CBB">
        <w:rPr>
          <w:color w:val="000000" w:themeColor="text1"/>
        </w:rPr>
        <w:t xml:space="preserve">:  </w:t>
      </w:r>
    </w:p>
    <w:p w:rsidR="00125CBB" w:rsidRPr="00125CBB" w:rsidP="00125CBB" w14:paraId="75896D77" w14:textId="17BF91E6">
      <w:pPr>
        <w:pStyle w:val="ListParagraph"/>
        <w:numPr>
          <w:ilvl w:val="1"/>
          <w:numId w:val="6"/>
        </w:numPr>
        <w:ind w:left="2250"/>
        <w:rPr>
          <w:color w:val="000000" w:themeColor="text1"/>
        </w:rPr>
      </w:pPr>
      <w:r w:rsidRPr="00125CBB">
        <w:rPr>
          <w:b/>
          <w:bCs/>
          <w:color w:val="000000" w:themeColor="text1"/>
        </w:rPr>
        <w:t>Requirement for the Program:</w:t>
      </w:r>
      <w:r w:rsidRPr="00125CBB">
        <w:rPr>
          <w:color w:val="000000" w:themeColor="text1"/>
        </w:rPr>
        <w:t xml:space="preserve">  </w:t>
      </w:r>
      <w:r>
        <w:rPr>
          <w:color w:val="auto"/>
        </w:rPr>
        <w:t>these forms require the respondent to provide personal information about the child’s functioning, capabilities, and limitations during the disability case process</w:t>
      </w:r>
      <w:r w:rsidRPr="00125CBB">
        <w:rPr>
          <w:color w:val="000000" w:themeColor="text1"/>
        </w:rPr>
        <w:t xml:space="preserve">. </w:t>
      </w:r>
    </w:p>
    <w:p w:rsidR="00125CBB" w:rsidRPr="00125CBB" w:rsidP="00125CBB" w14:paraId="343959C1" w14:textId="77777777">
      <w:pPr>
        <w:pStyle w:val="ListParagraph"/>
        <w:ind w:left="2250"/>
        <w:rPr>
          <w:color w:val="000000" w:themeColor="text1"/>
        </w:rPr>
      </w:pPr>
    </w:p>
    <w:p w:rsidR="00125CBB" w:rsidRPr="00125CBB" w:rsidP="00125CBB" w14:paraId="17350DC5" w14:textId="35CD3520">
      <w:pPr>
        <w:pStyle w:val="ListParagraph"/>
        <w:numPr>
          <w:ilvl w:val="1"/>
          <w:numId w:val="6"/>
        </w:numPr>
        <w:ind w:left="2250"/>
        <w:rPr>
          <w:color w:val="000000" w:themeColor="text1"/>
        </w:rPr>
      </w:pPr>
      <w:r w:rsidRPr="00125CBB">
        <w:rPr>
          <w:b/>
          <w:bCs/>
          <w:color w:val="000000" w:themeColor="text1"/>
        </w:rPr>
        <w:t xml:space="preserve">Psychological Cost:  </w:t>
      </w:r>
      <w:r>
        <w:rPr>
          <w:color w:val="auto"/>
        </w:rPr>
        <w:t xml:space="preserve">Despite the value of the information collected from the form in the adjudicative process, the respondent </w:t>
      </w:r>
      <w:r w:rsidRPr="00C502A1">
        <w:rPr>
          <w:color w:val="auto"/>
        </w:rPr>
        <w:t>may perceiv</w:t>
      </w:r>
      <w:r>
        <w:rPr>
          <w:color w:val="auto"/>
        </w:rPr>
        <w:t>e</w:t>
      </w:r>
      <w:r w:rsidRPr="00C502A1">
        <w:rPr>
          <w:color w:val="auto"/>
        </w:rPr>
        <w:t xml:space="preserve"> the information</w:t>
      </w:r>
      <w:r>
        <w:rPr>
          <w:color w:val="auto"/>
        </w:rPr>
        <w:t xml:space="preserve"> requested to be unduly</w:t>
      </w:r>
      <w:r w:rsidRPr="00C502A1">
        <w:rPr>
          <w:color w:val="auto"/>
        </w:rPr>
        <w:t xml:space="preserve"> invasive</w:t>
      </w:r>
      <w:r w:rsidRPr="00125CBB">
        <w:rPr>
          <w:color w:val="000000" w:themeColor="text1"/>
        </w:rPr>
        <w:t>.</w:t>
      </w:r>
    </w:p>
    <w:p w:rsidR="00125CBB" w:rsidRPr="00125CBB" w:rsidP="00125CBB" w14:paraId="695DEB12" w14:textId="77777777">
      <w:pPr>
        <w:pStyle w:val="ListParagraph"/>
        <w:rPr>
          <w:color w:val="000000" w:themeColor="text1"/>
        </w:rPr>
      </w:pPr>
    </w:p>
    <w:p w:rsidR="00125CBB" w:rsidRPr="00125CBB" w:rsidP="00125CBB" w14:paraId="53100DB2" w14:textId="77777777">
      <w:pPr>
        <w:ind w:left="1440"/>
        <w:rPr>
          <w:color w:val="000000" w:themeColor="text1"/>
        </w:rPr>
      </w:pPr>
      <w:r w:rsidRPr="00125CBB">
        <w:rPr>
          <w:color w:val="000000" w:themeColor="text1"/>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125CBB" w:rsidRPr="00125CBB" w:rsidP="00BC5B46" w14:paraId="2D8821C7" w14:textId="77777777">
      <w:pPr>
        <w:ind w:left="1440"/>
        <w:rPr>
          <w:color w:val="000000" w:themeColor="text1"/>
        </w:rPr>
      </w:pPr>
    </w:p>
    <w:p w:rsidR="00BC5B46" w:rsidP="00BC5B46" w14:paraId="0C56BB30" w14:textId="379EE53D">
      <w:pPr>
        <w:widowControl w:val="0"/>
        <w:suppressAutoHyphens/>
        <w:ind w:left="1440"/>
        <w:contextualSpacing/>
        <w:rPr>
          <w:color w:val="000000" w:themeColor="text1"/>
          <w:lang w:eastAsia="en-US"/>
        </w:rPr>
      </w:pPr>
      <w:r w:rsidRPr="00143E54">
        <w:rPr>
          <w:color w:val="000000" w:themeColor="text1"/>
          <w:lang w:eastAsia="en-US"/>
        </w:rPr>
        <w:t xml:space="preserve">The respondents are </w:t>
      </w:r>
      <w:r>
        <w:rPr>
          <w:color w:val="000000" w:themeColor="text1"/>
          <w:lang w:eastAsia="en-US"/>
        </w:rPr>
        <w:t xml:space="preserve">caregivers, including </w:t>
      </w:r>
      <w:r w:rsidRPr="00143E54">
        <w:rPr>
          <w:color w:val="000000" w:themeColor="text1"/>
          <w:lang w:eastAsia="en-US"/>
        </w:rPr>
        <w:t>parents</w:t>
      </w:r>
      <w:r>
        <w:rPr>
          <w:color w:val="000000" w:themeColor="text1"/>
          <w:lang w:eastAsia="en-US"/>
        </w:rPr>
        <w:t>,</w:t>
      </w:r>
      <w:r w:rsidRPr="00143E54">
        <w:rPr>
          <w:bCs/>
          <w:color w:val="000000" w:themeColor="text1"/>
        </w:rPr>
        <w:t xml:space="preserve"> </w:t>
      </w:r>
      <w:r w:rsidRPr="00143E54">
        <w:rPr>
          <w:color w:val="000000" w:themeColor="text1"/>
          <w:lang w:eastAsia="en-US"/>
        </w:rPr>
        <w:t>guardians</w:t>
      </w:r>
      <w:r>
        <w:rPr>
          <w:color w:val="000000" w:themeColor="text1"/>
          <w:lang w:eastAsia="en-US"/>
        </w:rPr>
        <w:t>, and/or any other individual who has a close, familial type relationship</w:t>
      </w:r>
      <w:r w:rsidRPr="00143E54">
        <w:rPr>
          <w:color w:val="000000" w:themeColor="text1"/>
          <w:lang w:eastAsia="en-US"/>
        </w:rPr>
        <w:t xml:space="preserve"> </w:t>
      </w:r>
      <w:r>
        <w:rPr>
          <w:color w:val="000000" w:themeColor="text1"/>
          <w:lang w:eastAsia="en-US"/>
        </w:rPr>
        <w:t xml:space="preserve">with the </w:t>
      </w:r>
      <w:r w:rsidRPr="00143E54">
        <w:rPr>
          <w:color w:val="000000" w:themeColor="text1"/>
          <w:lang w:eastAsia="en-US"/>
        </w:rPr>
        <w:t>child appl</w:t>
      </w:r>
      <w:r>
        <w:rPr>
          <w:color w:val="000000" w:themeColor="text1"/>
          <w:lang w:eastAsia="en-US"/>
        </w:rPr>
        <w:t xml:space="preserve">ying </w:t>
      </w:r>
      <w:r w:rsidRPr="00143E54">
        <w:rPr>
          <w:color w:val="000000" w:themeColor="text1"/>
          <w:lang w:eastAsia="en-US"/>
        </w:rPr>
        <w:t>for</w:t>
      </w:r>
      <w:r w:rsidRPr="00143E54">
        <w:rPr>
          <w:bCs/>
          <w:color w:val="000000" w:themeColor="text1"/>
        </w:rPr>
        <w:t xml:space="preserve"> </w:t>
      </w:r>
      <w:r w:rsidRPr="00143E54">
        <w:rPr>
          <w:color w:val="000000" w:themeColor="text1"/>
          <w:lang w:eastAsia="en-US"/>
        </w:rPr>
        <w:t>SSI.</w:t>
      </w:r>
    </w:p>
    <w:p w:rsidR="00BC5B46" w:rsidRPr="00C502A1" w:rsidP="00125CBB" w14:paraId="23581EF3" w14:textId="77777777">
      <w:pPr>
        <w:widowControl w:val="0"/>
        <w:suppressAutoHyphens/>
        <w:contextualSpacing/>
        <w:rPr>
          <w:color w:val="auto"/>
        </w:rPr>
      </w:pPr>
    </w:p>
    <w:p w:rsidR="00BC5B46" w:rsidRPr="00C502A1" w:rsidP="00BC5B46" w14:paraId="06A8069B" w14:textId="77777777">
      <w:pPr>
        <w:pStyle w:val="ListParagraph"/>
        <w:widowControl w:val="0"/>
        <w:numPr>
          <w:ilvl w:val="0"/>
          <w:numId w:val="2"/>
        </w:numPr>
        <w:suppressAutoHyphens/>
        <w:autoSpaceDE w:val="0"/>
        <w:autoSpaceDN w:val="0"/>
        <w:adjustRightInd w:val="0"/>
        <w:ind w:left="1440" w:hanging="720"/>
        <w:rPr>
          <w:b/>
          <w:color w:val="auto"/>
        </w:rPr>
      </w:pPr>
      <w:r w:rsidRPr="00C502A1">
        <w:rPr>
          <w:b/>
          <w:color w:val="auto"/>
        </w:rPr>
        <w:t xml:space="preserve">Use of Information Technology </w:t>
      </w:r>
      <w:r w:rsidRPr="00C502A1">
        <w:rPr>
          <w:b/>
          <w:color w:val="auto"/>
        </w:rPr>
        <w:t>To</w:t>
      </w:r>
      <w:r w:rsidRPr="00C502A1">
        <w:rPr>
          <w:b/>
          <w:color w:val="auto"/>
        </w:rPr>
        <w:t xml:space="preserve"> Collect the Information  </w:t>
      </w:r>
    </w:p>
    <w:p w:rsidR="002910EF" w:rsidRPr="002910EF" w:rsidP="002910EF" w14:paraId="455E1FED" w14:textId="18D29A5D">
      <w:pPr>
        <w:pStyle w:val="ListParagraph"/>
        <w:widowControl w:val="0"/>
        <w:suppressAutoHyphens/>
        <w:autoSpaceDE w:val="0"/>
        <w:autoSpaceDN w:val="0"/>
        <w:adjustRightInd w:val="0"/>
        <w:ind w:left="1440"/>
        <w:rPr>
          <w:color w:val="auto"/>
        </w:rPr>
      </w:pPr>
      <w:r w:rsidRPr="00C502A1">
        <w:rPr>
          <w:color w:val="auto"/>
        </w:rPr>
        <w:t xml:space="preserve">Respondents can respond to this information collection </w:t>
      </w:r>
      <w:r w:rsidR="00894E09">
        <w:rPr>
          <w:color w:val="auto"/>
        </w:rPr>
        <w:t>via an</w:t>
      </w:r>
      <w:r w:rsidRPr="00C502A1">
        <w:rPr>
          <w:color w:val="auto"/>
        </w:rPr>
        <w:t xml:space="preserve"> in-person interview setting in a Field Office (FO) or v</w:t>
      </w:r>
      <w:r w:rsidR="00894E09">
        <w:rPr>
          <w:color w:val="auto"/>
        </w:rPr>
        <w:t xml:space="preserve">ia </w:t>
      </w:r>
      <w:r w:rsidRPr="00C502A1">
        <w:rPr>
          <w:color w:val="auto"/>
        </w:rPr>
        <w:t>telephone interview with a FO representative and/or state Disability Determination Services adjudicator.</w:t>
      </w:r>
      <w:r>
        <w:rPr>
          <w:color w:val="auto"/>
        </w:rPr>
        <w:t xml:space="preserve">  This is the case for most respondents.  However, i</w:t>
      </w:r>
      <w:r w:rsidRPr="00C502A1">
        <w:rPr>
          <w:color w:val="auto"/>
        </w:rPr>
        <w:t>n some instances, this information is obtained when a parent and/or caregiver completes the fillable form at home and physically brings it</w:t>
      </w:r>
      <w:r w:rsidR="006F0F09">
        <w:rPr>
          <w:color w:val="auto"/>
        </w:rPr>
        <w:t xml:space="preserve"> </w:t>
      </w:r>
      <w:r w:rsidRPr="00C502A1">
        <w:rPr>
          <w:color w:val="auto"/>
        </w:rPr>
        <w:t>to the FO or returns the</w:t>
      </w:r>
      <w:r w:rsidR="00913737">
        <w:rPr>
          <w:color w:val="auto"/>
        </w:rPr>
        <w:t xml:space="preserve"> form </w:t>
      </w:r>
      <w:r w:rsidRPr="00C502A1">
        <w:rPr>
          <w:color w:val="auto"/>
        </w:rPr>
        <w:t xml:space="preserve">via mail to the FO or DDS. </w:t>
      </w:r>
      <w:r>
        <w:rPr>
          <w:color w:val="auto"/>
        </w:rPr>
        <w:t xml:space="preserve"> </w:t>
      </w:r>
      <w:r w:rsidRPr="002910EF">
        <w:rPr>
          <w:color w:val="auto"/>
        </w:rPr>
        <w:t xml:space="preserve">The paper versions of the form are </w:t>
      </w:r>
      <w:r>
        <w:rPr>
          <w:color w:val="auto"/>
        </w:rPr>
        <w:t xml:space="preserve">then </w:t>
      </w:r>
      <w:r w:rsidRPr="002910EF">
        <w:rPr>
          <w:color w:val="auto"/>
        </w:rPr>
        <w:t xml:space="preserve">eventually uploaded into the electronic folder. </w:t>
      </w:r>
      <w:r>
        <w:rPr>
          <w:color w:val="auto"/>
        </w:rPr>
        <w:t xml:space="preserve"> We estimate this happens about 15% of the time.</w:t>
      </w:r>
    </w:p>
    <w:p w:rsidR="00BC5B46" w:rsidRPr="00C502A1" w:rsidP="00BC5B46" w14:paraId="0AF7B442" w14:textId="77777777">
      <w:pPr>
        <w:pStyle w:val="ListParagraph"/>
        <w:widowControl w:val="0"/>
        <w:suppressAutoHyphens/>
        <w:autoSpaceDE w:val="0"/>
        <w:autoSpaceDN w:val="0"/>
        <w:adjustRightInd w:val="0"/>
        <w:ind w:left="1440"/>
        <w:rPr>
          <w:color w:val="auto"/>
        </w:rPr>
      </w:pPr>
    </w:p>
    <w:p w:rsidR="00BC5B46" w:rsidP="00BC5B46" w14:paraId="5BCAFE26" w14:textId="248EDEB1">
      <w:pPr>
        <w:pStyle w:val="ListParagraph"/>
        <w:widowControl w:val="0"/>
        <w:suppressAutoHyphens/>
        <w:autoSpaceDE w:val="0"/>
        <w:autoSpaceDN w:val="0"/>
        <w:adjustRightInd w:val="0"/>
        <w:ind w:left="1440"/>
        <w:rPr>
          <w:color w:val="auto"/>
        </w:rPr>
      </w:pPr>
      <w:r w:rsidRPr="00C502A1">
        <w:rPr>
          <w:rFonts w:eastAsia="SimSun"/>
          <w:color w:val="auto"/>
          <w:lang w:eastAsia="en-US"/>
        </w:rPr>
        <w:t xml:space="preserve">This information collection does not currently allow for electronic submission or electronic disclosure as described in the Government Paperwork Elimination Act </w:t>
      </w:r>
      <w:r w:rsidRPr="00C502A1">
        <w:rPr>
          <w:rFonts w:eastAsia="SimSun"/>
          <w:color w:val="auto"/>
          <w:lang w:eastAsia="en-US"/>
        </w:rPr>
        <w:t xml:space="preserve">plan. </w:t>
      </w:r>
      <w:r w:rsidR="00AC4912">
        <w:rPr>
          <w:rFonts w:eastAsia="SimSun"/>
          <w:color w:val="auto"/>
          <w:lang w:eastAsia="en-US"/>
        </w:rPr>
        <w:t xml:space="preserve"> </w:t>
      </w:r>
      <w:r w:rsidRPr="00C502A1">
        <w:rPr>
          <w:color w:val="auto"/>
        </w:rPr>
        <w:t>SSA created fillable and printable PDF Internet version</w:t>
      </w:r>
      <w:r w:rsidR="00AC4912">
        <w:rPr>
          <w:color w:val="auto"/>
        </w:rPr>
        <w:t>s</w:t>
      </w:r>
      <w:r w:rsidRPr="00C502A1">
        <w:rPr>
          <w:color w:val="auto"/>
        </w:rPr>
        <w:t xml:space="preserve"> of the 5 Forms (Forms SSA-3375 through SSA-3379) through our internal Electronic Disability Collect System (EDCS). </w:t>
      </w:r>
      <w:r w:rsidR="00AC4912">
        <w:rPr>
          <w:color w:val="auto"/>
        </w:rPr>
        <w:t xml:space="preserve"> </w:t>
      </w:r>
      <w:r w:rsidRPr="00C502A1">
        <w:rPr>
          <w:rFonts w:eastAsia="SimSun"/>
          <w:color w:val="auto"/>
          <w:lang w:eastAsia="en-US"/>
        </w:rPr>
        <w:t>When respondents complete these forms in an interview setting or via telephone, FO and/or DDS personnel enter the information</w:t>
      </w:r>
      <w:r w:rsidRPr="00D21FC5">
        <w:rPr>
          <w:rFonts w:eastAsia="SimSun"/>
          <w:color w:val="auto"/>
          <w:lang w:eastAsia="en-US"/>
        </w:rPr>
        <w:t xml:space="preserve"> </w:t>
      </w:r>
      <w:r w:rsidR="00AC4912">
        <w:rPr>
          <w:rFonts w:eastAsia="SimSun"/>
          <w:color w:val="auto"/>
          <w:lang w:eastAsia="en-US"/>
        </w:rPr>
        <w:t xml:space="preserve">the respondents </w:t>
      </w:r>
      <w:r w:rsidRPr="00D21FC5">
        <w:rPr>
          <w:rFonts w:eastAsia="SimSun"/>
          <w:color w:val="auto"/>
          <w:lang w:eastAsia="en-US"/>
        </w:rPr>
        <w:t xml:space="preserve">provide through </w:t>
      </w:r>
      <w:r w:rsidR="00AC4912">
        <w:rPr>
          <w:rFonts w:eastAsia="SimSun"/>
          <w:color w:val="auto"/>
          <w:lang w:eastAsia="en-US"/>
        </w:rPr>
        <w:t xml:space="preserve">the </w:t>
      </w:r>
      <w:r w:rsidRPr="00D21FC5">
        <w:rPr>
          <w:rFonts w:eastAsia="SimSun"/>
          <w:color w:val="auto"/>
          <w:lang w:eastAsia="en-US"/>
        </w:rPr>
        <w:t>EDCS</w:t>
      </w:r>
      <w:r w:rsidR="00AC4912">
        <w:rPr>
          <w:rFonts w:eastAsia="SimSun"/>
          <w:color w:val="auto"/>
          <w:lang w:eastAsia="en-US"/>
        </w:rPr>
        <w:t xml:space="preserve"> screens,</w:t>
      </w:r>
      <w:r w:rsidRPr="00D21FC5">
        <w:rPr>
          <w:rFonts w:eastAsia="SimSun"/>
          <w:color w:val="auto"/>
          <w:lang w:eastAsia="en-US"/>
        </w:rPr>
        <w:t xml:space="preserve"> and the information is logged in EDCS</w:t>
      </w:r>
      <w:r>
        <w:rPr>
          <w:rFonts w:eastAsia="SimSun"/>
          <w:color w:val="auto"/>
          <w:lang w:eastAsia="en-US"/>
        </w:rPr>
        <w:t xml:space="preserve"> and uploaded into the child applicant’s file. </w:t>
      </w:r>
      <w:r w:rsidR="00AC4912">
        <w:rPr>
          <w:rFonts w:eastAsia="SimSun"/>
          <w:color w:val="auto"/>
          <w:lang w:eastAsia="en-US"/>
        </w:rPr>
        <w:t xml:space="preserve"> </w:t>
      </w:r>
      <w:r w:rsidRPr="00D21FC5">
        <w:rPr>
          <w:rFonts w:eastAsia="SimSun"/>
          <w:color w:val="auto"/>
          <w:lang w:eastAsia="en-US"/>
        </w:rPr>
        <w:t>Th</w:t>
      </w:r>
      <w:r w:rsidR="00AC4912">
        <w:rPr>
          <w:rFonts w:eastAsia="SimSun"/>
          <w:color w:val="auto"/>
          <w:lang w:eastAsia="en-US"/>
        </w:rPr>
        <w:t>e management information</w:t>
      </w:r>
      <w:r w:rsidR="00814110">
        <w:rPr>
          <w:rFonts w:eastAsia="SimSun"/>
          <w:color w:val="auto"/>
          <w:lang w:eastAsia="en-US"/>
        </w:rPr>
        <w:t xml:space="preserve"> (MI)</w:t>
      </w:r>
      <w:r w:rsidR="00AC4912">
        <w:rPr>
          <w:rFonts w:eastAsia="SimSun"/>
          <w:color w:val="auto"/>
          <w:lang w:eastAsia="en-US"/>
        </w:rPr>
        <w:t xml:space="preserve"> data for this</w:t>
      </w:r>
      <w:r w:rsidRPr="00D21FC5">
        <w:rPr>
          <w:rFonts w:eastAsia="SimSun"/>
          <w:color w:val="auto"/>
          <w:lang w:eastAsia="en-US"/>
        </w:rPr>
        <w:t xml:space="preserve"> information collection does not allow separation of method by which the </w:t>
      </w:r>
      <w:r w:rsidR="00AC4912">
        <w:rPr>
          <w:rFonts w:eastAsia="SimSun"/>
          <w:color w:val="auto"/>
          <w:lang w:eastAsia="en-US"/>
        </w:rPr>
        <w:t>data we collect</w:t>
      </w:r>
      <w:r w:rsidRPr="00D21FC5">
        <w:rPr>
          <w:rFonts w:eastAsia="SimSun"/>
          <w:color w:val="auto"/>
          <w:lang w:eastAsia="en-US"/>
        </w:rPr>
        <w:t xml:space="preserve"> was added</w:t>
      </w:r>
      <w:r w:rsidR="00330F56">
        <w:rPr>
          <w:rFonts w:eastAsia="SimSun"/>
          <w:color w:val="auto"/>
          <w:lang w:eastAsia="en-US"/>
        </w:rPr>
        <w:t xml:space="preserve"> </w:t>
      </w:r>
      <w:r w:rsidRPr="00D21FC5">
        <w:rPr>
          <w:rFonts w:eastAsia="SimSun"/>
          <w:color w:val="auto"/>
          <w:lang w:eastAsia="en-US"/>
        </w:rPr>
        <w:t>into the electronic folder</w:t>
      </w:r>
      <w:r w:rsidR="00AC4912">
        <w:rPr>
          <w:rFonts w:eastAsia="SimSun"/>
          <w:color w:val="auto"/>
          <w:lang w:eastAsia="en-US"/>
        </w:rPr>
        <w:t xml:space="preserve"> (I</w:t>
      </w:r>
      <w:r w:rsidRPr="00D21FC5" w:rsidR="00AC4912">
        <w:rPr>
          <w:rFonts w:eastAsia="SimSun"/>
          <w:color w:val="auto"/>
          <w:lang w:eastAsia="en-US"/>
        </w:rPr>
        <w:t>nt</w:t>
      </w:r>
      <w:r w:rsidR="00AC4912">
        <w:rPr>
          <w:rFonts w:eastAsia="SimSun"/>
          <w:color w:val="auto"/>
          <w:lang w:eastAsia="en-US"/>
        </w:rPr>
        <w:t>ranet</w:t>
      </w:r>
      <w:r w:rsidRPr="00D21FC5" w:rsidR="00AC4912">
        <w:rPr>
          <w:rFonts w:eastAsia="SimSun"/>
          <w:color w:val="auto"/>
          <w:lang w:eastAsia="en-US"/>
        </w:rPr>
        <w:t xml:space="preserve"> vs. paper version</w:t>
      </w:r>
      <w:r w:rsidR="00AC4912">
        <w:rPr>
          <w:rFonts w:eastAsia="SimSun"/>
          <w:color w:val="auto"/>
          <w:lang w:eastAsia="en-US"/>
        </w:rPr>
        <w:t>)</w:t>
      </w:r>
      <w:r w:rsidRPr="00D21FC5">
        <w:rPr>
          <w:rFonts w:eastAsia="SimSun"/>
          <w:color w:val="auto"/>
          <w:lang w:eastAsia="en-US"/>
        </w:rPr>
        <w:t xml:space="preserve">, but rather provides the total </w:t>
      </w:r>
      <w:r>
        <w:rPr>
          <w:rFonts w:eastAsia="SimSun"/>
          <w:color w:val="auto"/>
          <w:lang w:eastAsia="en-US"/>
        </w:rPr>
        <w:t xml:space="preserve">number </w:t>
      </w:r>
      <w:r w:rsidRPr="00D21FC5">
        <w:rPr>
          <w:rFonts w:eastAsia="SimSun"/>
          <w:color w:val="auto"/>
          <w:lang w:eastAsia="en-US"/>
        </w:rPr>
        <w:t>of completed SSA-</w:t>
      </w:r>
      <w:r>
        <w:rPr>
          <w:rFonts w:eastAsia="SimSun"/>
          <w:color w:val="auto"/>
          <w:lang w:eastAsia="en-US"/>
        </w:rPr>
        <w:t xml:space="preserve">3375 through SSA 3379 </w:t>
      </w:r>
      <w:r w:rsidRPr="00D21FC5">
        <w:rPr>
          <w:rFonts w:eastAsia="SimSun"/>
          <w:color w:val="auto"/>
          <w:lang w:eastAsia="en-US"/>
        </w:rPr>
        <w:t>forms in</w:t>
      </w:r>
      <w:r w:rsidR="00330F56">
        <w:rPr>
          <w:rFonts w:eastAsia="SimSun"/>
          <w:color w:val="auto"/>
          <w:lang w:eastAsia="en-US"/>
        </w:rPr>
        <w:t xml:space="preserve"> FY 2023</w:t>
      </w:r>
      <w:r w:rsidRPr="00D21FC5">
        <w:rPr>
          <w:rFonts w:eastAsia="SimSun"/>
          <w:color w:val="auto"/>
          <w:lang w:eastAsia="en-US"/>
        </w:rPr>
        <w:t xml:space="preserve">.  </w:t>
      </w:r>
      <w:r>
        <w:rPr>
          <w:rFonts w:eastAsia="SimSun"/>
          <w:color w:val="auto"/>
          <w:lang w:eastAsia="en-US"/>
        </w:rPr>
        <w:t xml:space="preserve">In the previous information collection (2021), </w:t>
      </w:r>
      <w:r w:rsidR="00AC4912">
        <w:rPr>
          <w:rFonts w:eastAsia="SimSun"/>
          <w:color w:val="auto"/>
          <w:lang w:eastAsia="en-US"/>
        </w:rPr>
        <w:t xml:space="preserve">we </w:t>
      </w:r>
      <w:r>
        <w:rPr>
          <w:rFonts w:eastAsia="SimSun"/>
          <w:color w:val="auto"/>
          <w:lang w:eastAsia="en-US"/>
        </w:rPr>
        <w:t xml:space="preserve">estimated that approximately 90% of respondents under this OMB </w:t>
      </w:r>
      <w:r w:rsidR="006F0F09">
        <w:rPr>
          <w:rFonts w:eastAsia="SimSun"/>
          <w:color w:val="auto"/>
          <w:lang w:eastAsia="en-US"/>
        </w:rPr>
        <w:t>information</w:t>
      </w:r>
      <w:r>
        <w:rPr>
          <w:rFonts w:eastAsia="SimSun"/>
          <w:color w:val="auto"/>
          <w:lang w:eastAsia="en-US"/>
        </w:rPr>
        <w:t xml:space="preserve"> collection used the electronic EDCS version. </w:t>
      </w:r>
      <w:r w:rsidR="00AC4912">
        <w:rPr>
          <w:rFonts w:eastAsia="SimSun"/>
          <w:color w:val="auto"/>
          <w:lang w:eastAsia="en-US"/>
        </w:rPr>
        <w:t xml:space="preserve"> </w:t>
      </w:r>
      <w:r>
        <w:rPr>
          <w:color w:val="auto"/>
        </w:rPr>
        <w:t>It is very likely that this number remains relative to the current information collection</w:t>
      </w:r>
      <w:r w:rsidR="0046701F">
        <w:rPr>
          <w:color w:val="auto"/>
        </w:rPr>
        <w:t xml:space="preserve"> and </w:t>
      </w:r>
      <w:r w:rsidR="00FF3E35">
        <w:rPr>
          <w:color w:val="auto"/>
        </w:rPr>
        <w:t>respondents</w:t>
      </w:r>
      <w:r w:rsidR="0046701F">
        <w:rPr>
          <w:color w:val="auto"/>
        </w:rPr>
        <w:t xml:space="preserve"> continue to </w:t>
      </w:r>
      <w:r w:rsidR="00FF3E35">
        <w:rPr>
          <w:color w:val="auto"/>
        </w:rPr>
        <w:t xml:space="preserve">utilize the </w:t>
      </w:r>
      <w:r w:rsidR="002A11EE">
        <w:rPr>
          <w:color w:val="auto"/>
        </w:rPr>
        <w:t>electronic</w:t>
      </w:r>
      <w:r w:rsidR="00FF3E35">
        <w:rPr>
          <w:color w:val="auto"/>
        </w:rPr>
        <w:t xml:space="preserve"> </w:t>
      </w:r>
      <w:r w:rsidR="002A11EE">
        <w:rPr>
          <w:color w:val="auto"/>
        </w:rPr>
        <w:t>version via in-person interview or over the phone</w:t>
      </w:r>
      <w:r>
        <w:rPr>
          <w:color w:val="auto"/>
        </w:rPr>
        <w:t>.</w:t>
      </w:r>
    </w:p>
    <w:p w:rsidR="00BC5B46" w:rsidRPr="00D21FC5" w:rsidP="00BC5B46" w14:paraId="1584DE29" w14:textId="77777777">
      <w:pPr>
        <w:pStyle w:val="ListParagraph"/>
        <w:widowControl w:val="0"/>
        <w:suppressAutoHyphens/>
        <w:autoSpaceDE w:val="0"/>
        <w:autoSpaceDN w:val="0"/>
        <w:adjustRightInd w:val="0"/>
        <w:ind w:left="1440"/>
        <w:rPr>
          <w:rFonts w:eastAsia="SimSun"/>
          <w:color w:val="auto"/>
          <w:lang w:eastAsia="en-US"/>
        </w:rPr>
      </w:pPr>
    </w:p>
    <w:p w:rsidR="00BC5B46" w:rsidP="00BC5B46" w14:paraId="254B8305" w14:textId="3DBDF95E">
      <w:pPr>
        <w:tabs>
          <w:tab w:val="num" w:pos="1440"/>
        </w:tabs>
        <w:ind w:left="1440"/>
        <w:rPr>
          <w:rFonts w:eastAsia="SimSun"/>
          <w:color w:val="auto"/>
          <w:lang w:eastAsia="en-US"/>
        </w:rPr>
      </w:pPr>
      <w:r>
        <w:rPr>
          <w:rFonts w:eastAsia="SimSun"/>
          <w:color w:val="auto"/>
          <w:lang w:eastAsia="en-US"/>
        </w:rPr>
        <w:t>As mentioned above, t</w:t>
      </w:r>
      <w:r w:rsidRPr="00D21FC5">
        <w:rPr>
          <w:rFonts w:eastAsia="SimSun"/>
          <w:color w:val="auto"/>
          <w:lang w:eastAsia="en-US"/>
        </w:rPr>
        <w:t xml:space="preserve">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AC4912" w:rsidRPr="00D21FC5" w:rsidP="00BC5B46" w14:paraId="741CFEF8" w14:textId="77777777">
      <w:pPr>
        <w:tabs>
          <w:tab w:val="num" w:pos="1440"/>
        </w:tabs>
        <w:ind w:left="1440"/>
        <w:rPr>
          <w:rFonts w:eastAsia="SimSun"/>
          <w:color w:val="auto"/>
          <w:lang w:eastAsia="en-US"/>
        </w:rPr>
      </w:pPr>
    </w:p>
    <w:p w:rsidR="00BC5B46" w:rsidRPr="00D04CE5" w:rsidP="00D04CE5" w14:paraId="74295806" w14:textId="2B14D6C8">
      <w:pPr>
        <w:tabs>
          <w:tab w:val="num" w:pos="1440"/>
        </w:tabs>
        <w:ind w:left="1440"/>
        <w:rPr>
          <w:rFonts w:eastAsia="SimSun"/>
          <w:color w:val="auto"/>
          <w:lang w:eastAsia="en-US"/>
        </w:rPr>
      </w:pPr>
      <w:r w:rsidRPr="00D21FC5">
        <w:rPr>
          <w:rFonts w:eastAsia="SimSun"/>
          <w:color w:val="auto"/>
          <w:lang w:eastAsia="en-US"/>
        </w:rPr>
        <w:t xml:space="preserve">In the interim, we evaluated this collection for conversion to a submittable PDF </w:t>
      </w:r>
      <w:r w:rsidR="002910EF">
        <w:rPr>
          <w:rFonts w:eastAsia="SimSun"/>
          <w:color w:val="auto"/>
          <w:lang w:eastAsia="en-US"/>
        </w:rPr>
        <w:t>through our Upload Documents (eSubmit) Portal (OMB No. 0960-0830</w:t>
      </w:r>
      <w:r w:rsidR="002910EF">
        <w:rPr>
          <w:rFonts w:eastAsia="SimSun"/>
          <w:color w:val="auto"/>
          <w:lang w:eastAsia="en-US"/>
        </w:rPr>
        <w:t xml:space="preserve">), </w:t>
      </w:r>
      <w:r w:rsidRPr="00D21FC5">
        <w:rPr>
          <w:rFonts w:eastAsia="SimSun"/>
          <w:color w:val="auto"/>
          <w:lang w:eastAsia="en-US"/>
        </w:rPr>
        <w:t>and</w:t>
      </w:r>
      <w:r w:rsidRPr="00D21FC5">
        <w:rPr>
          <w:rFonts w:eastAsia="SimSun"/>
          <w:color w:val="auto"/>
          <w:lang w:eastAsia="en-US"/>
        </w:rPr>
        <w:t xml:space="preserve"> intend to make this conversion within the next 3-6 years.  Once we have the submittable PDF ready for implementation, we will submit a Change Request to OMB for prior approval.</w:t>
      </w:r>
    </w:p>
    <w:p w:rsidR="00BC5B46" w:rsidRPr="007D579A" w:rsidP="00BC5B46" w14:paraId="7122DC22" w14:textId="77777777">
      <w:pPr>
        <w:widowControl w:val="0"/>
        <w:suppressAutoHyphens/>
        <w:ind w:left="1440"/>
        <w:contextualSpacing/>
        <w:rPr>
          <w:color w:val="auto"/>
        </w:rPr>
      </w:pPr>
    </w:p>
    <w:p w:rsidR="00BC5B46" w:rsidRPr="00AE1B16" w:rsidP="00BC5B46" w14:paraId="6163EB3A" w14:textId="77777777">
      <w:pPr>
        <w:pStyle w:val="ListParagraph"/>
        <w:widowControl w:val="0"/>
        <w:numPr>
          <w:ilvl w:val="0"/>
          <w:numId w:val="2"/>
        </w:numPr>
        <w:suppressAutoHyphens/>
        <w:ind w:left="1440" w:hanging="720"/>
        <w:rPr>
          <w:b/>
          <w:color w:val="auto"/>
        </w:rPr>
      </w:pPr>
      <w:r w:rsidRPr="00AE1B16">
        <w:rPr>
          <w:b/>
          <w:color w:val="auto"/>
        </w:rPr>
        <w:t xml:space="preserve">Why </w:t>
      </w:r>
      <w:r>
        <w:rPr>
          <w:b/>
          <w:color w:val="auto"/>
        </w:rPr>
        <w:t xml:space="preserve">We Cannot Use </w:t>
      </w:r>
      <w:r w:rsidRPr="00AE1B16">
        <w:rPr>
          <w:b/>
          <w:color w:val="auto"/>
        </w:rPr>
        <w:t>Dupl</w:t>
      </w:r>
      <w:r>
        <w:rPr>
          <w:b/>
          <w:color w:val="auto"/>
        </w:rPr>
        <w:t xml:space="preserve">icate Information </w:t>
      </w:r>
      <w:r w:rsidRPr="00AE1B16">
        <w:rPr>
          <w:b/>
          <w:color w:val="auto"/>
        </w:rPr>
        <w:t xml:space="preserve">  </w:t>
      </w:r>
    </w:p>
    <w:p w:rsidR="00C863D7" w:rsidRPr="00C863D7" w:rsidP="00C863D7" w14:paraId="13DD2ED2" w14:textId="2141B75A">
      <w:pPr>
        <w:tabs>
          <w:tab w:val="num" w:pos="1440"/>
        </w:tabs>
        <w:ind w:left="1440"/>
        <w:rPr>
          <w:rFonts w:eastAsia="SimSun"/>
          <w:color w:val="auto"/>
          <w:lang w:eastAsia="en-US"/>
        </w:rPr>
      </w:pPr>
      <w:r w:rsidRPr="00547381">
        <w:rPr>
          <w:color w:val="auto"/>
        </w:rPr>
        <w:t>We coordinated the development and revision of other forms used in childhood disability cases, such as SSA-3820 (OMB No. 0960-0577) and SSA-3881 (OMB No. 0960-0499), to avoid duplication.  When initially applying for SSI, the parent or caregiver fill</w:t>
      </w:r>
      <w:r w:rsidR="00814110">
        <w:rPr>
          <w:color w:val="auto"/>
        </w:rPr>
        <w:t>s</w:t>
      </w:r>
      <w:r w:rsidRPr="00547381">
        <w:rPr>
          <w:color w:val="auto"/>
        </w:rPr>
        <w:t xml:space="preserve"> out</w:t>
      </w:r>
      <w:r w:rsidR="00E51C35">
        <w:rPr>
          <w:color w:val="auto"/>
        </w:rPr>
        <w:t xml:space="preserve"> </w:t>
      </w:r>
      <w:r w:rsidR="00814110">
        <w:rPr>
          <w:color w:val="auto"/>
        </w:rPr>
        <w:t>the</w:t>
      </w:r>
      <w:r w:rsidR="00E51C35">
        <w:rPr>
          <w:color w:val="auto"/>
        </w:rPr>
        <w:t xml:space="preserve"> </w:t>
      </w:r>
      <w:r w:rsidRPr="00547381">
        <w:rPr>
          <w:color w:val="auto"/>
        </w:rPr>
        <w:t>SSA-3820</w:t>
      </w:r>
      <w:r w:rsidR="00814110">
        <w:rPr>
          <w:color w:val="auto"/>
        </w:rPr>
        <w:t xml:space="preserve">, </w:t>
      </w:r>
      <w:r w:rsidRPr="00547381">
        <w:rPr>
          <w:color w:val="auto"/>
        </w:rPr>
        <w:t>Disability Report – Child</w:t>
      </w:r>
      <w:r>
        <w:rPr>
          <w:color w:val="auto"/>
        </w:rPr>
        <w:t xml:space="preserve"> (</w:t>
      </w:r>
      <w:r w:rsidR="00E51C35">
        <w:rPr>
          <w:color w:val="auto"/>
        </w:rPr>
        <w:t xml:space="preserve">OMB </w:t>
      </w:r>
      <w:r>
        <w:rPr>
          <w:color w:val="auto"/>
        </w:rPr>
        <w:t>No.</w:t>
      </w:r>
      <w:r w:rsidRPr="00547381">
        <w:rPr>
          <w:color w:val="auto"/>
        </w:rPr>
        <w:t xml:space="preserve"> 0960</w:t>
      </w:r>
      <w:r w:rsidR="00814110">
        <w:rPr>
          <w:color w:val="auto"/>
        </w:rPr>
        <w:noBreakHyphen/>
      </w:r>
      <w:r w:rsidRPr="00547381">
        <w:rPr>
          <w:color w:val="auto"/>
        </w:rPr>
        <w:t>0577)</w:t>
      </w:r>
      <w:r>
        <w:rPr>
          <w:color w:val="auto"/>
        </w:rPr>
        <w:t>,</w:t>
      </w:r>
      <w:r w:rsidRPr="00547381">
        <w:rPr>
          <w:color w:val="auto"/>
        </w:rPr>
        <w:t xml:space="preserve"> as well as </w:t>
      </w:r>
      <w:r w:rsidR="00814110">
        <w:rPr>
          <w:color w:val="auto"/>
        </w:rPr>
        <w:t>one of the</w:t>
      </w:r>
      <w:r w:rsidR="00A44671">
        <w:rPr>
          <w:color w:val="auto"/>
        </w:rPr>
        <w:t xml:space="preserve"> </w:t>
      </w:r>
      <w:r w:rsidRPr="00547381">
        <w:rPr>
          <w:color w:val="auto"/>
        </w:rPr>
        <w:t xml:space="preserve">SSA-3375-BK through SSA-3379-BK (this collection, </w:t>
      </w:r>
      <w:r>
        <w:rPr>
          <w:color w:val="auto"/>
        </w:rPr>
        <w:t xml:space="preserve">OMB No. </w:t>
      </w:r>
      <w:r w:rsidRPr="00547381">
        <w:rPr>
          <w:color w:val="auto"/>
        </w:rPr>
        <w:t>0960-0542), as relevant to the child’s age.</w:t>
      </w:r>
      <w:r w:rsidR="00814110">
        <w:rPr>
          <w:color w:val="auto"/>
        </w:rPr>
        <w:t xml:space="preserve">  At the time of an initial application, we do not require the respondent to complete the</w:t>
      </w:r>
      <w:r w:rsidRPr="00547381">
        <w:rPr>
          <w:color w:val="auto"/>
        </w:rPr>
        <w:t xml:space="preserve"> SSA-3881</w:t>
      </w:r>
      <w:r w:rsidR="00814110">
        <w:rPr>
          <w:color w:val="auto"/>
        </w:rPr>
        <w:t xml:space="preserve">, </w:t>
      </w:r>
      <w:r>
        <w:rPr>
          <w:color w:val="auto"/>
        </w:rPr>
        <w:t xml:space="preserve"> </w:t>
      </w:r>
      <w:r w:rsidRPr="00547381">
        <w:rPr>
          <w:color w:val="auto"/>
        </w:rPr>
        <w:t>Questionnaire for Children Claiming SSI Benefits</w:t>
      </w:r>
      <w:r>
        <w:rPr>
          <w:color w:val="auto"/>
        </w:rPr>
        <w:t xml:space="preserve"> (OMB No.</w:t>
      </w:r>
      <w:r w:rsidRPr="00547381">
        <w:rPr>
          <w:color w:val="auto"/>
        </w:rPr>
        <w:t xml:space="preserve"> 0960-0499). </w:t>
      </w:r>
      <w:r w:rsidR="00814110">
        <w:rPr>
          <w:color w:val="auto"/>
        </w:rPr>
        <w:t xml:space="preserve"> </w:t>
      </w:r>
      <w:r w:rsidR="0029446D">
        <w:rPr>
          <w:color w:val="auto"/>
        </w:rPr>
        <w:t>The SSA-3881</w:t>
      </w:r>
      <w:r w:rsidRPr="00C863D7">
        <w:rPr>
          <w:rFonts w:eastAsia="SimSun"/>
          <w:color w:val="auto"/>
          <w:lang w:eastAsia="en-US"/>
        </w:rPr>
        <w:t xml:space="preserve"> asks for this information when information is not in the case record or additional information is needed to develop a complete picture of a child’s functioning and uses it only to add to the </w:t>
      </w:r>
      <w:r w:rsidRPr="00C863D7" w:rsidR="00FD063C">
        <w:rPr>
          <w:rFonts w:eastAsia="SimSun"/>
          <w:color w:val="auto"/>
          <w:lang w:eastAsia="en-US"/>
        </w:rPr>
        <w:t>information</w:t>
      </w:r>
      <w:r w:rsidR="00FD063C">
        <w:rPr>
          <w:rFonts w:eastAsia="SimSun"/>
          <w:color w:val="auto"/>
          <w:lang w:eastAsia="en-US"/>
        </w:rPr>
        <w:t xml:space="preserve"> </w:t>
      </w:r>
      <w:r w:rsidRPr="00C863D7">
        <w:rPr>
          <w:rFonts w:eastAsia="SimSun"/>
          <w:color w:val="auto"/>
          <w:lang w:eastAsia="en-US"/>
        </w:rPr>
        <w:t>we collect using Form SSA</w:t>
      </w:r>
      <w:r w:rsidR="00814110">
        <w:rPr>
          <w:rFonts w:eastAsia="SimSun"/>
          <w:color w:val="auto"/>
          <w:lang w:eastAsia="en-US"/>
        </w:rPr>
        <w:noBreakHyphen/>
      </w:r>
      <w:r w:rsidRPr="00C863D7">
        <w:rPr>
          <w:rFonts w:eastAsia="SimSun"/>
          <w:color w:val="auto"/>
          <w:lang w:eastAsia="en-US"/>
        </w:rPr>
        <w:t>3820</w:t>
      </w:r>
      <w:r w:rsidR="00F370FB">
        <w:rPr>
          <w:rFonts w:eastAsia="SimSun"/>
          <w:color w:val="auto"/>
          <w:lang w:eastAsia="en-US"/>
        </w:rPr>
        <w:t xml:space="preserve">. </w:t>
      </w:r>
    </w:p>
    <w:p w:rsidR="00BC5B46" w:rsidRPr="00547381" w:rsidP="00BC5B46" w14:paraId="37B60732" w14:textId="77777777">
      <w:pPr>
        <w:pStyle w:val="ListParagraph"/>
        <w:widowControl w:val="0"/>
        <w:suppressAutoHyphens/>
        <w:ind w:left="1440"/>
        <w:rPr>
          <w:color w:val="auto"/>
        </w:rPr>
      </w:pPr>
    </w:p>
    <w:p w:rsidR="00BC5B46" w:rsidRPr="00E1733E" w:rsidP="00BC5B46" w14:paraId="5D3EC7BA" w14:textId="156D9146">
      <w:pPr>
        <w:pStyle w:val="ListParagraph"/>
        <w:widowControl w:val="0"/>
        <w:suppressAutoHyphens/>
        <w:ind w:left="1440"/>
        <w:rPr>
          <w:color w:val="auto"/>
        </w:rPr>
      </w:pPr>
      <w:r w:rsidRPr="00547381">
        <w:rPr>
          <w:color w:val="auto"/>
        </w:rPr>
        <w:t>SSA does not collect any similar information about a child’s daily functioning that we can use in place of information from the child’s parent</w:t>
      </w:r>
      <w:r>
        <w:rPr>
          <w:color w:val="auto"/>
        </w:rPr>
        <w:t xml:space="preserve"> and/or caregiver</w:t>
      </w:r>
      <w:r w:rsidRPr="00547381">
        <w:rPr>
          <w:color w:val="auto"/>
        </w:rPr>
        <w:t xml:space="preserve">.  </w:t>
      </w:r>
      <w:r w:rsidRPr="00547381">
        <w:rPr>
          <w:color w:val="auto"/>
        </w:rPr>
        <w:t xml:space="preserve">In addition to this </w:t>
      </w:r>
      <w:r>
        <w:rPr>
          <w:color w:val="auto"/>
        </w:rPr>
        <w:t xml:space="preserve">information </w:t>
      </w:r>
      <w:r w:rsidRPr="00547381" w:rsidR="006F0F09">
        <w:rPr>
          <w:color w:val="auto"/>
        </w:rPr>
        <w:t>collection and</w:t>
      </w:r>
      <w:r w:rsidRPr="00547381">
        <w:rPr>
          <w:color w:val="auto"/>
        </w:rPr>
        <w:t xml:space="preserve"> th</w:t>
      </w:r>
      <w:r>
        <w:rPr>
          <w:color w:val="auto"/>
        </w:rPr>
        <w:t xml:space="preserve">ose discussed </w:t>
      </w:r>
      <w:r w:rsidR="006F0F09">
        <w:rPr>
          <w:color w:val="auto"/>
        </w:rPr>
        <w:t>above</w:t>
      </w:r>
      <w:r w:rsidRPr="00547381" w:rsidR="006F0F09">
        <w:rPr>
          <w:color w:val="auto"/>
        </w:rPr>
        <w:t xml:space="preserve"> during</w:t>
      </w:r>
      <w:r w:rsidRPr="00547381">
        <w:rPr>
          <w:color w:val="auto"/>
        </w:rPr>
        <w:t xml:space="preserve"> the initial SSI application process</w:t>
      </w:r>
      <w:r w:rsidR="00F14EEE">
        <w:rPr>
          <w:color w:val="auto"/>
        </w:rPr>
        <w:t xml:space="preserve">, </w:t>
      </w:r>
      <w:r w:rsidRPr="00547381">
        <w:rPr>
          <w:color w:val="auto"/>
        </w:rPr>
        <w:t xml:space="preserve">we also collect information about a child’s functioning from teachers, who fill out the SSA-5665 and SSA-5666 (OMB No. 0960-0646).  SSA collects this information after the application for disability, when the respondent supplies information </w:t>
      </w:r>
      <w:r>
        <w:rPr>
          <w:color w:val="auto"/>
        </w:rPr>
        <w:t>about the child’s current school and</w:t>
      </w:r>
      <w:r w:rsidR="0075337E">
        <w:rPr>
          <w:color w:val="auto"/>
        </w:rPr>
        <w:t xml:space="preserve"> </w:t>
      </w:r>
      <w:r w:rsidRPr="00547381">
        <w:rPr>
          <w:color w:val="auto"/>
        </w:rPr>
        <w:t xml:space="preserve">identity of the </w:t>
      </w:r>
      <w:r>
        <w:rPr>
          <w:color w:val="auto"/>
        </w:rPr>
        <w:t xml:space="preserve">child’s </w:t>
      </w:r>
      <w:r w:rsidRPr="00547381">
        <w:rPr>
          <w:color w:val="auto"/>
        </w:rPr>
        <w:t>teacher</w:t>
      </w:r>
      <w:r w:rsidR="00F623EC">
        <w:rPr>
          <w:color w:val="auto"/>
        </w:rPr>
        <w:t>(s) and/or educator(s)</w:t>
      </w:r>
      <w:r w:rsidR="006F0F09">
        <w:rPr>
          <w:color w:val="auto"/>
        </w:rPr>
        <w:t>.</w:t>
      </w:r>
      <w:r w:rsidRPr="00E1733E" w:rsidR="006F0F09">
        <w:rPr>
          <w:color w:val="auto"/>
        </w:rPr>
        <w:t xml:space="preserve"> </w:t>
      </w:r>
      <w:r w:rsidR="00814110">
        <w:rPr>
          <w:color w:val="auto"/>
        </w:rPr>
        <w:t xml:space="preserve"> SSA’s</w:t>
      </w:r>
      <w:r w:rsidRPr="00E1733E">
        <w:rPr>
          <w:color w:val="auto"/>
        </w:rPr>
        <w:t xml:space="preserve"> regulations require us to form</w:t>
      </w:r>
      <w:r w:rsidR="00814110">
        <w:rPr>
          <w:color w:val="auto"/>
        </w:rPr>
        <w:t>ulate</w:t>
      </w:r>
      <w:r w:rsidRPr="00E1733E">
        <w:rPr>
          <w:color w:val="auto"/>
        </w:rPr>
        <w:t xml:space="preserve"> a complete picture of a child’s ability to function, and this would be impossible without consideration of the child’s daily functioning in the home setting, as required by </w:t>
      </w:r>
      <w:r w:rsidRPr="00814110">
        <w:rPr>
          <w:i/>
          <w:iCs/>
          <w:color w:val="auto"/>
        </w:rPr>
        <w:t>20 CFR 416.924a</w:t>
      </w:r>
      <w:r w:rsidRPr="00E1733E">
        <w:rPr>
          <w:color w:val="auto"/>
        </w:rPr>
        <w:t xml:space="preserve">.  </w:t>
      </w:r>
    </w:p>
    <w:p w:rsidR="00BC5B46" w:rsidRPr="00913F82" w:rsidP="00BC5B46" w14:paraId="4C811E1C" w14:textId="77777777">
      <w:pPr>
        <w:widowControl w:val="0"/>
        <w:suppressAutoHyphens/>
        <w:ind w:left="1440"/>
        <w:contextualSpacing/>
        <w:rPr>
          <w:color w:val="auto"/>
        </w:rPr>
      </w:pPr>
    </w:p>
    <w:p w:rsidR="00BC5B46" w:rsidRPr="00AE1B16" w:rsidP="00BC5B46" w14:paraId="106CF576" w14:textId="77777777">
      <w:pPr>
        <w:pStyle w:val="ListParagraph"/>
        <w:widowControl w:val="0"/>
        <w:numPr>
          <w:ilvl w:val="0"/>
          <w:numId w:val="2"/>
        </w:numPr>
        <w:suppressAutoHyphens/>
        <w:ind w:left="1440" w:hanging="720"/>
        <w:rPr>
          <w:b/>
          <w:color w:val="auto"/>
        </w:rPr>
      </w:pPr>
      <w:r>
        <w:rPr>
          <w:b/>
          <w:color w:val="auto"/>
        </w:rPr>
        <w:t>Minimizing Burden on Small Respondents</w:t>
      </w:r>
      <w:r w:rsidRPr="00AE1B16">
        <w:rPr>
          <w:b/>
          <w:color w:val="auto"/>
        </w:rPr>
        <w:t xml:space="preserve"> </w:t>
      </w:r>
    </w:p>
    <w:p w:rsidR="00BC5B46" w:rsidRPr="00AE1B16" w:rsidP="00BC5B46" w14:paraId="3F1168D0" w14:textId="77777777">
      <w:pPr>
        <w:pStyle w:val="ListParagraph"/>
        <w:widowControl w:val="0"/>
        <w:suppressAutoHyphens/>
        <w:ind w:left="1440"/>
        <w:rPr>
          <w:color w:val="auto"/>
        </w:rPr>
      </w:pPr>
      <w:r>
        <w:rPr>
          <w:color w:val="auto"/>
        </w:rPr>
        <w:t xml:space="preserve">This collection does not affect small businesses or other small entities.  </w:t>
      </w:r>
    </w:p>
    <w:p w:rsidR="00BC5B46" w:rsidP="00BC5B46" w14:paraId="19EECF34" w14:textId="77777777">
      <w:pPr>
        <w:widowControl w:val="0"/>
        <w:suppressAutoHyphens/>
        <w:ind w:left="1440"/>
        <w:contextualSpacing/>
        <w:rPr>
          <w:color w:val="auto"/>
        </w:rPr>
      </w:pPr>
    </w:p>
    <w:p w:rsidR="00814110" w:rsidRPr="00913F82" w:rsidP="00BC5B46" w14:paraId="49AA80A2" w14:textId="77777777">
      <w:pPr>
        <w:widowControl w:val="0"/>
        <w:suppressAutoHyphens/>
        <w:ind w:left="1440"/>
        <w:contextualSpacing/>
        <w:rPr>
          <w:color w:val="auto"/>
        </w:rPr>
      </w:pPr>
    </w:p>
    <w:p w:rsidR="00BC5B46" w:rsidRPr="00AE1B16" w:rsidP="00BC5B46" w14:paraId="798FB6FC" w14:textId="77777777">
      <w:pPr>
        <w:pStyle w:val="ListParagraph"/>
        <w:widowControl w:val="0"/>
        <w:numPr>
          <w:ilvl w:val="0"/>
          <w:numId w:val="2"/>
        </w:numPr>
        <w:suppressAutoHyphens/>
        <w:ind w:left="1440" w:hanging="720"/>
        <w:rPr>
          <w:color w:val="auto"/>
        </w:rPr>
      </w:pPr>
      <w:r w:rsidRPr="00AE1B16">
        <w:rPr>
          <w:b/>
          <w:color w:val="auto"/>
        </w:rPr>
        <w:t xml:space="preserve">Consequence of Not Collecting Information or Collecting It Less Frequently </w:t>
      </w:r>
    </w:p>
    <w:p w:rsidR="00BC5B46" w:rsidRPr="00AE1B16" w:rsidP="00BC5B46" w14:paraId="196BCB20" w14:textId="77777777">
      <w:pPr>
        <w:pStyle w:val="ListParagraph"/>
        <w:widowControl w:val="0"/>
        <w:suppressAutoHyphens/>
        <w:ind w:left="1440"/>
        <w:rPr>
          <w:color w:val="auto"/>
        </w:rPr>
      </w:pPr>
      <w:r>
        <w:rPr>
          <w:color w:val="auto"/>
        </w:rPr>
        <w:t xml:space="preserve">The DDSs </w:t>
      </w:r>
      <w:r w:rsidRPr="00AE1B16">
        <w:rPr>
          <w:color w:val="auto"/>
        </w:rPr>
        <w:t>collect t</w:t>
      </w:r>
      <w:r>
        <w:rPr>
          <w:color w:val="auto"/>
        </w:rPr>
        <w:t xml:space="preserve">he information </w:t>
      </w:r>
      <w:r w:rsidRPr="00AE1B16">
        <w:rPr>
          <w:color w:val="auto"/>
        </w:rPr>
        <w:t xml:space="preserve">as part of the initial </w:t>
      </w:r>
      <w:r>
        <w:rPr>
          <w:color w:val="auto"/>
        </w:rPr>
        <w:t xml:space="preserve">SSI </w:t>
      </w:r>
      <w:r w:rsidRPr="00AE1B16">
        <w:rPr>
          <w:color w:val="auto"/>
        </w:rPr>
        <w:t xml:space="preserve">claims process. </w:t>
      </w:r>
      <w:r>
        <w:rPr>
          <w:color w:val="auto"/>
        </w:rPr>
        <w:t xml:space="preserve"> W</w:t>
      </w:r>
      <w:r w:rsidRPr="00545C5B">
        <w:rPr>
          <w:color w:val="auto"/>
        </w:rPr>
        <w:t xml:space="preserve">e will </w:t>
      </w:r>
      <w:r>
        <w:rPr>
          <w:color w:val="auto"/>
        </w:rPr>
        <w:t xml:space="preserve">also </w:t>
      </w:r>
      <w:r w:rsidRPr="00545C5B">
        <w:rPr>
          <w:color w:val="auto"/>
        </w:rPr>
        <w:t xml:space="preserve">collect updated information </w:t>
      </w:r>
      <w:r>
        <w:rPr>
          <w:color w:val="auto"/>
        </w:rPr>
        <w:t xml:space="preserve">when conducting </w:t>
      </w:r>
      <w:r w:rsidRPr="00545C5B">
        <w:rPr>
          <w:color w:val="auto"/>
        </w:rPr>
        <w:t xml:space="preserve">a continuing disability review (CDR) regarding a child who already receives SSI payments.  If the DDSs did not collect this information on our behalf, it would significantly compromise SSA’s ability to make accurate and supportable disability </w:t>
      </w:r>
      <w:r w:rsidRPr="00AE1B16">
        <w:rPr>
          <w:color w:val="auto"/>
        </w:rPr>
        <w:t xml:space="preserve">determinations in childhood disability cases.  </w:t>
      </w:r>
      <w:r w:rsidRPr="004D48B7">
        <w:rPr>
          <w:color w:val="auto"/>
        </w:rPr>
        <w:t xml:space="preserve">Because we only collect the information </w:t>
      </w:r>
      <w:r>
        <w:rPr>
          <w:color w:val="auto"/>
        </w:rPr>
        <w:t>on an as needed basis</w:t>
      </w:r>
      <w:r w:rsidRPr="004D48B7">
        <w:rPr>
          <w:color w:val="auto"/>
        </w:rPr>
        <w:t>, we cannot collect it less frequently.  There are no technical or legal obstacles to burden reduction</w:t>
      </w:r>
      <w:r w:rsidRPr="00AE1B16">
        <w:rPr>
          <w:color w:val="auto"/>
        </w:rPr>
        <w:t>.</w:t>
      </w:r>
    </w:p>
    <w:p w:rsidR="00BC5B46" w:rsidRPr="00913F82" w:rsidP="00BC5B46" w14:paraId="575C3B8D" w14:textId="77777777">
      <w:pPr>
        <w:widowControl w:val="0"/>
        <w:suppressAutoHyphens/>
        <w:ind w:left="1440"/>
        <w:contextualSpacing/>
        <w:rPr>
          <w:color w:val="auto"/>
        </w:rPr>
      </w:pPr>
    </w:p>
    <w:p w:rsidR="00BC5B46" w:rsidRPr="00617387" w:rsidP="00BC5B46" w14:paraId="08658185" w14:textId="77777777">
      <w:pPr>
        <w:pStyle w:val="ListParagraph"/>
        <w:widowControl w:val="0"/>
        <w:numPr>
          <w:ilvl w:val="0"/>
          <w:numId w:val="2"/>
        </w:numPr>
        <w:suppressAutoHyphens/>
        <w:ind w:left="1440" w:hanging="720"/>
        <w:rPr>
          <w:color w:val="auto"/>
        </w:rPr>
      </w:pPr>
      <w:r w:rsidRPr="00AE1B16">
        <w:rPr>
          <w:b/>
          <w:color w:val="auto"/>
        </w:rPr>
        <w:t xml:space="preserve">Special Circumstances </w:t>
      </w:r>
    </w:p>
    <w:p w:rsidR="00BC5B46" w:rsidRPr="00AE1B16" w:rsidP="00BC5B46" w14:paraId="39267102" w14:textId="77777777">
      <w:pPr>
        <w:pStyle w:val="ListParagraph"/>
        <w:widowControl w:val="0"/>
        <w:suppressAutoHyphens/>
        <w:ind w:left="1440"/>
        <w:rPr>
          <w:color w:val="auto"/>
        </w:rPr>
      </w:pPr>
      <w:r w:rsidRPr="00AE1B16">
        <w:rPr>
          <w:color w:val="auto"/>
        </w:rPr>
        <w:t xml:space="preserve">There are no special circumstances that would cause SSA to conduct this information collection in a manner inconsistent with </w:t>
      </w:r>
      <w:r w:rsidRPr="00AE1B16">
        <w:rPr>
          <w:i/>
          <w:color w:val="auto"/>
        </w:rPr>
        <w:t>5 CFR 1320.5</w:t>
      </w:r>
      <w:r w:rsidRPr="00AE1B16">
        <w:rPr>
          <w:color w:val="auto"/>
        </w:rPr>
        <w:t xml:space="preserve">.  </w:t>
      </w:r>
    </w:p>
    <w:p w:rsidR="00BC5B46" w:rsidRPr="00913F82" w:rsidP="00BC5B46" w14:paraId="12CA1B38" w14:textId="77777777">
      <w:pPr>
        <w:widowControl w:val="0"/>
        <w:tabs>
          <w:tab w:val="left" w:pos="2430"/>
        </w:tabs>
        <w:suppressAutoHyphens/>
        <w:ind w:left="1440"/>
        <w:contextualSpacing/>
        <w:rPr>
          <w:color w:val="auto"/>
        </w:rPr>
      </w:pPr>
      <w:r>
        <w:rPr>
          <w:color w:val="auto"/>
        </w:rPr>
        <w:tab/>
      </w:r>
      <w:r>
        <w:rPr>
          <w:color w:val="auto"/>
        </w:rPr>
        <w:tab/>
      </w:r>
    </w:p>
    <w:p w:rsidR="00BC5B46" w:rsidRPr="00AE1B16" w:rsidP="00BC5B46" w14:paraId="6E82DD60" w14:textId="77777777">
      <w:pPr>
        <w:pStyle w:val="ListParagraph"/>
        <w:widowControl w:val="0"/>
        <w:numPr>
          <w:ilvl w:val="0"/>
          <w:numId w:val="2"/>
        </w:numPr>
        <w:suppressAutoHyphens/>
        <w:ind w:left="1440" w:hanging="720"/>
        <w:rPr>
          <w:b/>
          <w:color w:val="auto"/>
        </w:rPr>
      </w:pPr>
      <w:r w:rsidRPr="00AE1B16">
        <w:rPr>
          <w:b/>
          <w:color w:val="auto"/>
        </w:rPr>
        <w:t xml:space="preserve">Solicitation of Public Comment and Other Consultations with the Public </w:t>
      </w:r>
    </w:p>
    <w:p w:rsidR="00BC5B46" w:rsidRPr="002910EF" w:rsidP="002910EF" w14:paraId="490AB388" w14:textId="417DED4E">
      <w:pPr>
        <w:pStyle w:val="ListParagraph"/>
        <w:ind w:left="1440"/>
        <w:rPr>
          <w:color w:val="000000" w:themeColor="text1"/>
        </w:rPr>
      </w:pPr>
      <w:r w:rsidRPr="0068632A">
        <w:rPr>
          <w:color w:val="000000" w:themeColor="text1"/>
        </w:rPr>
        <w:t xml:space="preserve">The 60-day advance Federal Register Notice published on </w:t>
      </w:r>
      <w:r w:rsidR="002910EF">
        <w:rPr>
          <w:color w:val="000000" w:themeColor="text1"/>
        </w:rPr>
        <w:t>September 12, 2024,</w:t>
      </w:r>
      <w:r w:rsidRPr="0068632A">
        <w:rPr>
          <w:color w:val="000000" w:themeColor="text1"/>
        </w:rPr>
        <w:t xml:space="preserve"> at</w:t>
      </w:r>
      <w:r w:rsidR="002910EF">
        <w:rPr>
          <w:color w:val="000000" w:themeColor="text1"/>
        </w:rPr>
        <w:t xml:space="preserve"> </w:t>
      </w:r>
      <w:r w:rsidRPr="002910EF">
        <w:rPr>
          <w:color w:val="000000" w:themeColor="text1"/>
        </w:rPr>
        <w:t>8</w:t>
      </w:r>
      <w:r w:rsidRPr="002910EF" w:rsidR="00814110">
        <w:rPr>
          <w:color w:val="000000" w:themeColor="text1"/>
        </w:rPr>
        <w:t>9</w:t>
      </w:r>
      <w:r w:rsidRPr="002910EF">
        <w:rPr>
          <w:color w:val="000000" w:themeColor="text1"/>
        </w:rPr>
        <w:t xml:space="preserve"> FR </w:t>
      </w:r>
      <w:r w:rsidR="002910EF">
        <w:rPr>
          <w:color w:val="000000" w:themeColor="text1"/>
        </w:rPr>
        <w:t>74351</w:t>
      </w:r>
      <w:r w:rsidRPr="002910EF">
        <w:rPr>
          <w:color w:val="000000" w:themeColor="text1"/>
        </w:rPr>
        <w:t xml:space="preserve">, and we received no public comments.  The 30-day FRN published on </w:t>
      </w:r>
      <w:r w:rsidR="002910EF">
        <w:rPr>
          <w:color w:val="000000" w:themeColor="text1"/>
        </w:rPr>
        <w:t>December 6, 2024</w:t>
      </w:r>
      <w:r w:rsidRPr="002910EF">
        <w:rPr>
          <w:color w:val="000000" w:themeColor="text1"/>
        </w:rPr>
        <w:t>, at 8</w:t>
      </w:r>
      <w:r w:rsidRPr="002910EF" w:rsidR="00814110">
        <w:rPr>
          <w:color w:val="000000" w:themeColor="text1"/>
        </w:rPr>
        <w:t>9</w:t>
      </w:r>
      <w:r w:rsidRPr="002910EF">
        <w:rPr>
          <w:color w:val="000000" w:themeColor="text1"/>
        </w:rPr>
        <w:t xml:space="preserve"> FR</w:t>
      </w:r>
      <w:r w:rsidR="002910EF">
        <w:rPr>
          <w:color w:val="000000" w:themeColor="text1"/>
        </w:rPr>
        <w:t xml:space="preserve"> 97155</w:t>
      </w:r>
      <w:r w:rsidRPr="002910EF">
        <w:rPr>
          <w:color w:val="000000" w:themeColor="text1"/>
        </w:rPr>
        <w:t>.  If we receive any comments in response to this Notice, we will forward them to OMB.</w:t>
      </w:r>
    </w:p>
    <w:p w:rsidR="00BC5B46" w:rsidRPr="002A3BCB" w:rsidP="00BC5B46" w14:paraId="3A965427" w14:textId="77777777">
      <w:pPr>
        <w:widowControl w:val="0"/>
        <w:suppressAutoHyphens/>
        <w:ind w:left="1440"/>
        <w:rPr>
          <w:color w:val="auto"/>
        </w:rPr>
      </w:pPr>
    </w:p>
    <w:p w:rsidR="00BC5B46" w:rsidRPr="00581C67" w:rsidP="00BC5B46" w14:paraId="34273DA7" w14:textId="77777777">
      <w:pPr>
        <w:pStyle w:val="BodyTextIndent"/>
        <w:widowControl w:val="0"/>
        <w:numPr>
          <w:ilvl w:val="0"/>
          <w:numId w:val="2"/>
        </w:numPr>
        <w:suppressAutoHyphens/>
        <w:ind w:left="1440" w:hanging="720"/>
        <w:contextualSpacing/>
        <w:rPr>
          <w:color w:val="auto"/>
        </w:rPr>
      </w:pPr>
      <w:r w:rsidRPr="00913F82">
        <w:rPr>
          <w:b/>
          <w:color w:val="auto"/>
        </w:rPr>
        <w:t xml:space="preserve">Payment or Gifts to Respondents </w:t>
      </w:r>
    </w:p>
    <w:p w:rsidR="00BC5B46" w:rsidP="00BC5B46" w14:paraId="6074EF35" w14:textId="77777777">
      <w:pPr>
        <w:pStyle w:val="BodyTextIndent"/>
        <w:widowControl w:val="0"/>
        <w:suppressAutoHyphens/>
        <w:ind w:left="1440"/>
        <w:contextualSpacing/>
        <w:rPr>
          <w:color w:val="auto"/>
        </w:rPr>
      </w:pPr>
      <w:r>
        <w:rPr>
          <w:color w:val="auto"/>
        </w:rPr>
        <w:t>SSA</w:t>
      </w:r>
      <w:r w:rsidRPr="00913F82">
        <w:rPr>
          <w:color w:val="auto"/>
        </w:rPr>
        <w:t xml:space="preserve"> do</w:t>
      </w:r>
      <w:r>
        <w:rPr>
          <w:color w:val="auto"/>
        </w:rPr>
        <w:t>es</w:t>
      </w:r>
      <w:r w:rsidRPr="00913F82">
        <w:rPr>
          <w:color w:val="auto"/>
        </w:rPr>
        <w:t xml:space="preserve"> not provide payments or gifts to the respondents.</w:t>
      </w:r>
    </w:p>
    <w:p w:rsidR="00BC5B46" w:rsidRPr="00913F82" w:rsidP="00BC5B46" w14:paraId="01099F4C" w14:textId="77777777">
      <w:pPr>
        <w:pStyle w:val="BodyTextIndent"/>
        <w:widowControl w:val="0"/>
        <w:suppressAutoHyphens/>
        <w:ind w:left="1440"/>
        <w:contextualSpacing/>
        <w:rPr>
          <w:color w:val="auto"/>
        </w:rPr>
      </w:pPr>
    </w:p>
    <w:p w:rsidR="00BC5B46" w:rsidRPr="00581C67" w:rsidP="00BC5B46" w14:paraId="6930CE52" w14:textId="77777777">
      <w:pPr>
        <w:pStyle w:val="BodyTextIndent"/>
        <w:widowControl w:val="0"/>
        <w:numPr>
          <w:ilvl w:val="0"/>
          <w:numId w:val="2"/>
        </w:numPr>
        <w:suppressAutoHyphens/>
        <w:ind w:left="1440" w:hanging="720"/>
        <w:contextualSpacing/>
        <w:rPr>
          <w:color w:val="auto"/>
        </w:rPr>
      </w:pPr>
      <w:r w:rsidRPr="00913F82">
        <w:rPr>
          <w:b/>
          <w:color w:val="auto"/>
        </w:rPr>
        <w:t xml:space="preserve">Assurances of Confidentiality </w:t>
      </w:r>
    </w:p>
    <w:p w:rsidR="00BC5B46" w:rsidRPr="006F0F09" w:rsidP="00BC5B46" w14:paraId="106803F9" w14:textId="77777777">
      <w:pPr>
        <w:pStyle w:val="BodyTextIndent"/>
        <w:widowControl w:val="0"/>
        <w:suppressAutoHyphens/>
        <w:ind w:left="1440"/>
        <w:contextualSpacing/>
        <w:rPr>
          <w:color w:val="auto"/>
        </w:rPr>
      </w:pPr>
      <w:r w:rsidRPr="0068632A">
        <w:rPr>
          <w:color w:val="auto"/>
        </w:rPr>
        <w:t xml:space="preserve">SSA protects and holds confidential the information it collects in accordance with </w:t>
      </w:r>
      <w:r w:rsidRPr="006F0F09">
        <w:rPr>
          <w:i/>
          <w:color w:val="auto"/>
        </w:rPr>
        <w:t>42 U.S.C. 1306</w:t>
      </w:r>
      <w:r w:rsidRPr="006F0F09">
        <w:rPr>
          <w:color w:val="auto"/>
        </w:rPr>
        <w:t xml:space="preserve">, </w:t>
      </w:r>
      <w:r w:rsidRPr="006F0F09">
        <w:rPr>
          <w:i/>
          <w:color w:val="auto"/>
        </w:rPr>
        <w:t>20 CFR 401</w:t>
      </w:r>
      <w:r w:rsidRPr="006F0F09">
        <w:rPr>
          <w:color w:val="auto"/>
        </w:rPr>
        <w:t xml:space="preserve"> and </w:t>
      </w:r>
      <w:r w:rsidRPr="006F0F09">
        <w:rPr>
          <w:i/>
          <w:color w:val="auto"/>
        </w:rPr>
        <w:t>402</w:t>
      </w:r>
      <w:r w:rsidRPr="006F0F09">
        <w:rPr>
          <w:color w:val="auto"/>
        </w:rPr>
        <w:t xml:space="preserve">, </w:t>
      </w:r>
      <w:r w:rsidRPr="006F0F09">
        <w:rPr>
          <w:i/>
          <w:color w:val="auto"/>
        </w:rPr>
        <w:t>5 U.S.C. 552</w:t>
      </w:r>
      <w:r w:rsidRPr="006F0F09">
        <w:rPr>
          <w:color w:val="auto"/>
        </w:rPr>
        <w:t xml:space="preserve"> (Freedom of Information Act), </w:t>
      </w:r>
      <w:r w:rsidRPr="006F0F09">
        <w:rPr>
          <w:i/>
          <w:color w:val="auto"/>
        </w:rPr>
        <w:t>5 U.S.C. 552a</w:t>
      </w:r>
      <w:r w:rsidRPr="006F0F09">
        <w:rPr>
          <w:color w:val="auto"/>
        </w:rPr>
        <w:t xml:space="preserve"> (Privacy Act of 1974), and OMB Circular No. A-130.</w:t>
      </w:r>
      <w:r w:rsidRPr="006F0F09">
        <w:rPr>
          <w:b/>
          <w:color w:val="auto"/>
        </w:rPr>
        <w:t xml:space="preserve"> </w:t>
      </w:r>
    </w:p>
    <w:p w:rsidR="00BC5B46" w:rsidRPr="006F0F09" w:rsidP="00BC5B46" w14:paraId="016D20C8" w14:textId="77777777">
      <w:pPr>
        <w:widowControl w:val="0"/>
        <w:suppressAutoHyphens/>
        <w:ind w:left="1440"/>
        <w:contextualSpacing/>
        <w:rPr>
          <w:color w:val="auto"/>
        </w:rPr>
      </w:pPr>
    </w:p>
    <w:p w:rsidR="00BC5B46" w:rsidRPr="006F0F09" w:rsidP="00BC5B46" w14:paraId="528F4A68" w14:textId="77777777">
      <w:pPr>
        <w:pStyle w:val="ListParagraph"/>
        <w:widowControl w:val="0"/>
        <w:numPr>
          <w:ilvl w:val="0"/>
          <w:numId w:val="2"/>
        </w:numPr>
        <w:suppressAutoHyphens/>
        <w:ind w:left="1440" w:hanging="720"/>
        <w:rPr>
          <w:color w:val="auto"/>
        </w:rPr>
      </w:pPr>
      <w:r w:rsidRPr="006F0F09">
        <w:rPr>
          <w:b/>
          <w:color w:val="auto"/>
        </w:rPr>
        <w:t xml:space="preserve">Justification for Sensitive Questions </w:t>
      </w:r>
    </w:p>
    <w:p w:rsidR="00BC5B46" w:rsidRPr="006F0F09" w:rsidP="00BC5B46" w14:paraId="5E2668FF" w14:textId="48A2CC3D">
      <w:pPr>
        <w:widowControl w:val="0"/>
        <w:suppressAutoHyphens/>
        <w:ind w:left="1440"/>
        <w:contextualSpacing/>
        <w:rPr>
          <w:color w:val="auto"/>
        </w:rPr>
      </w:pPr>
      <w:r w:rsidRPr="006F0F09">
        <w:rPr>
          <w:color w:val="auto"/>
        </w:rPr>
        <w:t xml:space="preserve">SSA considers that some respondents may find some of the questions in this information collection sensitive in nature, including personal details about the child’s development and overall functioning.  </w:t>
      </w:r>
      <w:r w:rsidR="00814110">
        <w:rPr>
          <w:color w:val="auto"/>
        </w:rPr>
        <w:t>However, w</w:t>
      </w:r>
      <w:r w:rsidRPr="006F0F09">
        <w:rPr>
          <w:color w:val="auto"/>
        </w:rPr>
        <w:t xml:space="preserve">e require the </w:t>
      </w:r>
      <w:r w:rsidRPr="006F0F09">
        <w:rPr>
          <w:color w:val="auto"/>
        </w:rPr>
        <w:t>information from this collection to assure a complete medical and non-medical record is obtained to fulfill the disability adjudicative process.</w:t>
      </w:r>
      <w:r w:rsidR="00814110">
        <w:rPr>
          <w:color w:val="auto"/>
        </w:rPr>
        <w:t xml:space="preserve">  As stated above, we considered these concerns in our overall burden per response shown in #12 below.</w:t>
      </w:r>
    </w:p>
    <w:p w:rsidR="00BC5B46" w:rsidRPr="006F0F09" w:rsidP="00BC5B46" w14:paraId="0296F58D" w14:textId="77777777">
      <w:pPr>
        <w:widowControl w:val="0"/>
        <w:suppressAutoHyphens/>
        <w:contextualSpacing/>
        <w:rPr>
          <w:color w:val="auto"/>
        </w:rPr>
      </w:pPr>
    </w:p>
    <w:p w:rsidR="009611A5" w:rsidP="009611A5" w14:paraId="4F27510B" w14:textId="77777777">
      <w:pPr>
        <w:pStyle w:val="BodyTextIndent3"/>
        <w:widowControl w:val="0"/>
        <w:numPr>
          <w:ilvl w:val="0"/>
          <w:numId w:val="2"/>
        </w:numPr>
        <w:suppressAutoHyphens/>
        <w:spacing w:after="0"/>
        <w:ind w:left="1440" w:hanging="720"/>
        <w:contextualSpacing/>
        <w:rPr>
          <w:color w:val="auto"/>
          <w:sz w:val="24"/>
          <w:szCs w:val="24"/>
        </w:rPr>
      </w:pPr>
      <w:r w:rsidRPr="006F0F09">
        <w:rPr>
          <w:b/>
          <w:color w:val="auto"/>
          <w:sz w:val="24"/>
          <w:szCs w:val="24"/>
        </w:rPr>
        <w:t>Estimates of Public Reporting Burden</w:t>
      </w:r>
    </w:p>
    <w:p w:rsidR="009611A5" w:rsidRPr="009611A5" w:rsidP="009611A5" w14:paraId="274B875C" w14:textId="1472AA08">
      <w:pPr>
        <w:pStyle w:val="BodyTextIndent3"/>
        <w:widowControl w:val="0"/>
        <w:suppressAutoHyphens/>
        <w:spacing w:after="0"/>
        <w:ind w:left="1440"/>
        <w:contextualSpacing/>
        <w:rPr>
          <w:color w:val="auto"/>
          <w:sz w:val="24"/>
          <w:szCs w:val="24"/>
        </w:rPr>
      </w:pPr>
      <w:r w:rsidRPr="009611A5">
        <w:rPr>
          <w:color w:val="auto"/>
          <w:sz w:val="24"/>
          <w:szCs w:val="24"/>
        </w:rPr>
        <w:t xml:space="preserve">SSA calculated the burden below using </w:t>
      </w:r>
      <w:r w:rsidR="00814110">
        <w:rPr>
          <w:color w:val="auto"/>
          <w:sz w:val="24"/>
          <w:szCs w:val="24"/>
        </w:rPr>
        <w:t>MI</w:t>
      </w:r>
      <w:r w:rsidRPr="009611A5">
        <w:rPr>
          <w:color w:val="auto"/>
          <w:sz w:val="24"/>
          <w:szCs w:val="24"/>
        </w:rPr>
        <w:t xml:space="preserve"> data by estimating the amount of time respondents take to learn about the program; receive notices as needed; read and understand instructions; gather the data and documents needed; answer the questions and complete the information collection instrument; schedule any necessary appointment or required phone call; and wait</w:t>
      </w:r>
      <w:r w:rsidR="00A52940">
        <w:rPr>
          <w:color w:val="auto"/>
          <w:sz w:val="24"/>
          <w:szCs w:val="24"/>
        </w:rPr>
        <w:t xml:space="preserve"> time </w:t>
      </w:r>
      <w:r w:rsidRPr="009611A5">
        <w:rPr>
          <w:color w:val="auto"/>
          <w:sz w:val="24"/>
          <w:szCs w:val="24"/>
        </w:rPr>
        <w:t xml:space="preserve">to speak with SSA employees (as needed). </w:t>
      </w:r>
      <w:r w:rsidR="00814110">
        <w:rPr>
          <w:color w:val="auto"/>
          <w:sz w:val="24"/>
          <w:szCs w:val="24"/>
        </w:rPr>
        <w:t xml:space="preserve"> The</w:t>
      </w:r>
      <w:r w:rsidRPr="009611A5">
        <w:rPr>
          <w:color w:val="auto"/>
          <w:sz w:val="24"/>
          <w:szCs w:val="24"/>
        </w:rPr>
        <w:t xml:space="preserve"> chart below</w:t>
      </w:r>
      <w:r w:rsidR="00814110">
        <w:rPr>
          <w:color w:val="auto"/>
          <w:sz w:val="24"/>
          <w:szCs w:val="24"/>
        </w:rPr>
        <w:t xml:space="preserve"> shows the current public reporting burden for these forms</w:t>
      </w:r>
      <w:r w:rsidRPr="009611A5">
        <w:rPr>
          <w:color w:val="auto"/>
          <w:sz w:val="24"/>
          <w:szCs w:val="24"/>
        </w:rPr>
        <w:t>:</w:t>
      </w:r>
    </w:p>
    <w:p w:rsidR="009611A5" w:rsidRPr="006F0F09" w:rsidP="00CB7ADF" w14:paraId="3D0AFC3B" w14:textId="77777777">
      <w:pPr>
        <w:pStyle w:val="BodyTextIndent3"/>
        <w:widowControl w:val="0"/>
        <w:suppressAutoHyphens/>
        <w:ind w:left="0"/>
        <w:contextualSpacing/>
        <w:rPr>
          <w:color w:val="auto"/>
          <w:sz w:val="24"/>
          <w:szCs w:val="24"/>
        </w:rPr>
      </w:pPr>
    </w:p>
    <w:tbl>
      <w:tblPr>
        <w:tblStyle w:val="TableGrid1"/>
        <w:tblpPr w:leftFromText="180" w:rightFromText="180" w:vertAnchor="text" w:horzAnchor="page" w:tblpX="575" w:tblpY="60"/>
        <w:tblW w:w="11435" w:type="dxa"/>
        <w:tblLayout w:type="fixed"/>
        <w:tblLook w:val="04A0"/>
      </w:tblPr>
      <w:tblGrid>
        <w:gridCol w:w="1620"/>
        <w:gridCol w:w="1530"/>
        <w:gridCol w:w="1350"/>
        <w:gridCol w:w="1260"/>
        <w:gridCol w:w="1075"/>
        <w:gridCol w:w="1440"/>
        <w:gridCol w:w="1445"/>
        <w:gridCol w:w="1715"/>
      </w:tblGrid>
      <w:tr w14:paraId="4B422859" w14:textId="77777777" w:rsidTr="007C08B4">
        <w:tblPrEx>
          <w:tblW w:w="11435" w:type="dxa"/>
          <w:tblLayout w:type="fixed"/>
          <w:tblLook w:val="04A0"/>
        </w:tblPrEx>
        <w:tc>
          <w:tcPr>
            <w:tcW w:w="1620" w:type="dxa"/>
          </w:tcPr>
          <w:p w:rsidR="009611A5" w:rsidP="00E1733E" w14:paraId="697B291D" w14:textId="77777777">
            <w:pPr>
              <w:tabs>
                <w:tab w:val="left" w:pos="1350"/>
              </w:tabs>
              <w:autoSpaceDE w:val="0"/>
              <w:autoSpaceDN w:val="0"/>
              <w:adjustRightInd w:val="0"/>
              <w:rPr>
                <w:b/>
                <w:snapToGrid w:val="0"/>
                <w:color w:val="auto"/>
                <w:lang w:eastAsia="en-US"/>
              </w:rPr>
            </w:pPr>
            <w:r w:rsidRPr="002C08DD">
              <w:rPr>
                <w:b/>
                <w:snapToGrid w:val="0"/>
                <w:color w:val="auto"/>
                <w:lang w:eastAsia="en-US"/>
              </w:rPr>
              <w:t>Modality of Completion</w:t>
            </w:r>
          </w:p>
          <w:p w:rsidR="009611A5" w:rsidP="00E1733E" w14:paraId="34E53AE4" w14:textId="77777777">
            <w:pPr>
              <w:tabs>
                <w:tab w:val="left" w:pos="1350"/>
              </w:tabs>
              <w:autoSpaceDE w:val="0"/>
              <w:autoSpaceDN w:val="0"/>
              <w:adjustRightInd w:val="0"/>
              <w:rPr>
                <w:b/>
                <w:i/>
                <w:iCs/>
                <w:snapToGrid w:val="0"/>
                <w:color w:val="auto"/>
                <w:sz w:val="22"/>
                <w:szCs w:val="22"/>
                <w:lang w:eastAsia="en-US"/>
              </w:rPr>
            </w:pPr>
          </w:p>
          <w:p w:rsidR="009611A5" w:rsidRPr="00D456BD" w:rsidP="00E1733E" w14:paraId="5911123F" w14:textId="09D57AA0">
            <w:pPr>
              <w:tabs>
                <w:tab w:val="left" w:pos="1350"/>
              </w:tabs>
              <w:autoSpaceDE w:val="0"/>
              <w:autoSpaceDN w:val="0"/>
              <w:adjustRightInd w:val="0"/>
              <w:rPr>
                <w:bCs/>
                <w:i/>
                <w:iCs/>
                <w:snapToGrid w:val="0"/>
                <w:color w:val="auto"/>
                <w:sz w:val="22"/>
                <w:szCs w:val="22"/>
                <w:lang w:eastAsia="en-US"/>
              </w:rPr>
            </w:pPr>
            <w:r w:rsidRPr="00D456BD">
              <w:rPr>
                <w:bCs/>
                <w:i/>
                <w:iCs/>
                <w:snapToGrid w:val="0"/>
                <w:color w:val="auto"/>
                <w:sz w:val="22"/>
                <w:szCs w:val="22"/>
                <w:lang w:eastAsia="en-US"/>
              </w:rPr>
              <w:t xml:space="preserve">(paper &amp; </w:t>
            </w:r>
            <w:r w:rsidR="00814110">
              <w:rPr>
                <w:bCs/>
                <w:i/>
                <w:iCs/>
                <w:snapToGrid w:val="0"/>
                <w:color w:val="auto"/>
                <w:sz w:val="22"/>
                <w:szCs w:val="22"/>
                <w:lang w:eastAsia="en-US"/>
              </w:rPr>
              <w:t>Intranet</w:t>
            </w:r>
            <w:r w:rsidRPr="00D456BD">
              <w:rPr>
                <w:bCs/>
                <w:i/>
                <w:iCs/>
                <w:snapToGrid w:val="0"/>
                <w:color w:val="auto"/>
                <w:sz w:val="22"/>
                <w:szCs w:val="22"/>
                <w:lang w:eastAsia="en-US"/>
              </w:rPr>
              <w:t>/</w:t>
            </w:r>
          </w:p>
          <w:p w:rsidR="009611A5" w:rsidRPr="00F54894" w:rsidP="00E1733E" w14:paraId="7EF5D76B" w14:textId="77777777">
            <w:pPr>
              <w:tabs>
                <w:tab w:val="left" w:pos="1350"/>
              </w:tabs>
              <w:autoSpaceDE w:val="0"/>
              <w:autoSpaceDN w:val="0"/>
              <w:adjustRightInd w:val="0"/>
              <w:rPr>
                <w:b/>
                <w:snapToGrid w:val="0"/>
                <w:color w:val="auto"/>
                <w:lang w:eastAsia="en-US"/>
              </w:rPr>
            </w:pPr>
            <w:r w:rsidRPr="00D456BD">
              <w:rPr>
                <w:bCs/>
                <w:i/>
                <w:iCs/>
                <w:snapToGrid w:val="0"/>
                <w:color w:val="auto"/>
                <w:sz w:val="22"/>
                <w:szCs w:val="22"/>
                <w:lang w:eastAsia="en-US"/>
              </w:rPr>
              <w:t>electronic versions)</w:t>
            </w:r>
          </w:p>
        </w:tc>
        <w:tc>
          <w:tcPr>
            <w:tcW w:w="1530" w:type="dxa"/>
          </w:tcPr>
          <w:p w:rsidR="009611A5" w:rsidRPr="002C08DD" w:rsidP="00E1733E" w14:paraId="38563096" w14:textId="77777777">
            <w:pPr>
              <w:tabs>
                <w:tab w:val="left" w:pos="1350"/>
              </w:tabs>
              <w:autoSpaceDE w:val="0"/>
              <w:autoSpaceDN w:val="0"/>
              <w:adjustRightInd w:val="0"/>
              <w:rPr>
                <w:snapToGrid w:val="0"/>
                <w:color w:val="auto"/>
                <w:lang w:eastAsia="en-US"/>
              </w:rPr>
            </w:pPr>
            <w:r w:rsidRPr="002C08DD">
              <w:rPr>
                <w:b/>
                <w:snapToGrid w:val="0"/>
                <w:color w:val="auto"/>
                <w:lang w:eastAsia="en-US"/>
              </w:rPr>
              <w:t>Number of Respondents</w:t>
            </w:r>
          </w:p>
        </w:tc>
        <w:tc>
          <w:tcPr>
            <w:tcW w:w="1350" w:type="dxa"/>
          </w:tcPr>
          <w:p w:rsidR="009611A5" w:rsidRPr="002C08DD" w:rsidP="00E1733E" w14:paraId="5D92C920" w14:textId="77777777">
            <w:pPr>
              <w:tabs>
                <w:tab w:val="left" w:pos="1350"/>
              </w:tabs>
              <w:autoSpaceDE w:val="0"/>
              <w:autoSpaceDN w:val="0"/>
              <w:adjustRightInd w:val="0"/>
              <w:rPr>
                <w:snapToGrid w:val="0"/>
                <w:color w:val="auto"/>
                <w:lang w:eastAsia="en-US"/>
              </w:rPr>
            </w:pPr>
            <w:r w:rsidRPr="002C08DD">
              <w:rPr>
                <w:b/>
                <w:snapToGrid w:val="0"/>
                <w:color w:val="auto"/>
                <w:lang w:eastAsia="en-US"/>
              </w:rPr>
              <w:t>Frequency of Response</w:t>
            </w:r>
          </w:p>
        </w:tc>
        <w:tc>
          <w:tcPr>
            <w:tcW w:w="1260" w:type="dxa"/>
          </w:tcPr>
          <w:p w:rsidR="009611A5" w:rsidRPr="002C08DD" w:rsidP="00E1733E" w14:paraId="633ABA46" w14:textId="77777777">
            <w:pPr>
              <w:tabs>
                <w:tab w:val="left" w:pos="1350"/>
              </w:tabs>
              <w:autoSpaceDE w:val="0"/>
              <w:autoSpaceDN w:val="0"/>
              <w:adjustRightInd w:val="0"/>
              <w:rPr>
                <w:snapToGrid w:val="0"/>
                <w:color w:val="auto"/>
                <w:lang w:eastAsia="en-US"/>
              </w:rPr>
            </w:pPr>
            <w:r w:rsidRPr="002C08DD">
              <w:rPr>
                <w:b/>
                <w:snapToGrid w:val="0"/>
                <w:color w:val="auto"/>
                <w:lang w:eastAsia="en-US"/>
              </w:rPr>
              <w:t>Average Burden per Response (minutes)</w:t>
            </w:r>
          </w:p>
        </w:tc>
        <w:tc>
          <w:tcPr>
            <w:tcW w:w="1075" w:type="dxa"/>
          </w:tcPr>
          <w:p w:rsidR="009611A5" w:rsidRPr="002C08DD" w:rsidP="00E1733E" w14:paraId="5F08ED9D" w14:textId="77777777">
            <w:pPr>
              <w:tabs>
                <w:tab w:val="left" w:pos="1350"/>
              </w:tabs>
              <w:autoSpaceDE w:val="0"/>
              <w:autoSpaceDN w:val="0"/>
              <w:adjustRightInd w:val="0"/>
              <w:rPr>
                <w:snapToGrid w:val="0"/>
                <w:color w:val="auto"/>
                <w:lang w:eastAsia="en-US"/>
              </w:rPr>
            </w:pPr>
            <w:r w:rsidRPr="002C08DD">
              <w:rPr>
                <w:b/>
                <w:snapToGrid w:val="0"/>
                <w:color w:val="auto"/>
                <w:lang w:eastAsia="en-US"/>
              </w:rPr>
              <w:t>Estimated Total Annual Burden (hours)</w:t>
            </w:r>
          </w:p>
        </w:tc>
        <w:tc>
          <w:tcPr>
            <w:tcW w:w="1440" w:type="dxa"/>
          </w:tcPr>
          <w:p w:rsidR="009611A5" w:rsidRPr="002C08DD" w:rsidP="00E1733E" w14:paraId="7490863C" w14:textId="77777777">
            <w:pPr>
              <w:tabs>
                <w:tab w:val="left" w:pos="1350"/>
              </w:tabs>
              <w:autoSpaceDE w:val="0"/>
              <w:autoSpaceDN w:val="0"/>
              <w:adjustRightInd w:val="0"/>
              <w:rPr>
                <w:snapToGrid w:val="0"/>
                <w:color w:val="auto"/>
                <w:lang w:eastAsia="en-US"/>
              </w:rPr>
            </w:pPr>
            <w:r w:rsidRPr="002C08DD">
              <w:rPr>
                <w:b/>
                <w:snapToGrid w:val="0"/>
                <w:color w:val="auto"/>
                <w:lang w:eastAsia="en-US"/>
              </w:rPr>
              <w:t>Average Theoretical Hourly Cost Amount (dollars)*</w:t>
            </w:r>
          </w:p>
        </w:tc>
        <w:tc>
          <w:tcPr>
            <w:tcW w:w="1445" w:type="dxa"/>
          </w:tcPr>
          <w:p w:rsidR="007C08B4" w:rsidRPr="007C08B4" w:rsidP="007C08B4" w14:paraId="2A629ED9" w14:textId="77777777">
            <w:pPr>
              <w:autoSpaceDE w:val="0"/>
              <w:autoSpaceDN w:val="0"/>
              <w:adjustRightInd w:val="0"/>
              <w:rPr>
                <w:b/>
                <w:snapToGrid w:val="0"/>
                <w:color w:val="auto"/>
                <w:lang w:eastAsia="en-US"/>
              </w:rPr>
            </w:pPr>
            <w:r w:rsidRPr="007C08B4">
              <w:rPr>
                <w:b/>
                <w:snapToGrid w:val="0"/>
                <w:color w:val="auto"/>
                <w:lang w:eastAsia="en-US"/>
              </w:rPr>
              <w:t>Average Wait Time in Field Office</w:t>
            </w:r>
          </w:p>
          <w:p w:rsidR="007C08B4" w:rsidRPr="007C08B4" w:rsidP="007C08B4" w14:paraId="2474AC52" w14:textId="77777777">
            <w:pPr>
              <w:autoSpaceDE w:val="0"/>
              <w:autoSpaceDN w:val="0"/>
              <w:adjustRightInd w:val="0"/>
              <w:rPr>
                <w:b/>
                <w:snapToGrid w:val="0"/>
                <w:color w:val="auto"/>
                <w:lang w:eastAsia="en-US"/>
              </w:rPr>
            </w:pPr>
            <w:r w:rsidRPr="007C08B4">
              <w:rPr>
                <w:b/>
                <w:snapToGrid w:val="0"/>
                <w:color w:val="auto"/>
                <w:lang w:eastAsia="en-US"/>
              </w:rPr>
              <w:t xml:space="preserve">or Teleservice Center </w:t>
            </w:r>
          </w:p>
          <w:p w:rsidR="009611A5" w:rsidRPr="002C08DD" w:rsidP="007C08B4" w14:paraId="66C0DDC8" w14:textId="2B039630">
            <w:pPr>
              <w:tabs>
                <w:tab w:val="left" w:pos="1350"/>
              </w:tabs>
              <w:autoSpaceDE w:val="0"/>
              <w:autoSpaceDN w:val="0"/>
              <w:adjustRightInd w:val="0"/>
              <w:rPr>
                <w:b/>
                <w:snapToGrid w:val="0"/>
                <w:color w:val="auto"/>
                <w:lang w:eastAsia="en-US"/>
              </w:rPr>
            </w:pPr>
            <w:r w:rsidRPr="007C08B4">
              <w:rPr>
                <w:b/>
                <w:snapToGrid w:val="0"/>
                <w:color w:val="auto"/>
                <w:lang w:eastAsia="en-US"/>
              </w:rPr>
              <w:t>(minutes) **</w:t>
            </w:r>
          </w:p>
        </w:tc>
        <w:tc>
          <w:tcPr>
            <w:tcW w:w="1715" w:type="dxa"/>
          </w:tcPr>
          <w:p w:rsidR="009611A5" w:rsidRPr="002C08DD" w:rsidP="00E1733E" w14:paraId="10092E4E" w14:textId="77777777">
            <w:pPr>
              <w:autoSpaceDE w:val="0"/>
              <w:autoSpaceDN w:val="0"/>
              <w:adjustRightInd w:val="0"/>
              <w:rPr>
                <w:b/>
                <w:snapToGrid w:val="0"/>
                <w:color w:val="auto"/>
                <w:lang w:eastAsia="en-US"/>
              </w:rPr>
            </w:pPr>
            <w:r w:rsidRPr="002C08DD">
              <w:rPr>
                <w:b/>
                <w:snapToGrid w:val="0"/>
                <w:color w:val="auto"/>
                <w:lang w:eastAsia="en-US"/>
              </w:rPr>
              <w:t>Total Annual Opportunity Cost (dollars)***</w:t>
            </w:r>
          </w:p>
        </w:tc>
      </w:tr>
      <w:tr w14:paraId="2DD8A43D" w14:textId="77777777" w:rsidTr="007C08B4">
        <w:tblPrEx>
          <w:tblW w:w="11435" w:type="dxa"/>
          <w:tblLayout w:type="fixed"/>
          <w:tblLook w:val="04A0"/>
        </w:tblPrEx>
        <w:trPr>
          <w:trHeight w:val="308"/>
        </w:trPr>
        <w:tc>
          <w:tcPr>
            <w:tcW w:w="1620" w:type="dxa"/>
          </w:tcPr>
          <w:p w:rsidR="007C08B4" w:rsidRPr="007C08B4" w:rsidP="007C08B4" w14:paraId="4412B925" w14:textId="0B54D926">
            <w:pPr>
              <w:tabs>
                <w:tab w:val="left" w:pos="1350"/>
              </w:tabs>
              <w:autoSpaceDE w:val="0"/>
              <w:autoSpaceDN w:val="0"/>
              <w:adjustRightInd w:val="0"/>
              <w:rPr>
                <w:b/>
                <w:snapToGrid w:val="0"/>
                <w:color w:val="auto"/>
                <w:lang w:eastAsia="en-US"/>
              </w:rPr>
            </w:pPr>
            <w:r w:rsidRPr="007C08B4">
              <w:rPr>
                <w:color w:val="auto"/>
              </w:rPr>
              <w:t>SSA-3375</w:t>
            </w:r>
          </w:p>
        </w:tc>
        <w:tc>
          <w:tcPr>
            <w:tcW w:w="1530" w:type="dxa"/>
          </w:tcPr>
          <w:p w:rsidR="007C08B4" w:rsidRPr="007C08B4" w:rsidP="007C08B4" w14:paraId="511B4AD7" w14:textId="77777777">
            <w:pPr>
              <w:widowControl w:val="0"/>
              <w:jc w:val="right"/>
              <w:rPr>
                <w:color w:val="auto"/>
              </w:rPr>
            </w:pPr>
            <w:r w:rsidRPr="007C08B4">
              <w:rPr>
                <w:color w:val="auto"/>
              </w:rPr>
              <w:t>26,864</w:t>
            </w:r>
          </w:p>
          <w:p w:rsidR="007C08B4" w:rsidRPr="007C08B4" w:rsidP="007C08B4" w14:paraId="78E703FF" w14:textId="77777777">
            <w:pPr>
              <w:tabs>
                <w:tab w:val="left" w:pos="1350"/>
              </w:tabs>
              <w:autoSpaceDE w:val="0"/>
              <w:autoSpaceDN w:val="0"/>
              <w:adjustRightInd w:val="0"/>
              <w:jc w:val="right"/>
              <w:rPr>
                <w:snapToGrid w:val="0"/>
                <w:color w:val="auto"/>
                <w:lang w:eastAsia="en-US"/>
              </w:rPr>
            </w:pPr>
          </w:p>
        </w:tc>
        <w:tc>
          <w:tcPr>
            <w:tcW w:w="1350" w:type="dxa"/>
          </w:tcPr>
          <w:p w:rsidR="007C08B4" w:rsidRPr="007C08B4" w:rsidP="007C08B4" w14:paraId="51914718" w14:textId="34BDE13E">
            <w:pPr>
              <w:tabs>
                <w:tab w:val="left" w:pos="1350"/>
              </w:tabs>
              <w:autoSpaceDE w:val="0"/>
              <w:autoSpaceDN w:val="0"/>
              <w:adjustRightInd w:val="0"/>
              <w:jc w:val="right"/>
              <w:rPr>
                <w:snapToGrid w:val="0"/>
                <w:color w:val="auto"/>
                <w:lang w:eastAsia="en-US"/>
              </w:rPr>
            </w:pPr>
            <w:r w:rsidRPr="007C08B4">
              <w:rPr>
                <w:snapToGrid w:val="0"/>
                <w:color w:val="auto"/>
                <w:lang w:eastAsia="en-US"/>
              </w:rPr>
              <w:t>1</w:t>
            </w:r>
          </w:p>
        </w:tc>
        <w:tc>
          <w:tcPr>
            <w:tcW w:w="1260" w:type="dxa"/>
          </w:tcPr>
          <w:p w:rsidR="007C08B4" w:rsidRPr="007C08B4" w:rsidP="007C08B4" w14:paraId="4D614E7E" w14:textId="31DBC807">
            <w:pPr>
              <w:tabs>
                <w:tab w:val="left" w:pos="1350"/>
              </w:tabs>
              <w:autoSpaceDE w:val="0"/>
              <w:autoSpaceDN w:val="0"/>
              <w:adjustRightInd w:val="0"/>
              <w:jc w:val="right"/>
              <w:rPr>
                <w:snapToGrid w:val="0"/>
                <w:color w:val="auto"/>
                <w:lang w:eastAsia="en-US"/>
              </w:rPr>
            </w:pPr>
            <w:r w:rsidRPr="007C08B4">
              <w:rPr>
                <w:snapToGrid w:val="0"/>
                <w:color w:val="auto"/>
                <w:lang w:eastAsia="en-US"/>
              </w:rPr>
              <w:t>20</w:t>
            </w:r>
          </w:p>
        </w:tc>
        <w:tc>
          <w:tcPr>
            <w:tcW w:w="1075" w:type="dxa"/>
          </w:tcPr>
          <w:p w:rsidR="007C08B4" w:rsidRPr="007C08B4" w:rsidP="007C08B4" w14:paraId="57958BFC" w14:textId="77777777">
            <w:pPr>
              <w:widowControl w:val="0"/>
              <w:jc w:val="right"/>
              <w:rPr>
                <w:snapToGrid w:val="0"/>
                <w:color w:val="auto"/>
                <w:lang w:eastAsia="en-US"/>
              </w:rPr>
            </w:pPr>
            <w:r w:rsidRPr="007C08B4">
              <w:rPr>
                <w:snapToGrid w:val="0"/>
                <w:color w:val="auto"/>
                <w:lang w:eastAsia="en-US"/>
              </w:rPr>
              <w:t>8,955</w:t>
            </w:r>
          </w:p>
          <w:p w:rsidR="007C08B4" w:rsidRPr="007C08B4" w:rsidP="007C08B4" w14:paraId="747AF070" w14:textId="77777777">
            <w:pPr>
              <w:tabs>
                <w:tab w:val="left" w:pos="1350"/>
              </w:tabs>
              <w:autoSpaceDE w:val="0"/>
              <w:autoSpaceDN w:val="0"/>
              <w:adjustRightInd w:val="0"/>
              <w:jc w:val="right"/>
              <w:rPr>
                <w:snapToGrid w:val="0"/>
                <w:color w:val="auto"/>
                <w:lang w:eastAsia="en-US"/>
              </w:rPr>
            </w:pPr>
          </w:p>
        </w:tc>
        <w:tc>
          <w:tcPr>
            <w:tcW w:w="1440" w:type="dxa"/>
          </w:tcPr>
          <w:p w:rsidR="007C08B4" w:rsidRPr="007C08B4" w:rsidP="007C08B4" w14:paraId="2B66F538" w14:textId="60B07551">
            <w:pPr>
              <w:tabs>
                <w:tab w:val="left" w:pos="1350"/>
              </w:tabs>
              <w:autoSpaceDE w:val="0"/>
              <w:autoSpaceDN w:val="0"/>
              <w:adjustRightInd w:val="0"/>
              <w:jc w:val="right"/>
              <w:rPr>
                <w:snapToGrid w:val="0"/>
                <w:color w:val="auto"/>
                <w:lang w:eastAsia="en-US"/>
              </w:rPr>
            </w:pPr>
            <w:r w:rsidRPr="007C08B4">
              <w:rPr>
                <w:color w:val="auto"/>
              </w:rPr>
              <w:t>$31.48*</w:t>
            </w:r>
          </w:p>
        </w:tc>
        <w:tc>
          <w:tcPr>
            <w:tcW w:w="1445" w:type="dxa"/>
          </w:tcPr>
          <w:p w:rsidR="007C08B4" w:rsidRPr="007C08B4" w:rsidP="007C08B4" w14:paraId="27DA3AFD" w14:textId="26DC0EE6">
            <w:pPr>
              <w:autoSpaceDE w:val="0"/>
              <w:autoSpaceDN w:val="0"/>
              <w:adjustRightInd w:val="0"/>
              <w:jc w:val="right"/>
              <w:rPr>
                <w:snapToGrid w:val="0"/>
                <w:color w:val="auto"/>
                <w:lang w:eastAsia="en-US"/>
              </w:rPr>
            </w:pPr>
            <w:r w:rsidRPr="007C08B4">
              <w:rPr>
                <w:snapToGrid w:val="0"/>
                <w:color w:val="auto"/>
                <w:lang w:eastAsia="en-US"/>
              </w:rPr>
              <w:t>21**</w:t>
            </w:r>
          </w:p>
        </w:tc>
        <w:tc>
          <w:tcPr>
            <w:tcW w:w="1715" w:type="dxa"/>
          </w:tcPr>
          <w:p w:rsidR="007C08B4" w:rsidRPr="007C08B4" w:rsidP="007C08B4" w14:paraId="633460CC" w14:textId="77777777">
            <w:pPr>
              <w:tabs>
                <w:tab w:val="left" w:pos="1350"/>
              </w:tabs>
              <w:autoSpaceDE w:val="0"/>
              <w:autoSpaceDN w:val="0"/>
              <w:adjustRightInd w:val="0"/>
              <w:jc w:val="right"/>
              <w:rPr>
                <w:snapToGrid w:val="0"/>
                <w:color w:val="auto"/>
                <w:lang w:eastAsia="en-US"/>
              </w:rPr>
            </w:pPr>
            <w:r w:rsidRPr="007C08B4">
              <w:rPr>
                <w:snapToGrid w:val="0"/>
                <w:color w:val="auto"/>
                <w:lang w:eastAsia="en-US"/>
              </w:rPr>
              <w:t>$577,878***</w:t>
            </w:r>
          </w:p>
          <w:p w:rsidR="007C08B4" w:rsidRPr="007C08B4" w:rsidP="007C08B4" w14:paraId="307FB1E6" w14:textId="77777777">
            <w:pPr>
              <w:autoSpaceDE w:val="0"/>
              <w:autoSpaceDN w:val="0"/>
              <w:adjustRightInd w:val="0"/>
              <w:jc w:val="right"/>
              <w:rPr>
                <w:snapToGrid w:val="0"/>
                <w:color w:val="auto"/>
                <w:lang w:eastAsia="en-US"/>
              </w:rPr>
            </w:pPr>
          </w:p>
        </w:tc>
      </w:tr>
      <w:tr w14:paraId="0FCF7D10" w14:textId="77777777" w:rsidTr="007C08B4">
        <w:tblPrEx>
          <w:tblW w:w="11435" w:type="dxa"/>
          <w:tblLayout w:type="fixed"/>
          <w:tblLook w:val="04A0"/>
        </w:tblPrEx>
        <w:tc>
          <w:tcPr>
            <w:tcW w:w="1620" w:type="dxa"/>
          </w:tcPr>
          <w:p w:rsidR="007C08B4" w:rsidRPr="007C08B4" w:rsidP="007C08B4" w14:paraId="6B219046" w14:textId="1F75E5CC">
            <w:pPr>
              <w:tabs>
                <w:tab w:val="left" w:pos="1350"/>
              </w:tabs>
              <w:autoSpaceDE w:val="0"/>
              <w:autoSpaceDN w:val="0"/>
              <w:adjustRightInd w:val="0"/>
              <w:rPr>
                <w:b/>
                <w:snapToGrid w:val="0"/>
                <w:color w:val="auto"/>
                <w:lang w:eastAsia="en-US"/>
              </w:rPr>
            </w:pPr>
            <w:r w:rsidRPr="007C08B4">
              <w:rPr>
                <w:color w:val="auto"/>
              </w:rPr>
              <w:t>SSA</w:t>
            </w:r>
            <w:r w:rsidRPr="007C08B4">
              <w:rPr>
                <w:color w:val="auto"/>
              </w:rPr>
              <w:noBreakHyphen/>
              <w:t>3376</w:t>
            </w:r>
          </w:p>
        </w:tc>
        <w:tc>
          <w:tcPr>
            <w:tcW w:w="1530" w:type="dxa"/>
          </w:tcPr>
          <w:p w:rsidR="007C08B4" w:rsidRPr="007C08B4" w:rsidP="007C08B4" w14:paraId="08FD96CF" w14:textId="77777777">
            <w:pPr>
              <w:widowControl w:val="0"/>
              <w:jc w:val="right"/>
              <w:rPr>
                <w:color w:val="auto"/>
              </w:rPr>
            </w:pPr>
            <w:r w:rsidRPr="007C08B4">
              <w:rPr>
                <w:color w:val="auto"/>
              </w:rPr>
              <w:t>53,347</w:t>
            </w:r>
          </w:p>
          <w:p w:rsidR="007C08B4" w:rsidRPr="007C08B4" w:rsidP="007C08B4" w14:paraId="41A6AB77" w14:textId="77777777">
            <w:pPr>
              <w:tabs>
                <w:tab w:val="left" w:pos="1350"/>
              </w:tabs>
              <w:autoSpaceDE w:val="0"/>
              <w:autoSpaceDN w:val="0"/>
              <w:adjustRightInd w:val="0"/>
              <w:jc w:val="right"/>
              <w:rPr>
                <w:snapToGrid w:val="0"/>
                <w:color w:val="auto"/>
                <w:lang w:eastAsia="en-US"/>
              </w:rPr>
            </w:pPr>
          </w:p>
        </w:tc>
        <w:tc>
          <w:tcPr>
            <w:tcW w:w="1350" w:type="dxa"/>
          </w:tcPr>
          <w:p w:rsidR="007C08B4" w:rsidRPr="007C08B4" w:rsidP="007C08B4" w14:paraId="320CC0CF" w14:textId="279343A2">
            <w:pPr>
              <w:tabs>
                <w:tab w:val="left" w:pos="1350"/>
              </w:tabs>
              <w:autoSpaceDE w:val="0"/>
              <w:autoSpaceDN w:val="0"/>
              <w:adjustRightInd w:val="0"/>
              <w:jc w:val="right"/>
              <w:rPr>
                <w:snapToGrid w:val="0"/>
                <w:color w:val="auto"/>
                <w:lang w:eastAsia="en-US"/>
              </w:rPr>
            </w:pPr>
            <w:r w:rsidRPr="007C08B4">
              <w:rPr>
                <w:snapToGrid w:val="0"/>
                <w:color w:val="auto"/>
                <w:lang w:eastAsia="en-US"/>
              </w:rPr>
              <w:t>1</w:t>
            </w:r>
          </w:p>
        </w:tc>
        <w:tc>
          <w:tcPr>
            <w:tcW w:w="1260" w:type="dxa"/>
          </w:tcPr>
          <w:p w:rsidR="007C08B4" w:rsidRPr="007C08B4" w:rsidP="007C08B4" w14:paraId="2E4D9C91" w14:textId="41E239D4">
            <w:pPr>
              <w:tabs>
                <w:tab w:val="left" w:pos="1350"/>
              </w:tabs>
              <w:autoSpaceDE w:val="0"/>
              <w:autoSpaceDN w:val="0"/>
              <w:adjustRightInd w:val="0"/>
              <w:jc w:val="right"/>
              <w:rPr>
                <w:snapToGrid w:val="0"/>
                <w:color w:val="auto"/>
                <w:lang w:eastAsia="en-US"/>
              </w:rPr>
            </w:pPr>
            <w:r w:rsidRPr="007C08B4">
              <w:rPr>
                <w:snapToGrid w:val="0"/>
                <w:color w:val="auto"/>
                <w:lang w:eastAsia="en-US"/>
              </w:rPr>
              <w:t>20</w:t>
            </w:r>
          </w:p>
        </w:tc>
        <w:tc>
          <w:tcPr>
            <w:tcW w:w="1075" w:type="dxa"/>
          </w:tcPr>
          <w:p w:rsidR="007C08B4" w:rsidRPr="007C08B4" w:rsidP="007C08B4" w14:paraId="1ED147A5" w14:textId="77777777">
            <w:pPr>
              <w:widowControl w:val="0"/>
              <w:jc w:val="right"/>
              <w:rPr>
                <w:snapToGrid w:val="0"/>
                <w:color w:val="auto"/>
                <w:lang w:eastAsia="en-US"/>
              </w:rPr>
            </w:pPr>
            <w:r w:rsidRPr="007C08B4">
              <w:rPr>
                <w:snapToGrid w:val="0"/>
                <w:color w:val="auto"/>
                <w:lang w:eastAsia="en-US"/>
              </w:rPr>
              <w:t>17,782</w:t>
            </w:r>
          </w:p>
          <w:p w:rsidR="007C08B4" w:rsidRPr="007C08B4" w:rsidP="007C08B4" w14:paraId="22932756" w14:textId="77777777">
            <w:pPr>
              <w:tabs>
                <w:tab w:val="left" w:pos="1350"/>
              </w:tabs>
              <w:autoSpaceDE w:val="0"/>
              <w:autoSpaceDN w:val="0"/>
              <w:adjustRightInd w:val="0"/>
              <w:jc w:val="right"/>
              <w:rPr>
                <w:snapToGrid w:val="0"/>
                <w:color w:val="auto"/>
                <w:lang w:eastAsia="en-US"/>
              </w:rPr>
            </w:pPr>
          </w:p>
        </w:tc>
        <w:tc>
          <w:tcPr>
            <w:tcW w:w="1440" w:type="dxa"/>
          </w:tcPr>
          <w:p w:rsidR="007C08B4" w:rsidRPr="007C08B4" w:rsidP="007C08B4" w14:paraId="0258D01C" w14:textId="33A7A6A5">
            <w:pPr>
              <w:tabs>
                <w:tab w:val="left" w:pos="1350"/>
              </w:tabs>
              <w:autoSpaceDE w:val="0"/>
              <w:autoSpaceDN w:val="0"/>
              <w:adjustRightInd w:val="0"/>
              <w:jc w:val="right"/>
              <w:rPr>
                <w:snapToGrid w:val="0"/>
                <w:color w:val="auto"/>
                <w:lang w:eastAsia="en-US"/>
              </w:rPr>
            </w:pPr>
            <w:r w:rsidRPr="007C08B4">
              <w:rPr>
                <w:color w:val="auto"/>
              </w:rPr>
              <w:t>$31.48</w:t>
            </w:r>
            <w:r w:rsidRPr="007C08B4">
              <w:rPr>
                <w:snapToGrid w:val="0"/>
                <w:color w:val="auto"/>
                <w:lang w:eastAsia="en-US"/>
              </w:rPr>
              <w:t>*</w:t>
            </w:r>
          </w:p>
        </w:tc>
        <w:tc>
          <w:tcPr>
            <w:tcW w:w="1445" w:type="dxa"/>
          </w:tcPr>
          <w:p w:rsidR="007C08B4" w:rsidRPr="007C08B4" w:rsidP="007C08B4" w14:paraId="243468B0" w14:textId="3A6DC058">
            <w:pPr>
              <w:autoSpaceDE w:val="0"/>
              <w:autoSpaceDN w:val="0"/>
              <w:adjustRightInd w:val="0"/>
              <w:jc w:val="right"/>
              <w:rPr>
                <w:snapToGrid w:val="0"/>
                <w:color w:val="auto"/>
                <w:lang w:eastAsia="en-US"/>
              </w:rPr>
            </w:pPr>
            <w:r w:rsidRPr="007C08B4">
              <w:rPr>
                <w:snapToGrid w:val="0"/>
                <w:color w:val="auto"/>
                <w:lang w:eastAsia="en-US"/>
              </w:rPr>
              <w:t>21**</w:t>
            </w:r>
          </w:p>
        </w:tc>
        <w:tc>
          <w:tcPr>
            <w:tcW w:w="1715" w:type="dxa"/>
          </w:tcPr>
          <w:p w:rsidR="007C08B4" w:rsidRPr="007C08B4" w:rsidP="007C08B4" w14:paraId="1F78D101" w14:textId="77777777">
            <w:pPr>
              <w:tabs>
                <w:tab w:val="left" w:pos="1350"/>
              </w:tabs>
              <w:autoSpaceDE w:val="0"/>
              <w:autoSpaceDN w:val="0"/>
              <w:adjustRightInd w:val="0"/>
              <w:jc w:val="right"/>
              <w:rPr>
                <w:snapToGrid w:val="0"/>
                <w:color w:val="auto"/>
                <w:lang w:eastAsia="en-US"/>
              </w:rPr>
            </w:pPr>
            <w:r w:rsidRPr="007C08B4">
              <w:rPr>
                <w:snapToGrid w:val="0"/>
                <w:color w:val="auto"/>
                <w:lang w:eastAsia="en-US"/>
              </w:rPr>
              <w:t>$1,147,540***</w:t>
            </w:r>
          </w:p>
          <w:p w:rsidR="007C08B4" w:rsidRPr="007C08B4" w:rsidP="007C08B4" w14:paraId="7D250220" w14:textId="77777777">
            <w:pPr>
              <w:autoSpaceDE w:val="0"/>
              <w:autoSpaceDN w:val="0"/>
              <w:adjustRightInd w:val="0"/>
              <w:jc w:val="right"/>
              <w:rPr>
                <w:snapToGrid w:val="0"/>
                <w:color w:val="auto"/>
                <w:lang w:eastAsia="en-US"/>
              </w:rPr>
            </w:pPr>
          </w:p>
        </w:tc>
      </w:tr>
      <w:tr w14:paraId="3E49E52A" w14:textId="77777777" w:rsidTr="007C08B4">
        <w:tblPrEx>
          <w:tblW w:w="11435" w:type="dxa"/>
          <w:tblLayout w:type="fixed"/>
          <w:tblLook w:val="04A0"/>
        </w:tblPrEx>
        <w:trPr>
          <w:trHeight w:val="443"/>
        </w:trPr>
        <w:tc>
          <w:tcPr>
            <w:tcW w:w="1620" w:type="dxa"/>
          </w:tcPr>
          <w:p w:rsidR="007C08B4" w:rsidRPr="007C08B4" w:rsidP="007C08B4" w14:paraId="25FD96F8" w14:textId="2F8188E8">
            <w:pPr>
              <w:tabs>
                <w:tab w:val="left" w:pos="1350"/>
              </w:tabs>
              <w:autoSpaceDE w:val="0"/>
              <w:autoSpaceDN w:val="0"/>
              <w:adjustRightInd w:val="0"/>
              <w:rPr>
                <w:b/>
                <w:snapToGrid w:val="0"/>
                <w:color w:val="auto"/>
                <w:lang w:eastAsia="en-US"/>
              </w:rPr>
            </w:pPr>
            <w:r w:rsidRPr="007C08B4">
              <w:rPr>
                <w:color w:val="auto"/>
              </w:rPr>
              <w:t>SSA</w:t>
            </w:r>
            <w:r w:rsidRPr="007C08B4">
              <w:rPr>
                <w:color w:val="auto"/>
              </w:rPr>
              <w:noBreakHyphen/>
              <w:t>3377</w:t>
            </w:r>
          </w:p>
        </w:tc>
        <w:tc>
          <w:tcPr>
            <w:tcW w:w="1530" w:type="dxa"/>
          </w:tcPr>
          <w:p w:rsidR="007C08B4" w:rsidRPr="007C08B4" w:rsidP="007C08B4" w14:paraId="0C957EDD" w14:textId="70D6FCFC">
            <w:pPr>
              <w:widowControl w:val="0"/>
              <w:jc w:val="right"/>
              <w:rPr>
                <w:color w:val="auto"/>
              </w:rPr>
            </w:pPr>
            <w:r w:rsidRPr="007C08B4">
              <w:rPr>
                <w:color w:val="auto"/>
              </w:rPr>
              <w:t>108,745</w:t>
            </w:r>
          </w:p>
        </w:tc>
        <w:tc>
          <w:tcPr>
            <w:tcW w:w="1350" w:type="dxa"/>
          </w:tcPr>
          <w:p w:rsidR="007C08B4" w:rsidRPr="007C08B4" w:rsidP="007C08B4" w14:paraId="5E30A4CC" w14:textId="5A364C91">
            <w:pPr>
              <w:tabs>
                <w:tab w:val="left" w:pos="1350"/>
              </w:tabs>
              <w:autoSpaceDE w:val="0"/>
              <w:autoSpaceDN w:val="0"/>
              <w:adjustRightInd w:val="0"/>
              <w:jc w:val="right"/>
              <w:rPr>
                <w:snapToGrid w:val="0"/>
                <w:color w:val="auto"/>
                <w:lang w:eastAsia="en-US"/>
              </w:rPr>
            </w:pPr>
            <w:r w:rsidRPr="007C08B4">
              <w:rPr>
                <w:snapToGrid w:val="0"/>
                <w:color w:val="auto"/>
                <w:lang w:eastAsia="en-US"/>
              </w:rPr>
              <w:t>1</w:t>
            </w:r>
          </w:p>
        </w:tc>
        <w:tc>
          <w:tcPr>
            <w:tcW w:w="1260" w:type="dxa"/>
          </w:tcPr>
          <w:p w:rsidR="007C08B4" w:rsidRPr="007C08B4" w:rsidP="007C08B4" w14:paraId="0B2F0F03" w14:textId="36C24800">
            <w:pPr>
              <w:tabs>
                <w:tab w:val="left" w:pos="1350"/>
              </w:tabs>
              <w:autoSpaceDE w:val="0"/>
              <w:autoSpaceDN w:val="0"/>
              <w:adjustRightInd w:val="0"/>
              <w:jc w:val="right"/>
              <w:rPr>
                <w:snapToGrid w:val="0"/>
                <w:color w:val="auto"/>
                <w:lang w:eastAsia="en-US"/>
              </w:rPr>
            </w:pPr>
            <w:r w:rsidRPr="007C08B4">
              <w:rPr>
                <w:snapToGrid w:val="0"/>
                <w:color w:val="auto"/>
                <w:lang w:eastAsia="en-US"/>
              </w:rPr>
              <w:t>20</w:t>
            </w:r>
          </w:p>
        </w:tc>
        <w:tc>
          <w:tcPr>
            <w:tcW w:w="1075" w:type="dxa"/>
          </w:tcPr>
          <w:p w:rsidR="007C08B4" w:rsidRPr="007C08B4" w:rsidP="007C08B4" w14:paraId="275FA4F5" w14:textId="7C086F0D">
            <w:pPr>
              <w:widowControl w:val="0"/>
              <w:jc w:val="right"/>
              <w:rPr>
                <w:snapToGrid w:val="0"/>
                <w:color w:val="auto"/>
                <w:lang w:eastAsia="en-US"/>
              </w:rPr>
            </w:pPr>
            <w:r w:rsidRPr="007C08B4">
              <w:rPr>
                <w:snapToGrid w:val="0"/>
                <w:color w:val="auto"/>
                <w:lang w:eastAsia="en-US"/>
              </w:rPr>
              <w:t>36,248</w:t>
            </w:r>
          </w:p>
        </w:tc>
        <w:tc>
          <w:tcPr>
            <w:tcW w:w="1440" w:type="dxa"/>
          </w:tcPr>
          <w:p w:rsidR="007C08B4" w:rsidRPr="007C08B4" w:rsidP="007C08B4" w14:paraId="1B480DB1" w14:textId="14532FE6">
            <w:pPr>
              <w:tabs>
                <w:tab w:val="left" w:pos="1350"/>
              </w:tabs>
              <w:autoSpaceDE w:val="0"/>
              <w:autoSpaceDN w:val="0"/>
              <w:adjustRightInd w:val="0"/>
              <w:jc w:val="right"/>
              <w:rPr>
                <w:snapToGrid w:val="0"/>
                <w:color w:val="auto"/>
                <w:lang w:eastAsia="en-US"/>
              </w:rPr>
            </w:pPr>
            <w:r w:rsidRPr="007C08B4">
              <w:rPr>
                <w:color w:val="auto"/>
              </w:rPr>
              <w:t>$31.48</w:t>
            </w:r>
            <w:r w:rsidRPr="007C08B4">
              <w:rPr>
                <w:snapToGrid w:val="0"/>
                <w:color w:val="auto"/>
                <w:lang w:eastAsia="en-US"/>
              </w:rPr>
              <w:t>*</w:t>
            </w:r>
          </w:p>
        </w:tc>
        <w:tc>
          <w:tcPr>
            <w:tcW w:w="1445" w:type="dxa"/>
          </w:tcPr>
          <w:p w:rsidR="007C08B4" w:rsidRPr="007C08B4" w:rsidP="007C08B4" w14:paraId="36420C1A" w14:textId="6F8C3CEC">
            <w:pPr>
              <w:autoSpaceDE w:val="0"/>
              <w:autoSpaceDN w:val="0"/>
              <w:adjustRightInd w:val="0"/>
              <w:jc w:val="right"/>
              <w:rPr>
                <w:snapToGrid w:val="0"/>
                <w:color w:val="auto"/>
                <w:lang w:eastAsia="en-US"/>
              </w:rPr>
            </w:pPr>
            <w:r w:rsidRPr="007C08B4">
              <w:rPr>
                <w:snapToGrid w:val="0"/>
                <w:color w:val="auto"/>
                <w:lang w:eastAsia="en-US"/>
              </w:rPr>
              <w:t>21**</w:t>
            </w:r>
          </w:p>
        </w:tc>
        <w:tc>
          <w:tcPr>
            <w:tcW w:w="1715" w:type="dxa"/>
          </w:tcPr>
          <w:p w:rsidR="007C08B4" w:rsidRPr="007C08B4" w:rsidP="007C08B4" w14:paraId="1ED72241" w14:textId="0B5C497D">
            <w:pPr>
              <w:tabs>
                <w:tab w:val="left" w:pos="1350"/>
              </w:tabs>
              <w:autoSpaceDE w:val="0"/>
              <w:autoSpaceDN w:val="0"/>
              <w:adjustRightInd w:val="0"/>
              <w:jc w:val="right"/>
              <w:rPr>
                <w:snapToGrid w:val="0"/>
                <w:color w:val="auto"/>
                <w:lang w:eastAsia="en-US"/>
              </w:rPr>
            </w:pPr>
            <w:r w:rsidRPr="007C08B4">
              <w:rPr>
                <w:snapToGrid w:val="0"/>
                <w:color w:val="auto"/>
                <w:lang w:eastAsia="en-US"/>
              </w:rPr>
              <w:t>$2,339,247***</w:t>
            </w:r>
          </w:p>
        </w:tc>
      </w:tr>
      <w:tr w14:paraId="36074EDA" w14:textId="77777777" w:rsidTr="007C08B4">
        <w:tblPrEx>
          <w:tblW w:w="11435" w:type="dxa"/>
          <w:tblLayout w:type="fixed"/>
          <w:tblLook w:val="04A0"/>
        </w:tblPrEx>
        <w:tc>
          <w:tcPr>
            <w:tcW w:w="1620" w:type="dxa"/>
          </w:tcPr>
          <w:p w:rsidR="007C08B4" w:rsidRPr="007C08B4" w:rsidP="007C08B4" w14:paraId="33E95606" w14:textId="21F2380A">
            <w:pPr>
              <w:tabs>
                <w:tab w:val="left" w:pos="1350"/>
              </w:tabs>
              <w:autoSpaceDE w:val="0"/>
              <w:autoSpaceDN w:val="0"/>
              <w:adjustRightInd w:val="0"/>
              <w:rPr>
                <w:b/>
                <w:snapToGrid w:val="0"/>
                <w:color w:val="auto"/>
                <w:lang w:eastAsia="en-US"/>
              </w:rPr>
            </w:pPr>
            <w:r w:rsidRPr="007C08B4">
              <w:rPr>
                <w:color w:val="auto"/>
              </w:rPr>
              <w:t>SSA</w:t>
            </w:r>
            <w:r w:rsidRPr="007C08B4">
              <w:rPr>
                <w:color w:val="auto"/>
              </w:rPr>
              <w:noBreakHyphen/>
              <w:t>3378</w:t>
            </w:r>
          </w:p>
        </w:tc>
        <w:tc>
          <w:tcPr>
            <w:tcW w:w="1530" w:type="dxa"/>
          </w:tcPr>
          <w:p w:rsidR="007C08B4" w:rsidRPr="007C08B4" w:rsidP="007C08B4" w14:paraId="27FA319D" w14:textId="645C97FF">
            <w:pPr>
              <w:tabs>
                <w:tab w:val="left" w:pos="1350"/>
              </w:tabs>
              <w:autoSpaceDE w:val="0"/>
              <w:autoSpaceDN w:val="0"/>
              <w:adjustRightInd w:val="0"/>
              <w:jc w:val="right"/>
              <w:rPr>
                <w:snapToGrid w:val="0"/>
                <w:color w:val="auto"/>
                <w:lang w:eastAsia="en-US"/>
              </w:rPr>
            </w:pPr>
            <w:r w:rsidRPr="007C08B4">
              <w:rPr>
                <w:color w:val="auto"/>
              </w:rPr>
              <w:t>193,800</w:t>
            </w:r>
          </w:p>
        </w:tc>
        <w:tc>
          <w:tcPr>
            <w:tcW w:w="1350" w:type="dxa"/>
          </w:tcPr>
          <w:p w:rsidR="007C08B4" w:rsidRPr="007C08B4" w:rsidP="007C08B4" w14:paraId="444E21E3" w14:textId="6264970D">
            <w:pPr>
              <w:tabs>
                <w:tab w:val="left" w:pos="1350"/>
              </w:tabs>
              <w:autoSpaceDE w:val="0"/>
              <w:autoSpaceDN w:val="0"/>
              <w:adjustRightInd w:val="0"/>
              <w:jc w:val="right"/>
              <w:rPr>
                <w:snapToGrid w:val="0"/>
                <w:color w:val="auto"/>
                <w:lang w:eastAsia="en-US"/>
              </w:rPr>
            </w:pPr>
            <w:r w:rsidRPr="007C08B4">
              <w:rPr>
                <w:snapToGrid w:val="0"/>
                <w:color w:val="auto"/>
                <w:lang w:eastAsia="en-US"/>
              </w:rPr>
              <w:t>1</w:t>
            </w:r>
          </w:p>
        </w:tc>
        <w:tc>
          <w:tcPr>
            <w:tcW w:w="1260" w:type="dxa"/>
          </w:tcPr>
          <w:p w:rsidR="007C08B4" w:rsidRPr="007C08B4" w:rsidP="007C08B4" w14:paraId="0476D0BE" w14:textId="516AD806">
            <w:pPr>
              <w:tabs>
                <w:tab w:val="left" w:pos="1350"/>
              </w:tabs>
              <w:autoSpaceDE w:val="0"/>
              <w:autoSpaceDN w:val="0"/>
              <w:adjustRightInd w:val="0"/>
              <w:jc w:val="right"/>
              <w:rPr>
                <w:snapToGrid w:val="0"/>
                <w:color w:val="auto"/>
                <w:lang w:eastAsia="en-US"/>
              </w:rPr>
            </w:pPr>
            <w:r w:rsidRPr="007C08B4">
              <w:rPr>
                <w:snapToGrid w:val="0"/>
                <w:color w:val="auto"/>
                <w:lang w:eastAsia="en-US"/>
              </w:rPr>
              <w:t>20</w:t>
            </w:r>
          </w:p>
        </w:tc>
        <w:tc>
          <w:tcPr>
            <w:tcW w:w="1075" w:type="dxa"/>
          </w:tcPr>
          <w:p w:rsidR="007C08B4" w:rsidRPr="007C08B4" w:rsidP="007C08B4" w14:paraId="7F790087" w14:textId="0AEE41D6">
            <w:pPr>
              <w:tabs>
                <w:tab w:val="left" w:pos="1350"/>
              </w:tabs>
              <w:autoSpaceDE w:val="0"/>
              <w:autoSpaceDN w:val="0"/>
              <w:adjustRightInd w:val="0"/>
              <w:jc w:val="right"/>
              <w:rPr>
                <w:snapToGrid w:val="0"/>
                <w:color w:val="auto"/>
                <w:lang w:eastAsia="en-US"/>
              </w:rPr>
            </w:pPr>
            <w:r w:rsidRPr="007C08B4">
              <w:rPr>
                <w:snapToGrid w:val="0"/>
                <w:color w:val="auto"/>
                <w:lang w:eastAsia="en-US"/>
              </w:rPr>
              <w:t>64,600</w:t>
            </w:r>
          </w:p>
        </w:tc>
        <w:tc>
          <w:tcPr>
            <w:tcW w:w="1440" w:type="dxa"/>
          </w:tcPr>
          <w:p w:rsidR="007C08B4" w:rsidRPr="007C08B4" w:rsidP="007C08B4" w14:paraId="60164788" w14:textId="1CFD697B">
            <w:pPr>
              <w:tabs>
                <w:tab w:val="left" w:pos="1350"/>
              </w:tabs>
              <w:autoSpaceDE w:val="0"/>
              <w:autoSpaceDN w:val="0"/>
              <w:adjustRightInd w:val="0"/>
              <w:jc w:val="right"/>
              <w:rPr>
                <w:snapToGrid w:val="0"/>
                <w:color w:val="auto"/>
                <w:lang w:eastAsia="en-US"/>
              </w:rPr>
            </w:pPr>
            <w:r w:rsidRPr="007C08B4">
              <w:rPr>
                <w:color w:val="auto"/>
              </w:rPr>
              <w:t>$31.48</w:t>
            </w:r>
            <w:r w:rsidRPr="007C08B4">
              <w:rPr>
                <w:snapToGrid w:val="0"/>
                <w:color w:val="auto"/>
                <w:lang w:eastAsia="en-US"/>
              </w:rPr>
              <w:t>*</w:t>
            </w:r>
          </w:p>
        </w:tc>
        <w:tc>
          <w:tcPr>
            <w:tcW w:w="1445" w:type="dxa"/>
          </w:tcPr>
          <w:p w:rsidR="007C08B4" w:rsidRPr="007C08B4" w:rsidP="007C08B4" w14:paraId="51C31C6C" w14:textId="44C8431E">
            <w:pPr>
              <w:autoSpaceDE w:val="0"/>
              <w:autoSpaceDN w:val="0"/>
              <w:adjustRightInd w:val="0"/>
              <w:jc w:val="right"/>
              <w:rPr>
                <w:snapToGrid w:val="0"/>
                <w:color w:val="auto"/>
                <w:lang w:eastAsia="en-US"/>
              </w:rPr>
            </w:pPr>
            <w:r w:rsidRPr="007C08B4">
              <w:rPr>
                <w:snapToGrid w:val="0"/>
                <w:color w:val="auto"/>
                <w:lang w:eastAsia="en-US"/>
              </w:rPr>
              <w:t>21**</w:t>
            </w:r>
          </w:p>
        </w:tc>
        <w:tc>
          <w:tcPr>
            <w:tcW w:w="1715" w:type="dxa"/>
          </w:tcPr>
          <w:p w:rsidR="007C08B4" w:rsidRPr="007C08B4" w:rsidP="007C08B4" w14:paraId="68FC66F9" w14:textId="51C3BA60">
            <w:pPr>
              <w:autoSpaceDE w:val="0"/>
              <w:autoSpaceDN w:val="0"/>
              <w:adjustRightInd w:val="0"/>
              <w:jc w:val="right"/>
              <w:rPr>
                <w:snapToGrid w:val="0"/>
                <w:color w:val="auto"/>
                <w:lang w:eastAsia="en-US"/>
              </w:rPr>
            </w:pPr>
            <w:r w:rsidRPr="007C08B4">
              <w:rPr>
                <w:snapToGrid w:val="0"/>
                <w:color w:val="auto"/>
                <w:lang w:eastAsia="en-US"/>
              </w:rPr>
              <w:t>$4,168,896***</w:t>
            </w:r>
          </w:p>
        </w:tc>
      </w:tr>
      <w:tr w14:paraId="12C55CE3" w14:textId="77777777" w:rsidTr="007C08B4">
        <w:tblPrEx>
          <w:tblW w:w="11435" w:type="dxa"/>
          <w:tblLayout w:type="fixed"/>
          <w:tblLook w:val="04A0"/>
        </w:tblPrEx>
        <w:trPr>
          <w:trHeight w:val="407"/>
        </w:trPr>
        <w:tc>
          <w:tcPr>
            <w:tcW w:w="1620" w:type="dxa"/>
            <w:tcBorders>
              <w:top w:val="single" w:sz="4" w:space="0" w:color="000000"/>
              <w:left w:val="single" w:sz="4" w:space="0" w:color="000000"/>
              <w:bottom w:val="single" w:sz="4" w:space="0" w:color="000000"/>
              <w:right w:val="nil"/>
            </w:tcBorders>
          </w:tcPr>
          <w:p w:rsidR="007C08B4" w:rsidRPr="007C08B4" w:rsidP="007C08B4" w14:paraId="5168C65A" w14:textId="7B49CDBD">
            <w:pPr>
              <w:rPr>
                <w:color w:val="auto"/>
              </w:rPr>
            </w:pPr>
            <w:r w:rsidRPr="007C08B4">
              <w:rPr>
                <w:color w:val="auto"/>
              </w:rPr>
              <w:t xml:space="preserve">SSA-3379 </w:t>
            </w:r>
          </w:p>
        </w:tc>
        <w:tc>
          <w:tcPr>
            <w:tcW w:w="1530" w:type="dxa"/>
            <w:tcBorders>
              <w:top w:val="single" w:sz="4" w:space="0" w:color="000000"/>
              <w:left w:val="single" w:sz="4" w:space="0" w:color="000000"/>
              <w:bottom w:val="single" w:sz="4" w:space="0" w:color="000000"/>
              <w:right w:val="nil"/>
            </w:tcBorders>
          </w:tcPr>
          <w:p w:rsidR="007C08B4" w:rsidRPr="007C08B4" w:rsidP="007C08B4" w14:paraId="3B8E5DA3" w14:textId="5823498B">
            <w:pPr>
              <w:widowControl w:val="0"/>
              <w:jc w:val="right"/>
              <w:rPr>
                <w:snapToGrid w:val="0"/>
                <w:color w:val="auto"/>
                <w:lang w:eastAsia="en-US"/>
              </w:rPr>
            </w:pPr>
            <w:r w:rsidRPr="007C08B4">
              <w:rPr>
                <w:color w:val="auto"/>
              </w:rPr>
              <w:t>142,006</w:t>
            </w:r>
          </w:p>
        </w:tc>
        <w:tc>
          <w:tcPr>
            <w:tcW w:w="1350" w:type="dxa"/>
            <w:tcBorders>
              <w:top w:val="single" w:sz="4" w:space="0" w:color="000000"/>
              <w:left w:val="single" w:sz="4" w:space="0" w:color="000000"/>
              <w:bottom w:val="single" w:sz="4" w:space="0" w:color="000000"/>
              <w:right w:val="nil"/>
            </w:tcBorders>
          </w:tcPr>
          <w:p w:rsidR="007C08B4" w:rsidRPr="007C08B4" w:rsidP="007C08B4" w14:paraId="5FAB021E" w14:textId="31F92B6B">
            <w:pPr>
              <w:widowControl w:val="0"/>
              <w:tabs>
                <w:tab w:val="left" w:pos="241"/>
              </w:tabs>
              <w:snapToGrid w:val="0"/>
              <w:ind w:left="-104" w:firstLine="104"/>
              <w:jc w:val="right"/>
              <w:rPr>
                <w:snapToGrid w:val="0"/>
                <w:color w:val="auto"/>
                <w:lang w:eastAsia="en-US"/>
              </w:rPr>
            </w:pPr>
            <w:r w:rsidRPr="007C08B4">
              <w:rPr>
                <w:snapToGrid w:val="0"/>
                <w:color w:val="auto"/>
                <w:lang w:eastAsia="en-US"/>
              </w:rPr>
              <w:t>1</w:t>
            </w:r>
          </w:p>
        </w:tc>
        <w:tc>
          <w:tcPr>
            <w:tcW w:w="1260" w:type="dxa"/>
            <w:tcBorders>
              <w:top w:val="single" w:sz="4" w:space="0" w:color="000000"/>
              <w:left w:val="single" w:sz="4" w:space="0" w:color="000000"/>
              <w:bottom w:val="single" w:sz="4" w:space="0" w:color="000000"/>
              <w:right w:val="nil"/>
            </w:tcBorders>
          </w:tcPr>
          <w:p w:rsidR="007C08B4" w:rsidRPr="007C08B4" w:rsidP="007C08B4" w14:paraId="3E7D12D0" w14:textId="02E1E852">
            <w:pPr>
              <w:widowControl w:val="0"/>
              <w:jc w:val="right"/>
              <w:rPr>
                <w:snapToGrid w:val="0"/>
                <w:color w:val="auto"/>
                <w:lang w:eastAsia="en-US"/>
              </w:rPr>
            </w:pPr>
            <w:r w:rsidRPr="007C08B4">
              <w:rPr>
                <w:color w:val="auto"/>
              </w:rPr>
              <w:t>20</w:t>
            </w:r>
          </w:p>
        </w:tc>
        <w:tc>
          <w:tcPr>
            <w:tcW w:w="1075" w:type="dxa"/>
          </w:tcPr>
          <w:p w:rsidR="007C08B4" w:rsidRPr="007C08B4" w:rsidP="007C08B4" w14:paraId="5F478E33" w14:textId="4D93A58A">
            <w:pPr>
              <w:widowControl w:val="0"/>
              <w:jc w:val="right"/>
              <w:rPr>
                <w:snapToGrid w:val="0"/>
                <w:color w:val="auto"/>
                <w:lang w:eastAsia="en-US"/>
              </w:rPr>
            </w:pPr>
            <w:r w:rsidRPr="007C08B4">
              <w:rPr>
                <w:snapToGrid w:val="0"/>
                <w:color w:val="auto"/>
                <w:lang w:eastAsia="en-US"/>
              </w:rPr>
              <w:t>47,335</w:t>
            </w:r>
          </w:p>
        </w:tc>
        <w:tc>
          <w:tcPr>
            <w:tcW w:w="1440" w:type="dxa"/>
          </w:tcPr>
          <w:p w:rsidR="007C08B4" w:rsidRPr="007C08B4" w:rsidP="007C08B4" w14:paraId="57273628" w14:textId="75B1B3EB">
            <w:pPr>
              <w:widowControl w:val="0"/>
              <w:snapToGrid w:val="0"/>
              <w:jc w:val="right"/>
              <w:rPr>
                <w:snapToGrid w:val="0"/>
                <w:color w:val="auto"/>
                <w:lang w:eastAsia="en-US"/>
              </w:rPr>
            </w:pPr>
            <w:r w:rsidRPr="007C08B4">
              <w:rPr>
                <w:color w:val="auto"/>
              </w:rPr>
              <w:t>$31.48</w:t>
            </w:r>
            <w:r w:rsidRPr="007C08B4">
              <w:rPr>
                <w:snapToGrid w:val="0"/>
                <w:color w:val="auto"/>
                <w:lang w:eastAsia="en-US"/>
              </w:rPr>
              <w:t>*</w:t>
            </w:r>
          </w:p>
        </w:tc>
        <w:tc>
          <w:tcPr>
            <w:tcW w:w="1445" w:type="dxa"/>
          </w:tcPr>
          <w:p w:rsidR="007C08B4" w:rsidRPr="007C08B4" w:rsidP="007C08B4" w14:paraId="1655917F" w14:textId="49862A45">
            <w:pPr>
              <w:tabs>
                <w:tab w:val="left" w:pos="1350"/>
              </w:tabs>
              <w:autoSpaceDE w:val="0"/>
              <w:autoSpaceDN w:val="0"/>
              <w:adjustRightInd w:val="0"/>
              <w:jc w:val="right"/>
              <w:rPr>
                <w:snapToGrid w:val="0"/>
                <w:color w:val="auto"/>
                <w:lang w:eastAsia="en-US"/>
              </w:rPr>
            </w:pPr>
            <w:r w:rsidRPr="007C08B4">
              <w:rPr>
                <w:snapToGrid w:val="0"/>
                <w:color w:val="auto"/>
                <w:lang w:eastAsia="en-US"/>
              </w:rPr>
              <w:t>21**</w:t>
            </w:r>
          </w:p>
        </w:tc>
        <w:tc>
          <w:tcPr>
            <w:tcW w:w="1715" w:type="dxa"/>
          </w:tcPr>
          <w:p w:rsidR="007C08B4" w:rsidRPr="007C08B4" w:rsidP="007C08B4" w14:paraId="6BBB7D5E" w14:textId="036DC4EE">
            <w:pPr>
              <w:tabs>
                <w:tab w:val="left" w:pos="1350"/>
              </w:tabs>
              <w:autoSpaceDE w:val="0"/>
              <w:autoSpaceDN w:val="0"/>
              <w:adjustRightInd w:val="0"/>
              <w:jc w:val="right"/>
              <w:rPr>
                <w:snapToGrid w:val="0"/>
                <w:color w:val="auto"/>
                <w:lang w:eastAsia="en-US"/>
              </w:rPr>
            </w:pPr>
            <w:r w:rsidRPr="007C08B4">
              <w:rPr>
                <w:snapToGrid w:val="0"/>
                <w:color w:val="auto"/>
                <w:lang w:eastAsia="en-US"/>
              </w:rPr>
              <w:t>$3,054,725***</w:t>
            </w:r>
          </w:p>
        </w:tc>
      </w:tr>
      <w:tr w14:paraId="4567E1AD" w14:textId="77777777" w:rsidTr="007C08B4">
        <w:tblPrEx>
          <w:tblW w:w="11435" w:type="dxa"/>
          <w:tblLayout w:type="fixed"/>
          <w:tblLook w:val="04A0"/>
        </w:tblPrEx>
        <w:tc>
          <w:tcPr>
            <w:tcW w:w="1620" w:type="dxa"/>
            <w:tcBorders>
              <w:top w:val="single" w:sz="4" w:space="0" w:color="000000"/>
              <w:left w:val="single" w:sz="4" w:space="0" w:color="000000"/>
              <w:bottom w:val="single" w:sz="4" w:space="0" w:color="000000"/>
            </w:tcBorders>
            <w:shd w:val="clear" w:color="auto" w:fill="auto"/>
          </w:tcPr>
          <w:p w:rsidR="007C08B4" w:rsidRPr="007C08B4" w:rsidP="007C08B4" w14:paraId="38892CEF" w14:textId="1DCA3483">
            <w:pPr>
              <w:widowControl w:val="0"/>
              <w:rPr>
                <w:b/>
                <w:snapToGrid w:val="0"/>
                <w:color w:val="auto"/>
                <w:lang w:eastAsia="en-US"/>
              </w:rPr>
            </w:pPr>
            <w:r w:rsidRPr="007C08B4">
              <w:rPr>
                <w:b/>
                <w:snapToGrid w:val="0"/>
                <w:color w:val="auto"/>
                <w:lang w:eastAsia="en-US"/>
              </w:rPr>
              <w:t>Totals</w:t>
            </w:r>
          </w:p>
        </w:tc>
        <w:tc>
          <w:tcPr>
            <w:tcW w:w="1530" w:type="dxa"/>
          </w:tcPr>
          <w:p w:rsidR="007C08B4" w:rsidRPr="007C08B4" w:rsidP="007C08B4" w14:paraId="018D96B5" w14:textId="3D25553C">
            <w:pPr>
              <w:widowControl w:val="0"/>
              <w:ind w:left="-3" w:right="-3" w:hanging="90"/>
              <w:jc w:val="right"/>
              <w:rPr>
                <w:b/>
                <w:bCs/>
                <w:snapToGrid w:val="0"/>
                <w:color w:val="auto"/>
                <w:lang w:eastAsia="en-US"/>
              </w:rPr>
            </w:pPr>
            <w:r w:rsidRPr="007C08B4">
              <w:rPr>
                <w:b/>
                <w:bCs/>
                <w:color w:val="auto"/>
              </w:rPr>
              <w:t>524,762</w:t>
            </w:r>
          </w:p>
        </w:tc>
        <w:tc>
          <w:tcPr>
            <w:tcW w:w="1350" w:type="dxa"/>
          </w:tcPr>
          <w:p w:rsidR="007C08B4" w:rsidRPr="007C08B4" w:rsidP="007C08B4" w14:paraId="2FDB54FA" w14:textId="77777777">
            <w:pPr>
              <w:widowControl w:val="0"/>
              <w:tabs>
                <w:tab w:val="left" w:pos="241"/>
              </w:tabs>
              <w:snapToGrid w:val="0"/>
              <w:ind w:left="-104" w:right="-3" w:firstLine="104"/>
              <w:jc w:val="right"/>
              <w:rPr>
                <w:b/>
                <w:bCs/>
                <w:snapToGrid w:val="0"/>
                <w:color w:val="auto"/>
                <w:lang w:eastAsia="en-US"/>
              </w:rPr>
            </w:pPr>
          </w:p>
        </w:tc>
        <w:tc>
          <w:tcPr>
            <w:tcW w:w="1260" w:type="dxa"/>
          </w:tcPr>
          <w:p w:rsidR="007C08B4" w:rsidRPr="007C08B4" w:rsidP="007C08B4" w14:paraId="0C57CFA5" w14:textId="77777777">
            <w:pPr>
              <w:widowControl w:val="0"/>
              <w:snapToGrid w:val="0"/>
              <w:ind w:left="-3" w:right="-3" w:hanging="90"/>
              <w:jc w:val="right"/>
              <w:rPr>
                <w:b/>
                <w:bCs/>
                <w:snapToGrid w:val="0"/>
                <w:color w:val="auto"/>
                <w:lang w:eastAsia="en-US"/>
              </w:rPr>
            </w:pPr>
          </w:p>
        </w:tc>
        <w:tc>
          <w:tcPr>
            <w:tcW w:w="1075" w:type="dxa"/>
          </w:tcPr>
          <w:p w:rsidR="007C08B4" w:rsidRPr="007C08B4" w:rsidP="007C08B4" w14:paraId="1FC59D3C" w14:textId="298E3F3D">
            <w:pPr>
              <w:widowControl w:val="0"/>
              <w:jc w:val="right"/>
              <w:rPr>
                <w:b/>
                <w:bCs/>
                <w:snapToGrid w:val="0"/>
                <w:color w:val="auto"/>
                <w:lang w:eastAsia="en-US"/>
              </w:rPr>
            </w:pPr>
            <w:r w:rsidRPr="007C08B4">
              <w:rPr>
                <w:b/>
                <w:bCs/>
                <w:snapToGrid w:val="0"/>
                <w:color w:val="auto"/>
                <w:lang w:eastAsia="en-US"/>
              </w:rPr>
              <w:t>174,921</w:t>
            </w:r>
          </w:p>
        </w:tc>
        <w:tc>
          <w:tcPr>
            <w:tcW w:w="1440" w:type="dxa"/>
          </w:tcPr>
          <w:p w:rsidR="007C08B4" w:rsidRPr="007C08B4" w:rsidP="007C08B4" w14:paraId="7B2DD009" w14:textId="77777777">
            <w:pPr>
              <w:widowControl w:val="0"/>
              <w:jc w:val="right"/>
              <w:rPr>
                <w:b/>
                <w:bCs/>
                <w:snapToGrid w:val="0"/>
                <w:color w:val="auto"/>
                <w:lang w:eastAsia="en-US"/>
              </w:rPr>
            </w:pPr>
          </w:p>
        </w:tc>
        <w:tc>
          <w:tcPr>
            <w:tcW w:w="1445" w:type="dxa"/>
          </w:tcPr>
          <w:p w:rsidR="007C08B4" w:rsidRPr="007C08B4" w:rsidP="007C08B4" w14:paraId="2792EB89" w14:textId="77777777">
            <w:pPr>
              <w:tabs>
                <w:tab w:val="left" w:pos="1350"/>
              </w:tabs>
              <w:autoSpaceDE w:val="0"/>
              <w:autoSpaceDN w:val="0"/>
              <w:adjustRightInd w:val="0"/>
              <w:jc w:val="right"/>
              <w:rPr>
                <w:b/>
                <w:bCs/>
                <w:snapToGrid w:val="0"/>
                <w:color w:val="auto"/>
                <w:lang w:eastAsia="en-US"/>
              </w:rPr>
            </w:pPr>
          </w:p>
        </w:tc>
        <w:tc>
          <w:tcPr>
            <w:tcW w:w="1715" w:type="dxa"/>
          </w:tcPr>
          <w:p w:rsidR="007C08B4" w:rsidRPr="007C08B4" w:rsidP="007C08B4" w14:paraId="4A62A52F" w14:textId="59166F85">
            <w:pPr>
              <w:tabs>
                <w:tab w:val="left" w:pos="1350"/>
              </w:tabs>
              <w:autoSpaceDE w:val="0"/>
              <w:autoSpaceDN w:val="0"/>
              <w:adjustRightInd w:val="0"/>
              <w:jc w:val="right"/>
              <w:rPr>
                <w:b/>
                <w:bCs/>
                <w:snapToGrid w:val="0"/>
                <w:color w:val="auto"/>
                <w:lang w:eastAsia="en-US"/>
              </w:rPr>
            </w:pPr>
            <w:r w:rsidRPr="007C08B4">
              <w:rPr>
                <w:b/>
                <w:bCs/>
                <w:snapToGrid w:val="0"/>
                <w:color w:val="auto"/>
                <w:lang w:eastAsia="en-US"/>
              </w:rPr>
              <w:t>$11,288,286***</w:t>
            </w:r>
          </w:p>
        </w:tc>
      </w:tr>
    </w:tbl>
    <w:p w:rsidR="009611A5" w:rsidRPr="009611A5" w:rsidP="005A7F82" w14:paraId="3D498F60" w14:textId="044896F7">
      <w:pPr>
        <w:pStyle w:val="ListParagraph"/>
        <w:widowControl w:val="0"/>
        <w:tabs>
          <w:tab w:val="left" w:pos="1440"/>
        </w:tabs>
        <w:suppressAutoHyphens/>
        <w:ind w:left="1440"/>
        <w:rPr>
          <w:color w:val="auto"/>
        </w:rPr>
      </w:pPr>
      <w:r w:rsidRPr="009611A5">
        <w:rPr>
          <w:color w:val="auto"/>
        </w:rPr>
        <w:t>*</w:t>
      </w:r>
      <w:r w:rsidRPr="009611A5">
        <w:rPr>
          <w:b/>
          <w:color w:val="auto"/>
          <w:lang w:eastAsia="ar-SA"/>
        </w:rPr>
        <w:t xml:space="preserve"> </w:t>
      </w:r>
      <w:r w:rsidRPr="009611A5">
        <w:rPr>
          <w:color w:val="auto"/>
        </w:rPr>
        <w:t>We based this figure by averaging both the hourly average DI payments based on SSA’s current FY data</w:t>
      </w:r>
      <w:r w:rsidRPr="00FF16ED">
        <w:t xml:space="preserve"> </w:t>
      </w:r>
      <w:r w:rsidRPr="009611A5">
        <w:rPr>
          <w:color w:val="auto"/>
        </w:rPr>
        <w:t>(</w:t>
      </w:r>
      <w:hyperlink r:id="rId4" w:history="1">
        <w:r w:rsidR="00814110">
          <w:rPr>
            <w:rStyle w:val="Hyperlink"/>
          </w:rPr>
          <w:t>https://www.ssa.gov/legislation/2024FactSheet.pdf</w:t>
        </w:r>
      </w:hyperlink>
      <w:r w:rsidRPr="009611A5">
        <w:rPr>
          <w:color w:val="auto"/>
        </w:rPr>
        <w:t>), and the average U.S. worker’s hourly wages, as reported by Bureau of Labor Statistics data (</w:t>
      </w:r>
      <w:hyperlink r:id="rId5" w:history="1">
        <w:r w:rsidRPr="00B3309F" w:rsidR="00814110">
          <w:rPr>
            <w:rStyle w:val="Hyperlink"/>
            <w:snapToGrid w:val="0"/>
          </w:rPr>
          <w:t>https://www.bls.gov/oes/current/oes_nat.htm</w:t>
        </w:r>
      </w:hyperlink>
      <w:r w:rsidRPr="009611A5">
        <w:rPr>
          <w:color w:val="auto"/>
        </w:rPr>
        <w:t>).</w:t>
      </w:r>
    </w:p>
    <w:p w:rsidR="009611A5" w:rsidRPr="009611A5" w:rsidP="00CB7ADF" w14:paraId="4A0E346F" w14:textId="77777777">
      <w:pPr>
        <w:pStyle w:val="ListParagraph"/>
        <w:widowControl w:val="0"/>
        <w:autoSpaceDE w:val="0"/>
        <w:autoSpaceDN w:val="0"/>
        <w:adjustRightInd w:val="0"/>
        <w:rPr>
          <w:snapToGrid w:val="0"/>
          <w:color w:val="auto"/>
          <w:lang w:eastAsia="en-US"/>
        </w:rPr>
      </w:pPr>
    </w:p>
    <w:p w:rsidR="009611A5" w:rsidRPr="009611A5" w:rsidP="005A7F82" w14:paraId="1DFE6902" w14:textId="7A42B9B9">
      <w:pPr>
        <w:pStyle w:val="ListParagraph"/>
        <w:widowControl w:val="0"/>
        <w:autoSpaceDE w:val="0"/>
        <w:autoSpaceDN w:val="0"/>
        <w:adjustRightInd w:val="0"/>
        <w:ind w:left="1440"/>
        <w:rPr>
          <w:snapToGrid w:val="0"/>
          <w:color w:val="auto"/>
          <w:lang w:eastAsia="en-US"/>
        </w:rPr>
      </w:pPr>
      <w:r w:rsidRPr="009611A5">
        <w:rPr>
          <w:snapToGrid w:val="0"/>
          <w:color w:val="auto"/>
          <w:lang w:eastAsia="en-US"/>
        </w:rPr>
        <w:t>** We based this figure on the average FY 202</w:t>
      </w:r>
      <w:r w:rsidR="002335B6">
        <w:rPr>
          <w:snapToGrid w:val="0"/>
          <w:color w:val="auto"/>
          <w:lang w:eastAsia="en-US"/>
        </w:rPr>
        <w:t>4</w:t>
      </w:r>
      <w:r w:rsidRPr="009611A5">
        <w:rPr>
          <w:snapToGrid w:val="0"/>
          <w:color w:val="auto"/>
          <w:lang w:eastAsia="en-US"/>
        </w:rPr>
        <w:t xml:space="preserve"> wait times for field offices, based on SSA’s current management information data.</w:t>
      </w:r>
    </w:p>
    <w:p w:rsidR="009611A5" w:rsidRPr="00770B2D" w:rsidP="00CB7ADF" w14:paraId="440F2DAB" w14:textId="77777777">
      <w:pPr>
        <w:pStyle w:val="BodyTextIndent3"/>
        <w:widowControl w:val="0"/>
        <w:suppressAutoHyphens/>
        <w:ind w:left="720"/>
        <w:contextualSpacing/>
        <w:rPr>
          <w:rFonts w:eastAsia="SimSun"/>
          <w:color w:val="auto"/>
          <w:sz w:val="24"/>
          <w:szCs w:val="24"/>
          <w:lang w:eastAsia="ar-SA"/>
        </w:rPr>
      </w:pPr>
    </w:p>
    <w:p w:rsidR="009611A5" w:rsidP="005A7F82" w14:paraId="1557DEF4" w14:textId="77777777">
      <w:pPr>
        <w:pStyle w:val="BodyTextIndent3"/>
        <w:widowControl w:val="0"/>
        <w:suppressAutoHyphens/>
        <w:ind w:left="1440"/>
        <w:contextualSpacing/>
        <w:rPr>
          <w:rFonts w:eastAsia="SimSun"/>
          <w:b/>
          <w:color w:val="auto"/>
          <w:sz w:val="24"/>
          <w:szCs w:val="24"/>
          <w:u w:val="single"/>
          <w:lang w:eastAsia="ar-SA"/>
        </w:rPr>
      </w:pPr>
      <w:r w:rsidRPr="00770B2D">
        <w:rPr>
          <w:rFonts w:eastAsia="SimSun"/>
          <w:color w:val="auto"/>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770B2D">
        <w:rPr>
          <w:rFonts w:eastAsia="SimSun"/>
          <w:b/>
          <w:color w:val="auto"/>
          <w:sz w:val="24"/>
          <w:szCs w:val="24"/>
          <w:u w:val="single"/>
          <w:lang w:eastAsia="ar-SA"/>
        </w:rPr>
        <w:t xml:space="preserve">There is no actual charge to respondents to </w:t>
      </w:r>
      <w:r w:rsidRPr="00770B2D">
        <w:rPr>
          <w:rFonts w:eastAsia="SimSun"/>
          <w:b/>
          <w:color w:val="auto"/>
          <w:sz w:val="24"/>
          <w:szCs w:val="24"/>
          <w:u w:val="single"/>
          <w:lang w:eastAsia="ar-SA"/>
        </w:rPr>
        <w:t>complete the application.</w:t>
      </w:r>
    </w:p>
    <w:p w:rsidR="009611A5" w:rsidP="00CB7ADF" w14:paraId="6710E458" w14:textId="77777777">
      <w:pPr>
        <w:pStyle w:val="BodyTextIndent3"/>
        <w:widowControl w:val="0"/>
        <w:suppressAutoHyphens/>
        <w:ind w:left="720"/>
        <w:contextualSpacing/>
        <w:rPr>
          <w:rFonts w:eastAsia="SimSun"/>
          <w:b/>
          <w:color w:val="auto"/>
          <w:sz w:val="24"/>
          <w:szCs w:val="24"/>
          <w:u w:val="single"/>
          <w:lang w:eastAsia="ar-SA"/>
        </w:rPr>
      </w:pPr>
    </w:p>
    <w:p w:rsidR="009611A5" w:rsidRPr="009611A5" w:rsidP="005A7F82" w14:paraId="0E14FC88" w14:textId="0CF745AA">
      <w:pPr>
        <w:pStyle w:val="ListParagraph"/>
        <w:suppressAutoHyphens/>
        <w:spacing w:line="100" w:lineRule="atLeast"/>
        <w:ind w:left="1440"/>
        <w:rPr>
          <w:color w:val="auto"/>
        </w:rPr>
      </w:pPr>
      <w:r w:rsidRPr="009611A5">
        <w:rPr>
          <w:color w:val="auto"/>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SSA is unable to determine how many respondents physically </w:t>
      </w:r>
      <w:r w:rsidRPr="009611A5">
        <w:rPr>
          <w:color w:val="auto"/>
          <w:u w:val="single"/>
        </w:rPr>
        <w:t>traveled to the FO</w:t>
      </w:r>
      <w:r w:rsidRPr="009611A5">
        <w:rPr>
          <w:color w:val="auto"/>
        </w:rPr>
        <w:t xml:space="preserve"> to complete an electronic version or return a paper version of this form in this information collection, but rather only provides the total number of respondents who completed the form, which is uploaded into the electronic file. At the prior information collection for this form (2021), it was determined that approximately 90% of respondents submitted an electronic version of the form to ECDS, which did not require travel to the FO, but was rather handled at the time of electronic filing over the phone</w:t>
      </w:r>
      <w:r w:rsidR="00EE34D9">
        <w:rPr>
          <w:color w:val="auto"/>
        </w:rPr>
        <w:t xml:space="preserve"> or electronic entry via DDS personnel</w:t>
      </w:r>
      <w:r w:rsidRPr="009611A5">
        <w:rPr>
          <w:color w:val="auto"/>
        </w:rPr>
        <w:t xml:space="preserve">. It should be noted that the COVID-19 pandemic greatly impacted the </w:t>
      </w:r>
      <w:r w:rsidR="00DC44C8">
        <w:rPr>
          <w:color w:val="auto"/>
        </w:rPr>
        <w:t xml:space="preserve">disability </w:t>
      </w:r>
      <w:r w:rsidRPr="009611A5">
        <w:rPr>
          <w:color w:val="auto"/>
        </w:rPr>
        <w:t>application</w:t>
      </w:r>
      <w:r w:rsidR="00DC44C8">
        <w:rPr>
          <w:color w:val="auto"/>
        </w:rPr>
        <w:t xml:space="preserve"> </w:t>
      </w:r>
      <w:r w:rsidRPr="009611A5">
        <w:rPr>
          <w:color w:val="auto"/>
        </w:rPr>
        <w:t xml:space="preserve">process and reduced the footprint of in-person interviews at that time. </w:t>
      </w:r>
    </w:p>
    <w:p w:rsidR="009611A5" w:rsidRPr="00770B2D" w:rsidP="006C2123" w14:paraId="5628AAD9" w14:textId="77777777">
      <w:pPr>
        <w:pStyle w:val="BodyTextIndent3"/>
        <w:widowControl w:val="0"/>
        <w:suppressAutoHyphens/>
        <w:ind w:left="720"/>
        <w:contextualSpacing/>
        <w:rPr>
          <w:color w:val="auto"/>
          <w:sz w:val="24"/>
          <w:szCs w:val="24"/>
        </w:rPr>
      </w:pPr>
    </w:p>
    <w:p w:rsidR="009611A5" w:rsidRPr="009611A5" w:rsidP="005A7F82" w14:paraId="712F1E92" w14:textId="24FD6EDD">
      <w:pPr>
        <w:pStyle w:val="ListParagraph"/>
        <w:suppressAutoHyphens/>
        <w:spacing w:line="100" w:lineRule="atLeast"/>
        <w:ind w:left="1440"/>
        <w:rPr>
          <w:color w:val="auto"/>
          <w:kern w:val="1"/>
          <w:lang w:eastAsia="ar-SA"/>
        </w:rPr>
      </w:pPr>
      <w:r w:rsidRPr="009611A5">
        <w:rPr>
          <w:color w:val="auto"/>
        </w:rPr>
        <w:t xml:space="preserve">With the loosening of COVID-19 pandemic restrictions, it is likely that for this current information collection, more in-person interviews have been conducted and that more than 10% of respondents traveled to the FO to complete the form, whether it was an electronic or paper version. In anticipation that more respondents traveled to the FO in the </w:t>
      </w:r>
      <w:r w:rsidR="001B4A31">
        <w:rPr>
          <w:color w:val="auto"/>
        </w:rPr>
        <w:t>FY 2023</w:t>
      </w:r>
      <w:r w:rsidRPr="009611A5">
        <w:rPr>
          <w:color w:val="auto"/>
        </w:rPr>
        <w:t xml:space="preserve">, the chart below depicts </w:t>
      </w:r>
      <w:r w:rsidR="005A42C3">
        <w:rPr>
          <w:color w:val="auto"/>
        </w:rPr>
        <w:t>an estimated</w:t>
      </w:r>
      <w:r w:rsidRPr="009611A5">
        <w:rPr>
          <w:color w:val="auto"/>
        </w:rPr>
        <w:t xml:space="preserve"> 15% of the respondents traveled to the FO to complete the form:</w:t>
      </w:r>
    </w:p>
    <w:p w:rsidR="009611A5" w:rsidRPr="009611A5" w:rsidP="006C2123" w14:paraId="37B4BBC7" w14:textId="77777777">
      <w:pPr>
        <w:pStyle w:val="ListParagraph"/>
        <w:suppressAutoHyphens/>
        <w:spacing w:line="100" w:lineRule="atLeast"/>
        <w:rPr>
          <w:color w:val="auto"/>
          <w:kern w:val="1"/>
          <w:lang w:eastAsia="ar-SA"/>
        </w:rPr>
      </w:pPr>
    </w:p>
    <w:p w:rsidR="009611A5" w:rsidRPr="009611A5" w:rsidP="006C2123" w14:paraId="2B949B22" w14:textId="77777777">
      <w:pPr>
        <w:pStyle w:val="ListParagraph"/>
        <w:suppressAutoHyphens/>
        <w:spacing w:line="100" w:lineRule="atLeast"/>
        <w:rPr>
          <w:color w:val="auto"/>
          <w:kern w:val="1"/>
          <w:lang w:eastAsia="ar-SA"/>
        </w:rPr>
      </w:pPr>
    </w:p>
    <w:tbl>
      <w:tblPr>
        <w:tblStyle w:val="TableGrid3"/>
        <w:tblW w:w="0" w:type="auto"/>
        <w:tblLook w:val="04A0"/>
      </w:tblPr>
      <w:tblGrid>
        <w:gridCol w:w="1870"/>
        <w:gridCol w:w="1870"/>
        <w:gridCol w:w="1870"/>
        <w:gridCol w:w="1870"/>
        <w:gridCol w:w="1870"/>
      </w:tblGrid>
      <w:tr w14:paraId="5F581EC4" w14:textId="77777777" w:rsidTr="00E1733E">
        <w:tblPrEx>
          <w:tblW w:w="0" w:type="auto"/>
          <w:tblLook w:val="04A0"/>
        </w:tblPrEx>
        <w:tc>
          <w:tcPr>
            <w:tcW w:w="1870" w:type="dxa"/>
          </w:tcPr>
          <w:p w:rsidR="009611A5" w:rsidRPr="00845884" w:rsidP="00E1733E" w14:paraId="7F103905" w14:textId="77777777">
            <w:pPr>
              <w:suppressAutoHyphens/>
              <w:spacing w:line="100" w:lineRule="atLeast"/>
              <w:rPr>
                <w:color w:val="auto"/>
                <w:kern w:val="1"/>
                <w:lang w:eastAsia="ar-SA"/>
              </w:rPr>
            </w:pPr>
            <w:r w:rsidRPr="00845884">
              <w:rPr>
                <w:color w:val="auto"/>
                <w:kern w:val="1"/>
                <w:lang w:eastAsia="ar-SA"/>
              </w:rPr>
              <w:t>Total Number of Respondents Who Visit a Field Office</w:t>
            </w:r>
          </w:p>
        </w:tc>
        <w:tc>
          <w:tcPr>
            <w:tcW w:w="1870" w:type="dxa"/>
          </w:tcPr>
          <w:p w:rsidR="009611A5" w:rsidRPr="00845884" w:rsidP="00E1733E" w14:paraId="2C687492" w14:textId="77777777">
            <w:pPr>
              <w:suppressAutoHyphens/>
              <w:spacing w:line="100" w:lineRule="atLeast"/>
              <w:rPr>
                <w:color w:val="auto"/>
                <w:kern w:val="1"/>
                <w:lang w:eastAsia="ar-SA"/>
              </w:rPr>
            </w:pPr>
            <w:r w:rsidRPr="00845884">
              <w:rPr>
                <w:color w:val="auto"/>
                <w:kern w:val="1"/>
                <w:lang w:eastAsia="ar-SA"/>
              </w:rPr>
              <w:t>Frequency of Response</w:t>
            </w:r>
          </w:p>
        </w:tc>
        <w:tc>
          <w:tcPr>
            <w:tcW w:w="1870" w:type="dxa"/>
          </w:tcPr>
          <w:p w:rsidR="009611A5" w:rsidRPr="00845884" w:rsidP="00E1733E" w14:paraId="3E4CD357" w14:textId="77777777">
            <w:pPr>
              <w:suppressAutoHyphens/>
              <w:spacing w:line="100" w:lineRule="atLeast"/>
              <w:rPr>
                <w:color w:val="auto"/>
                <w:kern w:val="1"/>
                <w:lang w:eastAsia="ar-SA"/>
              </w:rPr>
            </w:pPr>
            <w:r w:rsidRPr="00845884">
              <w:rPr>
                <w:color w:val="auto"/>
                <w:kern w:val="1"/>
                <w:lang w:eastAsia="ar-SA"/>
              </w:rPr>
              <w:t>Average One-Way Travel Time to a Field Office (minutes)</w:t>
            </w:r>
          </w:p>
        </w:tc>
        <w:tc>
          <w:tcPr>
            <w:tcW w:w="1870" w:type="dxa"/>
          </w:tcPr>
          <w:p w:rsidR="009611A5" w:rsidRPr="00845884" w:rsidP="00E1733E" w14:paraId="24548354" w14:textId="77777777">
            <w:pPr>
              <w:suppressAutoHyphens/>
              <w:spacing w:line="100" w:lineRule="atLeast"/>
              <w:rPr>
                <w:color w:val="auto"/>
                <w:kern w:val="1"/>
                <w:lang w:eastAsia="ar-SA"/>
              </w:rPr>
            </w:pPr>
            <w:r w:rsidRPr="00845884">
              <w:rPr>
                <w:color w:val="auto"/>
                <w:kern w:val="1"/>
                <w:lang w:eastAsia="ar-SA"/>
              </w:rPr>
              <w:t>Estimated Total Travel Time to a Field Office (hours)</w:t>
            </w:r>
          </w:p>
        </w:tc>
        <w:tc>
          <w:tcPr>
            <w:tcW w:w="1870" w:type="dxa"/>
          </w:tcPr>
          <w:p w:rsidR="009611A5" w:rsidRPr="00845884" w:rsidP="00E1733E" w14:paraId="593EF55F" w14:textId="77777777">
            <w:pPr>
              <w:suppressAutoHyphens/>
              <w:spacing w:line="100" w:lineRule="atLeast"/>
              <w:rPr>
                <w:color w:val="auto"/>
                <w:kern w:val="1"/>
                <w:lang w:eastAsia="ar-SA"/>
              </w:rPr>
            </w:pPr>
            <w:r w:rsidRPr="00845884">
              <w:rPr>
                <w:color w:val="auto"/>
                <w:kern w:val="1"/>
                <w:lang w:eastAsia="ar-SA"/>
              </w:rPr>
              <w:t>Total Annual Opportunity Cost for Travel Time (dollars)****</w:t>
            </w:r>
          </w:p>
        </w:tc>
      </w:tr>
      <w:tr w14:paraId="012EBF55" w14:textId="77777777" w:rsidTr="00E1733E">
        <w:tblPrEx>
          <w:tblW w:w="0" w:type="auto"/>
          <w:tblLook w:val="04A0"/>
        </w:tblPrEx>
        <w:tc>
          <w:tcPr>
            <w:tcW w:w="1870" w:type="dxa"/>
          </w:tcPr>
          <w:p w:rsidR="009611A5" w:rsidRPr="000718C5" w:rsidP="00E1733E" w14:paraId="52A13C90" w14:textId="77777777">
            <w:pPr>
              <w:suppressAutoHyphens/>
              <w:spacing w:line="100" w:lineRule="atLeast"/>
              <w:jc w:val="right"/>
              <w:rPr>
                <w:color w:val="auto"/>
                <w:kern w:val="1"/>
                <w:lang w:eastAsia="ar-SA"/>
              </w:rPr>
            </w:pPr>
            <w:r w:rsidRPr="000718C5">
              <w:rPr>
                <w:rFonts w:eastAsia="SimSun"/>
                <w:color w:val="auto"/>
                <w:lang w:eastAsia="ar-SA"/>
              </w:rPr>
              <w:t>78,715</w:t>
            </w:r>
          </w:p>
        </w:tc>
        <w:tc>
          <w:tcPr>
            <w:tcW w:w="1870" w:type="dxa"/>
          </w:tcPr>
          <w:p w:rsidR="009611A5" w:rsidRPr="000718C5" w:rsidP="00E1733E" w14:paraId="0E9D47B8" w14:textId="77777777">
            <w:pPr>
              <w:suppressAutoHyphens/>
              <w:spacing w:line="100" w:lineRule="atLeast"/>
              <w:jc w:val="right"/>
              <w:rPr>
                <w:color w:val="auto"/>
                <w:kern w:val="1"/>
                <w:lang w:eastAsia="ar-SA"/>
              </w:rPr>
            </w:pPr>
            <w:r w:rsidRPr="000718C5">
              <w:rPr>
                <w:color w:val="auto"/>
                <w:kern w:val="1"/>
                <w:lang w:eastAsia="ar-SA"/>
              </w:rPr>
              <w:t>1</w:t>
            </w:r>
          </w:p>
        </w:tc>
        <w:tc>
          <w:tcPr>
            <w:tcW w:w="1870" w:type="dxa"/>
          </w:tcPr>
          <w:p w:rsidR="009611A5" w:rsidRPr="000718C5" w:rsidP="00E1733E" w14:paraId="42D5046F" w14:textId="77777777">
            <w:pPr>
              <w:suppressAutoHyphens/>
              <w:spacing w:line="100" w:lineRule="atLeast"/>
              <w:jc w:val="right"/>
              <w:rPr>
                <w:color w:val="auto"/>
                <w:kern w:val="1"/>
                <w:lang w:eastAsia="ar-SA"/>
              </w:rPr>
            </w:pPr>
            <w:r w:rsidRPr="000718C5">
              <w:rPr>
                <w:color w:val="auto"/>
                <w:kern w:val="1"/>
                <w:lang w:eastAsia="ar-SA"/>
              </w:rPr>
              <w:t>30</w:t>
            </w:r>
          </w:p>
        </w:tc>
        <w:tc>
          <w:tcPr>
            <w:tcW w:w="1870" w:type="dxa"/>
          </w:tcPr>
          <w:p w:rsidR="009611A5" w:rsidRPr="000718C5" w:rsidP="00E1733E" w14:paraId="0117DEB6" w14:textId="77777777">
            <w:pPr>
              <w:suppressAutoHyphens/>
              <w:spacing w:line="100" w:lineRule="atLeast"/>
              <w:jc w:val="right"/>
              <w:rPr>
                <w:color w:val="auto"/>
                <w:kern w:val="1"/>
                <w:lang w:eastAsia="ar-SA"/>
              </w:rPr>
            </w:pPr>
            <w:r w:rsidRPr="000718C5">
              <w:rPr>
                <w:color w:val="auto"/>
                <w:kern w:val="1"/>
                <w:lang w:eastAsia="ar-SA"/>
              </w:rPr>
              <w:t>39,358</w:t>
            </w:r>
          </w:p>
        </w:tc>
        <w:tc>
          <w:tcPr>
            <w:tcW w:w="1870" w:type="dxa"/>
          </w:tcPr>
          <w:p w:rsidR="009611A5" w:rsidRPr="000718C5" w:rsidP="00E1733E" w14:paraId="0BC78B11" w14:textId="2B17F953">
            <w:pPr>
              <w:suppressAutoHyphens/>
              <w:spacing w:line="100" w:lineRule="atLeast"/>
              <w:jc w:val="right"/>
              <w:rPr>
                <w:color w:val="auto"/>
                <w:kern w:val="1"/>
                <w:lang w:eastAsia="ar-SA"/>
              </w:rPr>
            </w:pPr>
            <w:r w:rsidRPr="000718C5">
              <w:rPr>
                <w:color w:val="auto"/>
                <w:kern w:val="1"/>
                <w:lang w:eastAsia="ar-SA"/>
              </w:rPr>
              <w:t>$</w:t>
            </w:r>
            <w:r w:rsidR="002335B6">
              <w:rPr>
                <w:color w:val="auto"/>
                <w:kern w:val="1"/>
                <w:lang w:eastAsia="ar-SA"/>
              </w:rPr>
              <w:t>881,226</w:t>
            </w:r>
            <w:r w:rsidRPr="000718C5">
              <w:rPr>
                <w:color w:val="auto"/>
                <w:kern w:val="1"/>
                <w:lang w:eastAsia="ar-SA"/>
              </w:rPr>
              <w:t>****</w:t>
            </w:r>
          </w:p>
        </w:tc>
      </w:tr>
    </w:tbl>
    <w:p w:rsidR="009611A5" w:rsidRPr="009611A5" w:rsidP="005A7F82" w14:paraId="796EC8AD" w14:textId="77777777">
      <w:pPr>
        <w:pStyle w:val="ListParagraph"/>
        <w:suppressAutoHyphens/>
        <w:spacing w:line="100" w:lineRule="atLeast"/>
        <w:ind w:left="1440"/>
        <w:rPr>
          <w:color w:val="auto"/>
          <w:kern w:val="1"/>
          <w:lang w:eastAsia="ar-SA"/>
        </w:rPr>
      </w:pPr>
      <w:r w:rsidRPr="009611A5">
        <w:rPr>
          <w:color w:val="auto"/>
          <w:kern w:val="1"/>
          <w:lang w:eastAsia="ar-SA"/>
        </w:rPr>
        <w:t xml:space="preserve">****We based this dollar amount on the Average Theoretical Hourly Cost Amount in dollars shown on the burden chart above. </w:t>
      </w:r>
    </w:p>
    <w:p w:rsidR="009611A5" w:rsidRPr="009611A5" w:rsidP="005A7F82" w14:paraId="2A157E2A" w14:textId="77777777">
      <w:pPr>
        <w:pStyle w:val="ListParagraph"/>
        <w:suppressAutoHyphens/>
        <w:spacing w:line="100" w:lineRule="atLeast"/>
        <w:rPr>
          <w:color w:val="auto"/>
          <w:kern w:val="1"/>
          <w:lang w:eastAsia="ar-SA"/>
        </w:rPr>
      </w:pPr>
      <w:r w:rsidRPr="009611A5">
        <w:rPr>
          <w:color w:val="auto"/>
          <w:kern w:val="1"/>
          <w:lang w:eastAsia="ar-SA"/>
        </w:rPr>
        <w:t xml:space="preserve"> </w:t>
      </w:r>
    </w:p>
    <w:p w:rsidR="009611A5" w:rsidRPr="009611A5" w:rsidP="005A7F82" w14:paraId="1595C87C" w14:textId="77777777">
      <w:pPr>
        <w:pStyle w:val="ListParagraph"/>
        <w:suppressAutoHyphens/>
        <w:spacing w:line="100" w:lineRule="atLeast"/>
        <w:ind w:left="1440"/>
        <w:rPr>
          <w:color w:val="auto"/>
          <w:kern w:val="1"/>
          <w:lang w:eastAsia="ar-SA"/>
        </w:rPr>
      </w:pPr>
      <w:r w:rsidRPr="009611A5">
        <w:rPr>
          <w:color w:val="auto"/>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w:t>
      </w:r>
      <w:r w:rsidRPr="009611A5">
        <w:rPr>
          <w:color w:val="auto"/>
        </w:rPr>
        <w:t>mode of travel and, therefore, travel times vary widely dependent on region, mode of travel, and actual proximity to a field office.</w:t>
      </w:r>
    </w:p>
    <w:p w:rsidR="009611A5" w:rsidRPr="009611A5" w:rsidP="005A7F82" w14:paraId="2E38EB81" w14:textId="77777777">
      <w:pPr>
        <w:pStyle w:val="ListParagraph"/>
        <w:rPr>
          <w:color w:val="auto"/>
        </w:rPr>
      </w:pPr>
    </w:p>
    <w:p w:rsidR="009611A5" w:rsidRPr="009611A5" w:rsidP="005A7F82" w14:paraId="58AF7F04" w14:textId="77777777">
      <w:pPr>
        <w:pStyle w:val="ListParagraph"/>
        <w:ind w:left="1440"/>
        <w:rPr>
          <w:color w:val="auto"/>
        </w:rPr>
      </w:pPr>
      <w:r w:rsidRPr="009611A5">
        <w:rPr>
          <w:color w:val="auto"/>
        </w:rPr>
        <w:t>NOTE:  We included the total opportunity cost estimate from this chart in our calculations when showing the total time and opportunity cost estimates in the paragraph below.</w:t>
      </w:r>
    </w:p>
    <w:p w:rsidR="009611A5" w:rsidP="00C25227" w14:paraId="6D3E385F" w14:textId="77777777">
      <w:pPr>
        <w:pStyle w:val="BodyTextIndent3"/>
        <w:widowControl w:val="0"/>
        <w:suppressAutoHyphens/>
        <w:ind w:left="0"/>
        <w:contextualSpacing/>
        <w:rPr>
          <w:color w:val="auto"/>
          <w:sz w:val="24"/>
          <w:szCs w:val="24"/>
        </w:rPr>
      </w:pPr>
    </w:p>
    <w:p w:rsidR="009611A5" w:rsidRPr="00D456BD" w:rsidP="005A7F82" w14:paraId="07058655" w14:textId="77777777">
      <w:pPr>
        <w:pStyle w:val="BodyTextIndent3"/>
        <w:widowControl w:val="0"/>
        <w:suppressAutoHyphens/>
        <w:ind w:left="1440"/>
        <w:contextualSpacing/>
        <w:rPr>
          <w:rFonts w:eastAsiaTheme="minorHAnsi" w:cstheme="minorBidi"/>
          <w:color w:val="auto"/>
          <w:sz w:val="24"/>
          <w:szCs w:val="24"/>
        </w:rPr>
      </w:pPr>
      <w:r w:rsidRPr="00D456BD">
        <w:rPr>
          <w:rFonts w:eastAsiaTheme="minorHAnsi" w:cstheme="minorBidi"/>
          <w:color w:val="auto"/>
          <w:sz w:val="24"/>
          <w:szCs w:val="24"/>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9611A5" w:rsidRPr="00D456BD" w:rsidP="005A7F82" w14:paraId="79FF1B0E" w14:textId="77777777">
      <w:pPr>
        <w:pStyle w:val="BodyTextIndent3"/>
        <w:widowControl w:val="0"/>
        <w:suppressAutoHyphens/>
        <w:ind w:left="720"/>
        <w:contextualSpacing/>
        <w:rPr>
          <w:rFonts w:eastAsiaTheme="minorHAnsi" w:cstheme="minorBidi"/>
          <w:color w:val="auto"/>
          <w:sz w:val="24"/>
          <w:szCs w:val="24"/>
        </w:rPr>
      </w:pPr>
    </w:p>
    <w:p w:rsidR="009611A5" w:rsidRPr="00D456BD" w:rsidP="005A7F82" w14:paraId="4ABDE06C" w14:textId="6B2A8E0A">
      <w:pPr>
        <w:pStyle w:val="BodyTextIndent3"/>
        <w:widowControl w:val="0"/>
        <w:suppressAutoHyphens/>
        <w:ind w:left="1440"/>
        <w:contextualSpacing/>
        <w:rPr>
          <w:rFonts w:eastAsiaTheme="minorHAnsi" w:cstheme="minorBidi"/>
          <w:color w:val="auto"/>
          <w:sz w:val="24"/>
          <w:szCs w:val="24"/>
        </w:rPr>
      </w:pPr>
      <w:r w:rsidRPr="00D456BD">
        <w:rPr>
          <w:rFonts w:eastAsiaTheme="minorHAnsi" w:cstheme="minorBidi"/>
          <w:color w:val="auto"/>
          <w:sz w:val="24"/>
          <w:szCs w:val="24"/>
        </w:rPr>
        <w:t>N</w:t>
      </w:r>
      <w:r w:rsidR="0082694D">
        <w:rPr>
          <w:rFonts w:eastAsiaTheme="minorHAnsi" w:cstheme="minorBidi"/>
          <w:color w:val="auto"/>
          <w:sz w:val="24"/>
          <w:szCs w:val="24"/>
        </w:rPr>
        <w:t>ote</w:t>
      </w:r>
      <w:r w:rsidRPr="00D456BD">
        <w:rPr>
          <w:rFonts w:eastAsiaTheme="minorHAnsi" w:cstheme="minorBidi"/>
          <w:color w:val="auto"/>
          <w:sz w:val="24"/>
          <w:szCs w:val="24"/>
        </w:rPr>
        <w:t xml:space="preserve">:  As respondents learn about the disability program and forms SSA-3375 through SSA-3379, whether it be through the internet or via FO representative, we expect the learning cost burden to be low for this information collection. The number depicted below could be less; or larger if the respondent needed to obtain additional information on the information collection being asked. </w:t>
      </w:r>
    </w:p>
    <w:tbl>
      <w:tblPr>
        <w:tblpPr w:leftFromText="180" w:rightFromText="180" w:vertAnchor="text" w:horzAnchor="margin" w:tblpY="337"/>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8"/>
        <w:gridCol w:w="1699"/>
        <w:gridCol w:w="1913"/>
        <w:gridCol w:w="2009"/>
        <w:gridCol w:w="2009"/>
      </w:tblGrid>
      <w:tr w14:paraId="076F2D8D" w14:textId="77777777" w:rsidTr="00E1733E">
        <w:tblPrEx>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71"/>
        </w:trPr>
        <w:tc>
          <w:tcPr>
            <w:tcW w:w="1938" w:type="dxa"/>
            <w:shd w:val="clear" w:color="auto" w:fill="auto"/>
          </w:tcPr>
          <w:p w:rsidR="009611A5" w:rsidRPr="00D456BD" w:rsidP="00E1733E" w14:paraId="71575E48" w14:textId="77777777">
            <w:pPr>
              <w:spacing w:after="160" w:line="259" w:lineRule="auto"/>
              <w:rPr>
                <w:rFonts w:eastAsiaTheme="minorHAnsi" w:cstheme="minorBidi"/>
                <w:b/>
                <w:color w:val="auto"/>
              </w:rPr>
            </w:pPr>
            <w:r w:rsidRPr="00D456BD">
              <w:rPr>
                <w:rFonts w:eastAsiaTheme="minorHAnsi" w:cstheme="minorBidi"/>
                <w:b/>
                <w:color w:val="auto"/>
              </w:rPr>
              <w:t xml:space="preserve">Total Number of Respondents </w:t>
            </w:r>
          </w:p>
        </w:tc>
        <w:tc>
          <w:tcPr>
            <w:tcW w:w="1699" w:type="dxa"/>
            <w:shd w:val="clear" w:color="auto" w:fill="auto"/>
          </w:tcPr>
          <w:p w:rsidR="009611A5" w:rsidRPr="00D456BD" w:rsidP="00E1733E" w14:paraId="3FC8E233" w14:textId="77777777">
            <w:pPr>
              <w:spacing w:after="160" w:line="259" w:lineRule="auto"/>
              <w:rPr>
                <w:rFonts w:eastAsiaTheme="minorHAnsi" w:cstheme="minorBidi"/>
                <w:b/>
                <w:color w:val="auto"/>
              </w:rPr>
            </w:pPr>
            <w:r w:rsidRPr="00D456BD">
              <w:rPr>
                <w:rFonts w:eastAsiaTheme="minorHAnsi" w:cstheme="minorBidi"/>
                <w:b/>
                <w:color w:val="auto"/>
              </w:rPr>
              <w:t>Frequency of Response</w:t>
            </w:r>
          </w:p>
        </w:tc>
        <w:tc>
          <w:tcPr>
            <w:tcW w:w="1913" w:type="dxa"/>
            <w:shd w:val="clear" w:color="auto" w:fill="auto"/>
          </w:tcPr>
          <w:p w:rsidR="009611A5" w:rsidRPr="00D456BD" w:rsidP="00E1733E" w14:paraId="189A83B0" w14:textId="77777777">
            <w:pPr>
              <w:spacing w:after="160" w:line="259" w:lineRule="auto"/>
              <w:rPr>
                <w:rFonts w:eastAsiaTheme="minorHAnsi" w:cstheme="minorBidi"/>
                <w:b/>
                <w:color w:val="auto"/>
              </w:rPr>
            </w:pPr>
            <w:r w:rsidRPr="00D456BD">
              <w:rPr>
                <w:rFonts w:eastAsiaTheme="minorHAnsi" w:cstheme="minorBidi"/>
                <w:b/>
                <w:color w:val="auto"/>
              </w:rPr>
              <w:t>Estimate Learning Cost (minutes)</w:t>
            </w:r>
          </w:p>
        </w:tc>
        <w:tc>
          <w:tcPr>
            <w:tcW w:w="2009" w:type="dxa"/>
          </w:tcPr>
          <w:p w:rsidR="009611A5" w:rsidRPr="00D456BD" w:rsidP="00E1733E" w14:paraId="7ABAC383" w14:textId="77777777">
            <w:pPr>
              <w:spacing w:after="160" w:line="259" w:lineRule="auto"/>
              <w:rPr>
                <w:rFonts w:eastAsiaTheme="minorHAnsi" w:cstheme="minorBidi"/>
                <w:b/>
                <w:color w:val="auto"/>
              </w:rPr>
            </w:pPr>
            <w:r w:rsidRPr="00D456BD">
              <w:rPr>
                <w:rFonts w:eastAsiaTheme="minorHAnsi" w:cstheme="minorBidi"/>
                <w:b/>
                <w:color w:val="auto"/>
              </w:rPr>
              <w:t>Estimated Total Annual Burden (hours)</w:t>
            </w:r>
          </w:p>
        </w:tc>
        <w:tc>
          <w:tcPr>
            <w:tcW w:w="2009" w:type="dxa"/>
            <w:shd w:val="clear" w:color="auto" w:fill="auto"/>
          </w:tcPr>
          <w:p w:rsidR="009611A5" w:rsidRPr="00D456BD" w:rsidP="00E1733E" w14:paraId="69EB6ADA" w14:textId="77777777">
            <w:pPr>
              <w:spacing w:after="160" w:line="259" w:lineRule="auto"/>
              <w:rPr>
                <w:rFonts w:eastAsiaTheme="minorHAnsi" w:cstheme="minorBidi"/>
                <w:b/>
                <w:color w:val="auto"/>
              </w:rPr>
            </w:pPr>
            <w:r w:rsidRPr="00D456BD">
              <w:rPr>
                <w:rFonts w:eastAsiaTheme="minorHAnsi" w:cstheme="minorBidi"/>
                <w:b/>
                <w:color w:val="auto"/>
              </w:rPr>
              <w:t>Total Annual Learning Cost (dollars)**</w:t>
            </w:r>
          </w:p>
        </w:tc>
      </w:tr>
      <w:tr w14:paraId="6B45AB4B" w14:textId="77777777" w:rsidTr="00E1733E">
        <w:tblPrEx>
          <w:tblW w:w="9568" w:type="dxa"/>
          <w:tblLook w:val="04A0"/>
        </w:tblPrEx>
        <w:trPr>
          <w:trHeight w:val="288"/>
        </w:trPr>
        <w:tc>
          <w:tcPr>
            <w:tcW w:w="1938" w:type="dxa"/>
            <w:shd w:val="clear" w:color="auto" w:fill="auto"/>
          </w:tcPr>
          <w:p w:rsidR="009611A5" w:rsidRPr="00D456BD" w:rsidP="002335B6" w14:paraId="4F333378" w14:textId="77777777">
            <w:pPr>
              <w:spacing w:after="160" w:line="259" w:lineRule="auto"/>
              <w:jc w:val="right"/>
              <w:rPr>
                <w:rFonts w:eastAsiaTheme="minorHAnsi" w:cstheme="minorBidi"/>
                <w:color w:val="auto"/>
              </w:rPr>
            </w:pPr>
            <w:r w:rsidRPr="00D456BD">
              <w:rPr>
                <w:rFonts w:eastAsiaTheme="minorHAnsi" w:cstheme="minorBidi"/>
                <w:color w:val="auto"/>
              </w:rPr>
              <w:t>524,762</w:t>
            </w:r>
          </w:p>
        </w:tc>
        <w:tc>
          <w:tcPr>
            <w:tcW w:w="1699" w:type="dxa"/>
            <w:shd w:val="clear" w:color="auto" w:fill="auto"/>
          </w:tcPr>
          <w:p w:rsidR="009611A5" w:rsidRPr="00D456BD" w:rsidP="00E1733E" w14:paraId="7A4A53BD" w14:textId="77777777">
            <w:pPr>
              <w:spacing w:after="160" w:line="259" w:lineRule="auto"/>
              <w:jc w:val="right"/>
              <w:rPr>
                <w:rFonts w:eastAsiaTheme="minorHAnsi" w:cstheme="minorBidi"/>
                <w:color w:val="auto"/>
              </w:rPr>
            </w:pPr>
            <w:r w:rsidRPr="00D456BD">
              <w:rPr>
                <w:rFonts w:eastAsiaTheme="minorHAnsi" w:cstheme="minorBidi"/>
                <w:color w:val="auto"/>
              </w:rPr>
              <w:t>1</w:t>
            </w:r>
          </w:p>
        </w:tc>
        <w:tc>
          <w:tcPr>
            <w:tcW w:w="1913" w:type="dxa"/>
            <w:shd w:val="clear" w:color="auto" w:fill="auto"/>
          </w:tcPr>
          <w:p w:rsidR="009611A5" w:rsidRPr="00D456BD" w:rsidP="00E1733E" w14:paraId="107B6F00" w14:textId="77777777">
            <w:pPr>
              <w:spacing w:after="160" w:line="259" w:lineRule="auto"/>
              <w:jc w:val="right"/>
              <w:rPr>
                <w:rFonts w:eastAsiaTheme="minorHAnsi" w:cstheme="minorBidi"/>
                <w:color w:val="auto"/>
              </w:rPr>
            </w:pPr>
            <w:r w:rsidRPr="00D456BD">
              <w:rPr>
                <w:rFonts w:eastAsiaTheme="minorHAnsi" w:cstheme="minorBidi"/>
                <w:color w:val="auto"/>
              </w:rPr>
              <w:t>20</w:t>
            </w:r>
          </w:p>
        </w:tc>
        <w:tc>
          <w:tcPr>
            <w:tcW w:w="2009" w:type="dxa"/>
          </w:tcPr>
          <w:p w:rsidR="009611A5" w:rsidRPr="00D456BD" w:rsidP="00E1733E" w14:paraId="6A5E17DB" w14:textId="77777777">
            <w:pPr>
              <w:spacing w:after="160" w:line="259" w:lineRule="auto"/>
              <w:jc w:val="right"/>
              <w:rPr>
                <w:rFonts w:eastAsiaTheme="minorHAnsi" w:cstheme="minorBidi"/>
                <w:color w:val="auto"/>
              </w:rPr>
            </w:pPr>
            <w:r w:rsidRPr="00D456BD">
              <w:rPr>
                <w:rFonts w:eastAsiaTheme="minorHAnsi" w:cstheme="minorBidi"/>
                <w:color w:val="auto"/>
              </w:rPr>
              <w:t>174,921</w:t>
            </w:r>
          </w:p>
        </w:tc>
        <w:tc>
          <w:tcPr>
            <w:tcW w:w="2009" w:type="dxa"/>
            <w:shd w:val="clear" w:color="auto" w:fill="auto"/>
          </w:tcPr>
          <w:p w:rsidR="009611A5" w:rsidRPr="00D456BD" w:rsidP="00E1733E" w14:paraId="36C629FD" w14:textId="02CD7B56">
            <w:pPr>
              <w:spacing w:after="160" w:line="259" w:lineRule="auto"/>
              <w:jc w:val="right"/>
              <w:rPr>
                <w:rFonts w:eastAsiaTheme="minorHAnsi" w:cstheme="minorBidi"/>
                <w:color w:val="auto"/>
              </w:rPr>
            </w:pPr>
            <w:r w:rsidRPr="00D456BD">
              <w:rPr>
                <w:rFonts w:eastAsiaTheme="minorHAnsi" w:cstheme="minorBidi"/>
                <w:color w:val="auto"/>
              </w:rPr>
              <w:t>3,</w:t>
            </w:r>
            <w:r w:rsidR="002335B6">
              <w:rPr>
                <w:rFonts w:eastAsiaTheme="minorHAnsi" w:cstheme="minorBidi"/>
                <w:color w:val="auto"/>
              </w:rPr>
              <w:t>916,482</w:t>
            </w:r>
            <w:r w:rsidRPr="00D456BD">
              <w:rPr>
                <w:rFonts w:eastAsiaTheme="minorHAnsi" w:cstheme="minorBidi"/>
                <w:color w:val="auto"/>
              </w:rPr>
              <w:t>****</w:t>
            </w:r>
          </w:p>
        </w:tc>
      </w:tr>
    </w:tbl>
    <w:p w:rsidR="009611A5" w:rsidRPr="009611A5" w:rsidP="005A7F82" w14:paraId="6AC95B06" w14:textId="77777777">
      <w:pPr>
        <w:pStyle w:val="ListParagraph"/>
        <w:spacing w:after="160" w:line="259" w:lineRule="auto"/>
        <w:rPr>
          <w:rFonts w:eastAsiaTheme="minorHAnsi" w:cstheme="minorBidi"/>
          <w:color w:val="auto"/>
        </w:rPr>
      </w:pPr>
    </w:p>
    <w:p w:rsidR="009611A5" w:rsidRPr="009611A5" w:rsidP="005A7F82" w14:paraId="49B5DBE8" w14:textId="77777777">
      <w:pPr>
        <w:pStyle w:val="ListParagraph"/>
        <w:spacing w:after="160" w:line="259" w:lineRule="auto"/>
        <w:ind w:left="1440"/>
        <w:rPr>
          <w:rFonts w:eastAsiaTheme="minorHAnsi" w:cstheme="minorBidi"/>
          <w:color w:val="auto"/>
        </w:rPr>
      </w:pPr>
      <w:r w:rsidRPr="009611A5">
        <w:rPr>
          <w:rFonts w:eastAsiaTheme="minorHAnsi" w:cstheme="minorBidi"/>
          <w:color w:val="auto"/>
        </w:rPr>
        <w:t>*****We based this dollar amount on the Average Theoretical Hourly Cost Amount in dollars shown on the burden chart above.</w:t>
      </w:r>
    </w:p>
    <w:p w:rsidR="005A7F82" w:rsidP="005A7F82" w14:paraId="3ED18D02" w14:textId="77777777">
      <w:pPr>
        <w:pStyle w:val="ListParagraph"/>
        <w:widowControl w:val="0"/>
        <w:rPr>
          <w:snapToGrid w:val="0"/>
          <w:color w:val="auto"/>
        </w:rPr>
      </w:pPr>
    </w:p>
    <w:p w:rsidR="009611A5" w:rsidRPr="009611A5" w:rsidP="005A7F82" w14:paraId="60C22E51" w14:textId="26845C31">
      <w:pPr>
        <w:pStyle w:val="ListParagraph"/>
        <w:widowControl w:val="0"/>
        <w:ind w:left="1440"/>
        <w:rPr>
          <w:snapToGrid w:val="0"/>
          <w:color w:val="auto"/>
        </w:rPr>
      </w:pPr>
      <w:r w:rsidRPr="009611A5">
        <w:rPr>
          <w:snapToGrid w:val="0"/>
          <w:color w:val="auto"/>
        </w:rPr>
        <w:t>NOTE:  We included the total opportunity cost estimate from this chart in our calculations when showing the total time and opportunity cost estimates.</w:t>
      </w:r>
    </w:p>
    <w:p w:rsidR="009611A5" w:rsidRPr="009611A5" w:rsidP="005A7F82" w14:paraId="1477CDDE" w14:textId="77777777">
      <w:pPr>
        <w:pStyle w:val="ListParagraph"/>
        <w:tabs>
          <w:tab w:val="left" w:pos="1440"/>
        </w:tabs>
        <w:rPr>
          <w:rFonts w:eastAsia="Calibri"/>
          <w:color w:val="auto"/>
        </w:rPr>
      </w:pPr>
    </w:p>
    <w:p w:rsidR="00C25227" w:rsidP="005A7F82" w14:paraId="40B1FFB0" w14:textId="164B72C6">
      <w:pPr>
        <w:pStyle w:val="BodyTextIndent3"/>
        <w:widowControl w:val="0"/>
        <w:suppressAutoHyphens/>
        <w:ind w:left="1440"/>
        <w:contextualSpacing/>
        <w:rPr>
          <w:rFonts w:eastAsia="Calibri"/>
          <w:color w:val="auto"/>
          <w:sz w:val="24"/>
          <w:szCs w:val="24"/>
        </w:rPr>
      </w:pPr>
      <w:r w:rsidRPr="00D456BD">
        <w:rPr>
          <w:rFonts w:eastAsia="Calibri"/>
          <w:color w:val="auto"/>
          <w:sz w:val="24"/>
          <w:szCs w:val="24"/>
        </w:rPr>
        <w:t xml:space="preserve">We believe that </w:t>
      </w:r>
      <w:r w:rsidR="0082694D">
        <w:rPr>
          <w:rFonts w:eastAsia="Calibri"/>
          <w:color w:val="auto"/>
          <w:sz w:val="24"/>
          <w:szCs w:val="24"/>
        </w:rPr>
        <w:t>2</w:t>
      </w:r>
      <w:r w:rsidRPr="00D456BD">
        <w:rPr>
          <w:rFonts w:eastAsia="Calibri"/>
          <w:color w:val="auto"/>
          <w:sz w:val="24"/>
          <w:szCs w:val="24"/>
        </w:rPr>
        <w:t xml:space="preserve">0 minutes accurately shows the average burden per response for learning about this program, reading and understanding instructions, gathering the information needed, answering questions, and completing the information collection instrument, along with scheduling any necessary appointment or phone call and waiting to speak with any SSA or DDS employees (as needed). </w:t>
      </w:r>
    </w:p>
    <w:p w:rsidR="00C25227" w:rsidP="00D5154C" w14:paraId="3A841186" w14:textId="77777777">
      <w:pPr>
        <w:pStyle w:val="BodyTextIndent3"/>
        <w:widowControl w:val="0"/>
        <w:suppressAutoHyphens/>
        <w:ind w:left="0"/>
        <w:contextualSpacing/>
        <w:rPr>
          <w:rFonts w:eastAsia="Calibri"/>
          <w:color w:val="auto"/>
          <w:sz w:val="24"/>
          <w:szCs w:val="24"/>
        </w:rPr>
      </w:pPr>
    </w:p>
    <w:p w:rsidR="009611A5" w:rsidP="005A7F82" w14:paraId="53217B77" w14:textId="7CB63EA7">
      <w:pPr>
        <w:pStyle w:val="BodyTextIndent3"/>
        <w:widowControl w:val="0"/>
        <w:suppressAutoHyphens/>
        <w:ind w:left="1440"/>
        <w:contextualSpacing/>
        <w:rPr>
          <w:rFonts w:eastAsia="Calibri"/>
          <w:color w:val="auto"/>
          <w:sz w:val="24"/>
          <w:szCs w:val="24"/>
        </w:rPr>
      </w:pPr>
      <w:r w:rsidRPr="00D456BD">
        <w:rPr>
          <w:rFonts w:eastAsia="Calibri"/>
          <w:color w:val="auto"/>
          <w:sz w:val="24"/>
          <w:szCs w:val="24"/>
        </w:rPr>
        <w:t xml:space="preserve">The total burden for this collection instrument is </w:t>
      </w:r>
      <w:r w:rsidRPr="00D456BD">
        <w:rPr>
          <w:b/>
          <w:bCs/>
          <w:color w:val="auto"/>
          <w:sz w:val="24"/>
          <w:szCs w:val="24"/>
          <w:lang w:eastAsia="ar-SA"/>
        </w:rPr>
        <w:t xml:space="preserve">174,921 </w:t>
      </w:r>
      <w:r w:rsidRPr="00D456BD">
        <w:rPr>
          <w:rFonts w:eastAsia="Calibri"/>
          <w:color w:val="auto"/>
          <w:sz w:val="24"/>
          <w:szCs w:val="24"/>
        </w:rPr>
        <w:t xml:space="preserve">burden hours, reflecting </w:t>
      </w:r>
      <w:r w:rsidR="009B5EE4">
        <w:rPr>
          <w:rFonts w:eastAsia="Calibri"/>
          <w:color w:val="auto"/>
          <w:sz w:val="24"/>
          <w:szCs w:val="24"/>
        </w:rPr>
        <w:t>management information data</w:t>
      </w:r>
      <w:r w:rsidR="002F7688">
        <w:rPr>
          <w:rFonts w:eastAsia="Calibri"/>
          <w:color w:val="auto"/>
          <w:sz w:val="24"/>
          <w:szCs w:val="24"/>
        </w:rPr>
        <w:t xml:space="preserve">, including the time and </w:t>
      </w:r>
      <w:r w:rsidRPr="00D456BD">
        <w:rPr>
          <w:rFonts w:eastAsia="Calibri"/>
          <w:color w:val="auto"/>
          <w:sz w:val="24"/>
          <w:szCs w:val="24"/>
        </w:rPr>
        <w:t xml:space="preserve">effort we expect respondents will take to complete the form SSA-3375 through SSA-3379, as relevant to the child’s age. This results in an associated theoretical (not actual) opportunity cost financial burden of </w:t>
      </w:r>
      <w:r w:rsidRPr="00D456BD">
        <w:rPr>
          <w:rFonts w:eastAsia="Calibri"/>
          <w:b/>
          <w:bCs/>
          <w:color w:val="auto"/>
          <w:sz w:val="24"/>
          <w:szCs w:val="24"/>
        </w:rPr>
        <w:t>$</w:t>
      </w:r>
      <w:r w:rsidR="00D5154C">
        <w:rPr>
          <w:rFonts w:eastAsia="Calibri"/>
          <w:b/>
          <w:bCs/>
          <w:color w:val="auto"/>
          <w:sz w:val="24"/>
          <w:szCs w:val="24"/>
        </w:rPr>
        <w:t>1</w:t>
      </w:r>
      <w:r w:rsidR="002335B6">
        <w:rPr>
          <w:rFonts w:eastAsia="Calibri"/>
          <w:b/>
          <w:bCs/>
          <w:color w:val="auto"/>
          <w:sz w:val="24"/>
          <w:szCs w:val="24"/>
        </w:rPr>
        <w:t>3</w:t>
      </w:r>
      <w:r w:rsidR="00D5154C">
        <w:rPr>
          <w:rFonts w:eastAsia="Calibri"/>
          <w:b/>
          <w:bCs/>
          <w:color w:val="auto"/>
          <w:sz w:val="24"/>
          <w:szCs w:val="24"/>
        </w:rPr>
        <w:t>,</w:t>
      </w:r>
      <w:r w:rsidR="002335B6">
        <w:rPr>
          <w:rFonts w:eastAsia="Calibri"/>
          <w:b/>
          <w:bCs/>
          <w:color w:val="auto"/>
          <w:sz w:val="24"/>
          <w:szCs w:val="24"/>
        </w:rPr>
        <w:t>413</w:t>
      </w:r>
      <w:r w:rsidR="00D5154C">
        <w:rPr>
          <w:rFonts w:eastAsia="Calibri"/>
          <w:b/>
          <w:bCs/>
          <w:color w:val="auto"/>
          <w:sz w:val="24"/>
          <w:szCs w:val="24"/>
        </w:rPr>
        <w:t>,</w:t>
      </w:r>
      <w:r w:rsidR="002335B6">
        <w:rPr>
          <w:rFonts w:eastAsia="Calibri"/>
          <w:b/>
          <w:bCs/>
          <w:color w:val="auto"/>
          <w:sz w:val="24"/>
          <w:szCs w:val="24"/>
        </w:rPr>
        <w:t>939</w:t>
      </w:r>
      <w:r w:rsidRPr="00D456BD">
        <w:rPr>
          <w:rFonts w:eastAsia="Calibri"/>
          <w:color w:val="auto"/>
          <w:sz w:val="24"/>
          <w:szCs w:val="24"/>
        </w:rPr>
        <w:t>.  SSA does not charge respondents to complete this form</w:t>
      </w:r>
      <w:r>
        <w:rPr>
          <w:rFonts w:eastAsia="Calibri"/>
          <w:color w:val="auto"/>
          <w:sz w:val="24"/>
          <w:szCs w:val="24"/>
        </w:rPr>
        <w:t>.</w:t>
      </w:r>
    </w:p>
    <w:p w:rsidR="009611A5" w:rsidP="0045007C" w14:paraId="684B2EB3" w14:textId="77777777">
      <w:pPr>
        <w:pStyle w:val="BodyTextIndent3"/>
        <w:widowControl w:val="0"/>
        <w:suppressAutoHyphens/>
        <w:spacing w:after="0"/>
        <w:ind w:left="0"/>
        <w:contextualSpacing/>
        <w:rPr>
          <w:color w:val="auto"/>
          <w:sz w:val="24"/>
          <w:szCs w:val="24"/>
        </w:rPr>
      </w:pPr>
    </w:p>
    <w:p w:rsidR="0082694D" w:rsidRPr="005A7F82" w:rsidP="0045007C" w14:paraId="05801247" w14:textId="77777777">
      <w:pPr>
        <w:pStyle w:val="BodyTextIndent3"/>
        <w:widowControl w:val="0"/>
        <w:suppressAutoHyphens/>
        <w:spacing w:after="0"/>
        <w:ind w:left="0"/>
        <w:contextualSpacing/>
        <w:rPr>
          <w:color w:val="auto"/>
          <w:sz w:val="24"/>
          <w:szCs w:val="24"/>
        </w:rPr>
      </w:pPr>
    </w:p>
    <w:p w:rsidR="009611A5" w:rsidRPr="005A7F82" w:rsidP="009611A5" w14:paraId="18E12E42" w14:textId="77777777">
      <w:pPr>
        <w:pStyle w:val="BodyTextIndent3"/>
        <w:widowControl w:val="0"/>
        <w:numPr>
          <w:ilvl w:val="0"/>
          <w:numId w:val="2"/>
        </w:numPr>
        <w:suppressAutoHyphens/>
        <w:spacing w:after="0"/>
        <w:ind w:left="1440" w:hanging="720"/>
        <w:contextualSpacing/>
        <w:rPr>
          <w:b/>
          <w:color w:val="auto"/>
          <w:sz w:val="24"/>
          <w:szCs w:val="24"/>
        </w:rPr>
      </w:pPr>
      <w:r w:rsidRPr="005A7F82">
        <w:rPr>
          <w:b/>
          <w:color w:val="auto"/>
          <w:sz w:val="24"/>
          <w:szCs w:val="24"/>
        </w:rPr>
        <w:t>Annual Cost to the Respondents (Other)</w:t>
      </w:r>
    </w:p>
    <w:p w:rsidR="005A7F82" w:rsidP="0045007C" w14:paraId="68ADFD92" w14:textId="13533B1C">
      <w:pPr>
        <w:pStyle w:val="BodyTextIndent3"/>
        <w:widowControl w:val="0"/>
        <w:suppressAutoHyphens/>
        <w:ind w:left="1440"/>
        <w:contextualSpacing/>
        <w:rPr>
          <w:color w:val="auto"/>
          <w:sz w:val="24"/>
          <w:szCs w:val="24"/>
        </w:rPr>
      </w:pPr>
      <w:r w:rsidRPr="005A7F82">
        <w:rPr>
          <w:color w:val="auto"/>
          <w:sz w:val="24"/>
          <w:szCs w:val="24"/>
        </w:rPr>
        <w:t>This collection does not impose a known cost burden on the respondents.</w:t>
      </w:r>
    </w:p>
    <w:p w:rsidR="0045007C" w:rsidRPr="005A7F82" w:rsidP="0045007C" w14:paraId="1620D6A0" w14:textId="77777777">
      <w:pPr>
        <w:pStyle w:val="BodyTextIndent3"/>
        <w:widowControl w:val="0"/>
        <w:suppressAutoHyphens/>
        <w:ind w:left="1440"/>
        <w:contextualSpacing/>
        <w:rPr>
          <w:color w:val="auto"/>
          <w:sz w:val="24"/>
          <w:szCs w:val="24"/>
        </w:rPr>
      </w:pPr>
    </w:p>
    <w:p w:rsidR="0045007C" w:rsidP="0045007C" w14:paraId="69CF06FB" w14:textId="77777777">
      <w:pPr>
        <w:pStyle w:val="BodyTextIndent"/>
        <w:widowControl w:val="0"/>
        <w:numPr>
          <w:ilvl w:val="0"/>
          <w:numId w:val="2"/>
        </w:numPr>
        <w:suppressAutoHyphens/>
        <w:ind w:left="1440" w:hanging="720"/>
        <w:contextualSpacing/>
        <w:rPr>
          <w:color w:val="000000"/>
        </w:rPr>
      </w:pPr>
      <w:r w:rsidRPr="00913F82">
        <w:rPr>
          <w:b/>
          <w:color w:val="000000"/>
        </w:rPr>
        <w:t xml:space="preserve">Annual Cost to Federal Government </w:t>
      </w:r>
    </w:p>
    <w:p w:rsidR="0045007C" w:rsidP="0045007C" w14:paraId="464BCC0F" w14:textId="77777777">
      <w:pPr>
        <w:ind w:left="1440"/>
        <w:rPr>
          <w:snapToGrid w:val="0"/>
          <w:color w:val="auto"/>
          <w:lang w:eastAsia="en-US"/>
        </w:rPr>
      </w:pPr>
      <w:r w:rsidRPr="00C0546D">
        <w:rPr>
          <w:snapToGrid w:val="0"/>
          <w:color w:val="auto"/>
          <w:lang w:eastAsia="en-US"/>
        </w:rPr>
        <w:t>The annual cost to the Federal Government is approximately $</w:t>
      </w:r>
      <w:r>
        <w:rPr>
          <w:rFonts w:eastAsia="Calibri"/>
          <w:color w:val="000000"/>
          <w:lang w:eastAsia="en-US"/>
        </w:rPr>
        <w:t>5,793,080</w:t>
      </w:r>
      <w:r w:rsidRPr="00C0546D">
        <w:rPr>
          <w:snapToGrid w:val="0"/>
          <w:color w:val="auto"/>
          <w:lang w:eastAsia="en-US"/>
        </w:rPr>
        <w:t xml:space="preserve">.  This estimate accounts for costs from the following areas: </w:t>
      </w:r>
    </w:p>
    <w:p w:rsidR="0082694D" w:rsidP="0045007C" w14:paraId="0E49A3E1" w14:textId="77777777">
      <w:pPr>
        <w:ind w:left="1440"/>
        <w:rPr>
          <w:snapToGrid w:val="0"/>
          <w:color w:val="auto"/>
          <w:lang w:eastAsia="en-US"/>
        </w:rPr>
      </w:pPr>
    </w:p>
    <w:tbl>
      <w:tblPr>
        <w:tblW w:w="9085"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84"/>
        <w:gridCol w:w="3689"/>
        <w:gridCol w:w="2612"/>
      </w:tblGrid>
      <w:tr w14:paraId="3325871D" w14:textId="77777777" w:rsidTr="0082694D">
        <w:tblPrEx>
          <w:tblW w:w="9085"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3A30A035" w14:textId="77777777">
            <w:pPr>
              <w:contextualSpacing/>
              <w:rPr>
                <w:rFonts w:eastAsiaTheme="minorHAnsi"/>
                <w:b/>
                <w:bCs/>
                <w:color w:val="auto"/>
              </w:rPr>
            </w:pPr>
            <w:r w:rsidRPr="00141434">
              <w:rPr>
                <w:rFonts w:eastAsiaTheme="minorHAnsi"/>
                <w:b/>
                <w:bCs/>
                <w:color w:val="auto"/>
              </w:rPr>
              <w:t>Description of Cost Factor</w:t>
            </w:r>
          </w:p>
        </w:tc>
        <w:tc>
          <w:tcPr>
            <w:tcW w:w="3689" w:type="dxa"/>
            <w:tcMar>
              <w:top w:w="0" w:type="dxa"/>
              <w:left w:w="108" w:type="dxa"/>
              <w:bottom w:w="0" w:type="dxa"/>
              <w:right w:w="108" w:type="dxa"/>
            </w:tcMar>
            <w:hideMark/>
          </w:tcPr>
          <w:p w:rsidR="0045007C" w:rsidRPr="00141434" w:rsidP="00E1733E" w14:paraId="767EE2B3" w14:textId="77777777">
            <w:pPr>
              <w:contextualSpacing/>
              <w:rPr>
                <w:rFonts w:eastAsiaTheme="minorHAnsi"/>
                <w:b/>
                <w:bCs/>
                <w:color w:val="auto"/>
              </w:rPr>
            </w:pPr>
            <w:r w:rsidRPr="00141434">
              <w:rPr>
                <w:rFonts w:eastAsiaTheme="minorHAnsi"/>
                <w:b/>
                <w:bCs/>
                <w:color w:val="auto"/>
              </w:rPr>
              <w:t>Methodology for Estimating Cost</w:t>
            </w:r>
          </w:p>
        </w:tc>
        <w:tc>
          <w:tcPr>
            <w:tcW w:w="2612" w:type="dxa"/>
            <w:tcMar>
              <w:top w:w="0" w:type="dxa"/>
              <w:left w:w="108" w:type="dxa"/>
              <w:bottom w:w="0" w:type="dxa"/>
              <w:right w:w="108" w:type="dxa"/>
            </w:tcMar>
            <w:hideMark/>
          </w:tcPr>
          <w:p w:rsidR="0045007C" w:rsidRPr="00141434" w:rsidP="00E1733E" w14:paraId="7CCBD7DF" w14:textId="77777777">
            <w:pPr>
              <w:contextualSpacing/>
              <w:rPr>
                <w:rFonts w:eastAsiaTheme="minorHAnsi"/>
                <w:b/>
                <w:bCs/>
                <w:color w:val="auto"/>
              </w:rPr>
            </w:pPr>
            <w:r w:rsidRPr="00141434">
              <w:rPr>
                <w:rFonts w:eastAsiaTheme="minorHAnsi"/>
                <w:b/>
                <w:bCs/>
                <w:color w:val="auto"/>
              </w:rPr>
              <w:t>Cost in Dollars*</w:t>
            </w:r>
          </w:p>
        </w:tc>
      </w:tr>
      <w:tr w14:paraId="582D6B3B"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41BD3C2D" w14:textId="77777777">
            <w:pPr>
              <w:contextualSpacing/>
              <w:rPr>
                <w:rFonts w:eastAsiaTheme="minorHAnsi"/>
                <w:color w:val="auto"/>
              </w:rPr>
            </w:pPr>
            <w:r w:rsidRPr="00141434">
              <w:rPr>
                <w:rFonts w:eastAsiaTheme="minorHAnsi"/>
                <w:color w:val="auto"/>
              </w:rPr>
              <w:t>Designing and Printing the Form</w:t>
            </w:r>
          </w:p>
        </w:tc>
        <w:tc>
          <w:tcPr>
            <w:tcW w:w="3689" w:type="dxa"/>
            <w:tcMar>
              <w:top w:w="0" w:type="dxa"/>
              <w:left w:w="108" w:type="dxa"/>
              <w:bottom w:w="0" w:type="dxa"/>
              <w:right w:w="108" w:type="dxa"/>
            </w:tcMar>
            <w:hideMark/>
          </w:tcPr>
          <w:p w:rsidR="0045007C" w:rsidRPr="00141434" w:rsidP="00E1733E" w14:paraId="13BA5F9E" w14:textId="77777777">
            <w:pPr>
              <w:contextualSpacing/>
              <w:rPr>
                <w:rFonts w:eastAsiaTheme="minorHAnsi"/>
                <w:color w:val="auto"/>
              </w:rPr>
            </w:pPr>
            <w:r w:rsidRPr="00141434">
              <w:rPr>
                <w:rFonts w:eastAsiaTheme="minorHAnsi"/>
                <w:color w:val="auto"/>
              </w:rPr>
              <w:t>Design Cost + Printing Cost</w:t>
            </w:r>
          </w:p>
        </w:tc>
        <w:tc>
          <w:tcPr>
            <w:tcW w:w="2612" w:type="dxa"/>
            <w:tcMar>
              <w:top w:w="0" w:type="dxa"/>
              <w:left w:w="108" w:type="dxa"/>
              <w:bottom w:w="0" w:type="dxa"/>
              <w:right w:w="108" w:type="dxa"/>
            </w:tcMar>
          </w:tcPr>
          <w:p w:rsidR="0045007C" w:rsidRPr="00141434" w:rsidP="00E1733E" w14:paraId="6FF2FEFF" w14:textId="77777777">
            <w:pPr>
              <w:contextualSpacing/>
              <w:jc w:val="right"/>
              <w:rPr>
                <w:rFonts w:eastAsiaTheme="minorHAnsi"/>
                <w:color w:val="auto"/>
              </w:rPr>
            </w:pPr>
            <w:r w:rsidRPr="00141434">
              <w:rPr>
                <w:rFonts w:eastAsiaTheme="minorHAnsi"/>
                <w:color w:val="auto"/>
              </w:rPr>
              <w:t xml:space="preserve">$11,806  </w:t>
            </w:r>
          </w:p>
        </w:tc>
      </w:tr>
      <w:tr w14:paraId="036C0784"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6177942B" w14:textId="77777777">
            <w:pPr>
              <w:contextualSpacing/>
              <w:rPr>
                <w:rFonts w:eastAsiaTheme="minorHAnsi"/>
                <w:color w:val="auto"/>
              </w:rPr>
            </w:pPr>
            <w:r w:rsidRPr="00141434">
              <w:rPr>
                <w:rFonts w:eastAsiaTheme="minorHAnsi"/>
                <w:color w:val="auto"/>
              </w:rPr>
              <w:t>Distributing, Shipping, and Material Costs for the Form</w:t>
            </w:r>
          </w:p>
        </w:tc>
        <w:tc>
          <w:tcPr>
            <w:tcW w:w="3689" w:type="dxa"/>
            <w:tcMar>
              <w:top w:w="0" w:type="dxa"/>
              <w:left w:w="108" w:type="dxa"/>
              <w:bottom w:w="0" w:type="dxa"/>
              <w:right w:w="108" w:type="dxa"/>
            </w:tcMar>
            <w:hideMark/>
          </w:tcPr>
          <w:p w:rsidR="0045007C" w:rsidRPr="00141434" w:rsidP="00E1733E" w14:paraId="437C1860" w14:textId="77777777">
            <w:pPr>
              <w:contextualSpacing/>
              <w:rPr>
                <w:rFonts w:eastAsiaTheme="minorHAnsi"/>
                <w:color w:val="auto"/>
              </w:rPr>
            </w:pPr>
            <w:r w:rsidRPr="00141434">
              <w:rPr>
                <w:rFonts w:eastAsiaTheme="minorHAnsi"/>
                <w:color w:val="auto"/>
              </w:rPr>
              <w:t>Distribution + Shipping + Material Cost</w:t>
            </w:r>
          </w:p>
        </w:tc>
        <w:tc>
          <w:tcPr>
            <w:tcW w:w="2612" w:type="dxa"/>
            <w:tcMar>
              <w:top w:w="0" w:type="dxa"/>
              <w:left w:w="108" w:type="dxa"/>
              <w:bottom w:w="0" w:type="dxa"/>
              <w:right w:w="108" w:type="dxa"/>
            </w:tcMar>
          </w:tcPr>
          <w:p w:rsidR="0045007C" w:rsidRPr="00141434" w:rsidP="00E1733E" w14:paraId="0AC00427" w14:textId="768E8D51">
            <w:pPr>
              <w:contextualSpacing/>
              <w:jc w:val="right"/>
              <w:rPr>
                <w:rFonts w:eastAsiaTheme="minorHAnsi"/>
                <w:color w:val="auto"/>
              </w:rPr>
            </w:pPr>
            <w:r w:rsidRPr="00141434">
              <w:rPr>
                <w:rFonts w:eastAsiaTheme="minorHAnsi"/>
                <w:color w:val="auto"/>
              </w:rPr>
              <w:t>$0</w:t>
            </w:r>
            <w:r w:rsidR="002335B6">
              <w:rPr>
                <w:rFonts w:eastAsiaTheme="minorHAnsi"/>
                <w:color w:val="auto"/>
              </w:rPr>
              <w:t>*</w:t>
            </w:r>
          </w:p>
        </w:tc>
      </w:tr>
      <w:tr w14:paraId="5673BD39"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62690108" w14:textId="77777777">
            <w:pPr>
              <w:contextualSpacing/>
              <w:rPr>
                <w:rFonts w:eastAsiaTheme="minorHAnsi"/>
                <w:color w:val="auto"/>
              </w:rPr>
            </w:pPr>
            <w:r w:rsidRPr="00141434">
              <w:rPr>
                <w:rFonts w:eastAsiaTheme="minorHAnsi"/>
                <w:color w:val="auto"/>
              </w:rPr>
              <w:t>SSA Employee (e.g., field office, 800 number, DDS staff) Information Collection and Processing Time</w:t>
            </w:r>
          </w:p>
        </w:tc>
        <w:tc>
          <w:tcPr>
            <w:tcW w:w="3689" w:type="dxa"/>
            <w:tcMar>
              <w:top w:w="0" w:type="dxa"/>
              <w:left w:w="108" w:type="dxa"/>
              <w:bottom w:w="0" w:type="dxa"/>
              <w:right w:w="108" w:type="dxa"/>
            </w:tcMar>
            <w:hideMark/>
          </w:tcPr>
          <w:p w:rsidR="0045007C" w:rsidRPr="00141434" w:rsidP="00E1733E" w14:paraId="715984F1" w14:textId="5426F459">
            <w:pPr>
              <w:contextualSpacing/>
              <w:rPr>
                <w:rFonts w:eastAsiaTheme="minorHAnsi"/>
                <w:color w:val="auto"/>
              </w:rPr>
            </w:pPr>
            <w:r w:rsidRPr="00141434">
              <w:rPr>
                <w:rFonts w:eastAsiaTheme="minorHAnsi"/>
                <w:color w:val="auto"/>
              </w:rPr>
              <w:t>GS-9 employee ($3</w:t>
            </w:r>
            <w:r w:rsidR="002B5B53">
              <w:rPr>
                <w:rFonts w:eastAsiaTheme="minorHAnsi"/>
                <w:color w:val="auto"/>
              </w:rPr>
              <w:t>3/</w:t>
            </w:r>
            <w:r w:rsidRPr="00141434">
              <w:rPr>
                <w:rFonts w:eastAsiaTheme="minorHAnsi"/>
                <w:color w:val="auto"/>
              </w:rPr>
              <w:t>hr</w:t>
            </w:r>
            <w:r w:rsidRPr="00141434">
              <w:rPr>
                <w:rFonts w:eastAsiaTheme="minorHAnsi"/>
                <w:color w:val="auto"/>
              </w:rPr>
              <w:t>) x # of responses x processing time</w:t>
            </w:r>
          </w:p>
        </w:tc>
        <w:tc>
          <w:tcPr>
            <w:tcW w:w="2612" w:type="dxa"/>
            <w:tcMar>
              <w:top w:w="0" w:type="dxa"/>
              <w:left w:w="108" w:type="dxa"/>
              <w:bottom w:w="0" w:type="dxa"/>
              <w:right w:w="108" w:type="dxa"/>
            </w:tcMar>
          </w:tcPr>
          <w:p w:rsidR="0045007C" w:rsidRPr="00141434" w:rsidP="00E1733E" w14:paraId="124E071E" w14:textId="77777777">
            <w:pPr>
              <w:contextualSpacing/>
              <w:jc w:val="right"/>
              <w:rPr>
                <w:rFonts w:eastAsiaTheme="minorHAnsi"/>
                <w:color w:val="auto"/>
              </w:rPr>
            </w:pPr>
            <w:r w:rsidRPr="002B5B53">
              <w:rPr>
                <w:rFonts w:eastAsiaTheme="minorHAnsi"/>
                <w:color w:val="auto"/>
              </w:rPr>
              <w:t>$</w:t>
            </w:r>
            <w:r w:rsidRPr="00141434">
              <w:rPr>
                <w:rFonts w:eastAsiaTheme="minorHAnsi"/>
                <w:color w:val="auto"/>
              </w:rPr>
              <w:t>5,772,382</w:t>
            </w:r>
          </w:p>
        </w:tc>
      </w:tr>
      <w:tr w14:paraId="14C1DB7D"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312F1DCF" w14:textId="77777777">
            <w:pPr>
              <w:contextualSpacing/>
              <w:rPr>
                <w:rFonts w:eastAsiaTheme="minorHAnsi"/>
                <w:color w:val="auto"/>
              </w:rPr>
            </w:pPr>
            <w:r w:rsidRPr="00141434">
              <w:rPr>
                <w:rFonts w:eastAsiaTheme="minorHAnsi"/>
                <w:color w:val="auto"/>
              </w:rPr>
              <w:t>Full-Time Equivalent Costs</w:t>
            </w:r>
          </w:p>
        </w:tc>
        <w:tc>
          <w:tcPr>
            <w:tcW w:w="3689" w:type="dxa"/>
            <w:tcMar>
              <w:top w:w="0" w:type="dxa"/>
              <w:left w:w="108" w:type="dxa"/>
              <w:bottom w:w="0" w:type="dxa"/>
              <w:right w:w="108" w:type="dxa"/>
            </w:tcMar>
            <w:hideMark/>
          </w:tcPr>
          <w:p w:rsidR="0045007C" w:rsidRPr="00141434" w:rsidP="00E1733E" w14:paraId="77974977" w14:textId="77777777">
            <w:pPr>
              <w:contextualSpacing/>
              <w:rPr>
                <w:rFonts w:eastAsiaTheme="minorHAnsi"/>
                <w:color w:val="auto"/>
              </w:rPr>
            </w:pPr>
            <w:r w:rsidRPr="00141434">
              <w:rPr>
                <w:rFonts w:eastAsiaTheme="minorHAnsi"/>
                <w:color w:val="auto"/>
              </w:rPr>
              <w:t>Out of pocket costs + Other expenses for providing this service</w:t>
            </w:r>
          </w:p>
        </w:tc>
        <w:tc>
          <w:tcPr>
            <w:tcW w:w="2612" w:type="dxa"/>
            <w:tcMar>
              <w:top w:w="0" w:type="dxa"/>
              <w:left w:w="108" w:type="dxa"/>
              <w:bottom w:w="0" w:type="dxa"/>
              <w:right w:w="108" w:type="dxa"/>
            </w:tcMar>
          </w:tcPr>
          <w:p w:rsidR="0045007C" w:rsidRPr="00141434" w:rsidP="00E1733E" w14:paraId="01EA4E13" w14:textId="77777777">
            <w:pPr>
              <w:contextualSpacing/>
              <w:jc w:val="right"/>
              <w:rPr>
                <w:rFonts w:eastAsiaTheme="minorHAnsi"/>
                <w:color w:val="auto"/>
              </w:rPr>
            </w:pPr>
            <w:r w:rsidRPr="00141434">
              <w:rPr>
                <w:rFonts w:eastAsiaTheme="minorHAnsi"/>
                <w:color w:val="auto"/>
              </w:rPr>
              <w:t>$0*</w:t>
            </w:r>
          </w:p>
        </w:tc>
      </w:tr>
      <w:tr w14:paraId="05F6BD74"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6C0E00CF" w14:textId="77777777">
            <w:pPr>
              <w:contextualSpacing/>
              <w:rPr>
                <w:rFonts w:eastAsiaTheme="minorHAnsi"/>
                <w:color w:val="auto"/>
              </w:rPr>
            </w:pPr>
            <w:r w:rsidRPr="00141434">
              <w:rPr>
                <w:rFonts w:eastAsiaTheme="minorHAnsi"/>
                <w:color w:val="auto"/>
              </w:rPr>
              <w:t>Systems Development, Updating, and Maintenance</w:t>
            </w:r>
          </w:p>
        </w:tc>
        <w:tc>
          <w:tcPr>
            <w:tcW w:w="3689" w:type="dxa"/>
            <w:tcMar>
              <w:top w:w="0" w:type="dxa"/>
              <w:left w:w="108" w:type="dxa"/>
              <w:bottom w:w="0" w:type="dxa"/>
              <w:right w:w="108" w:type="dxa"/>
            </w:tcMar>
            <w:hideMark/>
          </w:tcPr>
          <w:p w:rsidR="0045007C" w:rsidRPr="00141434" w:rsidP="00E1733E" w14:paraId="7041F118" w14:textId="77777777">
            <w:pPr>
              <w:contextualSpacing/>
              <w:rPr>
                <w:rFonts w:eastAsiaTheme="minorHAnsi"/>
                <w:color w:val="auto"/>
              </w:rPr>
            </w:pPr>
            <w:r w:rsidRPr="00141434">
              <w:rPr>
                <w:rFonts w:eastAsiaTheme="minorHAnsi"/>
                <w:color w:val="auto"/>
              </w:rPr>
              <w:t>GS-9 employee x man hours for development, updating, maintenance</w:t>
            </w:r>
          </w:p>
        </w:tc>
        <w:tc>
          <w:tcPr>
            <w:tcW w:w="2612" w:type="dxa"/>
            <w:tcMar>
              <w:top w:w="0" w:type="dxa"/>
              <w:left w:w="108" w:type="dxa"/>
              <w:bottom w:w="0" w:type="dxa"/>
              <w:right w:w="108" w:type="dxa"/>
            </w:tcMar>
          </w:tcPr>
          <w:p w:rsidR="0045007C" w:rsidRPr="00141434" w:rsidP="00E1733E" w14:paraId="2CCB1523" w14:textId="77777777">
            <w:pPr>
              <w:contextualSpacing/>
              <w:jc w:val="right"/>
              <w:rPr>
                <w:rFonts w:eastAsiaTheme="minorHAnsi"/>
                <w:color w:val="auto"/>
              </w:rPr>
            </w:pPr>
            <w:r w:rsidRPr="00141434">
              <w:rPr>
                <w:rFonts w:eastAsiaTheme="minorHAnsi"/>
                <w:color w:val="auto"/>
              </w:rPr>
              <w:t>$8,892</w:t>
            </w:r>
          </w:p>
        </w:tc>
      </w:tr>
      <w:tr w14:paraId="64D5ACD0"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141434" w:rsidP="00E1733E" w14:paraId="65CEC788" w14:textId="77777777">
            <w:pPr>
              <w:contextualSpacing/>
              <w:rPr>
                <w:rFonts w:eastAsiaTheme="minorHAnsi"/>
                <w:color w:val="auto"/>
              </w:rPr>
            </w:pPr>
            <w:r w:rsidRPr="00141434">
              <w:rPr>
                <w:rFonts w:eastAsiaTheme="minorHAnsi"/>
                <w:color w:val="auto"/>
              </w:rPr>
              <w:t>Quantifiable IT Costs</w:t>
            </w:r>
          </w:p>
        </w:tc>
        <w:tc>
          <w:tcPr>
            <w:tcW w:w="3689" w:type="dxa"/>
            <w:tcMar>
              <w:top w:w="0" w:type="dxa"/>
              <w:left w:w="108" w:type="dxa"/>
              <w:bottom w:w="0" w:type="dxa"/>
              <w:right w:w="108" w:type="dxa"/>
            </w:tcMar>
            <w:hideMark/>
          </w:tcPr>
          <w:p w:rsidR="0045007C" w:rsidRPr="00141434" w:rsidP="00E1733E" w14:paraId="48C995AE" w14:textId="77777777">
            <w:pPr>
              <w:contextualSpacing/>
              <w:rPr>
                <w:rFonts w:eastAsiaTheme="minorHAnsi"/>
                <w:color w:val="auto"/>
              </w:rPr>
            </w:pPr>
            <w:r w:rsidRPr="00141434">
              <w:rPr>
                <w:rFonts w:eastAsiaTheme="minorHAnsi"/>
                <w:color w:val="auto"/>
              </w:rPr>
              <w:t>Any additional IT costs</w:t>
            </w:r>
          </w:p>
        </w:tc>
        <w:tc>
          <w:tcPr>
            <w:tcW w:w="2612" w:type="dxa"/>
            <w:tcMar>
              <w:top w:w="0" w:type="dxa"/>
              <w:left w:w="108" w:type="dxa"/>
              <w:bottom w:w="0" w:type="dxa"/>
              <w:right w:w="108" w:type="dxa"/>
            </w:tcMar>
          </w:tcPr>
          <w:p w:rsidR="0045007C" w:rsidRPr="00141434" w:rsidP="00E1733E" w14:paraId="788015EA" w14:textId="55D057FB">
            <w:pPr>
              <w:contextualSpacing/>
              <w:jc w:val="right"/>
              <w:rPr>
                <w:rFonts w:eastAsiaTheme="minorHAnsi"/>
                <w:color w:val="auto"/>
              </w:rPr>
            </w:pPr>
            <w:r w:rsidRPr="00141434">
              <w:rPr>
                <w:rFonts w:eastAsiaTheme="minorHAnsi"/>
                <w:color w:val="auto"/>
              </w:rPr>
              <w:t>$0</w:t>
            </w:r>
            <w:r w:rsidR="002335B6">
              <w:rPr>
                <w:rFonts w:eastAsiaTheme="minorHAnsi"/>
                <w:color w:val="auto"/>
              </w:rPr>
              <w:t>*</w:t>
            </w:r>
          </w:p>
        </w:tc>
      </w:tr>
      <w:tr w14:paraId="0554042A" w14:textId="77777777" w:rsidTr="0082694D">
        <w:tblPrEx>
          <w:tblW w:w="9085" w:type="dxa"/>
          <w:tblInd w:w="1435" w:type="dxa"/>
          <w:tblCellMar>
            <w:left w:w="0" w:type="dxa"/>
            <w:right w:w="0" w:type="dxa"/>
          </w:tblCellMar>
          <w:tblLook w:val="04A0"/>
        </w:tblPrEx>
        <w:tc>
          <w:tcPr>
            <w:tcW w:w="2784" w:type="dxa"/>
            <w:tcMar>
              <w:top w:w="0" w:type="dxa"/>
              <w:left w:w="108" w:type="dxa"/>
              <w:bottom w:w="0" w:type="dxa"/>
              <w:right w:w="108" w:type="dxa"/>
            </w:tcMar>
            <w:hideMark/>
          </w:tcPr>
          <w:p w:rsidR="0045007C" w:rsidRPr="0082694D" w:rsidP="00E1733E" w14:paraId="74539CAC" w14:textId="77777777">
            <w:pPr>
              <w:contextualSpacing/>
              <w:rPr>
                <w:rFonts w:eastAsiaTheme="minorHAnsi"/>
                <w:b/>
                <w:bCs/>
                <w:color w:val="auto"/>
              </w:rPr>
            </w:pPr>
            <w:r w:rsidRPr="0082694D">
              <w:rPr>
                <w:rFonts w:eastAsiaTheme="minorHAnsi"/>
                <w:b/>
                <w:bCs/>
                <w:color w:val="auto"/>
              </w:rPr>
              <w:t>Total</w:t>
            </w:r>
          </w:p>
        </w:tc>
        <w:tc>
          <w:tcPr>
            <w:tcW w:w="3689" w:type="dxa"/>
            <w:tcMar>
              <w:top w:w="0" w:type="dxa"/>
              <w:left w:w="108" w:type="dxa"/>
              <w:bottom w:w="0" w:type="dxa"/>
              <w:right w:w="108" w:type="dxa"/>
            </w:tcMar>
          </w:tcPr>
          <w:p w:rsidR="0045007C" w:rsidRPr="0082694D" w:rsidP="00E1733E" w14:paraId="46AE6F04" w14:textId="77777777">
            <w:pPr>
              <w:contextualSpacing/>
              <w:rPr>
                <w:rFonts w:eastAsiaTheme="minorHAnsi"/>
                <w:b/>
                <w:bCs/>
                <w:color w:val="auto"/>
              </w:rPr>
            </w:pPr>
          </w:p>
        </w:tc>
        <w:tc>
          <w:tcPr>
            <w:tcW w:w="2612" w:type="dxa"/>
            <w:tcMar>
              <w:top w:w="0" w:type="dxa"/>
              <w:left w:w="108" w:type="dxa"/>
              <w:bottom w:w="0" w:type="dxa"/>
              <w:right w:w="108" w:type="dxa"/>
            </w:tcMar>
          </w:tcPr>
          <w:p w:rsidR="0045007C" w:rsidRPr="0082694D" w:rsidP="00E1733E" w14:paraId="2CE5C219" w14:textId="77777777">
            <w:pPr>
              <w:contextualSpacing/>
              <w:jc w:val="right"/>
              <w:rPr>
                <w:rFonts w:eastAsiaTheme="minorHAnsi"/>
                <w:b/>
                <w:bCs/>
                <w:color w:val="auto"/>
              </w:rPr>
            </w:pPr>
            <w:r w:rsidRPr="0082694D">
              <w:rPr>
                <w:rFonts w:eastAsiaTheme="minorHAnsi"/>
                <w:b/>
                <w:bCs/>
                <w:color w:val="auto"/>
              </w:rPr>
              <w:t>$5,793,080</w:t>
            </w:r>
          </w:p>
        </w:tc>
      </w:tr>
    </w:tbl>
    <w:p w:rsidR="0045007C" w:rsidRPr="00141434" w:rsidP="0045007C" w14:paraId="74B427B5" w14:textId="07C96945">
      <w:pPr>
        <w:pStyle w:val="ListParagraph"/>
        <w:spacing w:after="160" w:line="259" w:lineRule="auto"/>
        <w:ind w:left="1440"/>
        <w:rPr>
          <w:snapToGrid w:val="0"/>
          <w:color w:val="auto"/>
          <w:lang w:eastAsia="en-US"/>
        </w:rPr>
      </w:pPr>
      <w:r w:rsidRPr="00141434">
        <w:rPr>
          <w:rFonts w:eastAsiaTheme="minorHAnsi"/>
          <w:color w:val="auto"/>
        </w:rPr>
        <w:t>* We have inserted a $0 amount for cost factors that do not apply to this collection.</w:t>
      </w:r>
    </w:p>
    <w:p w:rsidR="0045007C" w:rsidRPr="00141434" w:rsidP="0045007C" w14:paraId="3E644244" w14:textId="610BBC5B">
      <w:pPr>
        <w:widowControl w:val="0"/>
        <w:ind w:left="1440"/>
        <w:rPr>
          <w:color w:val="auto"/>
        </w:rPr>
      </w:pPr>
      <w:r w:rsidRPr="00141434">
        <w:rPr>
          <w:color w:val="auto"/>
          <w:lang w:eastAsia="ar-SA"/>
        </w:rPr>
        <w:t xml:space="preserve">SSA is unable to break down the costs to the Federal government further than we already have.  We work with almost every U.S. citizen and oftentimes we do bulk mailing and cannot track the cost for a single mailing.  We do not track design costs or upkeep costs (as these are based on employee time and may vary from collection to collection).  Additionally, it is difficult to break down the cost for processing a single from, as </w:t>
      </w:r>
      <w:r w:rsidR="007C3844">
        <w:rPr>
          <w:color w:val="auto"/>
          <w:lang w:eastAsia="ar-SA"/>
        </w:rPr>
        <w:t xml:space="preserve">FO and state DDSs </w:t>
      </w:r>
      <w:r w:rsidRPr="00141434">
        <w:rPr>
          <w:color w:val="auto"/>
          <w:lang w:eastAsia="ar-SA"/>
        </w:rPr>
        <w:t>staff often help respondents fill out several forms at once, and the time it takes to do so can vary.</w:t>
      </w:r>
      <w:r w:rsidR="002335B6">
        <w:rPr>
          <w:color w:val="auto"/>
          <w:lang w:eastAsia="ar-SA"/>
        </w:rPr>
        <w:t xml:space="preserve"> </w:t>
      </w:r>
      <w:r w:rsidRPr="00141434">
        <w:rPr>
          <w:color w:val="auto"/>
          <w:lang w:eastAsia="ar-SA"/>
        </w:rPr>
        <w:t xml:space="preserve"> For this information collection we estimate that the form(s) can take approximately 20 minutes to </w:t>
      </w:r>
      <w:r w:rsidRPr="00141434" w:rsidR="002335B6">
        <w:rPr>
          <w:color w:val="auto"/>
          <w:lang w:eastAsia="ar-SA"/>
        </w:rPr>
        <w:t>complete</w:t>
      </w:r>
      <w:r w:rsidR="002335B6">
        <w:rPr>
          <w:color w:val="auto"/>
          <w:lang w:eastAsia="ar-SA"/>
        </w:rPr>
        <w:t xml:space="preserve"> but</w:t>
      </w:r>
      <w:r w:rsidRPr="00141434">
        <w:rPr>
          <w:color w:val="auto"/>
          <w:lang w:eastAsia="ar-SA"/>
        </w:rPr>
        <w:t xml:space="preserve"> acknowledge that more or less time could be needed based on the amount of information the </w:t>
      </w:r>
      <w:r w:rsidRPr="00141434">
        <w:rPr>
          <w:rFonts w:eastAsiaTheme="minorHAnsi"/>
          <w:color w:val="auto"/>
        </w:rPr>
        <w:t xml:space="preserve">respondent provides. </w:t>
      </w:r>
      <w:r w:rsidRPr="00141434">
        <w:rPr>
          <w:color w:val="auto"/>
          <w:lang w:eastAsia="ar-SA"/>
        </w:rPr>
        <w:t>Because so many employees have a hand in each aspect of our forms, we use an estimated average hourly wage, based on the wage of our average field office employee (GS-9) for these calculations.  W</w:t>
      </w:r>
      <w:r w:rsidRPr="00141434">
        <w:rPr>
          <w:rFonts w:eastAsiaTheme="minorHAnsi"/>
          <w:color w:val="auto"/>
        </w:rPr>
        <w:t>e have calculated these costs as accurately as possible based on the information we collect for creating, updating, and maintaining this information collections.</w:t>
      </w:r>
      <w:r w:rsidRPr="00141434">
        <w:rPr>
          <w:color w:val="auto"/>
        </w:rPr>
        <w:t xml:space="preserve"> </w:t>
      </w:r>
    </w:p>
    <w:p w:rsidR="0045007C" w:rsidP="0045007C" w14:paraId="75723A39" w14:textId="77777777">
      <w:pPr>
        <w:ind w:left="1440"/>
        <w:rPr>
          <w:snapToGrid w:val="0"/>
          <w:color w:val="auto"/>
          <w:lang w:eastAsia="en-US"/>
        </w:rPr>
      </w:pPr>
    </w:p>
    <w:p w:rsidR="0045007C" w:rsidP="0045007C" w14:paraId="327A1F05" w14:textId="77777777">
      <w:pPr>
        <w:ind w:left="1440"/>
        <w:rPr>
          <w:snapToGrid w:val="0"/>
          <w:color w:val="auto"/>
          <w:lang w:eastAsia="en-US"/>
        </w:rPr>
      </w:pPr>
    </w:p>
    <w:p w:rsidR="003A1F61" w:rsidRPr="00FF0F01" w:rsidP="00FF0F01" w14:paraId="28042C71" w14:textId="77777777">
      <w:pPr>
        <w:pStyle w:val="BodyTextIndent3"/>
        <w:widowControl w:val="0"/>
        <w:numPr>
          <w:ilvl w:val="0"/>
          <w:numId w:val="2"/>
        </w:numPr>
        <w:suppressAutoHyphens/>
        <w:spacing w:after="0"/>
        <w:ind w:left="1440" w:hanging="720"/>
        <w:contextualSpacing/>
        <w:rPr>
          <w:color w:val="auto"/>
          <w:sz w:val="24"/>
          <w:szCs w:val="24"/>
        </w:rPr>
      </w:pPr>
      <w:r w:rsidRPr="00FF0F01">
        <w:rPr>
          <w:b/>
          <w:color w:val="auto"/>
          <w:sz w:val="24"/>
          <w:szCs w:val="24"/>
        </w:rPr>
        <w:t xml:space="preserve">Program Changes or Adjustments to the Information Collection Budget </w:t>
      </w:r>
    </w:p>
    <w:p w:rsidR="003A1F61" w:rsidRPr="008F2363" w:rsidP="008F2363" w14:paraId="56322D90" w14:textId="475BFAB2">
      <w:pPr>
        <w:pStyle w:val="BodyTextIndent3"/>
        <w:widowControl w:val="0"/>
        <w:suppressAutoHyphens/>
        <w:ind w:left="1440"/>
        <w:contextualSpacing/>
        <w:rPr>
          <w:color w:val="auto"/>
          <w:sz w:val="24"/>
          <w:szCs w:val="24"/>
        </w:rPr>
      </w:pPr>
      <w:r w:rsidRPr="00FF0F01">
        <w:rPr>
          <w:color w:val="auto"/>
          <w:sz w:val="24"/>
          <w:szCs w:val="24"/>
        </w:rPr>
        <w:t xml:space="preserve">When we last cleared this information collection </w:t>
      </w:r>
      <w:r w:rsidR="003117DE">
        <w:rPr>
          <w:color w:val="auto"/>
          <w:sz w:val="24"/>
          <w:szCs w:val="24"/>
        </w:rPr>
        <w:t xml:space="preserve">in </w:t>
      </w:r>
      <w:r w:rsidRPr="00FF0F01">
        <w:rPr>
          <w:color w:val="auto"/>
          <w:sz w:val="24"/>
          <w:szCs w:val="24"/>
        </w:rPr>
        <w:t>2021, the burden was 193,000 hours.  However, we are currently reporting a burden of 174,921 hours.  This change stems from a decrease in the number of responses from 579,000 to 524,762.  There is no change to the burden time per response.  Although the number of responses changed, SSA did not take any actions to cause this change. These figures represent current Management Information data.</w:t>
      </w:r>
    </w:p>
    <w:p w:rsidR="00DB29E0" w:rsidP="009A1C2B" w14:paraId="2848BD9A" w14:textId="2522E946">
      <w:pPr>
        <w:suppressAutoHyphens/>
        <w:spacing w:line="100" w:lineRule="atLeast"/>
        <w:ind w:left="1440"/>
        <w:rPr>
          <w:color w:val="auto"/>
          <w:kern w:val="1"/>
          <w:lang w:eastAsia="ar-SA"/>
        </w:rPr>
      </w:pPr>
      <w:r>
        <w:rPr>
          <w:color w:val="auto"/>
        </w:rPr>
        <w:t xml:space="preserve">As mentioned above, </w:t>
      </w:r>
      <w:r w:rsidRPr="00141434" w:rsidR="003A1F61">
        <w:rPr>
          <w:color w:val="auto"/>
        </w:rPr>
        <w:t xml:space="preserve">SSA is unable to breakdown the method </w:t>
      </w:r>
      <w:r>
        <w:rPr>
          <w:color w:val="auto"/>
        </w:rPr>
        <w:t>by</w:t>
      </w:r>
      <w:r w:rsidRPr="00141434" w:rsidR="003A1F61">
        <w:rPr>
          <w:color w:val="auto"/>
        </w:rPr>
        <w:t xml:space="preserve"> which the </w:t>
      </w:r>
      <w:r>
        <w:rPr>
          <w:color w:val="auto"/>
        </w:rPr>
        <w:t>respondents complete the (</w:t>
      </w:r>
      <w:r w:rsidRPr="00141434" w:rsidR="003A1F61">
        <w:rPr>
          <w:color w:val="auto"/>
        </w:rPr>
        <w:t>whether it was completed electronically</w:t>
      </w:r>
      <w:r>
        <w:rPr>
          <w:color w:val="auto"/>
        </w:rPr>
        <w:t xml:space="preserve"> via the Intranet</w:t>
      </w:r>
      <w:r w:rsidR="008F2363">
        <w:rPr>
          <w:color w:val="auto"/>
        </w:rPr>
        <w:t xml:space="preserve">; </w:t>
      </w:r>
      <w:r>
        <w:rPr>
          <w:color w:val="auto"/>
        </w:rPr>
        <w:t>through an</w:t>
      </w:r>
      <w:r w:rsidRPr="00141434" w:rsidR="003A1F61">
        <w:rPr>
          <w:color w:val="auto"/>
        </w:rPr>
        <w:t xml:space="preserve"> in-office or telephone appointment</w:t>
      </w:r>
      <w:r w:rsidR="008F2363">
        <w:rPr>
          <w:color w:val="auto"/>
        </w:rPr>
        <w:t>;</w:t>
      </w:r>
      <w:r w:rsidRPr="00141434" w:rsidR="003A1F61">
        <w:rPr>
          <w:color w:val="auto"/>
        </w:rPr>
        <w:t xml:space="preserve"> or if it was a paper version submitted to the FO o</w:t>
      </w:r>
      <w:r w:rsidR="003320C6">
        <w:rPr>
          <w:color w:val="auto"/>
        </w:rPr>
        <w:t>r</w:t>
      </w:r>
      <w:r w:rsidRPr="00141434" w:rsidR="003A1F61">
        <w:rPr>
          <w:color w:val="auto"/>
        </w:rPr>
        <w:t xml:space="preserve"> DDS upon completion, which was then scanned into the electronic file. </w:t>
      </w:r>
      <w:r w:rsidR="008F2363">
        <w:rPr>
          <w:color w:val="auto"/>
        </w:rPr>
        <w:t xml:space="preserve"> </w:t>
      </w:r>
      <w:r w:rsidRPr="00141434" w:rsidR="003A1F61">
        <w:rPr>
          <w:color w:val="auto"/>
        </w:rPr>
        <w:t xml:space="preserve">Therefore, unlike the information collection in 2021, </w:t>
      </w:r>
      <w:r w:rsidR="008F2363">
        <w:rPr>
          <w:color w:val="auto"/>
        </w:rPr>
        <w:t xml:space="preserve">we are not able to </w:t>
      </w:r>
      <w:r w:rsidRPr="00141434" w:rsidR="003A1F61">
        <w:rPr>
          <w:color w:val="auto"/>
        </w:rPr>
        <w:t xml:space="preserve">precisely predict how many respondents physically traveled to the FO. </w:t>
      </w:r>
      <w:r w:rsidR="008F2363">
        <w:rPr>
          <w:color w:val="auto"/>
        </w:rPr>
        <w:t xml:space="preserve"> </w:t>
      </w:r>
      <w:r w:rsidRPr="00141434" w:rsidR="003A1F61">
        <w:rPr>
          <w:color w:val="auto"/>
        </w:rPr>
        <w:t xml:space="preserve">At the prior information collection for this form (2021), </w:t>
      </w:r>
      <w:r w:rsidR="008F2363">
        <w:rPr>
          <w:color w:val="auto"/>
        </w:rPr>
        <w:t>we</w:t>
      </w:r>
      <w:r w:rsidRPr="00141434" w:rsidR="003A1F61">
        <w:rPr>
          <w:color w:val="auto"/>
        </w:rPr>
        <w:t xml:space="preserve"> determined that approximately 10% of respondents visited the FO to submit a paper version of the form, relevant to the child’s age. </w:t>
      </w:r>
      <w:r w:rsidR="008F2363">
        <w:rPr>
          <w:color w:val="auto"/>
        </w:rPr>
        <w:t xml:space="preserve"> </w:t>
      </w:r>
      <w:r w:rsidRPr="00141434" w:rsidR="003A1F61">
        <w:rPr>
          <w:color w:val="auto"/>
        </w:rPr>
        <w:t xml:space="preserve">Although we cannot </w:t>
      </w:r>
      <w:r w:rsidR="00434A6F">
        <w:rPr>
          <w:color w:val="auto"/>
        </w:rPr>
        <w:t>provide exact data on this scope</w:t>
      </w:r>
      <w:r w:rsidRPr="00141434" w:rsidR="003A1F61">
        <w:rPr>
          <w:color w:val="auto"/>
        </w:rPr>
        <w:t xml:space="preserve">, we predict that 15% of respondents spent time traveling to/from the FO, which indicates </w:t>
      </w:r>
      <w:r w:rsidRPr="00141434" w:rsidR="003A1F61">
        <w:rPr>
          <w:color w:val="auto"/>
          <w:kern w:val="1"/>
          <w:lang w:eastAsia="ar-SA"/>
        </w:rPr>
        <w:t>39,358</w:t>
      </w:r>
      <w:r w:rsidR="00434A6F">
        <w:rPr>
          <w:color w:val="auto"/>
          <w:kern w:val="1"/>
          <w:lang w:eastAsia="ar-SA"/>
        </w:rPr>
        <w:t xml:space="preserve"> hours of travel time</w:t>
      </w:r>
      <w:r w:rsidRPr="00141434" w:rsidR="003A1F61">
        <w:rPr>
          <w:color w:val="auto"/>
          <w:kern w:val="1"/>
          <w:lang w:eastAsia="ar-SA"/>
        </w:rPr>
        <w:t>.</w:t>
      </w:r>
    </w:p>
    <w:p w:rsidR="008F2363" w:rsidP="009A1C2B" w14:paraId="6CE925B0" w14:textId="77777777">
      <w:pPr>
        <w:suppressAutoHyphens/>
        <w:spacing w:line="100" w:lineRule="atLeast"/>
        <w:ind w:left="1440"/>
        <w:rPr>
          <w:color w:val="auto"/>
          <w:kern w:val="1"/>
          <w:lang w:eastAsia="ar-SA"/>
        </w:rPr>
      </w:pPr>
    </w:p>
    <w:p w:rsidR="009A1C2B" w:rsidP="008F2363" w14:paraId="5307A578" w14:textId="6DD2611C">
      <w:pPr>
        <w:suppressAutoHyphens/>
        <w:spacing w:line="100" w:lineRule="atLeast"/>
        <w:ind w:left="1440"/>
        <w:rPr>
          <w:color w:val="000000"/>
        </w:rPr>
      </w:pPr>
      <w:r>
        <w:rPr>
          <w:color w:val="000000"/>
        </w:rPr>
        <w:t>* Note: The total burden reflected in ROCIS is</w:t>
      </w:r>
      <w:r w:rsidR="00C71C12">
        <w:rPr>
          <w:color w:val="000000"/>
        </w:rPr>
        <w:t xml:space="preserve"> </w:t>
      </w:r>
      <w:r w:rsidRPr="00C71C12" w:rsidR="00C71C12">
        <w:rPr>
          <w:b/>
          <w:bCs/>
          <w:color w:val="000000"/>
        </w:rPr>
        <w:t>795,890</w:t>
      </w:r>
      <w:r>
        <w:rPr>
          <w:color w:val="000000"/>
        </w:rPr>
        <w:t xml:space="preserve">, while the burden cited in #12 of the Supporting Statement is </w:t>
      </w:r>
      <w:r w:rsidRPr="008F2363">
        <w:rPr>
          <w:b/>
          <w:bCs/>
          <w:color w:val="auto"/>
        </w:rPr>
        <w:t>174,921</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82694D" w:rsidRPr="008F2363" w:rsidP="008F2363" w14:paraId="300E0AF9" w14:textId="77777777">
      <w:pPr>
        <w:suppressAutoHyphens/>
        <w:spacing w:line="100" w:lineRule="atLeast"/>
        <w:ind w:left="1440"/>
        <w:rPr>
          <w:color w:val="auto"/>
          <w:lang w:eastAsia="en-US"/>
        </w:rPr>
      </w:pPr>
    </w:p>
    <w:p w:rsidR="009A1C2B" w:rsidRPr="00581C67" w:rsidP="009A1C2B" w14:paraId="027626EF" w14:textId="07B8AE69">
      <w:pPr>
        <w:pStyle w:val="ListParagraph"/>
        <w:widowControl w:val="0"/>
        <w:numPr>
          <w:ilvl w:val="0"/>
          <w:numId w:val="2"/>
        </w:numPr>
        <w:suppressAutoHyphens/>
        <w:ind w:left="1440" w:hanging="720"/>
        <w:rPr>
          <w:b/>
          <w:color w:val="auto"/>
        </w:rPr>
      </w:pPr>
      <w:r w:rsidRPr="00581C67">
        <w:rPr>
          <w:b/>
          <w:color w:val="auto"/>
        </w:rPr>
        <w:t>Plan</w:t>
      </w:r>
      <w:r>
        <w:rPr>
          <w:b/>
          <w:color w:val="auto"/>
        </w:rPr>
        <w:t xml:space="preserve">s for Publication </w:t>
      </w:r>
      <w:r w:rsidRPr="00581C67">
        <w:rPr>
          <w:b/>
          <w:color w:val="auto"/>
        </w:rPr>
        <w:t xml:space="preserve">Information Collection </w:t>
      </w:r>
      <w:r>
        <w:rPr>
          <w:b/>
          <w:color w:val="auto"/>
        </w:rPr>
        <w:t>Results</w:t>
      </w:r>
    </w:p>
    <w:p w:rsidR="009A1C2B" w:rsidRPr="00581C67" w:rsidP="009A1C2B" w14:paraId="09C04D35" w14:textId="77777777">
      <w:pPr>
        <w:pStyle w:val="ListParagraph"/>
        <w:widowControl w:val="0"/>
        <w:suppressAutoHyphens/>
        <w:ind w:left="1440"/>
        <w:rPr>
          <w:color w:val="auto"/>
        </w:rPr>
      </w:pPr>
      <w:r w:rsidRPr="00581C67">
        <w:rPr>
          <w:color w:val="auto"/>
        </w:rPr>
        <w:t>SSA will not publish the results of th</w:t>
      </w:r>
      <w:r>
        <w:rPr>
          <w:color w:val="auto"/>
        </w:rPr>
        <w:t>e information collection</w:t>
      </w:r>
      <w:r w:rsidRPr="00581C67">
        <w:rPr>
          <w:color w:val="auto"/>
        </w:rPr>
        <w:t>.</w:t>
      </w:r>
    </w:p>
    <w:p w:rsidR="009A1C2B" w:rsidRPr="00913F82" w:rsidP="009A1C2B" w14:paraId="315EAE71" w14:textId="77777777">
      <w:pPr>
        <w:pStyle w:val="BodyTextIndent3"/>
        <w:widowControl w:val="0"/>
        <w:suppressAutoHyphens/>
        <w:ind w:left="1440"/>
        <w:contextualSpacing/>
        <w:rPr>
          <w:color w:val="auto"/>
        </w:rPr>
      </w:pPr>
    </w:p>
    <w:p w:rsidR="009A1C2B" w:rsidRPr="00810903" w:rsidP="009A1C2B" w14:paraId="1856FAC3" w14:textId="77777777">
      <w:pPr>
        <w:pStyle w:val="ListParagraph"/>
        <w:widowControl w:val="0"/>
        <w:numPr>
          <w:ilvl w:val="0"/>
          <w:numId w:val="2"/>
        </w:numPr>
        <w:suppressAutoHyphens/>
        <w:ind w:left="1440" w:hanging="720"/>
        <w:rPr>
          <w:color w:val="auto"/>
        </w:rPr>
      </w:pPr>
      <w:r w:rsidRPr="00810903">
        <w:rPr>
          <w:b/>
          <w:color w:val="auto"/>
        </w:rPr>
        <w:t>Display</w:t>
      </w:r>
      <w:r>
        <w:rPr>
          <w:b/>
          <w:color w:val="auto"/>
        </w:rPr>
        <w:t>ing the</w:t>
      </w:r>
      <w:r w:rsidRPr="00810903">
        <w:rPr>
          <w:b/>
          <w:color w:val="auto"/>
        </w:rPr>
        <w:t xml:space="preserve"> OMB </w:t>
      </w:r>
      <w:r>
        <w:rPr>
          <w:b/>
          <w:color w:val="auto"/>
        </w:rPr>
        <w:t xml:space="preserve">Approval </w:t>
      </w:r>
      <w:r w:rsidRPr="00810903">
        <w:rPr>
          <w:b/>
          <w:color w:val="auto"/>
        </w:rPr>
        <w:t xml:space="preserve">Expiration Date </w:t>
      </w:r>
    </w:p>
    <w:p w:rsidR="009A1C2B" w:rsidRPr="00810903" w:rsidP="009A1C2B" w14:paraId="5BDECDA3" w14:textId="77777777">
      <w:pPr>
        <w:pStyle w:val="ListParagraph"/>
        <w:widowControl w:val="0"/>
        <w:suppressAutoHyphens/>
        <w:ind w:left="1440"/>
        <w:rPr>
          <w:color w:val="auto"/>
        </w:rPr>
      </w:pPr>
      <w:r w:rsidRPr="00810903">
        <w:rPr>
          <w:color w:val="auto"/>
        </w:rPr>
        <w:t>OMB granted SSA an exemption from the requirement to print the OMB expir</w:t>
      </w:r>
      <w:r>
        <w:rPr>
          <w:color w:val="auto"/>
        </w:rPr>
        <w:t xml:space="preserve">ation date on its program forms.  </w:t>
      </w:r>
      <w:r w:rsidRPr="00810903">
        <w:rPr>
          <w:color w:val="auto"/>
        </w:rPr>
        <w:t>SSA produces millions of public-use forms</w:t>
      </w:r>
      <w:r>
        <w:rPr>
          <w:color w:val="auto"/>
        </w:rPr>
        <w:t xml:space="preserve"> with life cycles</w:t>
      </w:r>
      <w:r w:rsidRPr="00810903">
        <w:rPr>
          <w:color w:val="auto"/>
        </w:rPr>
        <w:t xml:space="preserve"> exceeding those of an OMB approval</w:t>
      </w:r>
      <w:r>
        <w:rPr>
          <w:color w:val="auto"/>
        </w:rPr>
        <w:t xml:space="preserve">.  Since </w:t>
      </w:r>
      <w:r w:rsidRPr="00810903">
        <w:rPr>
          <w:color w:val="auto"/>
        </w:rPr>
        <w:t>SSA does not periodically revise and reprint its public-use forms (for example</w:t>
      </w:r>
      <w:r>
        <w:rPr>
          <w:color w:val="auto"/>
        </w:rPr>
        <w:t xml:space="preserve">, on an annual basis), </w:t>
      </w:r>
      <w:r w:rsidRPr="00810903">
        <w:rPr>
          <w:color w:val="auto"/>
        </w:rPr>
        <w:t>OMB granted this exemption so SSA would not have to destroy stocks of otherwise useable forms with expired OMB approval dates, avoiding Government waste.</w:t>
      </w:r>
    </w:p>
    <w:p w:rsidR="009A1C2B" w:rsidP="009A1C2B" w14:paraId="0D83D0A7" w14:textId="77777777">
      <w:pPr>
        <w:widowControl w:val="0"/>
        <w:suppressAutoHyphens/>
        <w:ind w:left="1440"/>
        <w:contextualSpacing/>
        <w:rPr>
          <w:color w:val="auto"/>
        </w:rPr>
      </w:pPr>
    </w:p>
    <w:p w:rsidR="009A1C2B" w:rsidRPr="00810903" w:rsidP="009A1C2B" w14:paraId="14E85E27" w14:textId="77777777">
      <w:pPr>
        <w:pStyle w:val="ListParagraph"/>
        <w:widowControl w:val="0"/>
        <w:numPr>
          <w:ilvl w:val="0"/>
          <w:numId w:val="2"/>
        </w:numPr>
        <w:suppressAutoHyphens/>
        <w:ind w:left="1440" w:hanging="720"/>
        <w:rPr>
          <w:b/>
          <w:color w:val="auto"/>
        </w:rPr>
      </w:pPr>
      <w:r w:rsidRPr="00810903">
        <w:rPr>
          <w:b/>
          <w:color w:val="auto"/>
        </w:rPr>
        <w:t xml:space="preserve">Exemptions to Certification Statement </w:t>
      </w:r>
    </w:p>
    <w:p w:rsidR="009A1C2B" w:rsidRPr="00810903" w:rsidP="009A1C2B" w14:paraId="3170BC96" w14:textId="77777777">
      <w:pPr>
        <w:pStyle w:val="ListParagraph"/>
        <w:widowControl w:val="0"/>
        <w:suppressAutoHyphens/>
        <w:ind w:left="1440"/>
        <w:rPr>
          <w:color w:val="auto"/>
        </w:rPr>
      </w:pPr>
      <w:r w:rsidRPr="00810903">
        <w:rPr>
          <w:color w:val="auto"/>
        </w:rPr>
        <w:t xml:space="preserve">SSA is not requesting an exception to the certification requirements at </w:t>
      </w:r>
      <w:r w:rsidRPr="00810903">
        <w:rPr>
          <w:i/>
          <w:color w:val="auto"/>
        </w:rPr>
        <w:t>5 CFR 1320.9</w:t>
      </w:r>
      <w:r w:rsidRPr="00810903">
        <w:rPr>
          <w:color w:val="auto"/>
        </w:rPr>
        <w:t xml:space="preserve"> and related provisions at </w:t>
      </w:r>
      <w:r w:rsidRPr="00810903">
        <w:rPr>
          <w:i/>
          <w:color w:val="auto"/>
        </w:rPr>
        <w:t>5 CFR 1320.8(b)(3)</w:t>
      </w:r>
      <w:r w:rsidRPr="00810903">
        <w:rPr>
          <w:color w:val="auto"/>
        </w:rPr>
        <w:t>.</w:t>
      </w:r>
    </w:p>
    <w:p w:rsidR="009A1C2B" w:rsidRPr="00913F82" w:rsidP="009A1C2B" w14:paraId="4CFF85BB" w14:textId="77777777">
      <w:pPr>
        <w:widowControl w:val="0"/>
        <w:suppressAutoHyphens/>
        <w:ind w:left="720" w:hanging="720"/>
        <w:contextualSpacing/>
        <w:rPr>
          <w:color w:val="auto"/>
        </w:rPr>
      </w:pPr>
    </w:p>
    <w:p w:rsidR="009A1C2B" w:rsidRPr="00913F82" w:rsidP="009A1C2B" w14:paraId="01BA3C77" w14:textId="77777777">
      <w:pPr>
        <w:widowControl w:val="0"/>
        <w:suppressAutoHyphens/>
        <w:ind w:left="720" w:hanging="540"/>
        <w:contextualSpacing/>
        <w:rPr>
          <w:b/>
          <w:color w:val="auto"/>
        </w:rPr>
      </w:pPr>
      <w:r w:rsidRPr="00913F82">
        <w:rPr>
          <w:b/>
          <w:color w:val="auto"/>
        </w:rPr>
        <w:t>B.</w:t>
      </w:r>
      <w:r w:rsidRPr="00913F82">
        <w:rPr>
          <w:color w:val="auto"/>
        </w:rPr>
        <w:tab/>
      </w:r>
      <w:r w:rsidRPr="00913F82">
        <w:rPr>
          <w:b/>
          <w:color w:val="auto"/>
          <w:u w:val="single"/>
        </w:rPr>
        <w:t>Collections of Information Employing Statistical Methods</w:t>
      </w:r>
    </w:p>
    <w:p w:rsidR="009A1C2B" w:rsidRPr="00913F82" w:rsidP="009A1C2B" w14:paraId="60AE596D" w14:textId="77777777">
      <w:pPr>
        <w:pStyle w:val="EndnoteText"/>
        <w:suppressAutoHyphens/>
        <w:contextualSpacing/>
        <w:rPr>
          <w:rFonts w:ascii="Times New Roman" w:hAnsi="Times New Roman" w:cs="Times New Roman"/>
        </w:rPr>
      </w:pPr>
    </w:p>
    <w:p w:rsidR="009A1C2B" w:rsidRPr="00913F82" w:rsidP="009A1C2B" w14:paraId="1BA98D48" w14:textId="77777777">
      <w:pPr>
        <w:widowControl w:val="0"/>
        <w:suppressAutoHyphens/>
        <w:ind w:left="1440"/>
        <w:contextualSpacing/>
        <w:rPr>
          <w:color w:val="auto"/>
        </w:rPr>
      </w:pPr>
      <w:r w:rsidRPr="00913F82">
        <w:rPr>
          <w:color w:val="auto"/>
        </w:rPr>
        <w:t>SSA will not use statistical methods for this information collection.</w:t>
      </w:r>
    </w:p>
    <w:p w:rsidR="009A1C2B" w:rsidRPr="009A1C2B" w:rsidP="009A1C2B" w14:paraId="0321879A" w14:textId="77777777">
      <w:pPr>
        <w:suppressAutoHyphens/>
        <w:spacing w:line="100" w:lineRule="atLeast"/>
        <w:ind w:left="1440"/>
        <w:rPr>
          <w:color w:val="auto"/>
          <w:lang w:eastAsia="en-U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26D9"/>
    <w:multiLevelType w:val="hybridMultilevel"/>
    <w:tmpl w:val="380E010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B0D2870"/>
    <w:multiLevelType w:val="hybridMultilevel"/>
    <w:tmpl w:val="64DE398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BA65872"/>
    <w:multiLevelType w:val="hybridMultilevel"/>
    <w:tmpl w:val="DB9A47F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2E101C"/>
    <w:multiLevelType w:val="singleLevel"/>
    <w:tmpl w:val="F850D49C"/>
    <w:lvl w:ilvl="0">
      <w:start w:val="1"/>
      <w:numFmt w:val="upperLetter"/>
      <w:pStyle w:val="Heading1"/>
      <w:lvlText w:val="%1."/>
      <w:lvlJc w:val="left"/>
      <w:pPr>
        <w:tabs>
          <w:tab w:val="num" w:pos="360"/>
        </w:tabs>
        <w:ind w:left="360" w:hanging="360"/>
      </w:pPr>
      <w:rPr>
        <w:rFonts w:hint="default"/>
      </w:rPr>
    </w:lvl>
  </w:abstractNum>
  <w:abstractNum w:abstractNumId="4">
    <w:nsid w:val="68BA70AD"/>
    <w:multiLevelType w:val="hybridMultilevel"/>
    <w:tmpl w:val="0C7C73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7B84533E"/>
    <w:multiLevelType w:val="hybridMultilevel"/>
    <w:tmpl w:val="F158731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4064103">
    <w:abstractNumId w:val="3"/>
  </w:num>
  <w:num w:numId="2" w16cid:durableId="2044287277">
    <w:abstractNumId w:val="5"/>
  </w:num>
  <w:num w:numId="3" w16cid:durableId="1173376275">
    <w:abstractNumId w:val="2"/>
  </w:num>
  <w:num w:numId="4" w16cid:durableId="2014140421">
    <w:abstractNumId w:val="1"/>
  </w:num>
  <w:num w:numId="5" w16cid:durableId="538011788">
    <w:abstractNumId w:val="0"/>
  </w:num>
  <w:num w:numId="6" w16cid:durableId="824711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D0"/>
    <w:rsid w:val="000259AA"/>
    <w:rsid w:val="000351A4"/>
    <w:rsid w:val="00036F74"/>
    <w:rsid w:val="00057552"/>
    <w:rsid w:val="000718C5"/>
    <w:rsid w:val="000B5CD3"/>
    <w:rsid w:val="00125CBB"/>
    <w:rsid w:val="00135C62"/>
    <w:rsid w:val="00141434"/>
    <w:rsid w:val="00143E54"/>
    <w:rsid w:val="001500F9"/>
    <w:rsid w:val="001B4A31"/>
    <w:rsid w:val="001C5235"/>
    <w:rsid w:val="001F2CF1"/>
    <w:rsid w:val="00220768"/>
    <w:rsid w:val="002335B6"/>
    <w:rsid w:val="002374D5"/>
    <w:rsid w:val="00267E9D"/>
    <w:rsid w:val="00271DDC"/>
    <w:rsid w:val="002910EF"/>
    <w:rsid w:val="0029254F"/>
    <w:rsid w:val="0029446D"/>
    <w:rsid w:val="002A11EE"/>
    <w:rsid w:val="002A3BCB"/>
    <w:rsid w:val="002B5B53"/>
    <w:rsid w:val="002C08DD"/>
    <w:rsid w:val="002D45F5"/>
    <w:rsid w:val="002D72C4"/>
    <w:rsid w:val="002F7688"/>
    <w:rsid w:val="003117DE"/>
    <w:rsid w:val="00317FF1"/>
    <w:rsid w:val="00325D85"/>
    <w:rsid w:val="00330F56"/>
    <w:rsid w:val="003320C6"/>
    <w:rsid w:val="003751CF"/>
    <w:rsid w:val="00386468"/>
    <w:rsid w:val="003A1F61"/>
    <w:rsid w:val="003C4E14"/>
    <w:rsid w:val="00433D8C"/>
    <w:rsid w:val="00434A6F"/>
    <w:rsid w:val="0045007C"/>
    <w:rsid w:val="004555AE"/>
    <w:rsid w:val="0046701F"/>
    <w:rsid w:val="00483887"/>
    <w:rsid w:val="00484A8B"/>
    <w:rsid w:val="00495B66"/>
    <w:rsid w:val="004D48B7"/>
    <w:rsid w:val="00522EEB"/>
    <w:rsid w:val="005265CD"/>
    <w:rsid w:val="00544D50"/>
    <w:rsid w:val="00545C5B"/>
    <w:rsid w:val="00547381"/>
    <w:rsid w:val="00547896"/>
    <w:rsid w:val="005574B9"/>
    <w:rsid w:val="00576F99"/>
    <w:rsid w:val="00581C67"/>
    <w:rsid w:val="005946DD"/>
    <w:rsid w:val="005A42C3"/>
    <w:rsid w:val="005A7F82"/>
    <w:rsid w:val="005D283D"/>
    <w:rsid w:val="005D4417"/>
    <w:rsid w:val="00601ED5"/>
    <w:rsid w:val="00617387"/>
    <w:rsid w:val="00672AA2"/>
    <w:rsid w:val="00683497"/>
    <w:rsid w:val="0068632A"/>
    <w:rsid w:val="006A53CB"/>
    <w:rsid w:val="006A6520"/>
    <w:rsid w:val="006C2123"/>
    <w:rsid w:val="006F0F09"/>
    <w:rsid w:val="00732B3A"/>
    <w:rsid w:val="0075337E"/>
    <w:rsid w:val="00770B2D"/>
    <w:rsid w:val="007C08B4"/>
    <w:rsid w:val="007C3844"/>
    <w:rsid w:val="007D579A"/>
    <w:rsid w:val="007E60C5"/>
    <w:rsid w:val="00810903"/>
    <w:rsid w:val="00814110"/>
    <w:rsid w:val="0082694D"/>
    <w:rsid w:val="00845884"/>
    <w:rsid w:val="00886D09"/>
    <w:rsid w:val="00894E09"/>
    <w:rsid w:val="008D2CB2"/>
    <w:rsid w:val="008D5701"/>
    <w:rsid w:val="008F2363"/>
    <w:rsid w:val="00913737"/>
    <w:rsid w:val="00913F82"/>
    <w:rsid w:val="00916214"/>
    <w:rsid w:val="0094053F"/>
    <w:rsid w:val="009611A5"/>
    <w:rsid w:val="00986E5D"/>
    <w:rsid w:val="009A1C2B"/>
    <w:rsid w:val="009B5EE4"/>
    <w:rsid w:val="009C2B53"/>
    <w:rsid w:val="00A23A59"/>
    <w:rsid w:val="00A44671"/>
    <w:rsid w:val="00A52940"/>
    <w:rsid w:val="00A82A96"/>
    <w:rsid w:val="00AB0C46"/>
    <w:rsid w:val="00AC4912"/>
    <w:rsid w:val="00AE1B16"/>
    <w:rsid w:val="00AE3E2C"/>
    <w:rsid w:val="00AF1CAA"/>
    <w:rsid w:val="00B3309F"/>
    <w:rsid w:val="00B414E3"/>
    <w:rsid w:val="00B7116B"/>
    <w:rsid w:val="00B724D8"/>
    <w:rsid w:val="00B7538A"/>
    <w:rsid w:val="00B92B23"/>
    <w:rsid w:val="00BB1311"/>
    <w:rsid w:val="00BC5237"/>
    <w:rsid w:val="00BC5B46"/>
    <w:rsid w:val="00BC7E8D"/>
    <w:rsid w:val="00BE3FBA"/>
    <w:rsid w:val="00C0546D"/>
    <w:rsid w:val="00C07917"/>
    <w:rsid w:val="00C25227"/>
    <w:rsid w:val="00C45288"/>
    <w:rsid w:val="00C502A1"/>
    <w:rsid w:val="00C71C12"/>
    <w:rsid w:val="00C74DE3"/>
    <w:rsid w:val="00C863D7"/>
    <w:rsid w:val="00CB7ADF"/>
    <w:rsid w:val="00CD023D"/>
    <w:rsid w:val="00CD2A93"/>
    <w:rsid w:val="00D04CE5"/>
    <w:rsid w:val="00D21FC5"/>
    <w:rsid w:val="00D456BD"/>
    <w:rsid w:val="00D5154C"/>
    <w:rsid w:val="00DB29E0"/>
    <w:rsid w:val="00DB571C"/>
    <w:rsid w:val="00DC44C8"/>
    <w:rsid w:val="00DD3EB9"/>
    <w:rsid w:val="00DE5E26"/>
    <w:rsid w:val="00E1351C"/>
    <w:rsid w:val="00E1733E"/>
    <w:rsid w:val="00E42360"/>
    <w:rsid w:val="00E51C35"/>
    <w:rsid w:val="00E92527"/>
    <w:rsid w:val="00EA0571"/>
    <w:rsid w:val="00EA4EEA"/>
    <w:rsid w:val="00ED035F"/>
    <w:rsid w:val="00ED2A85"/>
    <w:rsid w:val="00ED5899"/>
    <w:rsid w:val="00EE34D9"/>
    <w:rsid w:val="00EE75D0"/>
    <w:rsid w:val="00F14EEE"/>
    <w:rsid w:val="00F36636"/>
    <w:rsid w:val="00F370FB"/>
    <w:rsid w:val="00F54809"/>
    <w:rsid w:val="00F54894"/>
    <w:rsid w:val="00F55952"/>
    <w:rsid w:val="00F623EC"/>
    <w:rsid w:val="00F63178"/>
    <w:rsid w:val="00F76A73"/>
    <w:rsid w:val="00FC2334"/>
    <w:rsid w:val="00FD063C"/>
    <w:rsid w:val="00FF0F01"/>
    <w:rsid w:val="00FF16ED"/>
    <w:rsid w:val="00FF3E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878BAA"/>
  <w15:chartTrackingRefBased/>
  <w15:docId w15:val="{2BF0CAF8-DE20-4EEB-A545-F0855098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75D0"/>
    <w:pPr>
      <w:spacing w:after="0" w:line="240" w:lineRule="auto"/>
    </w:pPr>
    <w:rPr>
      <w:rFonts w:ascii="Times New Roman" w:eastAsia="Times New Roman" w:hAnsi="Times New Roman" w:cs="Times New Roman"/>
      <w:color w:val="0000FF"/>
      <w:kern w:val="0"/>
      <w:sz w:val="24"/>
      <w:szCs w:val="24"/>
      <w:lang w:eastAsia="zh-CN"/>
      <w14:ligatures w14:val="none"/>
    </w:rPr>
  </w:style>
  <w:style w:type="paragraph" w:styleId="Heading1">
    <w:name w:val="heading 1"/>
    <w:basedOn w:val="Normal"/>
    <w:next w:val="Normal"/>
    <w:link w:val="Heading1Char"/>
    <w:qFormat/>
    <w:rsid w:val="00EE75D0"/>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75D0"/>
    <w:rPr>
      <w:rFonts w:ascii="Times New Roman" w:eastAsia="Times New Roman" w:hAnsi="Times New Roman" w:cs="Times New Roman"/>
      <w:b/>
      <w:bCs/>
      <w:color w:val="0000FF"/>
      <w:kern w:val="0"/>
      <w:sz w:val="24"/>
      <w:szCs w:val="24"/>
      <w:u w:val="single"/>
      <w:lang w:eastAsia="zh-CN"/>
      <w14:ligatures w14:val="none"/>
    </w:rPr>
  </w:style>
  <w:style w:type="paragraph" w:styleId="Title">
    <w:name w:val="Title"/>
    <w:basedOn w:val="Normal"/>
    <w:link w:val="TitleChar"/>
    <w:qFormat/>
    <w:rsid w:val="00EE75D0"/>
    <w:pPr>
      <w:jc w:val="center"/>
    </w:pPr>
    <w:rPr>
      <w:b/>
      <w:bCs/>
    </w:rPr>
  </w:style>
  <w:style w:type="character" w:customStyle="1" w:styleId="TitleChar">
    <w:name w:val="Title Char"/>
    <w:basedOn w:val="DefaultParagraphFont"/>
    <w:link w:val="Title"/>
    <w:rsid w:val="00EE75D0"/>
    <w:rPr>
      <w:rFonts w:ascii="Times New Roman" w:eastAsia="Times New Roman" w:hAnsi="Times New Roman" w:cs="Times New Roman"/>
      <w:b/>
      <w:bCs/>
      <w:color w:val="0000FF"/>
      <w:kern w:val="0"/>
      <w:sz w:val="24"/>
      <w:szCs w:val="24"/>
      <w:lang w:eastAsia="zh-CN"/>
      <w14:ligatures w14:val="none"/>
    </w:rPr>
  </w:style>
  <w:style w:type="paragraph" w:styleId="BodyTextIndent">
    <w:name w:val="Body Text Indent"/>
    <w:basedOn w:val="Normal"/>
    <w:link w:val="BodyTextIndentChar"/>
    <w:rsid w:val="00EE75D0"/>
    <w:pPr>
      <w:ind w:left="720"/>
    </w:pPr>
  </w:style>
  <w:style w:type="character" w:customStyle="1" w:styleId="BodyTextIndentChar">
    <w:name w:val="Body Text Indent Char"/>
    <w:basedOn w:val="DefaultParagraphFont"/>
    <w:link w:val="BodyTextIndent"/>
    <w:rsid w:val="00EE75D0"/>
    <w:rPr>
      <w:rFonts w:ascii="Times New Roman" w:eastAsia="Times New Roman" w:hAnsi="Times New Roman" w:cs="Times New Roman"/>
      <w:color w:val="0000FF"/>
      <w:kern w:val="0"/>
      <w:sz w:val="24"/>
      <w:szCs w:val="24"/>
      <w:lang w:eastAsia="zh-CN"/>
      <w14:ligatures w14:val="none"/>
    </w:rPr>
  </w:style>
  <w:style w:type="paragraph" w:styleId="ListParagraph">
    <w:name w:val="List Paragraph"/>
    <w:basedOn w:val="Normal"/>
    <w:link w:val="ListParagraphChar"/>
    <w:uiPriority w:val="34"/>
    <w:qFormat/>
    <w:rsid w:val="00EE75D0"/>
    <w:pPr>
      <w:ind w:left="720"/>
      <w:contextualSpacing/>
    </w:pPr>
  </w:style>
  <w:style w:type="character" w:styleId="CommentReference">
    <w:name w:val="annotation reference"/>
    <w:basedOn w:val="DefaultParagraphFont"/>
    <w:uiPriority w:val="99"/>
    <w:unhideWhenUsed/>
    <w:rsid w:val="00D21FC5"/>
    <w:rPr>
      <w:sz w:val="16"/>
      <w:szCs w:val="16"/>
    </w:rPr>
  </w:style>
  <w:style w:type="paragraph" w:styleId="CommentText">
    <w:name w:val="annotation text"/>
    <w:basedOn w:val="Normal"/>
    <w:link w:val="CommentTextChar"/>
    <w:uiPriority w:val="99"/>
    <w:unhideWhenUsed/>
    <w:rsid w:val="00D21FC5"/>
    <w:pPr>
      <w:autoSpaceDE w:val="0"/>
      <w:autoSpaceDN w:val="0"/>
    </w:pPr>
    <w:rPr>
      <w:rFonts w:eastAsia="SimSun"/>
      <w:color w:val="auto"/>
      <w:sz w:val="20"/>
      <w:szCs w:val="20"/>
      <w:lang w:eastAsia="en-US"/>
    </w:rPr>
  </w:style>
  <w:style w:type="character" w:customStyle="1" w:styleId="CommentTextChar">
    <w:name w:val="Comment Text Char"/>
    <w:basedOn w:val="DefaultParagraphFont"/>
    <w:link w:val="CommentText"/>
    <w:uiPriority w:val="99"/>
    <w:rsid w:val="00D21FC5"/>
    <w:rPr>
      <w:rFonts w:ascii="Times New Roman" w:eastAsia="SimSun" w:hAnsi="Times New Roman" w:cs="Times New Roman"/>
      <w:kern w:val="0"/>
      <w:sz w:val="20"/>
      <w:szCs w:val="20"/>
      <w14:ligatures w14:val="none"/>
    </w:rPr>
  </w:style>
  <w:style w:type="paragraph" w:styleId="BodyTextIndent3">
    <w:name w:val="Body Text Indent 3"/>
    <w:basedOn w:val="Normal"/>
    <w:link w:val="BodyTextIndent3Char"/>
    <w:uiPriority w:val="99"/>
    <w:unhideWhenUsed/>
    <w:rsid w:val="00BC5B46"/>
    <w:pPr>
      <w:spacing w:after="120"/>
      <w:ind w:left="360"/>
    </w:pPr>
    <w:rPr>
      <w:sz w:val="16"/>
      <w:szCs w:val="16"/>
    </w:rPr>
  </w:style>
  <w:style w:type="character" w:customStyle="1" w:styleId="BodyTextIndent3Char">
    <w:name w:val="Body Text Indent 3 Char"/>
    <w:basedOn w:val="DefaultParagraphFont"/>
    <w:link w:val="BodyTextIndent3"/>
    <w:uiPriority w:val="99"/>
    <w:rsid w:val="00BC5B46"/>
    <w:rPr>
      <w:rFonts w:ascii="Times New Roman" w:eastAsia="Times New Roman" w:hAnsi="Times New Roman" w:cs="Times New Roman"/>
      <w:color w:val="0000FF"/>
      <w:kern w:val="0"/>
      <w:sz w:val="16"/>
      <w:szCs w:val="16"/>
      <w:lang w:eastAsia="zh-CN"/>
      <w14:ligatures w14:val="none"/>
    </w:rPr>
  </w:style>
  <w:style w:type="character" w:styleId="Hyperlink">
    <w:name w:val="Hyperlink"/>
    <w:basedOn w:val="DefaultParagraphFont"/>
    <w:unhideWhenUsed/>
    <w:rsid w:val="00135C62"/>
    <w:rPr>
      <w:color w:val="0000FF"/>
      <w:u w:val="single"/>
    </w:rPr>
  </w:style>
  <w:style w:type="table" w:customStyle="1" w:styleId="TableGrid1">
    <w:name w:val="Table Grid1"/>
    <w:basedOn w:val="TableNormal"/>
    <w:next w:val="TableGrid"/>
    <w:uiPriority w:val="59"/>
    <w:rsid w:val="00135C62"/>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5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7E8D"/>
    <w:rPr>
      <w:color w:val="954F72" w:themeColor="followedHyperlink"/>
      <w:u w:val="single"/>
    </w:rPr>
  </w:style>
  <w:style w:type="paragraph" w:styleId="EndnoteText">
    <w:name w:val="endnote text"/>
    <w:basedOn w:val="Normal"/>
    <w:link w:val="EndnoteTextChar"/>
    <w:semiHidden/>
    <w:rsid w:val="003A1F61"/>
    <w:pPr>
      <w:widowControl w:val="0"/>
    </w:pPr>
    <w:rPr>
      <w:rFonts w:ascii="Courier New" w:hAnsi="Courier New" w:cs="Courier New"/>
      <w:snapToGrid w:val="0"/>
      <w:color w:val="auto"/>
      <w:lang w:eastAsia="en-US"/>
    </w:rPr>
  </w:style>
  <w:style w:type="character" w:customStyle="1" w:styleId="EndnoteTextChar">
    <w:name w:val="Endnote Text Char"/>
    <w:basedOn w:val="DefaultParagraphFont"/>
    <w:link w:val="EndnoteText"/>
    <w:semiHidden/>
    <w:rsid w:val="003A1F61"/>
    <w:rPr>
      <w:rFonts w:ascii="Courier New" w:eastAsia="Times New Roman" w:hAnsi="Courier New" w:cs="Courier New"/>
      <w:snapToGrid w:val="0"/>
      <w:kern w:val="0"/>
      <w:sz w:val="24"/>
      <w:szCs w:val="24"/>
      <w14:ligatures w14:val="none"/>
    </w:rPr>
  </w:style>
  <w:style w:type="table" w:customStyle="1" w:styleId="TableGrid3">
    <w:name w:val="Table Grid3"/>
    <w:basedOn w:val="TableNormal"/>
    <w:next w:val="TableGrid"/>
    <w:uiPriority w:val="39"/>
    <w:rsid w:val="003A1F6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2B3A"/>
    <w:pPr>
      <w:autoSpaceDE/>
      <w:autoSpaceDN/>
    </w:pPr>
    <w:rPr>
      <w:rFonts w:eastAsia="Times New Roman"/>
      <w:b/>
      <w:bCs/>
      <w:color w:val="0000FF"/>
      <w:lang w:eastAsia="zh-CN"/>
    </w:rPr>
  </w:style>
  <w:style w:type="character" w:customStyle="1" w:styleId="CommentSubjectChar">
    <w:name w:val="Comment Subject Char"/>
    <w:basedOn w:val="CommentTextChar"/>
    <w:link w:val="CommentSubject"/>
    <w:uiPriority w:val="99"/>
    <w:semiHidden/>
    <w:rsid w:val="00732B3A"/>
    <w:rPr>
      <w:rFonts w:ascii="Times New Roman" w:eastAsia="Times New Roman" w:hAnsi="Times New Roman" w:cs="Times New Roman"/>
      <w:b/>
      <w:bCs/>
      <w:color w:val="0000FF"/>
      <w:kern w:val="0"/>
      <w:sz w:val="20"/>
      <w:szCs w:val="20"/>
      <w:lang w:eastAsia="zh-CN"/>
      <w14:ligatures w14:val="none"/>
    </w:rPr>
  </w:style>
  <w:style w:type="character" w:customStyle="1" w:styleId="ListParagraphChar">
    <w:name w:val="List Paragraph Char"/>
    <w:link w:val="ListParagraph"/>
    <w:uiPriority w:val="34"/>
    <w:locked/>
    <w:rsid w:val="00125CBB"/>
    <w:rPr>
      <w:rFonts w:ascii="Times New Roman" w:eastAsia="Times New Roman" w:hAnsi="Times New Roman" w:cs="Times New Roman"/>
      <w:color w:val="0000FF"/>
      <w:kern w:val="0"/>
      <w:sz w:val="24"/>
      <w:szCs w:val="24"/>
      <w:lang w:eastAsia="zh-CN"/>
      <w14:ligatures w14:val="none"/>
    </w:rPr>
  </w:style>
  <w:style w:type="character" w:customStyle="1" w:styleId="cf01">
    <w:name w:val="cf01"/>
    <w:basedOn w:val="DefaultParagraphFont"/>
    <w:rsid w:val="002910EF"/>
    <w:rPr>
      <w:rFonts w:ascii="Segoe UI" w:hAnsi="Segoe UI" w:cs="Segoe UI" w:hint="default"/>
      <w:sz w:val="18"/>
      <w:szCs w:val="18"/>
    </w:rPr>
  </w:style>
  <w:style w:type="paragraph" w:customStyle="1" w:styleId="pf0">
    <w:name w:val="pf0"/>
    <w:basedOn w:val="Normal"/>
    <w:rsid w:val="002910EF"/>
    <w:pPr>
      <w:spacing w:before="100" w:beforeAutospacing="1" w:after="100" w:afterAutospacing="1"/>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Schmeer</dc:creator>
  <cp:lastModifiedBy>Naomi Sipple</cp:lastModifiedBy>
  <cp:revision>3</cp:revision>
  <dcterms:created xsi:type="dcterms:W3CDTF">2024-12-13T16:49:00Z</dcterms:created>
  <dcterms:modified xsi:type="dcterms:W3CDTF">2024-12-13T17:20:00Z</dcterms:modified>
</cp:coreProperties>
</file>