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7E2" w:rsidP="00BC17E2" w:rsidRDefault="00BC17E2" w14:paraId="6B1BDD19" w14:textId="77777777">
      <w:pPr>
        <w:jc w:val="center"/>
        <w:rPr>
          <w:rFonts w:cs="Arial"/>
          <w:b/>
          <w:sz w:val="36"/>
          <w:szCs w:val="28"/>
        </w:rPr>
      </w:pPr>
    </w:p>
    <w:p w:rsidR="00BC17E2" w:rsidP="00BC17E2" w:rsidRDefault="00BC17E2" w14:paraId="26FDE5BF" w14:textId="77777777">
      <w:pPr>
        <w:jc w:val="center"/>
        <w:rPr>
          <w:rFonts w:cs="Arial"/>
          <w:b/>
          <w:sz w:val="36"/>
          <w:szCs w:val="28"/>
        </w:rPr>
      </w:pPr>
    </w:p>
    <w:p w:rsidRPr="00E43E9D" w:rsidR="00BC17E2" w:rsidP="00BC17E2" w:rsidRDefault="00BC17E2" w14:paraId="61966A63" w14:textId="77777777">
      <w:pPr>
        <w:jc w:val="center"/>
        <w:rPr>
          <w:rFonts w:cs="Arial"/>
          <w:b/>
          <w:sz w:val="40"/>
          <w:szCs w:val="28"/>
        </w:rPr>
      </w:pPr>
      <w:bookmarkStart w:name="_Hlk99531786" w:id="0"/>
      <w:r w:rsidRPr="00E43E9D">
        <w:rPr>
          <w:rFonts w:cs="Arial"/>
          <w:b/>
          <w:sz w:val="40"/>
          <w:szCs w:val="28"/>
        </w:rPr>
        <w:t>OMB Control Number: 0990-0281</w:t>
      </w:r>
    </w:p>
    <w:p w:rsidRPr="00BC17E2" w:rsidR="00BC17E2" w:rsidP="00BC17E2" w:rsidRDefault="00BC17E2" w14:paraId="627C4F40" w14:textId="1FAD60B3">
      <w:pPr>
        <w:pStyle w:val="Title1"/>
        <w:rPr>
          <w:sz w:val="40"/>
        </w:rPr>
      </w:pPr>
      <w:r w:rsidRPr="00BC17E2">
        <w:rPr>
          <w:sz w:val="40"/>
        </w:rPr>
        <w:t xml:space="preserve">ODPHP Generic Information Collection Request: Prevention Communication and </w:t>
      </w:r>
      <w:r w:rsidR="002E5EED">
        <w:rPr>
          <w:sz w:val="40"/>
        </w:rPr>
        <w:t>Formative</w:t>
      </w:r>
      <w:r w:rsidRPr="00BC17E2">
        <w:rPr>
          <w:sz w:val="40"/>
        </w:rPr>
        <w:t xml:space="preserve"> Research</w:t>
      </w:r>
    </w:p>
    <w:bookmarkEnd w:id="0"/>
    <w:p w:rsidR="00BC17E2" w:rsidP="00BC17E2" w:rsidRDefault="00BC17E2" w14:paraId="55F92AAF" w14:textId="77777777">
      <w:pPr>
        <w:pStyle w:val="Title1"/>
        <w:rPr>
          <w:sz w:val="40"/>
        </w:rPr>
      </w:pPr>
    </w:p>
    <w:p w:rsidRPr="00BC17E2" w:rsidR="00BC17E2" w:rsidP="00BC17E2" w:rsidRDefault="00BC17E2" w14:paraId="7BE8059E" w14:textId="77777777">
      <w:pPr>
        <w:pStyle w:val="Title1"/>
        <w:rPr>
          <w:sz w:val="40"/>
        </w:rPr>
      </w:pPr>
    </w:p>
    <w:p w:rsidR="00BC17E2" w:rsidP="00BC17E2" w:rsidRDefault="00F537DE" w14:paraId="0E744450" w14:textId="7C0AACC0">
      <w:pPr>
        <w:pStyle w:val="Title1"/>
        <w:rPr>
          <w:sz w:val="40"/>
        </w:rPr>
      </w:pPr>
      <w:r>
        <w:rPr>
          <w:sz w:val="40"/>
        </w:rPr>
        <w:t>Office on Women’s Health</w:t>
      </w:r>
    </w:p>
    <w:p w:rsidR="00394FCA" w:rsidP="00BC17E2" w:rsidRDefault="00394FCA" w14:paraId="3050A7AE" w14:textId="213D865E">
      <w:pPr>
        <w:pStyle w:val="Title1"/>
        <w:rPr>
          <w:sz w:val="40"/>
        </w:rPr>
      </w:pPr>
    </w:p>
    <w:p w:rsidRPr="00394FCA" w:rsidR="00394FCA" w:rsidP="00BC17E2" w:rsidRDefault="00394FCA" w14:paraId="50589AEA" w14:textId="69CA4A0B">
      <w:pPr>
        <w:pStyle w:val="Title1"/>
        <w:rPr>
          <w:color w:val="0070C0"/>
          <w:sz w:val="40"/>
        </w:rPr>
      </w:pPr>
      <w:r w:rsidRPr="00394FCA">
        <w:rPr>
          <w:color w:val="0070C0"/>
          <w:sz w:val="40"/>
        </w:rPr>
        <w:t xml:space="preserve">Audience: </w:t>
      </w:r>
      <w:r w:rsidR="00742F96">
        <w:rPr>
          <w:color w:val="0070C0"/>
          <w:sz w:val="40"/>
        </w:rPr>
        <w:t>Mothers at Risk for Postpartum Depression</w:t>
      </w:r>
    </w:p>
    <w:p w:rsidRPr="00BC17E2" w:rsidR="00BC17E2" w:rsidP="00BC17E2" w:rsidRDefault="00BC17E2" w14:paraId="1D6D79E5" w14:textId="77777777">
      <w:pPr>
        <w:pStyle w:val="Title1"/>
        <w:rPr>
          <w:sz w:val="40"/>
        </w:rPr>
      </w:pPr>
    </w:p>
    <w:p w:rsidRPr="00BC17E2" w:rsidR="00BC17E2" w:rsidP="00BC17E2" w:rsidRDefault="00BC17E2" w14:paraId="2D4C4211" w14:textId="35783311">
      <w:pPr>
        <w:pStyle w:val="Title1"/>
        <w:rPr>
          <w:sz w:val="40"/>
        </w:rPr>
      </w:pPr>
      <w:r w:rsidRPr="000C3843">
        <w:rPr>
          <w:sz w:val="40"/>
        </w:rPr>
        <w:t>Supporting Statement — Section A</w:t>
      </w:r>
    </w:p>
    <w:p w:rsidRPr="00F15255" w:rsidR="00BC17E2" w:rsidP="00BC17E2" w:rsidRDefault="00BC17E2" w14:paraId="618F4C15" w14:textId="77777777">
      <w:pPr>
        <w:pStyle w:val="Title1"/>
      </w:pPr>
    </w:p>
    <w:p w:rsidR="00BC17E2" w:rsidP="00BC17E2" w:rsidRDefault="00F709EB" w14:paraId="5166AD86" w14:textId="522F2027">
      <w:pPr>
        <w:jc w:val="center"/>
        <w:rPr>
          <w:rFonts w:cs="Arial"/>
          <w:sz w:val="32"/>
        </w:rPr>
      </w:pPr>
      <w:r>
        <w:rPr>
          <w:rFonts w:cs="Arial"/>
          <w:sz w:val="32"/>
        </w:rPr>
        <w:t xml:space="preserve">April </w:t>
      </w:r>
      <w:r w:rsidR="00C11547">
        <w:rPr>
          <w:rFonts w:cs="Arial"/>
          <w:sz w:val="32"/>
        </w:rPr>
        <w:t>20, 2022</w:t>
      </w:r>
    </w:p>
    <w:p w:rsidRPr="00942005" w:rsidR="00946DAE" w:rsidP="00BC17E2" w:rsidRDefault="00946DAE" w14:paraId="0396C7C6" w14:textId="7086A8C9">
      <w:pPr>
        <w:jc w:val="center"/>
        <w:rPr>
          <w:rFonts w:cs="Arial"/>
          <w:b/>
          <w:bCs/>
          <w:sz w:val="48"/>
          <w:szCs w:val="36"/>
        </w:rPr>
      </w:pPr>
    </w:p>
    <w:p w:rsidRPr="000667FD" w:rsidR="00970CF4" w:rsidP="00970CF4" w:rsidRDefault="00970CF4" w14:paraId="3DAA0914" w14:textId="77777777">
      <w:pPr>
        <w:spacing w:line="276" w:lineRule="auto"/>
        <w:jc w:val="center"/>
        <w:rPr>
          <w:rFonts w:asciiTheme="minorHAnsi" w:hAnsiTheme="minorHAnsi" w:cstheme="minorHAnsi"/>
          <w:highlight w:val="yellow"/>
        </w:rPr>
      </w:pPr>
    </w:p>
    <w:p w:rsidRPr="000667FD" w:rsidR="00970CF4" w:rsidP="00970CF4" w:rsidRDefault="00970CF4" w14:paraId="3F2B0920" w14:textId="77777777">
      <w:pPr>
        <w:spacing w:line="276" w:lineRule="auto"/>
        <w:rPr>
          <w:rFonts w:asciiTheme="minorHAnsi" w:hAnsiTheme="minorHAnsi" w:cstheme="minorHAnsi"/>
          <w:highlight w:val="yellow"/>
        </w:rPr>
      </w:pPr>
    </w:p>
    <w:p w:rsidR="00970CF4" w:rsidP="00970CF4" w:rsidRDefault="00970CF4" w14:paraId="7109E7B0" w14:textId="77777777">
      <w:pPr>
        <w:spacing w:line="276" w:lineRule="auto"/>
        <w:rPr>
          <w:rFonts w:asciiTheme="minorHAnsi" w:hAnsiTheme="minorHAnsi" w:cstheme="minorHAnsi"/>
        </w:rPr>
      </w:pPr>
    </w:p>
    <w:p w:rsidR="00DC513D" w:rsidP="00970CF4" w:rsidRDefault="00DC513D" w14:paraId="0CA63CBA" w14:textId="77777777">
      <w:pPr>
        <w:spacing w:line="276" w:lineRule="auto"/>
        <w:rPr>
          <w:rFonts w:asciiTheme="minorHAnsi" w:hAnsiTheme="minorHAnsi" w:cstheme="minorHAnsi"/>
        </w:rPr>
      </w:pPr>
    </w:p>
    <w:p w:rsidR="00DC513D" w:rsidP="00970CF4" w:rsidRDefault="00DC513D" w14:paraId="60746124" w14:textId="77777777">
      <w:pPr>
        <w:spacing w:line="276" w:lineRule="auto"/>
        <w:rPr>
          <w:rFonts w:asciiTheme="minorHAnsi" w:hAnsiTheme="minorHAnsi" w:cstheme="minorHAnsi"/>
        </w:rPr>
      </w:pPr>
    </w:p>
    <w:p w:rsidR="00DC513D" w:rsidP="00970CF4" w:rsidRDefault="00DC513D" w14:paraId="6BBF9D68" w14:textId="77777777">
      <w:pPr>
        <w:spacing w:line="276" w:lineRule="auto"/>
        <w:rPr>
          <w:rFonts w:asciiTheme="minorHAnsi" w:hAnsiTheme="minorHAnsi" w:cstheme="minorHAnsi"/>
        </w:rPr>
      </w:pPr>
    </w:p>
    <w:p w:rsidR="00DC513D" w:rsidP="00970CF4" w:rsidRDefault="00DC513D" w14:paraId="31069E3C" w14:textId="77777777">
      <w:pPr>
        <w:spacing w:line="276" w:lineRule="auto"/>
        <w:rPr>
          <w:rFonts w:asciiTheme="minorHAnsi" w:hAnsiTheme="minorHAnsi" w:cstheme="minorHAnsi"/>
        </w:rPr>
      </w:pPr>
    </w:p>
    <w:p w:rsidRPr="00E2702B" w:rsidR="00DC513D" w:rsidP="00970CF4" w:rsidRDefault="00DC513D" w14:paraId="65F13C96" w14:textId="77777777">
      <w:pPr>
        <w:spacing w:line="276" w:lineRule="auto"/>
        <w:rPr>
          <w:rFonts w:asciiTheme="minorHAnsi" w:hAnsiTheme="minorHAnsi" w:cstheme="minorHAnsi"/>
        </w:rPr>
      </w:pPr>
    </w:p>
    <w:p w:rsidRPr="00E2702B" w:rsidR="00970CF4" w:rsidP="00970CF4" w:rsidRDefault="00970CF4" w14:paraId="240A4DB0" w14:textId="77777777">
      <w:pPr>
        <w:spacing w:line="276" w:lineRule="auto"/>
        <w:rPr>
          <w:rFonts w:asciiTheme="minorHAnsi" w:hAnsiTheme="minorHAnsi" w:cstheme="minorHAnsi"/>
          <w:b/>
        </w:rPr>
      </w:pPr>
      <w:r w:rsidRPr="00E2702B">
        <w:rPr>
          <w:rFonts w:asciiTheme="minorHAnsi" w:hAnsiTheme="minorHAnsi" w:cstheme="minorHAnsi"/>
          <w:b/>
        </w:rPr>
        <w:t xml:space="preserve">Submitted to: </w:t>
      </w:r>
    </w:p>
    <w:p w:rsidRPr="003834E5" w:rsidR="00970CF4" w:rsidP="00970CF4" w:rsidRDefault="00970CF4" w14:paraId="3A53316E" w14:textId="77777777">
      <w:pPr>
        <w:spacing w:line="276" w:lineRule="auto"/>
        <w:rPr>
          <w:rFonts w:asciiTheme="minorHAnsi" w:hAnsiTheme="minorHAnsi" w:cstheme="minorHAnsi"/>
        </w:rPr>
      </w:pPr>
      <w:r w:rsidRPr="003834E5">
        <w:rPr>
          <w:rFonts w:asciiTheme="minorHAnsi" w:hAnsiTheme="minorHAnsi" w:cstheme="minorHAnsi"/>
        </w:rPr>
        <w:t>Sherrette Funn</w:t>
      </w:r>
    </w:p>
    <w:p w:rsidRPr="003834E5" w:rsidR="00970CF4" w:rsidP="00970CF4" w:rsidRDefault="00970CF4" w14:paraId="249C104B" w14:textId="77777777">
      <w:pPr>
        <w:spacing w:line="276" w:lineRule="auto"/>
        <w:rPr>
          <w:rFonts w:asciiTheme="minorHAnsi" w:hAnsiTheme="minorHAnsi" w:cstheme="minorHAnsi"/>
        </w:rPr>
      </w:pPr>
      <w:r w:rsidRPr="003834E5">
        <w:rPr>
          <w:rFonts w:asciiTheme="minorHAnsi" w:hAnsiTheme="minorHAnsi" w:cstheme="minorHAnsi"/>
        </w:rPr>
        <w:t>Office of the Chief Information Officer</w:t>
      </w:r>
    </w:p>
    <w:p w:rsidRPr="00E2702B" w:rsidR="00970CF4" w:rsidP="00970CF4" w:rsidRDefault="00970CF4" w14:paraId="1229E417" w14:textId="77777777">
      <w:pPr>
        <w:spacing w:line="276" w:lineRule="auto"/>
        <w:rPr>
          <w:rFonts w:asciiTheme="minorHAnsi" w:hAnsiTheme="minorHAnsi" w:cstheme="minorHAnsi"/>
        </w:rPr>
      </w:pPr>
      <w:r w:rsidRPr="003834E5">
        <w:rPr>
          <w:rFonts w:asciiTheme="minorHAnsi" w:hAnsiTheme="minorHAnsi" w:cstheme="minorHAnsi"/>
        </w:rPr>
        <w:t>U.S. Department of Health and Human Services</w:t>
      </w:r>
    </w:p>
    <w:p w:rsidRPr="00E2702B" w:rsidR="00970CF4" w:rsidP="00970CF4" w:rsidRDefault="00970CF4" w14:paraId="6C200DD6" w14:textId="77777777">
      <w:pPr>
        <w:spacing w:line="276" w:lineRule="auto"/>
        <w:rPr>
          <w:rFonts w:asciiTheme="minorHAnsi" w:hAnsiTheme="minorHAnsi" w:cstheme="minorHAnsi"/>
        </w:rPr>
      </w:pPr>
    </w:p>
    <w:p w:rsidRPr="00E2702B" w:rsidR="00970CF4" w:rsidP="00970CF4" w:rsidRDefault="00970CF4" w14:paraId="24BFAF86" w14:textId="77777777">
      <w:pPr>
        <w:spacing w:line="276" w:lineRule="auto"/>
        <w:rPr>
          <w:rFonts w:asciiTheme="minorHAnsi" w:hAnsiTheme="minorHAnsi" w:cstheme="minorHAnsi"/>
          <w:b/>
        </w:rPr>
      </w:pPr>
      <w:r w:rsidRPr="00E2702B">
        <w:rPr>
          <w:rFonts w:asciiTheme="minorHAnsi" w:hAnsiTheme="minorHAnsi" w:cstheme="minorHAnsi"/>
          <w:b/>
        </w:rPr>
        <w:t>Submitted by:</w:t>
      </w:r>
    </w:p>
    <w:p w:rsidRPr="003834E5" w:rsidR="00970CF4" w:rsidP="00970CF4" w:rsidRDefault="00394DE6" w14:paraId="68BD66FE" w14:textId="2833C50A">
      <w:pPr>
        <w:spacing w:line="276" w:lineRule="auto"/>
        <w:rPr>
          <w:rFonts w:asciiTheme="minorHAnsi" w:hAnsiTheme="minorHAnsi" w:cstheme="minorHAnsi"/>
        </w:rPr>
      </w:pPr>
      <w:r>
        <w:rPr>
          <w:rFonts w:asciiTheme="minorHAnsi" w:hAnsiTheme="minorHAnsi" w:cstheme="minorHAnsi"/>
        </w:rPr>
        <w:t>Candace Marshall/Linda Stella</w:t>
      </w:r>
    </w:p>
    <w:p w:rsidRPr="00E2702B" w:rsidR="00970CF4" w:rsidP="00970CF4" w:rsidRDefault="00F537DE" w14:paraId="391B0201" w14:textId="63A550A4">
      <w:pPr>
        <w:spacing w:line="276" w:lineRule="auto"/>
        <w:rPr>
          <w:rFonts w:asciiTheme="minorHAnsi" w:hAnsiTheme="minorHAnsi" w:cstheme="minorHAnsi"/>
        </w:rPr>
      </w:pPr>
      <w:r>
        <w:rPr>
          <w:rFonts w:asciiTheme="minorHAnsi" w:hAnsiTheme="minorHAnsi" w:cstheme="minorHAnsi"/>
        </w:rPr>
        <w:t xml:space="preserve">Office on Women’s Health </w:t>
      </w:r>
    </w:p>
    <w:p w:rsidRPr="000667FD" w:rsidR="00970CF4" w:rsidP="00970CF4" w:rsidRDefault="00970CF4" w14:paraId="5C28C36B" w14:textId="77777777">
      <w:pPr>
        <w:spacing w:line="276" w:lineRule="auto"/>
        <w:rPr>
          <w:rFonts w:asciiTheme="minorHAnsi" w:hAnsiTheme="minorHAnsi" w:cstheme="minorHAnsi"/>
        </w:rPr>
      </w:pPr>
      <w:r w:rsidRPr="00E2702B">
        <w:rPr>
          <w:rFonts w:asciiTheme="minorHAnsi" w:hAnsiTheme="minorHAnsi" w:cstheme="minorHAnsi"/>
        </w:rPr>
        <w:t>U.S. Department of Health and Human Services</w:t>
      </w:r>
    </w:p>
    <w:p w:rsidRPr="00C8192C" w:rsidR="00970CF4" w:rsidP="00C8192C" w:rsidRDefault="00970CF4" w14:paraId="13198A11" w14:textId="3FAF74CF">
      <w:pPr>
        <w:pStyle w:val="Heading1"/>
        <w:rPr>
          <w:rFonts w:asciiTheme="minorHAnsi" w:hAnsiTheme="minorHAnsi" w:cstheme="minorHAnsi"/>
        </w:rPr>
      </w:pPr>
      <w:r w:rsidRPr="000667FD">
        <w:rPr>
          <w:rFonts w:asciiTheme="minorHAnsi" w:hAnsiTheme="minorHAnsi" w:cstheme="minorHAnsi"/>
        </w:rPr>
        <w:lastRenderedPageBreak/>
        <w:t>Section A — Justification</w:t>
      </w:r>
    </w:p>
    <w:p w:rsidRPr="000667FD" w:rsidR="00970CF4" w:rsidP="00970CF4" w:rsidRDefault="00970CF4" w14:paraId="55D268FE" w14:textId="77777777">
      <w:pPr>
        <w:pStyle w:val="Heading2"/>
        <w:numPr>
          <w:ilvl w:val="0"/>
          <w:numId w:val="4"/>
        </w:numPr>
        <w:rPr>
          <w:rFonts w:asciiTheme="minorHAnsi" w:hAnsiTheme="minorHAnsi" w:cstheme="minorHAnsi"/>
        </w:rPr>
      </w:pPr>
      <w:r w:rsidRPr="000667FD">
        <w:rPr>
          <w:rFonts w:asciiTheme="minorHAnsi" w:hAnsiTheme="minorHAnsi" w:cstheme="minorHAnsi"/>
        </w:rPr>
        <w:t>Circumstances Making the Collection of Information Necessary</w:t>
      </w:r>
    </w:p>
    <w:p w:rsidRPr="0060248F" w:rsidR="00781284" w:rsidP="007476DF" w:rsidRDefault="00781284" w14:paraId="5E0EFF04" w14:textId="020E51CF">
      <w:pPr>
        <w:jc w:val="both"/>
      </w:pPr>
      <w:r w:rsidRPr="0060248F">
        <w:t xml:space="preserve">The Office </w:t>
      </w:r>
      <w:r w:rsidRPr="0060248F" w:rsidR="008616F8">
        <w:t>on Women’s Health (OWH)</w:t>
      </w:r>
      <w:r w:rsidRPr="0060248F">
        <w:t xml:space="preserve"> requests to conduct additional research under the ODPHP</w:t>
      </w:r>
      <w:r w:rsidRPr="0060248F" w:rsidR="00840F14">
        <w:t>/OWH</w:t>
      </w:r>
      <w:r w:rsidRPr="0060248F">
        <w:t xml:space="preserve"> Generic Information Collection Request: Prevention Communication and </w:t>
      </w:r>
      <w:r w:rsidRPr="0060248F" w:rsidR="000E449F">
        <w:t>Formative</w:t>
      </w:r>
      <w:r w:rsidRPr="0060248F">
        <w:t xml:space="preserve"> Research </w:t>
      </w:r>
      <w:r w:rsidRPr="00590DA2">
        <w:t>(</w:t>
      </w:r>
      <w:r w:rsidRPr="00394DE6">
        <w:rPr>
          <w:highlight w:val="yellow"/>
        </w:rPr>
        <w:t>OMB No. 0990-0281</w:t>
      </w:r>
      <w:r w:rsidRPr="00590DA2">
        <w:t>).</w:t>
      </w:r>
      <w:r w:rsidRPr="0060248F">
        <w:t xml:space="preserve"> The requested research will inform </w:t>
      </w:r>
      <w:r w:rsidRPr="0060248F" w:rsidR="003834E5">
        <w:t>campaign materials to increase reporting of postpartum depression symptoms by new mothers</w:t>
      </w:r>
      <w:r w:rsidRPr="0060248F" w:rsidR="008616F8">
        <w:t xml:space="preserve">. </w:t>
      </w:r>
    </w:p>
    <w:p w:rsidR="008616F8" w:rsidP="00781284" w:rsidRDefault="008616F8" w14:paraId="0EABB3D6" w14:textId="50CDD43B">
      <w:pPr>
        <w:rPr>
          <w:rFonts w:asciiTheme="minorHAnsi" w:hAnsiTheme="minorHAnsi" w:cstheme="minorHAnsi"/>
        </w:rPr>
      </w:pPr>
    </w:p>
    <w:p w:rsidR="003464FE" w:rsidP="00781284" w:rsidRDefault="003464FE" w14:paraId="0353CB28" w14:textId="02D118AE">
      <w:pPr>
        <w:rPr>
          <w:rFonts w:asciiTheme="minorHAnsi" w:hAnsiTheme="minorHAnsi" w:cstheme="minorHAnsi"/>
          <w:b/>
        </w:rPr>
      </w:pPr>
      <w:r w:rsidRPr="003464FE">
        <w:rPr>
          <w:rFonts w:asciiTheme="minorHAnsi" w:hAnsiTheme="minorHAnsi" w:cstheme="minorHAnsi"/>
          <w:b/>
        </w:rPr>
        <w:t>Background</w:t>
      </w:r>
    </w:p>
    <w:p w:rsidR="005D6D22" w:rsidP="007476DF" w:rsidRDefault="005D6D22" w14:paraId="3E96AF62" w14:textId="11D033BB">
      <w:pPr>
        <w:jc w:val="both"/>
      </w:pPr>
      <w:r w:rsidRPr="005D6D22">
        <w:t>Depression in new mothers is one of the most common complications of childbirth, but people often do not recognize it when they see it. The stigma associated with postpartum depression (PPD) isolates mothers when they most need the help of others. Mothers may be ashamed to admit that life with a new baby is not always bliss and may assume that everyone has made a smoother transition to motherhood than they have. They may be truly embarrassed that they are not able to "cope" better. Incidence of PPD ranges from 12% to 25% of new mothers, with rates in some high-risk groups being as high as 40% or more. Racial/ethnic minority women are at higher risk for PPD and less likely to be diagnosed and treated than their white counterparts.</w:t>
      </w:r>
      <w:r>
        <w:rPr>
          <w:rStyle w:val="FootnoteReference"/>
        </w:rPr>
        <w:footnoteReference w:id="1"/>
      </w:r>
      <w:r>
        <w:t xml:space="preserve"> </w:t>
      </w:r>
      <w:r w:rsidRPr="005D6D22">
        <w:t xml:space="preserve"> A CDC study (2008) found that younger women, African Americans, Hispanics, and other non-White women were least likely to be diagnosed with PPD.</w:t>
      </w:r>
      <w:r>
        <w:rPr>
          <w:rStyle w:val="FootnoteReference"/>
        </w:rPr>
        <w:footnoteReference w:id="2"/>
      </w:r>
      <w:r w:rsidRPr="005D6D22">
        <w:t xml:space="preserve"> Unfortunately, stigma and myths can keep mothers from receiving the attention they need. Promotion of early detection can reduce stigma, lead to effective treatment, and spare </w:t>
      </w:r>
      <w:proofErr w:type="gramStart"/>
      <w:r w:rsidRPr="005D6D22">
        <w:t>fam</w:t>
      </w:r>
      <w:r w:rsidR="000D4576">
        <w:t>i</w:t>
      </w:r>
      <w:r w:rsidRPr="005D6D22">
        <w:t>lies</w:t>
      </w:r>
      <w:proofErr w:type="gramEnd"/>
      <w:r w:rsidRPr="005D6D22">
        <w:t xml:space="preserve"> years of suffering. </w:t>
      </w:r>
    </w:p>
    <w:p w:rsidRPr="005D6D22" w:rsidR="005D6D22" w:rsidP="005D6D22" w:rsidRDefault="005D6D22" w14:paraId="242BEFCC" w14:textId="77777777"/>
    <w:p w:rsidRPr="005D6D22" w:rsidR="005D6D22" w:rsidP="00002BA1" w:rsidRDefault="005D6D22" w14:paraId="35D3188C" w14:textId="2ED4675B">
      <w:pPr>
        <w:jc w:val="both"/>
      </w:pPr>
      <w:r w:rsidRPr="005D6D22">
        <w:t>OWH has detailed myriad potential harms of untreated PPD; to the mother, to her newborn, and to the family. The potential harms are both personal to the family, and societal as the “costs” roll forward affecting mother and child’s life course. Overcoming the complex of potential stigma requires the use of the best of behavioral health tools. Using these tools to address stigma through first</w:t>
      </w:r>
      <w:r w:rsidR="003C3050">
        <w:t>-</w:t>
      </w:r>
      <w:r w:rsidRPr="005D6D22">
        <w:t xml:space="preserve">person narratives focused </w:t>
      </w:r>
      <w:r w:rsidR="003C3050">
        <w:t>on</w:t>
      </w:r>
      <w:r w:rsidRPr="005D6D22">
        <w:t xml:space="preserve"> </w:t>
      </w:r>
      <w:proofErr w:type="gramStart"/>
      <w:r w:rsidRPr="005D6D22">
        <w:t>particular segments</w:t>
      </w:r>
      <w:proofErr w:type="gramEnd"/>
      <w:r w:rsidRPr="005D6D22">
        <w:t xml:space="preserve"> of the population holds the promise of affecting the behavior of new mothers in recognizing symptoms, seeking help, and potentially undertaking treatment, thereby altering the stream of negative consequences. This project, through a series of carefully calibrated steps </w:t>
      </w:r>
      <w:r w:rsidR="00E94485">
        <w:t>is</w:t>
      </w:r>
      <w:r w:rsidRPr="005D6D22">
        <w:t xml:space="preserve"> develop</w:t>
      </w:r>
      <w:r w:rsidR="00E94485">
        <w:t>ing and</w:t>
      </w:r>
      <w:r w:rsidRPr="005D6D22">
        <w:t xml:space="preserve"> test</w:t>
      </w:r>
      <w:r w:rsidR="00E94485">
        <w:t>ing</w:t>
      </w:r>
      <w:r w:rsidRPr="005D6D22">
        <w:t xml:space="preserve">, first-person narratives </w:t>
      </w:r>
      <w:r w:rsidR="00E94485">
        <w:t xml:space="preserve">and images </w:t>
      </w:r>
      <w:r w:rsidRPr="005D6D22">
        <w:t xml:space="preserve">that will become the centerpiece of a national campaign to support mothers’ seeking needed and effective help. </w:t>
      </w:r>
      <w:r w:rsidR="0094228B">
        <w:t>The narratives</w:t>
      </w:r>
      <w:r w:rsidR="00E94485">
        <w:t xml:space="preserve"> and images</w:t>
      </w:r>
      <w:r w:rsidR="0094228B">
        <w:t xml:space="preserve"> that will be tested were developed based on </w:t>
      </w:r>
      <w:r w:rsidR="00912982">
        <w:t>the results of an audience segmentation survey conducted among</w:t>
      </w:r>
      <w:r w:rsidRPr="00503CEE" w:rsidR="00002BA1">
        <w:t xml:space="preserve"> American </w:t>
      </w:r>
      <w:r w:rsidR="00002BA1">
        <w:t>mothers</w:t>
      </w:r>
      <w:r w:rsidRPr="00503CEE" w:rsidR="00002BA1">
        <w:t xml:space="preserve"> </w:t>
      </w:r>
      <w:r w:rsidRPr="00503CEE" w:rsidR="001211D4">
        <w:t>aged</w:t>
      </w:r>
      <w:r w:rsidRPr="00503CEE" w:rsidR="00002BA1">
        <w:t xml:space="preserve"> 18</w:t>
      </w:r>
      <w:r w:rsidR="00002BA1">
        <w:t>–</w:t>
      </w:r>
      <w:r w:rsidRPr="00503CEE" w:rsidR="00002BA1">
        <w:t>44 years old</w:t>
      </w:r>
      <w:r w:rsidR="00002BA1">
        <w:t xml:space="preserve"> who had a </w:t>
      </w:r>
      <w:r w:rsidR="00E94485">
        <w:t xml:space="preserve">live </w:t>
      </w:r>
      <w:r w:rsidR="00002BA1">
        <w:t xml:space="preserve">birth in the </w:t>
      </w:r>
      <w:r w:rsidR="00E94485">
        <w:t xml:space="preserve">year prior to the survey. </w:t>
      </w:r>
      <w:r w:rsidR="0094228B">
        <w:t>The data was used to</w:t>
      </w:r>
      <w:r w:rsidR="00912982">
        <w:t xml:space="preserve"> </w:t>
      </w:r>
      <w:r w:rsidRPr="0083055A" w:rsidR="00002BA1">
        <w:t>identify five cohesive audience segments based on psychographics</w:t>
      </w:r>
      <w:r w:rsidR="00002BA1">
        <w:t>,</w:t>
      </w:r>
      <w:r w:rsidRPr="0083055A" w:rsidR="00002BA1">
        <w:t xml:space="preserve"> including</w:t>
      </w:r>
      <w:r w:rsidR="00002BA1">
        <w:t xml:space="preserve"> </w:t>
      </w:r>
      <w:r w:rsidRPr="0083055A" w:rsidR="00002BA1">
        <w:t>mom’s lifestyles, perceptions, knowledge, attitudes, beliefs</w:t>
      </w:r>
      <w:r w:rsidR="00002BA1">
        <w:t>,</w:t>
      </w:r>
      <w:r w:rsidRPr="0083055A" w:rsidR="00002BA1">
        <w:t xml:space="preserve"> and behaviors.</w:t>
      </w:r>
      <w:r w:rsidRPr="00937AC7" w:rsidR="00002BA1">
        <w:t xml:space="preserve"> </w:t>
      </w:r>
      <w:r w:rsidR="00636A9E">
        <w:t>The LTG Associates’ team which includes</w:t>
      </w:r>
      <w:r w:rsidRPr="00503CEE" w:rsidR="00002BA1">
        <w:t xml:space="preserve"> Runyon Saltzman, Inc. (RSE)</w:t>
      </w:r>
      <w:r w:rsidR="00636A9E">
        <w:t xml:space="preserve"> and </w:t>
      </w:r>
      <w:r w:rsidRPr="00503CEE" w:rsidR="00002BA1">
        <w:t>NORC</w:t>
      </w:r>
      <w:r w:rsidR="00636A9E">
        <w:t>,</w:t>
      </w:r>
      <w:r w:rsidRPr="00503CEE" w:rsidR="00002BA1">
        <w:t xml:space="preserve"> will</w:t>
      </w:r>
      <w:r w:rsidR="008C5728">
        <w:t xml:space="preserve"> use focus group testing to assess</w:t>
      </w:r>
      <w:r w:rsidRPr="00503CEE" w:rsidR="00002BA1">
        <w:t xml:space="preserve"> </w:t>
      </w:r>
      <w:r w:rsidR="00636A9E">
        <w:t xml:space="preserve">the suitability and effects of </w:t>
      </w:r>
      <w:r w:rsidR="00C96C9A">
        <w:t xml:space="preserve">draft </w:t>
      </w:r>
      <w:r w:rsidR="008C5728">
        <w:t xml:space="preserve">campaign messaging and materials with women </w:t>
      </w:r>
      <w:r w:rsidRPr="00503CEE" w:rsidR="00002BA1">
        <w:t xml:space="preserve">who </w:t>
      </w:r>
      <w:r w:rsidR="00002BA1">
        <w:t>are at risk for</w:t>
      </w:r>
      <w:r w:rsidRPr="00503CEE" w:rsidR="00002BA1">
        <w:t xml:space="preserve"> PPD for the OWH PPD campaign</w:t>
      </w:r>
      <w:r w:rsidR="00962C38">
        <w:t xml:space="preserve">. </w:t>
      </w:r>
      <w:r w:rsidR="00740CD5">
        <w:t xml:space="preserve">The findings from the focus groups will be used to select and </w:t>
      </w:r>
      <w:r w:rsidR="00740CD5">
        <w:lastRenderedPageBreak/>
        <w:t xml:space="preserve">refine messages that are most likely to be effective in </w:t>
      </w:r>
      <w:r w:rsidR="002F7BD0">
        <w:t xml:space="preserve">supporting achieving </w:t>
      </w:r>
      <w:r w:rsidR="00740CD5">
        <w:t xml:space="preserve">the campaign goal of motivating women to report PPD symptoms to a </w:t>
      </w:r>
      <w:r w:rsidR="002F7BD0">
        <w:t xml:space="preserve">health care </w:t>
      </w:r>
      <w:r w:rsidR="00740CD5">
        <w:t>provider.</w:t>
      </w:r>
    </w:p>
    <w:p w:rsidRPr="000667FD" w:rsidR="00970CF4" w:rsidP="00B7221C" w:rsidRDefault="00970CF4" w14:paraId="768F0562" w14:textId="4F57120F">
      <w:pPr>
        <w:pStyle w:val="Heading2"/>
        <w:numPr>
          <w:ilvl w:val="0"/>
          <w:numId w:val="4"/>
        </w:numPr>
        <w:rPr>
          <w:rFonts w:asciiTheme="minorHAnsi" w:hAnsiTheme="minorHAnsi" w:cstheme="minorHAnsi"/>
        </w:rPr>
      </w:pPr>
      <w:r w:rsidRPr="000667FD">
        <w:rPr>
          <w:rFonts w:asciiTheme="minorHAnsi" w:hAnsiTheme="minorHAnsi" w:cstheme="minorHAnsi"/>
        </w:rPr>
        <w:t>Purpose and Use of the Information Collection</w:t>
      </w:r>
    </w:p>
    <w:p w:rsidR="0030213D" w:rsidP="00002BA1" w:rsidRDefault="000905A3" w14:paraId="0E19C7DE" w14:textId="77777777">
      <w:pPr>
        <w:jc w:val="both"/>
        <w:rPr>
          <w:rFonts w:asciiTheme="minorHAnsi" w:hAnsiTheme="minorHAnsi" w:cstheme="minorHAnsi"/>
        </w:rPr>
      </w:pPr>
      <w:r w:rsidRPr="00F76391">
        <w:rPr>
          <w:rFonts w:asciiTheme="minorHAnsi" w:hAnsiTheme="minorHAnsi" w:cstheme="minorHAnsi"/>
        </w:rPr>
        <w:t>To encourage more moms across the nation to report postpartum depression symptoms to a health care provider, this new</w:t>
      </w:r>
      <w:r w:rsidR="00912982">
        <w:rPr>
          <w:rFonts w:asciiTheme="minorHAnsi" w:hAnsiTheme="minorHAnsi" w:cstheme="minorHAnsi"/>
        </w:rPr>
        <w:t xml:space="preserve"> evidence-based</w:t>
      </w:r>
      <w:r w:rsidRPr="00F76391">
        <w:rPr>
          <w:rFonts w:asciiTheme="minorHAnsi" w:hAnsiTheme="minorHAnsi" w:cstheme="minorHAnsi"/>
        </w:rPr>
        <w:t xml:space="preserve"> campaign will feature stories from real moms who have been treated for postpartum depression. </w:t>
      </w:r>
      <w:r w:rsidR="00DA2C6E">
        <w:rPr>
          <w:rFonts w:asciiTheme="minorHAnsi" w:hAnsiTheme="minorHAnsi" w:cstheme="minorHAnsi"/>
        </w:rPr>
        <w:t xml:space="preserve">These </w:t>
      </w:r>
      <w:r w:rsidR="00F10974">
        <w:rPr>
          <w:rFonts w:asciiTheme="minorHAnsi" w:hAnsiTheme="minorHAnsi" w:cstheme="minorHAnsi"/>
        </w:rPr>
        <w:t>stories</w:t>
      </w:r>
      <w:r w:rsidR="00DA2C6E">
        <w:rPr>
          <w:rFonts w:asciiTheme="minorHAnsi" w:hAnsiTheme="minorHAnsi" w:cstheme="minorHAnsi"/>
        </w:rPr>
        <w:t xml:space="preserve"> be developed through a stepped process. </w:t>
      </w:r>
    </w:p>
    <w:p w:rsidR="0030213D" w:rsidP="00002BA1" w:rsidRDefault="0030213D" w14:paraId="60C593E8" w14:textId="77777777">
      <w:pPr>
        <w:jc w:val="both"/>
        <w:rPr>
          <w:rFonts w:asciiTheme="minorHAnsi" w:hAnsiTheme="minorHAnsi" w:cstheme="minorHAnsi"/>
        </w:rPr>
      </w:pPr>
    </w:p>
    <w:p w:rsidR="00002BA1" w:rsidP="00002BA1" w:rsidRDefault="000905A3" w14:paraId="6055AE78" w14:textId="400BE72F">
      <w:pPr>
        <w:jc w:val="both"/>
        <w:rPr>
          <w:rFonts w:asciiTheme="minorHAnsi" w:hAnsiTheme="minorHAnsi" w:cstheme="minorHAnsi"/>
        </w:rPr>
      </w:pPr>
      <w:r w:rsidRPr="00F76391">
        <w:rPr>
          <w:rFonts w:asciiTheme="minorHAnsi" w:hAnsiTheme="minorHAnsi" w:cstheme="minorHAnsi"/>
        </w:rPr>
        <w:t>The first step</w:t>
      </w:r>
      <w:r w:rsidR="00F10974">
        <w:rPr>
          <w:rFonts w:asciiTheme="minorHAnsi" w:hAnsiTheme="minorHAnsi" w:cstheme="minorHAnsi"/>
        </w:rPr>
        <w:t xml:space="preserve">, completed </w:t>
      </w:r>
      <w:r w:rsidR="00C96C9A">
        <w:rPr>
          <w:rFonts w:asciiTheme="minorHAnsi" w:hAnsiTheme="minorHAnsi" w:cstheme="minorHAnsi"/>
        </w:rPr>
        <w:t>earlier this year</w:t>
      </w:r>
      <w:r w:rsidR="00F10974">
        <w:rPr>
          <w:rFonts w:asciiTheme="minorHAnsi" w:hAnsiTheme="minorHAnsi" w:cstheme="minorHAnsi"/>
        </w:rPr>
        <w:t>,</w:t>
      </w:r>
      <w:r w:rsidRPr="00F76391">
        <w:rPr>
          <w:rFonts w:asciiTheme="minorHAnsi" w:hAnsiTheme="minorHAnsi" w:cstheme="minorHAnsi"/>
        </w:rPr>
        <w:t xml:space="preserve"> </w:t>
      </w:r>
      <w:r w:rsidR="00912982">
        <w:rPr>
          <w:rFonts w:asciiTheme="minorHAnsi" w:hAnsiTheme="minorHAnsi" w:cstheme="minorHAnsi"/>
        </w:rPr>
        <w:t>was</w:t>
      </w:r>
      <w:r w:rsidRPr="00F76391">
        <w:rPr>
          <w:rFonts w:asciiTheme="minorHAnsi" w:hAnsiTheme="minorHAnsi" w:cstheme="minorHAnsi"/>
        </w:rPr>
        <w:t xml:space="preserve"> audience segmentation research. </w:t>
      </w:r>
      <w:r w:rsidR="0030213D">
        <w:rPr>
          <w:rFonts w:asciiTheme="minorHAnsi" w:hAnsiTheme="minorHAnsi" w:cstheme="minorHAnsi"/>
        </w:rPr>
        <w:t xml:space="preserve">Data was gathered through a segmentation survey administered nationally to new mothers aged 18-44. </w:t>
      </w:r>
      <w:r w:rsidR="00F10974">
        <w:rPr>
          <w:rFonts w:asciiTheme="minorHAnsi" w:hAnsiTheme="minorHAnsi" w:cstheme="minorHAnsi"/>
        </w:rPr>
        <w:t>This research</w:t>
      </w:r>
      <w:r w:rsidRPr="00F76391">
        <w:rPr>
          <w:rFonts w:asciiTheme="minorHAnsi" w:hAnsiTheme="minorHAnsi" w:cstheme="minorHAnsi"/>
        </w:rPr>
        <w:t xml:space="preserve"> determine</w:t>
      </w:r>
      <w:r w:rsidR="00F10974">
        <w:rPr>
          <w:rFonts w:asciiTheme="minorHAnsi" w:hAnsiTheme="minorHAnsi" w:cstheme="minorHAnsi"/>
        </w:rPr>
        <w:t>d</w:t>
      </w:r>
      <w:r w:rsidRPr="00F76391">
        <w:rPr>
          <w:rFonts w:asciiTheme="minorHAnsi" w:hAnsiTheme="minorHAnsi" w:cstheme="minorHAnsi"/>
        </w:rPr>
        <w:t xml:space="preserve"> the minimum, relevant, non-overlapping audience segments among the target audience, new mothers aged 18–44. Each segment differ</w:t>
      </w:r>
      <w:r w:rsidR="00F10974">
        <w:rPr>
          <w:rFonts w:asciiTheme="minorHAnsi" w:hAnsiTheme="minorHAnsi" w:cstheme="minorHAnsi"/>
        </w:rPr>
        <w:t>s</w:t>
      </w:r>
      <w:r w:rsidRPr="00F76391">
        <w:rPr>
          <w:rFonts w:asciiTheme="minorHAnsi" w:hAnsiTheme="minorHAnsi" w:cstheme="minorHAnsi"/>
        </w:rPr>
        <w:t xml:space="preserve"> based on their sociodemographic variables, which are demographic variables in combination with knowledge, attitudes and beliefs about postpartum depression and mental health. The audience segments</w:t>
      </w:r>
      <w:r w:rsidR="00912982">
        <w:rPr>
          <w:rFonts w:asciiTheme="minorHAnsi" w:hAnsiTheme="minorHAnsi" w:cstheme="minorHAnsi"/>
        </w:rPr>
        <w:t xml:space="preserve"> </w:t>
      </w:r>
      <w:r w:rsidRPr="00F76391">
        <w:rPr>
          <w:rFonts w:asciiTheme="minorHAnsi" w:hAnsiTheme="minorHAnsi" w:cstheme="minorHAnsi"/>
        </w:rPr>
        <w:t>focus</w:t>
      </w:r>
      <w:r w:rsidR="00F10974">
        <w:rPr>
          <w:rFonts w:asciiTheme="minorHAnsi" w:hAnsiTheme="minorHAnsi" w:cstheme="minorHAnsi"/>
        </w:rPr>
        <w:t>ed</w:t>
      </w:r>
      <w:r w:rsidRPr="00F76391">
        <w:rPr>
          <w:rFonts w:asciiTheme="minorHAnsi" w:hAnsiTheme="minorHAnsi" w:cstheme="minorHAnsi"/>
        </w:rPr>
        <w:t xml:space="preserve"> on moms most at risk of PPD, according to variables determined in CDC research</w:t>
      </w:r>
      <w:r w:rsidR="00937AC7">
        <w:rPr>
          <w:rStyle w:val="FootnoteReference"/>
          <w:rFonts w:asciiTheme="minorHAnsi" w:hAnsiTheme="minorHAnsi" w:cstheme="minorHAnsi"/>
        </w:rPr>
        <w:footnoteReference w:id="3"/>
      </w:r>
      <w:r w:rsidRPr="00F76391">
        <w:rPr>
          <w:rFonts w:asciiTheme="minorHAnsi" w:hAnsiTheme="minorHAnsi" w:cstheme="minorHAnsi"/>
        </w:rPr>
        <w:t xml:space="preserve">. </w:t>
      </w:r>
      <w:r w:rsidRPr="00937AC7" w:rsidR="00F10974">
        <w:rPr>
          <w:rFonts w:asciiTheme="minorHAnsi" w:hAnsiTheme="minorHAnsi" w:cstheme="minorHAnsi"/>
        </w:rPr>
        <w:t>Recent literature shows a focus in audience segmentation based on not only demographics, but on psychological attributes</w:t>
      </w:r>
      <w:r w:rsidR="00F10974">
        <w:rPr>
          <w:rStyle w:val="FootnoteReference"/>
          <w:rFonts w:asciiTheme="minorHAnsi" w:hAnsiTheme="minorHAnsi" w:cstheme="minorHAnsi"/>
        </w:rPr>
        <w:footnoteReference w:id="4"/>
      </w:r>
      <w:r w:rsidRPr="00937AC7" w:rsidR="00F10974">
        <w:rPr>
          <w:rFonts w:asciiTheme="minorHAnsi" w:hAnsiTheme="minorHAnsi" w:cstheme="minorHAnsi"/>
        </w:rPr>
        <w:t>. This is a “psychographic” approach derived from marketing research techniques that selects variables for segmentation based on their ability to predict health behaviors</w:t>
      </w:r>
    </w:p>
    <w:p w:rsidR="00002BA1" w:rsidP="00002BA1" w:rsidRDefault="00002BA1" w14:paraId="44677C6C" w14:textId="77777777">
      <w:pPr>
        <w:jc w:val="both"/>
        <w:rPr>
          <w:rFonts w:asciiTheme="minorHAnsi" w:hAnsiTheme="minorHAnsi" w:cstheme="minorHAnsi"/>
        </w:rPr>
      </w:pPr>
    </w:p>
    <w:p w:rsidR="00970CF4" w:rsidP="00002BA1" w:rsidRDefault="00775D5C" w14:paraId="67CE6E98" w14:textId="72FB0494">
      <w:pPr>
        <w:jc w:val="both"/>
        <w:rPr>
          <w:rFonts w:asciiTheme="minorHAnsi" w:hAnsiTheme="minorHAnsi" w:cstheme="minorHAnsi"/>
        </w:rPr>
      </w:pPr>
      <w:r>
        <w:rPr>
          <w:rFonts w:asciiTheme="minorHAnsi" w:hAnsiTheme="minorHAnsi" w:cstheme="minorHAnsi"/>
        </w:rPr>
        <w:t>In the second step the team utilized the audience segmentation data to draft campaign messages and materials</w:t>
      </w:r>
      <w:r w:rsidRPr="00937AC7" w:rsidR="00937AC7">
        <w:rPr>
          <w:rFonts w:asciiTheme="minorHAnsi" w:hAnsiTheme="minorHAnsi" w:cstheme="minorHAnsi"/>
        </w:rPr>
        <w:t xml:space="preserve"> t</w:t>
      </w:r>
      <w:r>
        <w:rPr>
          <w:rFonts w:asciiTheme="minorHAnsi" w:hAnsiTheme="minorHAnsi" w:cstheme="minorHAnsi"/>
        </w:rPr>
        <w:t xml:space="preserve">hat will </w:t>
      </w:r>
      <w:r w:rsidR="004227FB">
        <w:rPr>
          <w:rFonts w:asciiTheme="minorHAnsi" w:hAnsiTheme="minorHAnsi" w:cstheme="minorHAnsi"/>
        </w:rPr>
        <w:t>be</w:t>
      </w:r>
      <w:r w:rsidRPr="00937AC7" w:rsidR="00937AC7">
        <w:rPr>
          <w:rFonts w:asciiTheme="minorHAnsi" w:hAnsiTheme="minorHAnsi" w:cstheme="minorHAnsi"/>
        </w:rPr>
        <w:t xml:space="preserve"> </w:t>
      </w:r>
      <w:r w:rsidR="008D5423">
        <w:rPr>
          <w:rFonts w:asciiTheme="minorHAnsi" w:hAnsiTheme="minorHAnsi" w:cstheme="minorHAnsi"/>
        </w:rPr>
        <w:t>disseminate</w:t>
      </w:r>
      <w:r w:rsidR="004227FB">
        <w:rPr>
          <w:rFonts w:asciiTheme="minorHAnsi" w:hAnsiTheme="minorHAnsi" w:cstheme="minorHAnsi"/>
        </w:rPr>
        <w:t>d</w:t>
      </w:r>
      <w:r w:rsidR="008D5423">
        <w:rPr>
          <w:rFonts w:asciiTheme="minorHAnsi" w:hAnsiTheme="minorHAnsi" w:cstheme="minorHAnsi"/>
        </w:rPr>
        <w:t xml:space="preserve"> to audience segments</w:t>
      </w:r>
      <w:r w:rsidRPr="00937AC7" w:rsidR="00937AC7">
        <w:rPr>
          <w:rFonts w:asciiTheme="minorHAnsi" w:hAnsiTheme="minorHAnsi" w:cstheme="minorHAnsi"/>
        </w:rPr>
        <w:t xml:space="preserve">. </w:t>
      </w:r>
      <w:r w:rsidR="004227FB">
        <w:rPr>
          <w:rFonts w:asciiTheme="minorHAnsi" w:hAnsiTheme="minorHAnsi" w:cstheme="minorHAnsi"/>
        </w:rPr>
        <w:t xml:space="preserve">Campaign messages were carefully tailored to the psychographic profiles of the moms in each </w:t>
      </w:r>
      <w:r w:rsidR="0030213D">
        <w:rPr>
          <w:rFonts w:asciiTheme="minorHAnsi" w:hAnsiTheme="minorHAnsi" w:cstheme="minorHAnsi"/>
        </w:rPr>
        <w:t>segment. Three messages and campaign approaches were drafted to test among new moms.</w:t>
      </w:r>
    </w:p>
    <w:p w:rsidR="0030213D" w:rsidP="00002BA1" w:rsidRDefault="0030213D" w14:paraId="4276BEC2" w14:textId="6080FF0D">
      <w:pPr>
        <w:jc w:val="both"/>
        <w:rPr>
          <w:rFonts w:asciiTheme="minorHAnsi" w:hAnsiTheme="minorHAnsi" w:cstheme="minorHAnsi"/>
        </w:rPr>
      </w:pPr>
    </w:p>
    <w:p w:rsidRPr="000667FD" w:rsidR="0030213D" w:rsidP="00002BA1" w:rsidRDefault="0030213D" w14:paraId="4FC5891D" w14:textId="7E401130">
      <w:pPr>
        <w:jc w:val="both"/>
        <w:rPr>
          <w:rFonts w:asciiTheme="minorHAnsi" w:hAnsiTheme="minorHAnsi" w:cstheme="minorHAnsi"/>
        </w:rPr>
      </w:pPr>
      <w:r>
        <w:rPr>
          <w:rFonts w:asciiTheme="minorHAnsi" w:hAnsiTheme="minorHAnsi" w:cstheme="minorHAnsi"/>
        </w:rPr>
        <w:t>In the third step, for which we are applying for OMB clearance, the team will test the three messages</w:t>
      </w:r>
      <w:r w:rsidR="00500597">
        <w:rPr>
          <w:rFonts w:asciiTheme="minorHAnsi" w:hAnsiTheme="minorHAnsi" w:cstheme="minorHAnsi"/>
        </w:rPr>
        <w:t xml:space="preserve"> and associated images</w:t>
      </w:r>
      <w:r>
        <w:rPr>
          <w:rFonts w:asciiTheme="minorHAnsi" w:hAnsiTheme="minorHAnsi" w:cstheme="minorHAnsi"/>
        </w:rPr>
        <w:t xml:space="preserve"> among moms in the populations of interest</w:t>
      </w:r>
      <w:r w:rsidR="004227FB">
        <w:rPr>
          <w:rFonts w:asciiTheme="minorHAnsi" w:hAnsiTheme="minorHAnsi" w:cstheme="minorHAnsi"/>
        </w:rPr>
        <w:t xml:space="preserve"> through the design and conduct of focus groups</w:t>
      </w:r>
      <w:r>
        <w:rPr>
          <w:rFonts w:asciiTheme="minorHAnsi" w:hAnsiTheme="minorHAnsi" w:cstheme="minorHAnsi"/>
        </w:rPr>
        <w:t xml:space="preserve">. </w:t>
      </w:r>
      <w:r w:rsidR="007225E7">
        <w:rPr>
          <w:rFonts w:asciiTheme="minorHAnsi" w:hAnsiTheme="minorHAnsi" w:cstheme="minorHAnsi"/>
        </w:rPr>
        <w:t xml:space="preserve"> The team will receive insights from moms who represent each of the five segments regarding the acceptability of the content</w:t>
      </w:r>
      <w:r w:rsidR="00500597">
        <w:rPr>
          <w:rFonts w:asciiTheme="minorHAnsi" w:hAnsiTheme="minorHAnsi" w:cstheme="minorHAnsi"/>
        </w:rPr>
        <w:t xml:space="preserve"> and images</w:t>
      </w:r>
      <w:r w:rsidR="007225E7">
        <w:rPr>
          <w:rFonts w:asciiTheme="minorHAnsi" w:hAnsiTheme="minorHAnsi" w:cstheme="minorHAnsi"/>
        </w:rPr>
        <w:t xml:space="preserve"> and effectiveness of each messaging approach. The findings will be used to select and refine campaign messages that achieve the objective of the campaign – motivating at risk moms to report PPD symptoms to a provider so they may receive proper care.</w:t>
      </w:r>
    </w:p>
    <w:p w:rsidRPr="000667FD" w:rsidR="00970CF4" w:rsidP="00B7221C" w:rsidRDefault="00970CF4" w14:paraId="42485C7F" w14:textId="77777777">
      <w:pPr>
        <w:pStyle w:val="Heading2"/>
        <w:numPr>
          <w:ilvl w:val="0"/>
          <w:numId w:val="4"/>
        </w:numPr>
        <w:rPr>
          <w:rFonts w:asciiTheme="minorHAnsi" w:hAnsiTheme="minorHAnsi" w:cstheme="minorHAnsi"/>
        </w:rPr>
      </w:pPr>
      <w:r w:rsidRPr="000667FD">
        <w:rPr>
          <w:rFonts w:asciiTheme="minorHAnsi" w:hAnsiTheme="minorHAnsi" w:cstheme="minorHAnsi"/>
        </w:rPr>
        <w:t>Use of Improved Information Technology and Burden Reduction</w:t>
      </w:r>
    </w:p>
    <w:p w:rsidRPr="00C04179" w:rsidR="0063082F" w:rsidP="007476DF" w:rsidRDefault="00970CF4" w14:paraId="3BC58260" w14:textId="401158F8">
      <w:pPr>
        <w:jc w:val="both"/>
        <w:rPr>
          <w:rFonts w:asciiTheme="minorHAnsi" w:hAnsiTheme="minorHAnsi" w:cstheme="minorHAnsi"/>
        </w:rPr>
      </w:pPr>
      <w:r w:rsidRPr="00C04179">
        <w:rPr>
          <w:rFonts w:asciiTheme="minorHAnsi" w:hAnsiTheme="minorHAnsi" w:cstheme="minorHAnsi"/>
        </w:rPr>
        <w:t>To reduce part</w:t>
      </w:r>
      <w:r w:rsidRPr="00C04179" w:rsidR="0063082F">
        <w:rPr>
          <w:rFonts w:asciiTheme="minorHAnsi" w:hAnsiTheme="minorHAnsi" w:cstheme="minorHAnsi"/>
        </w:rPr>
        <w:t xml:space="preserve">icipant burden, </w:t>
      </w:r>
      <w:r w:rsidR="00F76391">
        <w:rPr>
          <w:rFonts w:asciiTheme="minorHAnsi" w:hAnsiTheme="minorHAnsi" w:cstheme="minorHAnsi"/>
        </w:rPr>
        <w:t>the</w:t>
      </w:r>
      <w:r w:rsidR="002D5872">
        <w:rPr>
          <w:rFonts w:asciiTheme="minorHAnsi" w:hAnsiTheme="minorHAnsi" w:cstheme="minorHAnsi"/>
        </w:rPr>
        <w:t>re will be a two-stage</w:t>
      </w:r>
      <w:r w:rsidRPr="00C04179" w:rsidR="00CA51FD">
        <w:rPr>
          <w:rFonts w:asciiTheme="minorHAnsi" w:hAnsiTheme="minorHAnsi" w:cstheme="minorHAnsi"/>
        </w:rPr>
        <w:t xml:space="preserve"> screening</w:t>
      </w:r>
      <w:r w:rsidR="003C3050">
        <w:rPr>
          <w:rFonts w:asciiTheme="minorHAnsi" w:hAnsiTheme="minorHAnsi" w:cstheme="minorHAnsi"/>
        </w:rPr>
        <w:t>. Phase</w:t>
      </w:r>
      <w:r w:rsidR="002D5872">
        <w:rPr>
          <w:rFonts w:asciiTheme="minorHAnsi" w:hAnsiTheme="minorHAnsi" w:cstheme="minorHAnsi"/>
        </w:rPr>
        <w:t xml:space="preserve"> </w:t>
      </w:r>
      <w:r w:rsidR="003C3050">
        <w:rPr>
          <w:rFonts w:asciiTheme="minorHAnsi" w:hAnsiTheme="minorHAnsi" w:cstheme="minorHAnsi"/>
        </w:rPr>
        <w:t>O</w:t>
      </w:r>
      <w:r w:rsidR="002D5872">
        <w:rPr>
          <w:rFonts w:asciiTheme="minorHAnsi" w:hAnsiTheme="minorHAnsi" w:cstheme="minorHAnsi"/>
        </w:rPr>
        <w:t>ne screening will be</w:t>
      </w:r>
      <w:r w:rsidR="003C3050">
        <w:rPr>
          <w:rFonts w:asciiTheme="minorHAnsi" w:hAnsiTheme="minorHAnsi" w:cstheme="minorHAnsi"/>
        </w:rPr>
        <w:t xml:space="preserve"> a survey</w:t>
      </w:r>
      <w:r w:rsidR="00C96C9A">
        <w:rPr>
          <w:rFonts w:asciiTheme="minorHAnsi" w:hAnsiTheme="minorHAnsi" w:cstheme="minorHAnsi"/>
        </w:rPr>
        <w:t xml:space="preserve"> 5</w:t>
      </w:r>
      <w:r w:rsidRPr="00132642" w:rsidR="006D0C2E">
        <w:rPr>
          <w:rFonts w:asciiTheme="minorHAnsi" w:hAnsiTheme="minorHAnsi" w:cstheme="minorHAnsi"/>
        </w:rPr>
        <w:t xml:space="preserve"> minutes</w:t>
      </w:r>
      <w:r w:rsidRPr="00C04179" w:rsidR="006D0C2E">
        <w:rPr>
          <w:rFonts w:asciiTheme="minorHAnsi" w:hAnsiTheme="minorHAnsi" w:cstheme="minorHAnsi"/>
        </w:rPr>
        <w:t xml:space="preserve"> in length</w:t>
      </w:r>
      <w:r w:rsidR="002D5872">
        <w:rPr>
          <w:rFonts w:asciiTheme="minorHAnsi" w:hAnsiTheme="minorHAnsi" w:cstheme="minorHAnsi"/>
        </w:rPr>
        <w:t xml:space="preserve"> and will provide the</w:t>
      </w:r>
      <w:r w:rsidR="00C96C9A">
        <w:rPr>
          <w:rFonts w:asciiTheme="minorHAnsi" w:hAnsiTheme="minorHAnsi" w:cstheme="minorHAnsi"/>
        </w:rPr>
        <w:t xml:space="preserve"> pool of qualified women</w:t>
      </w:r>
      <w:r w:rsidR="002D5872">
        <w:rPr>
          <w:rFonts w:asciiTheme="minorHAnsi" w:hAnsiTheme="minorHAnsi" w:cstheme="minorHAnsi"/>
        </w:rPr>
        <w:t xml:space="preserve">. </w:t>
      </w:r>
      <w:r w:rsidR="003C3050">
        <w:rPr>
          <w:rFonts w:asciiTheme="minorHAnsi" w:hAnsiTheme="minorHAnsi" w:cstheme="minorHAnsi"/>
        </w:rPr>
        <w:t>Phase Two</w:t>
      </w:r>
      <w:r w:rsidR="002D5872">
        <w:rPr>
          <w:rFonts w:asciiTheme="minorHAnsi" w:hAnsiTheme="minorHAnsi" w:cstheme="minorHAnsi"/>
        </w:rPr>
        <w:t xml:space="preserve"> screening will </w:t>
      </w:r>
      <w:r w:rsidR="00533840">
        <w:rPr>
          <w:rFonts w:asciiTheme="minorHAnsi" w:hAnsiTheme="minorHAnsi" w:cstheme="minorHAnsi"/>
        </w:rPr>
        <w:t xml:space="preserve">consist of women </w:t>
      </w:r>
      <w:r w:rsidR="003C3050">
        <w:rPr>
          <w:rFonts w:asciiTheme="minorHAnsi" w:hAnsiTheme="minorHAnsi" w:cstheme="minorHAnsi"/>
        </w:rPr>
        <w:t>culled from</w:t>
      </w:r>
      <w:r w:rsidR="00533840">
        <w:rPr>
          <w:rFonts w:asciiTheme="minorHAnsi" w:hAnsiTheme="minorHAnsi" w:cstheme="minorHAnsi"/>
        </w:rPr>
        <w:t xml:space="preserve"> the first screening and </w:t>
      </w:r>
      <w:r w:rsidR="002D5872">
        <w:rPr>
          <w:rFonts w:asciiTheme="minorHAnsi" w:hAnsiTheme="minorHAnsi" w:cstheme="minorHAnsi"/>
        </w:rPr>
        <w:t xml:space="preserve">result in more in-depth information with which to make segment assignments and will be </w:t>
      </w:r>
      <w:r w:rsidR="00696AFA">
        <w:rPr>
          <w:rFonts w:asciiTheme="minorHAnsi" w:hAnsiTheme="minorHAnsi" w:cstheme="minorHAnsi"/>
        </w:rPr>
        <w:t>5-7</w:t>
      </w:r>
      <w:r w:rsidR="002D5872">
        <w:rPr>
          <w:rFonts w:asciiTheme="minorHAnsi" w:hAnsiTheme="minorHAnsi" w:cstheme="minorHAnsi"/>
        </w:rPr>
        <w:t xml:space="preserve"> </w:t>
      </w:r>
      <w:r w:rsidR="00602505">
        <w:rPr>
          <w:rFonts w:asciiTheme="minorHAnsi" w:hAnsiTheme="minorHAnsi" w:cstheme="minorHAnsi"/>
        </w:rPr>
        <w:t>minutes</w:t>
      </w:r>
      <w:r w:rsidR="003C3050">
        <w:rPr>
          <w:rFonts w:asciiTheme="minorHAnsi" w:hAnsiTheme="minorHAnsi" w:cstheme="minorHAnsi"/>
        </w:rPr>
        <w:t>. Each of t</w:t>
      </w:r>
      <w:r w:rsidR="00602505">
        <w:rPr>
          <w:rFonts w:asciiTheme="minorHAnsi" w:hAnsiTheme="minorHAnsi" w:cstheme="minorHAnsi"/>
        </w:rPr>
        <w:t>he</w:t>
      </w:r>
      <w:r w:rsidR="00F76391">
        <w:rPr>
          <w:rFonts w:asciiTheme="minorHAnsi" w:hAnsiTheme="minorHAnsi" w:cstheme="minorHAnsi"/>
        </w:rPr>
        <w:t xml:space="preserve"> </w:t>
      </w:r>
      <w:r w:rsidR="004227FB">
        <w:rPr>
          <w:rFonts w:asciiTheme="minorHAnsi" w:hAnsiTheme="minorHAnsi" w:cstheme="minorHAnsi"/>
        </w:rPr>
        <w:t>focus group</w:t>
      </w:r>
      <w:r w:rsidR="003C3050">
        <w:rPr>
          <w:rFonts w:asciiTheme="minorHAnsi" w:hAnsiTheme="minorHAnsi" w:cstheme="minorHAnsi"/>
        </w:rPr>
        <w:t>s</w:t>
      </w:r>
      <w:r w:rsidR="004227FB">
        <w:rPr>
          <w:rFonts w:asciiTheme="minorHAnsi" w:hAnsiTheme="minorHAnsi" w:cstheme="minorHAnsi"/>
        </w:rPr>
        <w:t xml:space="preserve"> will take approximately two hours.</w:t>
      </w:r>
    </w:p>
    <w:p w:rsidRPr="000667FD" w:rsidR="00970CF4" w:rsidP="00B7221C" w:rsidRDefault="00970CF4" w14:paraId="395485F8" w14:textId="77777777">
      <w:pPr>
        <w:pStyle w:val="Heading2"/>
        <w:numPr>
          <w:ilvl w:val="0"/>
          <w:numId w:val="4"/>
        </w:numPr>
        <w:rPr>
          <w:rFonts w:asciiTheme="minorHAnsi" w:hAnsiTheme="minorHAnsi" w:cstheme="minorHAnsi"/>
        </w:rPr>
      </w:pPr>
      <w:r w:rsidRPr="000667FD">
        <w:rPr>
          <w:rFonts w:asciiTheme="minorHAnsi" w:hAnsiTheme="minorHAnsi" w:cstheme="minorHAnsi"/>
        </w:rPr>
        <w:lastRenderedPageBreak/>
        <w:t>Efforts to Identify Duplication and Use of Similar Information</w:t>
      </w:r>
    </w:p>
    <w:p w:rsidRPr="000667FD" w:rsidR="00970CF4" w:rsidP="007476DF" w:rsidRDefault="000905A3" w14:paraId="3DF33EBE" w14:textId="6B6CE184">
      <w:pPr>
        <w:jc w:val="both"/>
        <w:rPr>
          <w:rFonts w:asciiTheme="minorHAnsi" w:hAnsiTheme="minorHAnsi" w:cstheme="minorHAnsi"/>
        </w:rPr>
      </w:pPr>
      <w:r w:rsidRPr="00274980">
        <w:rPr>
          <w:rFonts w:asciiTheme="minorHAnsi" w:hAnsiTheme="minorHAnsi" w:cstheme="minorHAnsi"/>
        </w:rPr>
        <w:t>To</w:t>
      </w:r>
      <w:r w:rsidRPr="00274980" w:rsidR="00970CF4">
        <w:rPr>
          <w:rFonts w:asciiTheme="minorHAnsi" w:hAnsiTheme="minorHAnsi" w:cstheme="minorHAnsi"/>
        </w:rPr>
        <w:t xml:space="preserve"> our knowledge, there is no information of a</w:t>
      </w:r>
      <w:r w:rsidRPr="00274980" w:rsidR="00984195">
        <w:rPr>
          <w:rFonts w:asciiTheme="minorHAnsi" w:hAnsiTheme="minorHAnsi" w:cstheme="minorHAnsi"/>
        </w:rPr>
        <w:t xml:space="preserve"> similar nature that is currently being collected.</w:t>
      </w:r>
      <w:r w:rsidR="00984195">
        <w:rPr>
          <w:rFonts w:asciiTheme="minorHAnsi" w:hAnsiTheme="minorHAnsi" w:cstheme="minorHAnsi"/>
        </w:rPr>
        <w:t xml:space="preserve"> </w:t>
      </w:r>
    </w:p>
    <w:p w:rsidRPr="000667FD" w:rsidR="00970CF4" w:rsidP="00B7221C" w:rsidRDefault="00970CF4" w14:paraId="37BAC29C" w14:textId="77777777">
      <w:pPr>
        <w:pStyle w:val="Heading2"/>
        <w:numPr>
          <w:ilvl w:val="0"/>
          <w:numId w:val="4"/>
        </w:numPr>
        <w:rPr>
          <w:rFonts w:asciiTheme="minorHAnsi" w:hAnsiTheme="minorHAnsi" w:cstheme="minorHAnsi"/>
        </w:rPr>
      </w:pPr>
      <w:r w:rsidRPr="000667FD">
        <w:rPr>
          <w:rFonts w:asciiTheme="minorHAnsi" w:hAnsiTheme="minorHAnsi" w:cstheme="minorHAnsi"/>
        </w:rPr>
        <w:t>Impact on Small Businesses or Other Small Entities</w:t>
      </w:r>
    </w:p>
    <w:p w:rsidRPr="000667FD" w:rsidR="00970CF4" w:rsidP="00970CF4" w:rsidRDefault="00970CF4" w14:paraId="2CDE13B2" w14:textId="5456C247">
      <w:pPr>
        <w:rPr>
          <w:rFonts w:asciiTheme="minorHAnsi" w:hAnsiTheme="minorHAnsi" w:cstheme="minorHAnsi"/>
        </w:rPr>
      </w:pPr>
      <w:r w:rsidRPr="00274980">
        <w:rPr>
          <w:rFonts w:asciiTheme="minorHAnsi" w:hAnsiTheme="minorHAnsi" w:cstheme="minorHAnsi"/>
        </w:rPr>
        <w:t>No small businesses will be impacted or involved in this data collection.</w:t>
      </w:r>
    </w:p>
    <w:p w:rsidRPr="000667FD" w:rsidR="00970CF4" w:rsidP="00B7221C" w:rsidRDefault="00970CF4" w14:paraId="5EA66988" w14:textId="77777777">
      <w:pPr>
        <w:pStyle w:val="Heading2"/>
        <w:numPr>
          <w:ilvl w:val="0"/>
          <w:numId w:val="4"/>
        </w:numPr>
        <w:rPr>
          <w:rFonts w:asciiTheme="minorHAnsi" w:hAnsiTheme="minorHAnsi" w:cstheme="minorHAnsi"/>
        </w:rPr>
      </w:pPr>
      <w:r w:rsidRPr="000667FD">
        <w:rPr>
          <w:rFonts w:asciiTheme="minorHAnsi" w:hAnsiTheme="minorHAnsi" w:cstheme="minorHAnsi"/>
        </w:rPr>
        <w:t>Consequences of Collecting the Information Less Frequently</w:t>
      </w:r>
    </w:p>
    <w:p w:rsidRPr="000667FD" w:rsidR="00970CF4" w:rsidP="007476DF" w:rsidRDefault="00970CF4" w14:paraId="53808C5F" w14:textId="1F6809EB">
      <w:pPr>
        <w:jc w:val="both"/>
        <w:rPr>
          <w:rFonts w:asciiTheme="minorHAnsi" w:hAnsiTheme="minorHAnsi" w:cstheme="minorHAnsi"/>
        </w:rPr>
      </w:pPr>
      <w:r w:rsidRPr="00274980">
        <w:rPr>
          <w:rFonts w:asciiTheme="minorHAnsi" w:hAnsiTheme="minorHAnsi" w:cstheme="minorHAnsi"/>
        </w:rPr>
        <w:t>This request is for one-time data collection. These data have not previously been collected elsewhere.</w:t>
      </w:r>
    </w:p>
    <w:p w:rsidRPr="000667FD" w:rsidR="00970CF4" w:rsidP="00B7221C" w:rsidRDefault="00970CF4" w14:paraId="05960576" w14:textId="77777777">
      <w:pPr>
        <w:pStyle w:val="Heading2"/>
        <w:numPr>
          <w:ilvl w:val="0"/>
          <w:numId w:val="4"/>
        </w:numPr>
        <w:rPr>
          <w:rFonts w:asciiTheme="minorHAnsi" w:hAnsiTheme="minorHAnsi" w:cstheme="minorHAnsi"/>
        </w:rPr>
      </w:pPr>
      <w:r w:rsidRPr="000667FD">
        <w:rPr>
          <w:rFonts w:asciiTheme="minorHAnsi" w:hAnsiTheme="minorHAnsi" w:cstheme="minorHAnsi"/>
        </w:rPr>
        <w:t>Special Circumstances Relating to the Guidelines of 5 CFR 1320.5</w:t>
      </w:r>
    </w:p>
    <w:p w:rsidRPr="000667FD" w:rsidR="00970CF4" w:rsidP="007476DF" w:rsidRDefault="00970CF4" w14:paraId="58A32B10" w14:textId="755133F7">
      <w:pPr>
        <w:jc w:val="both"/>
        <w:rPr>
          <w:rFonts w:asciiTheme="minorHAnsi" w:hAnsiTheme="minorHAnsi" w:cstheme="minorHAnsi"/>
        </w:rPr>
      </w:pPr>
      <w:r w:rsidRPr="00274980">
        <w:rPr>
          <w:rFonts w:asciiTheme="minorHAnsi" w:hAnsiTheme="minorHAnsi" w:cstheme="minorHAnsi"/>
        </w:rPr>
        <w:t>There are no special circumstances with this information collection package. This request fully complies with the regulation 5 CFR 1320.5 and will be voluntary.</w:t>
      </w:r>
    </w:p>
    <w:p w:rsidRPr="000667FD" w:rsidR="00970CF4" w:rsidP="00B7221C" w:rsidRDefault="00970CF4" w14:paraId="06B7E746" w14:textId="77777777">
      <w:pPr>
        <w:pStyle w:val="Heading2"/>
        <w:numPr>
          <w:ilvl w:val="0"/>
          <w:numId w:val="4"/>
        </w:numPr>
        <w:rPr>
          <w:rFonts w:asciiTheme="minorHAnsi" w:hAnsiTheme="minorHAnsi" w:cstheme="minorHAnsi"/>
        </w:rPr>
      </w:pPr>
      <w:r w:rsidRPr="000667FD">
        <w:rPr>
          <w:rFonts w:asciiTheme="minorHAnsi" w:hAnsiTheme="minorHAnsi" w:cstheme="minorHAnsi"/>
        </w:rPr>
        <w:t>Comments in Response to the Federal Register Notice and Efforts to Consult Outside the Agency</w:t>
      </w:r>
    </w:p>
    <w:p w:rsidR="00970CF4" w:rsidP="007476DF" w:rsidRDefault="00970CF4" w14:paraId="70A4142D" w14:textId="0377D252">
      <w:pPr>
        <w:jc w:val="both"/>
        <w:rPr>
          <w:rFonts w:asciiTheme="minorHAnsi" w:hAnsiTheme="minorHAnsi" w:cstheme="minorHAnsi"/>
        </w:rPr>
      </w:pPr>
      <w:r w:rsidRPr="00274980">
        <w:rPr>
          <w:rFonts w:asciiTheme="minorHAnsi" w:hAnsiTheme="minorHAnsi" w:cstheme="minorHAnsi"/>
        </w:rPr>
        <w:t>This data collection is being conducted using the Generic Information Collection mechanism through ODPHP</w:t>
      </w:r>
      <w:r w:rsidRPr="00274980" w:rsidR="00382E6A">
        <w:rPr>
          <w:rFonts w:asciiTheme="minorHAnsi" w:hAnsiTheme="minorHAnsi" w:cstheme="minorHAnsi"/>
        </w:rPr>
        <w:t>/OWH</w:t>
      </w:r>
      <w:r w:rsidRPr="00274980">
        <w:rPr>
          <w:rFonts w:asciiTheme="minorHAnsi" w:hAnsiTheme="minorHAnsi" w:cstheme="minorHAnsi"/>
        </w:rPr>
        <w:t xml:space="preserve"> — OMB No. 0990-0281.</w:t>
      </w:r>
    </w:p>
    <w:p w:rsidRPr="00C8192C" w:rsidR="00970CF4" w:rsidP="00B7221C" w:rsidRDefault="00970CF4" w14:paraId="5F89C800" w14:textId="1DA17AE3">
      <w:pPr>
        <w:pStyle w:val="Heading2"/>
        <w:numPr>
          <w:ilvl w:val="0"/>
          <w:numId w:val="4"/>
        </w:numPr>
        <w:rPr>
          <w:rFonts w:asciiTheme="minorHAnsi" w:hAnsiTheme="minorHAnsi" w:cstheme="minorHAnsi"/>
        </w:rPr>
      </w:pPr>
      <w:r w:rsidRPr="000667FD">
        <w:rPr>
          <w:rFonts w:asciiTheme="minorHAnsi" w:hAnsiTheme="minorHAnsi" w:cstheme="minorHAnsi"/>
        </w:rPr>
        <w:t>Explanation of Any Payment or Gift to Respondents</w:t>
      </w:r>
    </w:p>
    <w:p w:rsidRPr="00DE3003" w:rsidR="00405FB4" w:rsidP="00405FB4" w:rsidRDefault="00405FB4" w14:paraId="3034968F" w14:textId="5AE7AF7A">
      <w:pPr>
        <w:rPr>
          <w:iCs/>
          <w:color w:val="000000" w:themeColor="text1"/>
        </w:rPr>
      </w:pPr>
      <w:r w:rsidRPr="00274980">
        <w:t xml:space="preserve">Participants will </w:t>
      </w:r>
      <w:r w:rsidR="00361129">
        <w:t xml:space="preserve">be provided </w:t>
      </w:r>
      <w:r w:rsidRPr="00274980" w:rsidR="00BC31CB">
        <w:t xml:space="preserve">with an incentive </w:t>
      </w:r>
      <w:r w:rsidR="00361129">
        <w:t>of $</w:t>
      </w:r>
      <w:r w:rsidR="002D1D16">
        <w:t>100</w:t>
      </w:r>
      <w:r w:rsidR="00361129">
        <w:t xml:space="preserve"> </w:t>
      </w:r>
      <w:r w:rsidRPr="00274980" w:rsidR="00BC31CB">
        <w:t>for their participation.</w:t>
      </w:r>
      <w:r w:rsidR="00FE2B56">
        <w:t xml:space="preserve"> All participants will have a child under the age of one and will need to obtain childcare services in order to participate in the two</w:t>
      </w:r>
      <w:r w:rsidR="00DD30F9">
        <w:t>-</w:t>
      </w:r>
      <w:r w:rsidR="00FE2B56">
        <w:t>hour focus group.</w:t>
      </w:r>
    </w:p>
    <w:p w:rsidRPr="0012238A" w:rsidR="00970CF4" w:rsidP="00B7221C" w:rsidRDefault="00970CF4" w14:paraId="0E9EC907"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w:t>
      </w:r>
      <w:r w:rsidRPr="0012238A">
        <w:rPr>
          <w:rFonts w:asciiTheme="minorHAnsi" w:hAnsiTheme="minorHAnsi" w:cstheme="minorHAnsi"/>
        </w:rPr>
        <w:t>Assurance of Confidentiality Provided to Respondents</w:t>
      </w:r>
    </w:p>
    <w:p w:rsidRPr="00C8192C" w:rsidR="00595C05" w:rsidP="007476DF" w:rsidRDefault="00970CF4" w14:paraId="695D8D15" w14:textId="1B3070EE">
      <w:pPr>
        <w:tabs>
          <w:tab w:val="left" w:pos="9360"/>
        </w:tabs>
        <w:autoSpaceDE w:val="0"/>
        <w:autoSpaceDN w:val="0"/>
        <w:adjustRightInd w:val="0"/>
        <w:jc w:val="both"/>
        <w:rPr>
          <w:rFonts w:asciiTheme="minorHAnsi" w:hAnsiTheme="minorHAnsi" w:cstheme="minorHAnsi"/>
          <w:color w:val="000000"/>
        </w:rPr>
      </w:pPr>
      <w:r w:rsidRPr="00274980">
        <w:rPr>
          <w:rFonts w:asciiTheme="minorHAnsi" w:hAnsiTheme="minorHAnsi" w:cstheme="minorHAnsi"/>
        </w:rPr>
        <w:t xml:space="preserve">The Privacy Act does not apply to this data collection. </w:t>
      </w:r>
      <w:r w:rsidRPr="00274980" w:rsidR="00186984">
        <w:rPr>
          <w:rFonts w:asciiTheme="minorHAnsi" w:hAnsiTheme="minorHAnsi" w:cstheme="minorHAnsi"/>
          <w:color w:val="000000"/>
        </w:rPr>
        <w:t xml:space="preserve">The proposed data collection will have little or no effect on participants’ privacy. </w:t>
      </w:r>
      <w:proofErr w:type="gramStart"/>
      <w:r w:rsidR="002E71AF">
        <w:rPr>
          <w:rFonts w:asciiTheme="minorHAnsi" w:hAnsiTheme="minorHAnsi" w:cstheme="minorHAnsi"/>
          <w:color w:val="000000"/>
        </w:rPr>
        <w:t>Persona</w:t>
      </w:r>
      <w:r w:rsidR="000D4576">
        <w:rPr>
          <w:rFonts w:asciiTheme="minorHAnsi" w:hAnsiTheme="minorHAnsi" w:cstheme="minorHAnsi"/>
          <w:color w:val="000000"/>
        </w:rPr>
        <w:t>l</w:t>
      </w:r>
      <w:r w:rsidR="002E71AF">
        <w:rPr>
          <w:rFonts w:asciiTheme="minorHAnsi" w:hAnsiTheme="minorHAnsi" w:cstheme="minorHAnsi"/>
          <w:color w:val="000000"/>
        </w:rPr>
        <w:t>ly</w:t>
      </w:r>
      <w:proofErr w:type="gramEnd"/>
      <w:r w:rsidR="000D4576">
        <w:rPr>
          <w:rFonts w:asciiTheme="minorHAnsi" w:hAnsiTheme="minorHAnsi" w:cstheme="minorHAnsi"/>
          <w:color w:val="000000"/>
        </w:rPr>
        <w:t xml:space="preserve"> I</w:t>
      </w:r>
      <w:r w:rsidR="002E71AF">
        <w:rPr>
          <w:rFonts w:asciiTheme="minorHAnsi" w:hAnsiTheme="minorHAnsi" w:cstheme="minorHAnsi"/>
          <w:color w:val="000000"/>
        </w:rPr>
        <w:t xml:space="preserve">dentifiable </w:t>
      </w:r>
      <w:r w:rsidR="000D4576">
        <w:rPr>
          <w:rFonts w:asciiTheme="minorHAnsi" w:hAnsiTheme="minorHAnsi" w:cstheme="minorHAnsi"/>
          <w:color w:val="000000"/>
        </w:rPr>
        <w:t>I</w:t>
      </w:r>
      <w:r w:rsidR="002E71AF">
        <w:rPr>
          <w:rFonts w:asciiTheme="minorHAnsi" w:hAnsiTheme="minorHAnsi" w:cstheme="minorHAnsi"/>
          <w:color w:val="000000"/>
        </w:rPr>
        <w:t xml:space="preserve">nformation (PII) will be collected </w:t>
      </w:r>
      <w:r w:rsidR="00B97C89">
        <w:rPr>
          <w:rFonts w:asciiTheme="minorHAnsi" w:hAnsiTheme="minorHAnsi" w:cstheme="minorHAnsi"/>
          <w:color w:val="000000"/>
        </w:rPr>
        <w:t xml:space="preserve">only </w:t>
      </w:r>
      <w:r w:rsidR="002E71AF">
        <w:rPr>
          <w:rFonts w:asciiTheme="minorHAnsi" w:hAnsiTheme="minorHAnsi" w:cstheme="minorHAnsi"/>
          <w:color w:val="000000"/>
        </w:rPr>
        <w:t>for the purpose of administering the incentive after the focus groups</w:t>
      </w:r>
      <w:r w:rsidR="0012238A">
        <w:rPr>
          <w:rFonts w:asciiTheme="minorHAnsi" w:hAnsiTheme="minorHAnsi" w:cstheme="minorHAnsi"/>
          <w:color w:val="000000"/>
        </w:rPr>
        <w:t xml:space="preserve"> and will be separated from any other information</w:t>
      </w:r>
      <w:r w:rsidR="002E71AF">
        <w:rPr>
          <w:rFonts w:asciiTheme="minorHAnsi" w:hAnsiTheme="minorHAnsi" w:cstheme="minorHAnsi"/>
          <w:color w:val="000000"/>
        </w:rPr>
        <w:t>. The PII will not be available to any staff conducting the focus groups and will be separately maintained. No PII will be collected as part of the focus groups.</w:t>
      </w:r>
      <w:r w:rsidRPr="00274980">
        <w:rPr>
          <w:rFonts w:asciiTheme="minorHAnsi" w:hAnsiTheme="minorHAnsi" w:cstheme="minorHAnsi"/>
          <w:color w:val="000000"/>
        </w:rPr>
        <w:t xml:space="preserve"> </w:t>
      </w:r>
    </w:p>
    <w:p w:rsidRPr="000667FD" w:rsidR="00970CF4" w:rsidP="00B7221C" w:rsidRDefault="00970CF4" w14:paraId="521B0103"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Justification for Sensitive Questions</w:t>
      </w:r>
    </w:p>
    <w:p w:rsidRPr="000667FD" w:rsidR="001E12B9" w:rsidP="007476DF" w:rsidRDefault="00D30D15" w14:paraId="69862BB4" w14:textId="75AC83C1">
      <w:pPr>
        <w:jc w:val="both"/>
        <w:rPr>
          <w:rFonts w:asciiTheme="minorHAnsi" w:hAnsiTheme="minorHAnsi" w:cstheme="minorHAnsi"/>
        </w:rPr>
      </w:pPr>
      <w:r w:rsidRPr="00274980">
        <w:rPr>
          <w:rFonts w:asciiTheme="minorHAnsi" w:hAnsiTheme="minorHAnsi" w:cstheme="minorHAnsi"/>
        </w:rPr>
        <w:t>OWH</w:t>
      </w:r>
      <w:r w:rsidRPr="00274980" w:rsidR="00970CF4">
        <w:rPr>
          <w:rFonts w:asciiTheme="minorHAnsi" w:hAnsiTheme="minorHAnsi" w:cstheme="minorHAnsi"/>
        </w:rPr>
        <w:t xml:space="preserve"> does not anticipate that research participants will perceive questions as sensitive in nature. </w:t>
      </w:r>
      <w:r w:rsidRPr="00274980">
        <w:rPr>
          <w:rFonts w:asciiTheme="minorHAnsi" w:hAnsiTheme="minorHAnsi" w:cstheme="minorHAnsi"/>
        </w:rPr>
        <w:t>OWH</w:t>
      </w:r>
      <w:r w:rsidRPr="00274980" w:rsidR="00970CF4">
        <w:rPr>
          <w:rFonts w:asciiTheme="minorHAnsi" w:hAnsiTheme="minorHAnsi" w:cstheme="minorHAnsi"/>
        </w:rPr>
        <w:t xml:space="preserve"> will focus on collecting information that can inform </w:t>
      </w:r>
      <w:r w:rsidRPr="00274980" w:rsidR="00382E6A">
        <w:rPr>
          <w:rFonts w:asciiTheme="minorHAnsi" w:hAnsiTheme="minorHAnsi" w:cstheme="minorHAnsi"/>
        </w:rPr>
        <w:t xml:space="preserve">health communication and educational materials </w:t>
      </w:r>
      <w:r w:rsidRPr="00274980" w:rsidR="00BC31CB">
        <w:rPr>
          <w:rFonts w:asciiTheme="minorHAnsi" w:hAnsiTheme="minorHAnsi" w:cstheme="minorHAnsi"/>
        </w:rPr>
        <w:t>for women at risk of postpartum depression</w:t>
      </w:r>
      <w:r w:rsidRPr="00274980" w:rsidR="00382E6A">
        <w:rPr>
          <w:rFonts w:asciiTheme="minorHAnsi" w:hAnsiTheme="minorHAnsi" w:cstheme="minorHAnsi"/>
        </w:rPr>
        <w:t xml:space="preserve">. </w:t>
      </w:r>
      <w:r w:rsidRPr="00274980">
        <w:rPr>
          <w:rFonts w:asciiTheme="minorHAnsi" w:hAnsiTheme="minorHAnsi" w:cstheme="minorHAnsi"/>
        </w:rPr>
        <w:t xml:space="preserve">In the </w:t>
      </w:r>
      <w:r w:rsidR="00C3139D">
        <w:rPr>
          <w:rFonts w:asciiTheme="minorHAnsi" w:hAnsiTheme="minorHAnsi" w:cstheme="minorHAnsi"/>
        </w:rPr>
        <w:t>introduction to the group</w:t>
      </w:r>
      <w:r w:rsidRPr="00274980">
        <w:rPr>
          <w:rFonts w:asciiTheme="minorHAnsi" w:hAnsiTheme="minorHAnsi" w:cstheme="minorHAnsi"/>
        </w:rPr>
        <w:t xml:space="preserve">, we inform participants that they can stop participating at any time. The </w:t>
      </w:r>
      <w:r w:rsidR="003F2AE9">
        <w:rPr>
          <w:rFonts w:asciiTheme="minorHAnsi" w:hAnsiTheme="minorHAnsi" w:cstheme="minorHAnsi"/>
        </w:rPr>
        <w:t>focus group materials</w:t>
      </w:r>
      <w:r w:rsidRPr="00274980" w:rsidR="006038CC">
        <w:rPr>
          <w:rFonts w:asciiTheme="minorHAnsi" w:hAnsiTheme="minorHAnsi" w:cstheme="minorHAnsi"/>
        </w:rPr>
        <w:t xml:space="preserve"> </w:t>
      </w:r>
      <w:r w:rsidRPr="00274980">
        <w:rPr>
          <w:rFonts w:asciiTheme="minorHAnsi" w:hAnsiTheme="minorHAnsi" w:cstheme="minorHAnsi"/>
        </w:rPr>
        <w:t>also indicate that if participants have questions or feel they have been harmed by the project, they can contact the project team.</w:t>
      </w:r>
      <w:r w:rsidRPr="00274980" w:rsidR="00BC31CB">
        <w:rPr>
          <w:rFonts w:asciiTheme="minorHAnsi" w:hAnsiTheme="minorHAnsi" w:cstheme="minorHAnsi"/>
        </w:rPr>
        <w:t xml:space="preserve"> Resources </w:t>
      </w:r>
      <w:r w:rsidRPr="00274980" w:rsidR="006038CC">
        <w:rPr>
          <w:rFonts w:asciiTheme="minorHAnsi" w:hAnsiTheme="minorHAnsi" w:cstheme="minorHAnsi"/>
        </w:rPr>
        <w:t xml:space="preserve">and help lines for individuals with postpartum depression </w:t>
      </w:r>
      <w:r w:rsidR="00B97C89">
        <w:rPr>
          <w:rFonts w:asciiTheme="minorHAnsi" w:hAnsiTheme="minorHAnsi" w:cstheme="minorHAnsi"/>
        </w:rPr>
        <w:t>are included in the information provided to participants.</w:t>
      </w:r>
    </w:p>
    <w:p w:rsidRPr="000667FD" w:rsidR="00970CF4" w:rsidP="00B7221C" w:rsidRDefault="00970CF4" w14:paraId="0CD76474"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Estimates of Annualized Burden Hours and Costs</w:t>
      </w:r>
    </w:p>
    <w:p w:rsidRPr="000667FD" w:rsidR="00970CF4" w:rsidP="005114BD" w:rsidRDefault="00CB4AE5" w14:paraId="6A16365E" w14:textId="12230A20">
      <w:pPr>
        <w:jc w:val="both"/>
        <w:rPr>
          <w:rFonts w:asciiTheme="minorHAnsi" w:hAnsiTheme="minorHAnsi" w:cstheme="minorHAnsi"/>
          <w:color w:val="000000"/>
        </w:rPr>
      </w:pPr>
      <w:r w:rsidRPr="0012238A">
        <w:rPr>
          <w:rFonts w:asciiTheme="minorHAnsi" w:hAnsiTheme="minorHAnsi" w:cstheme="minorHAnsi"/>
          <w:color w:val="000000"/>
        </w:rPr>
        <w:t xml:space="preserve">A two-step screening process is designed to rapidly include appropriate respondents in an initial pool; that screening taking 5 minutes. For those who pass the initial screening, a second screening assigning them to segment-specific groups will take approximately </w:t>
      </w:r>
      <w:r w:rsidR="00090D3E">
        <w:rPr>
          <w:rFonts w:asciiTheme="minorHAnsi" w:hAnsiTheme="minorHAnsi" w:cstheme="minorHAnsi"/>
          <w:color w:val="000000"/>
        </w:rPr>
        <w:t>5-7</w:t>
      </w:r>
      <w:r w:rsidRPr="0012238A">
        <w:rPr>
          <w:rFonts w:asciiTheme="minorHAnsi" w:hAnsiTheme="minorHAnsi" w:cstheme="minorHAnsi"/>
          <w:color w:val="000000"/>
        </w:rPr>
        <w:t xml:space="preserve"> minutes </w:t>
      </w:r>
      <w:r w:rsidRPr="0012238A" w:rsidR="00446927">
        <w:rPr>
          <w:rFonts w:asciiTheme="minorHAnsi" w:hAnsiTheme="minorHAnsi" w:cstheme="minorHAnsi"/>
          <w:color w:val="000000"/>
        </w:rPr>
        <w:t>(</w:t>
      </w:r>
      <w:r w:rsidRPr="0012238A" w:rsidR="00595C05">
        <w:rPr>
          <w:rFonts w:asciiTheme="minorHAnsi" w:hAnsiTheme="minorHAnsi" w:cstheme="minorHAnsi"/>
          <w:color w:val="000000"/>
        </w:rPr>
        <w:t xml:space="preserve">see </w:t>
      </w:r>
      <w:r w:rsidRPr="0012238A" w:rsidR="00E313AA">
        <w:rPr>
          <w:rFonts w:asciiTheme="minorHAnsi" w:hAnsiTheme="minorHAnsi" w:cstheme="minorHAnsi"/>
          <w:b/>
          <w:bCs/>
          <w:color w:val="000000"/>
        </w:rPr>
        <w:t xml:space="preserve">Attachment </w:t>
      </w:r>
      <w:r w:rsidRPr="0012238A" w:rsidR="00CB064C">
        <w:rPr>
          <w:rFonts w:asciiTheme="minorHAnsi" w:hAnsiTheme="minorHAnsi" w:cstheme="minorHAnsi"/>
          <w:b/>
          <w:bCs/>
          <w:color w:val="000000"/>
        </w:rPr>
        <w:t>A</w:t>
      </w:r>
      <w:r w:rsidRPr="0012238A" w:rsidR="00E313AA">
        <w:rPr>
          <w:rFonts w:asciiTheme="minorHAnsi" w:hAnsiTheme="minorHAnsi" w:cstheme="minorHAnsi"/>
          <w:b/>
          <w:bCs/>
          <w:color w:val="000000"/>
        </w:rPr>
        <w:t xml:space="preserve">: </w:t>
      </w:r>
      <w:r w:rsidRPr="0012238A">
        <w:rPr>
          <w:rFonts w:asciiTheme="minorHAnsi" w:hAnsiTheme="minorHAnsi" w:cstheme="minorHAnsi"/>
          <w:b/>
          <w:bCs/>
          <w:color w:val="000000"/>
        </w:rPr>
        <w:t xml:space="preserve">Initial </w:t>
      </w:r>
      <w:r w:rsidRPr="0012238A" w:rsidR="00E313AA">
        <w:rPr>
          <w:rFonts w:asciiTheme="minorHAnsi" w:hAnsiTheme="minorHAnsi" w:cstheme="minorHAnsi"/>
          <w:b/>
          <w:bCs/>
          <w:color w:val="000000"/>
        </w:rPr>
        <w:t>Screen</w:t>
      </w:r>
      <w:r w:rsidRPr="0012238A" w:rsidR="00832A7E">
        <w:rPr>
          <w:rFonts w:asciiTheme="minorHAnsi" w:hAnsiTheme="minorHAnsi" w:cstheme="minorHAnsi"/>
          <w:b/>
          <w:bCs/>
          <w:color w:val="000000"/>
        </w:rPr>
        <w:t xml:space="preserve">ing </w:t>
      </w:r>
      <w:r w:rsidRPr="0012238A" w:rsidR="00A30445">
        <w:rPr>
          <w:rFonts w:asciiTheme="minorHAnsi" w:hAnsiTheme="minorHAnsi" w:cstheme="minorHAnsi"/>
          <w:b/>
          <w:bCs/>
          <w:color w:val="000000"/>
        </w:rPr>
        <w:t>Instrument</w:t>
      </w:r>
      <w:r w:rsidRPr="0012238A">
        <w:rPr>
          <w:rFonts w:asciiTheme="minorHAnsi" w:hAnsiTheme="minorHAnsi" w:cstheme="minorHAnsi"/>
          <w:b/>
          <w:bCs/>
          <w:color w:val="000000"/>
        </w:rPr>
        <w:t xml:space="preserve"> and Attachment B: Segment-specific screener</w:t>
      </w:r>
      <w:r w:rsidRPr="0012238A" w:rsidR="00A30445">
        <w:rPr>
          <w:rFonts w:asciiTheme="minorHAnsi" w:hAnsiTheme="minorHAnsi" w:cstheme="minorHAnsi"/>
          <w:color w:val="000000"/>
        </w:rPr>
        <w:t>)</w:t>
      </w:r>
      <w:r w:rsidRPr="0012238A">
        <w:rPr>
          <w:rFonts w:asciiTheme="minorHAnsi" w:hAnsiTheme="minorHAnsi" w:cstheme="minorHAnsi"/>
          <w:color w:val="000000"/>
        </w:rPr>
        <w:t xml:space="preserve">. The focus group </w:t>
      </w:r>
      <w:r w:rsidRPr="0012238A">
        <w:rPr>
          <w:rFonts w:asciiTheme="minorHAnsi" w:hAnsiTheme="minorHAnsi" w:cstheme="minorHAnsi"/>
          <w:color w:val="000000"/>
        </w:rPr>
        <w:lastRenderedPageBreak/>
        <w:t xml:space="preserve">is planned for </w:t>
      </w:r>
      <w:r w:rsidRPr="0012238A" w:rsidR="003F2AE9">
        <w:rPr>
          <w:rFonts w:asciiTheme="minorHAnsi" w:hAnsiTheme="minorHAnsi" w:cstheme="minorHAnsi"/>
          <w:color w:val="000000"/>
        </w:rPr>
        <w:t>120</w:t>
      </w:r>
      <w:r w:rsidRPr="0012238A" w:rsidR="00832A7E">
        <w:rPr>
          <w:rFonts w:asciiTheme="minorHAnsi" w:hAnsiTheme="minorHAnsi" w:cstheme="minorHAnsi"/>
          <w:color w:val="000000"/>
        </w:rPr>
        <w:t xml:space="preserve"> minutes</w:t>
      </w:r>
      <w:r w:rsidRPr="0012238A" w:rsidR="0028445A">
        <w:rPr>
          <w:rFonts w:asciiTheme="minorHAnsi" w:hAnsiTheme="minorHAnsi" w:cstheme="minorHAnsi"/>
          <w:color w:val="000000"/>
        </w:rPr>
        <w:t xml:space="preserve"> (</w:t>
      </w:r>
      <w:r w:rsidRPr="0012238A" w:rsidR="0028445A">
        <w:rPr>
          <w:rFonts w:asciiTheme="minorHAnsi" w:hAnsiTheme="minorHAnsi" w:cstheme="minorHAnsi"/>
          <w:b/>
          <w:bCs/>
          <w:color w:val="000000"/>
        </w:rPr>
        <w:t xml:space="preserve">see </w:t>
      </w:r>
      <w:r w:rsidRPr="0012238A" w:rsidR="00E313AA">
        <w:rPr>
          <w:rFonts w:asciiTheme="minorHAnsi" w:hAnsiTheme="minorHAnsi" w:cstheme="minorHAnsi"/>
          <w:b/>
          <w:bCs/>
          <w:color w:val="000000"/>
        </w:rPr>
        <w:t xml:space="preserve">Attachment </w:t>
      </w:r>
      <w:r w:rsidRPr="0012238A" w:rsidR="002D1D16">
        <w:rPr>
          <w:rFonts w:asciiTheme="minorHAnsi" w:hAnsiTheme="minorHAnsi" w:cstheme="minorHAnsi"/>
          <w:b/>
          <w:bCs/>
          <w:color w:val="000000"/>
        </w:rPr>
        <w:t>C</w:t>
      </w:r>
      <w:r w:rsidRPr="0012238A" w:rsidR="00E313AA">
        <w:rPr>
          <w:rFonts w:asciiTheme="minorHAnsi" w:hAnsiTheme="minorHAnsi" w:cstheme="minorHAnsi"/>
          <w:b/>
          <w:bCs/>
          <w:color w:val="000000"/>
        </w:rPr>
        <w:t xml:space="preserve">: </w:t>
      </w:r>
      <w:r w:rsidRPr="0012238A" w:rsidR="002D1D16">
        <w:rPr>
          <w:rFonts w:asciiTheme="minorHAnsi" w:hAnsiTheme="minorHAnsi" w:cstheme="minorHAnsi"/>
          <w:b/>
          <w:bCs/>
          <w:color w:val="000000"/>
        </w:rPr>
        <w:t xml:space="preserve">Focus Group Moderator’s </w:t>
      </w:r>
      <w:r w:rsidRPr="0012238A" w:rsidR="0055072C">
        <w:rPr>
          <w:rFonts w:asciiTheme="minorHAnsi" w:hAnsiTheme="minorHAnsi" w:cstheme="minorHAnsi"/>
          <w:b/>
          <w:bCs/>
          <w:color w:val="000000"/>
        </w:rPr>
        <w:t>Guide)</w:t>
      </w:r>
      <w:r w:rsidR="005114BD">
        <w:rPr>
          <w:rFonts w:asciiTheme="minorHAnsi" w:hAnsiTheme="minorHAnsi" w:cstheme="minorHAnsi"/>
          <w:b/>
          <w:bCs/>
          <w:color w:val="000000"/>
        </w:rPr>
        <w:t xml:space="preserve">. </w:t>
      </w:r>
      <w:r w:rsidRPr="005B3ED3" w:rsidR="00970CF4">
        <w:rPr>
          <w:rFonts w:asciiTheme="minorHAnsi" w:hAnsiTheme="minorHAnsi" w:cstheme="minorHAnsi"/>
          <w:color w:val="000000"/>
        </w:rPr>
        <w:t>Table A-1</w:t>
      </w:r>
      <w:r w:rsidR="005114BD">
        <w:rPr>
          <w:rFonts w:asciiTheme="minorHAnsi" w:hAnsiTheme="minorHAnsi" w:cstheme="minorHAnsi"/>
          <w:color w:val="000000"/>
        </w:rPr>
        <w:t>4</w:t>
      </w:r>
      <w:r w:rsidRPr="005B3ED3" w:rsidR="00970CF4">
        <w:rPr>
          <w:rFonts w:asciiTheme="minorHAnsi" w:hAnsiTheme="minorHAnsi" w:cstheme="minorHAnsi"/>
          <w:color w:val="000000"/>
        </w:rPr>
        <w:t xml:space="preserve"> shows estimated burden and cost information.</w:t>
      </w:r>
      <w:r w:rsidRPr="000667FD" w:rsidR="00970CF4">
        <w:rPr>
          <w:rFonts w:asciiTheme="minorHAnsi" w:hAnsiTheme="minorHAnsi" w:cstheme="minorHAnsi"/>
          <w:color w:val="000000"/>
        </w:rPr>
        <w:t xml:space="preserve"> </w:t>
      </w:r>
    </w:p>
    <w:p w:rsidRPr="005B3ED3" w:rsidR="00970CF4" w:rsidP="00B7221C" w:rsidRDefault="001E6493" w14:paraId="554939CF" w14:textId="756B1763">
      <w:pPr>
        <w:pStyle w:val="Heading2"/>
        <w:numPr>
          <w:ilvl w:val="0"/>
          <w:numId w:val="4"/>
        </w:numPr>
        <w:rPr>
          <w:rFonts w:asciiTheme="minorHAnsi" w:hAnsiTheme="minorHAnsi" w:cstheme="minorHAnsi"/>
        </w:rPr>
      </w:pPr>
      <w:r>
        <w:rPr>
          <w:rFonts w:eastAsia="Times New Roman" w:asciiTheme="minorHAnsi" w:hAnsiTheme="minorHAnsi" w:cstheme="minorHAnsi"/>
          <w:b w:val="0"/>
          <w:bCs w:val="0"/>
          <w:color w:val="auto"/>
          <w:sz w:val="24"/>
          <w:szCs w:val="24"/>
        </w:rPr>
        <w:t xml:space="preserve">  </w:t>
      </w:r>
      <w:r w:rsidRPr="005B3ED3" w:rsidR="00970CF4">
        <w:rPr>
          <w:rFonts w:asciiTheme="minorHAnsi" w:hAnsiTheme="minorHAnsi" w:cstheme="minorHAnsi"/>
        </w:rPr>
        <w:t>Estimates of Annualized Burden Hours and Costs</w:t>
      </w:r>
    </w:p>
    <w:p w:rsidR="00970CF4" w:rsidP="00C3358E" w:rsidRDefault="00AE27C3" w14:paraId="108E4A25" w14:textId="2F8E7F7D">
      <w:pPr>
        <w:jc w:val="both"/>
        <w:rPr>
          <w:rFonts w:eastAsia="SimSun" w:asciiTheme="minorHAnsi" w:hAnsiTheme="minorHAnsi" w:cstheme="minorHAnsi"/>
        </w:rPr>
      </w:pPr>
      <w:r w:rsidRPr="00274980">
        <w:rPr>
          <w:rFonts w:eastAsia="SimSun" w:asciiTheme="minorHAnsi" w:hAnsiTheme="minorHAnsi" w:cstheme="minorHAnsi"/>
        </w:rPr>
        <w:t>OWH</w:t>
      </w:r>
      <w:r w:rsidRPr="00274980" w:rsidR="00776C8D">
        <w:rPr>
          <w:rFonts w:eastAsia="SimSun" w:asciiTheme="minorHAnsi" w:hAnsiTheme="minorHAnsi" w:cstheme="minorHAnsi"/>
        </w:rPr>
        <w:t xml:space="preserve"> expects that participants will incur no costs beyond the burden hours required to </w:t>
      </w:r>
      <w:r w:rsidRPr="00274980" w:rsidR="00375B2A">
        <w:rPr>
          <w:rFonts w:eastAsia="SimSun" w:asciiTheme="minorHAnsi" w:hAnsiTheme="minorHAnsi" w:cstheme="minorHAnsi"/>
        </w:rPr>
        <w:t>answer screening questions</w:t>
      </w:r>
      <w:r w:rsidRPr="00274980">
        <w:rPr>
          <w:rFonts w:eastAsia="SimSun" w:asciiTheme="minorHAnsi" w:hAnsiTheme="minorHAnsi" w:cstheme="minorHAnsi"/>
        </w:rPr>
        <w:t xml:space="preserve"> and </w:t>
      </w:r>
      <w:r w:rsidRPr="00274980" w:rsidR="006038CC">
        <w:rPr>
          <w:rFonts w:eastAsia="SimSun" w:asciiTheme="minorHAnsi" w:hAnsiTheme="minorHAnsi" w:cstheme="minorHAnsi"/>
        </w:rPr>
        <w:t xml:space="preserve">complete the </w:t>
      </w:r>
      <w:r w:rsidR="00390455">
        <w:rPr>
          <w:rFonts w:eastAsia="SimSun" w:asciiTheme="minorHAnsi" w:hAnsiTheme="minorHAnsi" w:cstheme="minorHAnsi"/>
        </w:rPr>
        <w:t>focus group</w:t>
      </w:r>
      <w:r w:rsidR="0071638B">
        <w:rPr>
          <w:rFonts w:eastAsia="SimSun" w:asciiTheme="minorHAnsi" w:hAnsiTheme="minorHAnsi" w:cstheme="minorHAnsi"/>
        </w:rPr>
        <w:t>.</w:t>
      </w:r>
      <w:r>
        <w:rPr>
          <w:rFonts w:eastAsia="SimSun" w:asciiTheme="minorHAnsi" w:hAnsiTheme="minorHAnsi" w:cstheme="minorHAnsi"/>
        </w:rPr>
        <w:t xml:space="preserve"> </w:t>
      </w:r>
    </w:p>
    <w:p w:rsidR="00590DA2" w:rsidP="00C3358E" w:rsidRDefault="00590DA2" w14:paraId="08BDB448" w14:textId="70B9E7C6">
      <w:pPr>
        <w:jc w:val="both"/>
        <w:rPr>
          <w:rFonts w:eastAsia="SimSun" w:asciiTheme="minorHAnsi" w:hAnsiTheme="minorHAnsi" w:cstheme="minorHAnsi"/>
        </w:rPr>
      </w:pPr>
    </w:p>
    <w:p w:rsidR="00590DA2" w:rsidP="00590DA2" w:rsidRDefault="00590DA2" w14:paraId="14C16CCC" w14:textId="7B7DFEAE">
      <w:pPr>
        <w:rPr>
          <w:rFonts w:asciiTheme="minorHAnsi" w:hAnsiTheme="minorHAnsi" w:cstheme="minorHAnsi"/>
          <w:b/>
          <w:bCs/>
        </w:rPr>
      </w:pPr>
      <w:r w:rsidRPr="00590DA2">
        <w:rPr>
          <w:rFonts w:asciiTheme="minorHAnsi" w:hAnsiTheme="minorHAnsi" w:cstheme="minorHAnsi"/>
          <w:b/>
          <w:bCs/>
        </w:rPr>
        <w:t>Table A-12: Estimated Annualized Burden Hours and Costs to Participants</w:t>
      </w:r>
    </w:p>
    <w:tbl>
      <w:tblPr>
        <w:tblStyle w:val="TableGrid1"/>
        <w:tblW w:w="0" w:type="auto"/>
        <w:tblLook w:val="04A0" w:firstRow="1" w:lastRow="0" w:firstColumn="1" w:lastColumn="0" w:noHBand="0" w:noVBand="1"/>
      </w:tblPr>
      <w:tblGrid>
        <w:gridCol w:w="1870"/>
        <w:gridCol w:w="1870"/>
        <w:gridCol w:w="1870"/>
        <w:gridCol w:w="1870"/>
        <w:gridCol w:w="1870"/>
      </w:tblGrid>
      <w:tr w:rsidRPr="00724D57" w:rsidR="00724D57" w:rsidTr="001B6681" w14:paraId="53DF16FD" w14:textId="77777777">
        <w:tc>
          <w:tcPr>
            <w:tcW w:w="1870" w:type="dxa"/>
          </w:tcPr>
          <w:p w:rsidRPr="00724D57" w:rsidR="00724D57" w:rsidP="00724D57" w:rsidRDefault="00724D57" w14:paraId="2FC95697" w14:textId="77777777">
            <w:pPr>
              <w:rPr>
                <w:rFonts w:asciiTheme="minorHAnsi" w:hAnsiTheme="minorHAnsi" w:eastAsiaTheme="minorHAnsi" w:cstheme="minorBidi"/>
                <w:sz w:val="22"/>
                <w:szCs w:val="22"/>
              </w:rPr>
            </w:pPr>
            <w:r w:rsidRPr="00724D57">
              <w:rPr>
                <w:rFonts w:asciiTheme="minorHAnsi" w:hAnsiTheme="minorHAnsi" w:eastAsiaTheme="minorHAnsi" w:cstheme="minorBidi"/>
                <w:sz w:val="22"/>
                <w:szCs w:val="22"/>
              </w:rPr>
              <w:t>Type of Respondent</w:t>
            </w:r>
          </w:p>
        </w:tc>
        <w:tc>
          <w:tcPr>
            <w:tcW w:w="1870" w:type="dxa"/>
          </w:tcPr>
          <w:p w:rsidRPr="00724D57" w:rsidR="00724D57" w:rsidP="00724D57" w:rsidRDefault="00724D57" w14:paraId="5A0BAE21" w14:textId="77777777">
            <w:pPr>
              <w:rPr>
                <w:rFonts w:asciiTheme="minorHAnsi" w:hAnsiTheme="minorHAnsi" w:eastAsiaTheme="minorHAnsi" w:cstheme="minorBidi"/>
                <w:sz w:val="22"/>
                <w:szCs w:val="22"/>
              </w:rPr>
            </w:pPr>
            <w:r w:rsidRPr="00724D57">
              <w:rPr>
                <w:rFonts w:asciiTheme="minorHAnsi" w:hAnsiTheme="minorHAnsi" w:eastAsiaTheme="minorHAnsi" w:cstheme="minorBidi"/>
                <w:sz w:val="22"/>
                <w:szCs w:val="22"/>
              </w:rPr>
              <w:t>No. of Respondents</w:t>
            </w:r>
          </w:p>
        </w:tc>
        <w:tc>
          <w:tcPr>
            <w:tcW w:w="1870" w:type="dxa"/>
          </w:tcPr>
          <w:p w:rsidRPr="00724D57" w:rsidR="00724D57" w:rsidP="00724D57" w:rsidRDefault="00724D57" w14:paraId="0D240893" w14:textId="77777777">
            <w:pPr>
              <w:rPr>
                <w:rFonts w:asciiTheme="minorHAnsi" w:hAnsiTheme="minorHAnsi" w:eastAsiaTheme="minorHAnsi" w:cstheme="minorBidi"/>
                <w:sz w:val="22"/>
                <w:szCs w:val="22"/>
              </w:rPr>
            </w:pPr>
            <w:r w:rsidRPr="00724D57">
              <w:rPr>
                <w:rFonts w:asciiTheme="minorHAnsi" w:hAnsiTheme="minorHAnsi" w:eastAsiaTheme="minorHAnsi" w:cstheme="minorBidi"/>
                <w:sz w:val="22"/>
                <w:szCs w:val="22"/>
              </w:rPr>
              <w:t>No. of Responses per Respondent</w:t>
            </w:r>
          </w:p>
        </w:tc>
        <w:tc>
          <w:tcPr>
            <w:tcW w:w="1870" w:type="dxa"/>
          </w:tcPr>
          <w:p w:rsidRPr="00724D57" w:rsidR="00724D57" w:rsidP="00724D57" w:rsidRDefault="00724D57" w14:paraId="3A69A80C" w14:textId="77777777">
            <w:pPr>
              <w:rPr>
                <w:rFonts w:asciiTheme="minorHAnsi" w:hAnsiTheme="minorHAnsi" w:eastAsiaTheme="minorHAnsi" w:cstheme="minorBidi"/>
                <w:sz w:val="22"/>
                <w:szCs w:val="22"/>
              </w:rPr>
            </w:pPr>
            <w:r w:rsidRPr="00724D57">
              <w:rPr>
                <w:rFonts w:asciiTheme="minorHAnsi" w:hAnsiTheme="minorHAnsi" w:eastAsiaTheme="minorHAnsi" w:cstheme="minorBidi"/>
                <w:sz w:val="22"/>
                <w:szCs w:val="22"/>
              </w:rPr>
              <w:t>Average Burden per Response (in hours)</w:t>
            </w:r>
          </w:p>
        </w:tc>
        <w:tc>
          <w:tcPr>
            <w:tcW w:w="1870" w:type="dxa"/>
          </w:tcPr>
          <w:p w:rsidRPr="00724D57" w:rsidR="00724D57" w:rsidP="00724D57" w:rsidRDefault="00724D57" w14:paraId="0260BA7E" w14:textId="77777777">
            <w:pPr>
              <w:rPr>
                <w:rFonts w:asciiTheme="minorHAnsi" w:hAnsiTheme="minorHAnsi" w:eastAsiaTheme="minorHAnsi" w:cstheme="minorBidi"/>
                <w:sz w:val="22"/>
                <w:szCs w:val="22"/>
              </w:rPr>
            </w:pPr>
            <w:r w:rsidRPr="00724D57">
              <w:rPr>
                <w:rFonts w:asciiTheme="minorHAnsi" w:hAnsiTheme="minorHAnsi" w:eastAsiaTheme="minorHAnsi" w:cstheme="minorBidi"/>
                <w:sz w:val="22"/>
                <w:szCs w:val="22"/>
              </w:rPr>
              <w:t>Total Burden Hours</w:t>
            </w:r>
          </w:p>
        </w:tc>
      </w:tr>
      <w:tr w:rsidRPr="00724D57" w:rsidR="00724D57" w:rsidTr="001B6681" w14:paraId="0B9A160B" w14:textId="77777777">
        <w:tc>
          <w:tcPr>
            <w:tcW w:w="1870" w:type="dxa"/>
          </w:tcPr>
          <w:p w:rsidRPr="00724D57" w:rsidR="00724D57" w:rsidP="00A71229" w:rsidRDefault="00724D57" w14:paraId="3081CFFD" w14:textId="77777777">
            <w:pPr>
              <w:rPr>
                <w:rFonts w:cs="Calibri" w:eastAsiaTheme="minorHAnsi"/>
                <w:color w:val="000000"/>
                <w:sz w:val="22"/>
                <w:szCs w:val="22"/>
              </w:rPr>
            </w:pPr>
            <w:r w:rsidRPr="00724D57">
              <w:rPr>
                <w:rFonts w:cs="Calibri" w:eastAsiaTheme="minorHAnsi"/>
                <w:color w:val="000000"/>
                <w:sz w:val="22"/>
                <w:szCs w:val="22"/>
              </w:rPr>
              <w:t>Initial screening</w:t>
            </w:r>
          </w:p>
        </w:tc>
        <w:tc>
          <w:tcPr>
            <w:tcW w:w="1870" w:type="dxa"/>
          </w:tcPr>
          <w:p w:rsidRPr="00724D57" w:rsidR="00724D57" w:rsidP="00A71229" w:rsidRDefault="00724D57" w14:paraId="7F14F2D9" w14:textId="77777777">
            <w:pPr>
              <w:jc w:val="center"/>
              <w:rPr>
                <w:rFonts w:asciiTheme="minorHAnsi" w:hAnsiTheme="minorHAnsi" w:eastAsiaTheme="minorHAnsi" w:cstheme="minorBidi"/>
                <w:sz w:val="22"/>
                <w:szCs w:val="22"/>
              </w:rPr>
            </w:pPr>
            <w:r w:rsidRPr="00724D57">
              <w:rPr>
                <w:rFonts w:asciiTheme="minorHAnsi" w:hAnsiTheme="minorHAnsi" w:eastAsiaTheme="minorHAnsi" w:cstheme="minorBidi"/>
                <w:sz w:val="22"/>
                <w:szCs w:val="22"/>
              </w:rPr>
              <w:t>434</w:t>
            </w:r>
          </w:p>
        </w:tc>
        <w:tc>
          <w:tcPr>
            <w:tcW w:w="1870" w:type="dxa"/>
          </w:tcPr>
          <w:p w:rsidRPr="00724D57" w:rsidR="00724D57" w:rsidP="00724D57" w:rsidRDefault="00724D57" w14:paraId="61B57C25" w14:textId="77777777">
            <w:pPr>
              <w:jc w:val="center"/>
              <w:rPr>
                <w:rFonts w:asciiTheme="minorHAnsi" w:hAnsiTheme="minorHAnsi" w:eastAsiaTheme="minorHAnsi" w:cstheme="minorBidi"/>
                <w:sz w:val="22"/>
                <w:szCs w:val="22"/>
              </w:rPr>
            </w:pPr>
            <w:r w:rsidRPr="00724D57">
              <w:rPr>
                <w:rFonts w:asciiTheme="minorHAnsi" w:hAnsiTheme="minorHAnsi" w:eastAsiaTheme="minorHAnsi" w:cstheme="minorBidi"/>
                <w:sz w:val="22"/>
                <w:szCs w:val="22"/>
              </w:rPr>
              <w:t>1</w:t>
            </w:r>
          </w:p>
        </w:tc>
        <w:tc>
          <w:tcPr>
            <w:tcW w:w="1870" w:type="dxa"/>
          </w:tcPr>
          <w:p w:rsidRPr="00724D57" w:rsidR="00724D57" w:rsidP="00724D57" w:rsidRDefault="00724D57" w14:paraId="0A688776" w14:textId="77777777">
            <w:pPr>
              <w:jc w:val="center"/>
              <w:rPr>
                <w:rFonts w:asciiTheme="minorHAnsi" w:hAnsiTheme="minorHAnsi" w:eastAsiaTheme="minorHAnsi" w:cstheme="minorBidi"/>
                <w:sz w:val="22"/>
                <w:szCs w:val="22"/>
              </w:rPr>
            </w:pPr>
            <w:r w:rsidRPr="00724D57">
              <w:rPr>
                <w:rFonts w:asciiTheme="minorHAnsi" w:hAnsiTheme="minorHAnsi" w:eastAsiaTheme="minorHAnsi" w:cstheme="minorBidi"/>
                <w:sz w:val="22"/>
                <w:szCs w:val="22"/>
              </w:rPr>
              <w:t>5/60</w:t>
            </w:r>
          </w:p>
        </w:tc>
        <w:tc>
          <w:tcPr>
            <w:tcW w:w="1870" w:type="dxa"/>
          </w:tcPr>
          <w:p w:rsidRPr="00724D57" w:rsidR="00724D57" w:rsidP="00DD30F9" w:rsidRDefault="00724D57" w14:paraId="6721828C" w14:textId="77777777">
            <w:pPr>
              <w:jc w:val="center"/>
              <w:rPr>
                <w:rFonts w:asciiTheme="minorHAnsi" w:hAnsiTheme="minorHAnsi" w:eastAsiaTheme="minorHAnsi" w:cstheme="minorBidi"/>
                <w:sz w:val="22"/>
                <w:szCs w:val="22"/>
              </w:rPr>
            </w:pPr>
            <w:r w:rsidRPr="00724D57">
              <w:rPr>
                <w:rFonts w:asciiTheme="minorHAnsi" w:hAnsiTheme="minorHAnsi" w:eastAsiaTheme="minorHAnsi" w:cstheme="minorBidi"/>
                <w:sz w:val="22"/>
                <w:szCs w:val="22"/>
              </w:rPr>
              <w:t>36.2</w:t>
            </w:r>
          </w:p>
        </w:tc>
      </w:tr>
      <w:tr w:rsidRPr="00724D57" w:rsidR="00724D57" w:rsidTr="001B6681" w14:paraId="5EC076DC" w14:textId="77777777">
        <w:tc>
          <w:tcPr>
            <w:tcW w:w="1870" w:type="dxa"/>
          </w:tcPr>
          <w:p w:rsidRPr="00724D57" w:rsidR="00724D57" w:rsidP="00A71229" w:rsidRDefault="00724D57" w14:paraId="314C6E07" w14:textId="77777777">
            <w:pPr>
              <w:rPr>
                <w:rFonts w:cs="Calibri" w:eastAsiaTheme="minorHAnsi"/>
                <w:color w:val="000000"/>
                <w:sz w:val="22"/>
                <w:szCs w:val="22"/>
              </w:rPr>
            </w:pPr>
            <w:r w:rsidRPr="00724D57">
              <w:rPr>
                <w:rFonts w:cs="Calibri" w:eastAsiaTheme="minorHAnsi"/>
                <w:color w:val="000000"/>
                <w:sz w:val="22"/>
                <w:szCs w:val="22"/>
              </w:rPr>
              <w:t>Second screening</w:t>
            </w:r>
          </w:p>
        </w:tc>
        <w:tc>
          <w:tcPr>
            <w:tcW w:w="1870" w:type="dxa"/>
          </w:tcPr>
          <w:p w:rsidRPr="00724D57" w:rsidR="00724D57" w:rsidP="00A71229" w:rsidRDefault="00724D57" w14:paraId="5C25C7B3" w14:textId="77777777">
            <w:pPr>
              <w:jc w:val="center"/>
              <w:rPr>
                <w:rFonts w:asciiTheme="minorHAnsi" w:hAnsiTheme="minorHAnsi" w:eastAsiaTheme="minorHAnsi" w:cstheme="minorBidi"/>
                <w:sz w:val="22"/>
                <w:szCs w:val="22"/>
              </w:rPr>
            </w:pPr>
            <w:r w:rsidRPr="00724D57">
              <w:rPr>
                <w:rFonts w:asciiTheme="minorHAnsi" w:hAnsiTheme="minorHAnsi" w:eastAsiaTheme="minorHAnsi" w:cstheme="minorBidi"/>
                <w:sz w:val="22"/>
                <w:szCs w:val="22"/>
              </w:rPr>
              <w:t>390</w:t>
            </w:r>
          </w:p>
        </w:tc>
        <w:tc>
          <w:tcPr>
            <w:tcW w:w="1870" w:type="dxa"/>
          </w:tcPr>
          <w:p w:rsidRPr="00724D57" w:rsidR="00724D57" w:rsidP="00724D57" w:rsidRDefault="00724D57" w14:paraId="306B10F8" w14:textId="77777777">
            <w:pPr>
              <w:jc w:val="center"/>
              <w:rPr>
                <w:rFonts w:asciiTheme="minorHAnsi" w:hAnsiTheme="minorHAnsi" w:eastAsiaTheme="minorHAnsi" w:cstheme="minorBidi"/>
                <w:sz w:val="22"/>
                <w:szCs w:val="22"/>
              </w:rPr>
            </w:pPr>
            <w:r w:rsidRPr="00724D57">
              <w:rPr>
                <w:rFonts w:asciiTheme="minorHAnsi" w:hAnsiTheme="minorHAnsi" w:eastAsiaTheme="minorHAnsi" w:cstheme="minorBidi"/>
                <w:sz w:val="22"/>
                <w:szCs w:val="22"/>
              </w:rPr>
              <w:t>1</w:t>
            </w:r>
          </w:p>
        </w:tc>
        <w:tc>
          <w:tcPr>
            <w:tcW w:w="1870" w:type="dxa"/>
          </w:tcPr>
          <w:p w:rsidRPr="00724D57" w:rsidR="00724D57" w:rsidP="00724D57" w:rsidRDefault="00724D57" w14:paraId="1676C600" w14:textId="77777777">
            <w:pPr>
              <w:jc w:val="center"/>
              <w:rPr>
                <w:rFonts w:asciiTheme="minorHAnsi" w:hAnsiTheme="minorHAnsi" w:eastAsiaTheme="minorHAnsi" w:cstheme="minorBidi"/>
                <w:sz w:val="22"/>
                <w:szCs w:val="22"/>
              </w:rPr>
            </w:pPr>
            <w:r w:rsidRPr="00724D57">
              <w:rPr>
                <w:rFonts w:asciiTheme="minorHAnsi" w:hAnsiTheme="minorHAnsi" w:eastAsiaTheme="minorHAnsi" w:cstheme="minorBidi"/>
                <w:sz w:val="22"/>
                <w:szCs w:val="22"/>
              </w:rPr>
              <w:t>7/60</w:t>
            </w:r>
          </w:p>
        </w:tc>
        <w:tc>
          <w:tcPr>
            <w:tcW w:w="1870" w:type="dxa"/>
          </w:tcPr>
          <w:p w:rsidRPr="00724D57" w:rsidR="00724D57" w:rsidP="00DD30F9" w:rsidRDefault="00724D57" w14:paraId="6596A18C" w14:textId="77777777">
            <w:pPr>
              <w:jc w:val="center"/>
              <w:rPr>
                <w:rFonts w:asciiTheme="minorHAnsi" w:hAnsiTheme="minorHAnsi" w:eastAsiaTheme="minorHAnsi" w:cstheme="minorBidi"/>
                <w:sz w:val="22"/>
                <w:szCs w:val="22"/>
              </w:rPr>
            </w:pPr>
            <w:r w:rsidRPr="00724D57">
              <w:rPr>
                <w:rFonts w:asciiTheme="minorHAnsi" w:hAnsiTheme="minorHAnsi" w:eastAsiaTheme="minorHAnsi" w:cstheme="minorBidi"/>
                <w:sz w:val="22"/>
                <w:szCs w:val="22"/>
              </w:rPr>
              <w:t>45.5</w:t>
            </w:r>
          </w:p>
        </w:tc>
      </w:tr>
      <w:tr w:rsidRPr="00724D57" w:rsidR="00724D57" w:rsidTr="001B6681" w14:paraId="6BCC27F2" w14:textId="77777777">
        <w:tc>
          <w:tcPr>
            <w:tcW w:w="1870" w:type="dxa"/>
          </w:tcPr>
          <w:p w:rsidRPr="00724D57" w:rsidR="00724D57" w:rsidP="00A71229" w:rsidRDefault="00724D57" w14:paraId="189CD18E" w14:textId="77777777">
            <w:pPr>
              <w:rPr>
                <w:rFonts w:cs="Calibri" w:eastAsiaTheme="minorHAnsi"/>
                <w:color w:val="000000"/>
                <w:sz w:val="22"/>
                <w:szCs w:val="22"/>
              </w:rPr>
            </w:pPr>
            <w:r w:rsidRPr="00724D57">
              <w:rPr>
                <w:rFonts w:cs="Calibri" w:eastAsiaTheme="minorHAnsi"/>
                <w:color w:val="000000"/>
                <w:sz w:val="22"/>
                <w:szCs w:val="22"/>
              </w:rPr>
              <w:t>Focus group participation accounting for no-shows/scheduling issues</w:t>
            </w:r>
          </w:p>
          <w:p w:rsidRPr="00724D57" w:rsidR="00724D57" w:rsidP="00A71229" w:rsidRDefault="00724D57" w14:paraId="5320032F" w14:textId="77777777">
            <w:pPr>
              <w:rPr>
                <w:rFonts w:asciiTheme="minorHAnsi" w:hAnsiTheme="minorHAnsi" w:eastAsiaTheme="minorHAnsi" w:cstheme="minorBidi"/>
                <w:sz w:val="22"/>
                <w:szCs w:val="22"/>
              </w:rPr>
            </w:pPr>
          </w:p>
        </w:tc>
        <w:tc>
          <w:tcPr>
            <w:tcW w:w="1870" w:type="dxa"/>
          </w:tcPr>
          <w:p w:rsidRPr="00724D57" w:rsidR="00724D57" w:rsidP="00A71229" w:rsidRDefault="00724D57" w14:paraId="0E2710AC" w14:textId="77777777">
            <w:pPr>
              <w:jc w:val="center"/>
              <w:rPr>
                <w:rFonts w:asciiTheme="minorHAnsi" w:hAnsiTheme="minorHAnsi" w:eastAsiaTheme="minorHAnsi" w:cstheme="minorBidi"/>
                <w:sz w:val="22"/>
                <w:szCs w:val="22"/>
              </w:rPr>
            </w:pPr>
            <w:r w:rsidRPr="00724D57">
              <w:rPr>
                <w:rFonts w:asciiTheme="minorHAnsi" w:hAnsiTheme="minorHAnsi" w:eastAsiaTheme="minorHAnsi" w:cstheme="minorBidi"/>
                <w:sz w:val="22"/>
                <w:szCs w:val="22"/>
              </w:rPr>
              <w:t>300</w:t>
            </w:r>
          </w:p>
        </w:tc>
        <w:tc>
          <w:tcPr>
            <w:tcW w:w="1870" w:type="dxa"/>
          </w:tcPr>
          <w:p w:rsidRPr="00724D57" w:rsidR="00724D57" w:rsidP="00724D57" w:rsidRDefault="00724D57" w14:paraId="0BB74DDC" w14:textId="77777777">
            <w:pPr>
              <w:jc w:val="center"/>
              <w:rPr>
                <w:rFonts w:asciiTheme="minorHAnsi" w:hAnsiTheme="minorHAnsi" w:eastAsiaTheme="minorHAnsi" w:cstheme="minorBidi"/>
                <w:sz w:val="22"/>
                <w:szCs w:val="22"/>
              </w:rPr>
            </w:pPr>
            <w:r w:rsidRPr="00724D57">
              <w:rPr>
                <w:rFonts w:asciiTheme="minorHAnsi" w:hAnsiTheme="minorHAnsi" w:eastAsiaTheme="minorHAnsi" w:cstheme="minorBidi"/>
                <w:sz w:val="22"/>
                <w:szCs w:val="22"/>
              </w:rPr>
              <w:t>1</w:t>
            </w:r>
          </w:p>
        </w:tc>
        <w:tc>
          <w:tcPr>
            <w:tcW w:w="1870" w:type="dxa"/>
          </w:tcPr>
          <w:p w:rsidRPr="00724D57" w:rsidR="00724D57" w:rsidP="00724D57" w:rsidRDefault="00724D57" w14:paraId="1232AD51" w14:textId="77777777">
            <w:pPr>
              <w:jc w:val="center"/>
              <w:rPr>
                <w:rFonts w:asciiTheme="minorHAnsi" w:hAnsiTheme="minorHAnsi" w:eastAsiaTheme="minorHAnsi" w:cstheme="minorBidi"/>
                <w:sz w:val="22"/>
                <w:szCs w:val="22"/>
              </w:rPr>
            </w:pPr>
            <w:r w:rsidRPr="00724D57">
              <w:rPr>
                <w:rFonts w:asciiTheme="minorHAnsi" w:hAnsiTheme="minorHAnsi" w:eastAsiaTheme="minorHAnsi" w:cstheme="minorBidi"/>
                <w:sz w:val="22"/>
                <w:szCs w:val="22"/>
              </w:rPr>
              <w:t>2</w:t>
            </w:r>
          </w:p>
        </w:tc>
        <w:tc>
          <w:tcPr>
            <w:tcW w:w="1870" w:type="dxa"/>
          </w:tcPr>
          <w:p w:rsidRPr="00724D57" w:rsidR="00724D57" w:rsidP="00DD30F9" w:rsidRDefault="00724D57" w14:paraId="3D2FBF56" w14:textId="77777777">
            <w:pPr>
              <w:jc w:val="center"/>
              <w:rPr>
                <w:rFonts w:asciiTheme="minorHAnsi" w:hAnsiTheme="minorHAnsi" w:eastAsiaTheme="minorHAnsi" w:cstheme="minorBidi"/>
                <w:sz w:val="22"/>
                <w:szCs w:val="22"/>
              </w:rPr>
            </w:pPr>
            <w:r w:rsidRPr="00724D57">
              <w:rPr>
                <w:rFonts w:asciiTheme="minorHAnsi" w:hAnsiTheme="minorHAnsi" w:eastAsiaTheme="minorHAnsi" w:cstheme="minorBidi"/>
                <w:sz w:val="22"/>
                <w:szCs w:val="22"/>
              </w:rPr>
              <w:t>600</w:t>
            </w:r>
          </w:p>
        </w:tc>
      </w:tr>
      <w:tr w:rsidRPr="00724D57" w:rsidR="00724D57" w:rsidTr="001B6681" w14:paraId="75DFE1E1" w14:textId="77777777">
        <w:tc>
          <w:tcPr>
            <w:tcW w:w="1870" w:type="dxa"/>
          </w:tcPr>
          <w:p w:rsidRPr="00724D57" w:rsidR="00724D57" w:rsidP="00724D57" w:rsidRDefault="00724D57" w14:paraId="122569BA" w14:textId="77777777">
            <w:pPr>
              <w:rPr>
                <w:rFonts w:asciiTheme="minorHAnsi" w:hAnsiTheme="minorHAnsi" w:eastAsiaTheme="minorHAnsi" w:cstheme="minorBidi"/>
                <w:sz w:val="22"/>
                <w:szCs w:val="22"/>
              </w:rPr>
            </w:pPr>
          </w:p>
        </w:tc>
        <w:tc>
          <w:tcPr>
            <w:tcW w:w="1870" w:type="dxa"/>
          </w:tcPr>
          <w:p w:rsidRPr="00724D57" w:rsidR="00724D57" w:rsidP="00724D57" w:rsidRDefault="00724D57" w14:paraId="4055ACF5" w14:textId="77777777">
            <w:pPr>
              <w:rPr>
                <w:rFonts w:asciiTheme="minorHAnsi" w:hAnsiTheme="minorHAnsi" w:eastAsiaTheme="minorHAnsi" w:cstheme="minorBidi"/>
                <w:sz w:val="22"/>
                <w:szCs w:val="22"/>
              </w:rPr>
            </w:pPr>
          </w:p>
        </w:tc>
        <w:tc>
          <w:tcPr>
            <w:tcW w:w="1870" w:type="dxa"/>
          </w:tcPr>
          <w:p w:rsidRPr="00724D57" w:rsidR="00724D57" w:rsidP="00724D57" w:rsidRDefault="00724D57" w14:paraId="31D9092C" w14:textId="77777777">
            <w:pPr>
              <w:rPr>
                <w:rFonts w:asciiTheme="minorHAnsi" w:hAnsiTheme="minorHAnsi" w:eastAsiaTheme="minorHAnsi" w:cstheme="minorBidi"/>
                <w:sz w:val="22"/>
                <w:szCs w:val="22"/>
              </w:rPr>
            </w:pPr>
          </w:p>
        </w:tc>
        <w:tc>
          <w:tcPr>
            <w:tcW w:w="1870" w:type="dxa"/>
          </w:tcPr>
          <w:p w:rsidRPr="00724D57" w:rsidR="00724D57" w:rsidP="00BB5022" w:rsidRDefault="00724D57" w14:paraId="6E41B27A" w14:textId="77777777">
            <w:pPr>
              <w:jc w:val="right"/>
              <w:rPr>
                <w:rFonts w:asciiTheme="minorHAnsi" w:hAnsiTheme="minorHAnsi" w:eastAsiaTheme="minorHAnsi" w:cstheme="minorBidi"/>
                <w:b/>
                <w:bCs/>
                <w:sz w:val="22"/>
                <w:szCs w:val="22"/>
              </w:rPr>
            </w:pPr>
            <w:r w:rsidRPr="00724D57">
              <w:rPr>
                <w:rFonts w:asciiTheme="minorHAnsi" w:hAnsiTheme="minorHAnsi" w:eastAsiaTheme="minorHAnsi" w:cstheme="minorBidi"/>
                <w:b/>
                <w:bCs/>
                <w:sz w:val="22"/>
                <w:szCs w:val="22"/>
              </w:rPr>
              <w:t>Total Burden Hours</w:t>
            </w:r>
          </w:p>
        </w:tc>
        <w:tc>
          <w:tcPr>
            <w:tcW w:w="1870" w:type="dxa"/>
          </w:tcPr>
          <w:p w:rsidRPr="00724D57" w:rsidR="00724D57" w:rsidP="00DD30F9" w:rsidRDefault="00724D57" w14:paraId="6968D5D3" w14:textId="77777777">
            <w:pPr>
              <w:jc w:val="center"/>
              <w:rPr>
                <w:rFonts w:asciiTheme="minorHAnsi" w:hAnsiTheme="minorHAnsi" w:eastAsiaTheme="minorHAnsi" w:cstheme="minorBidi"/>
                <w:b/>
                <w:bCs/>
                <w:sz w:val="22"/>
                <w:szCs w:val="22"/>
              </w:rPr>
            </w:pPr>
            <w:r w:rsidRPr="00724D57">
              <w:rPr>
                <w:rFonts w:asciiTheme="minorHAnsi" w:hAnsiTheme="minorHAnsi" w:eastAsiaTheme="minorHAnsi" w:cstheme="minorBidi"/>
                <w:b/>
                <w:bCs/>
                <w:sz w:val="22"/>
                <w:szCs w:val="22"/>
              </w:rPr>
              <w:t>681.7</w:t>
            </w:r>
          </w:p>
        </w:tc>
      </w:tr>
      <w:tr w:rsidRPr="00724D57" w:rsidR="00724D57" w:rsidTr="001B6681" w14:paraId="5C316596" w14:textId="77777777">
        <w:tc>
          <w:tcPr>
            <w:tcW w:w="1870" w:type="dxa"/>
          </w:tcPr>
          <w:p w:rsidRPr="00724D57" w:rsidR="00724D57" w:rsidP="00724D57" w:rsidRDefault="00724D57" w14:paraId="28E979F6" w14:textId="77777777">
            <w:pPr>
              <w:rPr>
                <w:rFonts w:asciiTheme="minorHAnsi" w:hAnsiTheme="minorHAnsi" w:eastAsiaTheme="minorHAnsi" w:cstheme="minorBidi"/>
                <w:sz w:val="22"/>
                <w:szCs w:val="22"/>
              </w:rPr>
            </w:pPr>
          </w:p>
        </w:tc>
        <w:tc>
          <w:tcPr>
            <w:tcW w:w="1870" w:type="dxa"/>
          </w:tcPr>
          <w:p w:rsidRPr="00724D57" w:rsidR="00724D57" w:rsidP="00724D57" w:rsidRDefault="00724D57" w14:paraId="1FF8AAB6" w14:textId="77777777">
            <w:pPr>
              <w:rPr>
                <w:rFonts w:asciiTheme="minorHAnsi" w:hAnsiTheme="minorHAnsi" w:eastAsiaTheme="minorHAnsi" w:cstheme="minorBidi"/>
                <w:sz w:val="22"/>
                <w:szCs w:val="22"/>
              </w:rPr>
            </w:pPr>
          </w:p>
        </w:tc>
        <w:tc>
          <w:tcPr>
            <w:tcW w:w="1870" w:type="dxa"/>
          </w:tcPr>
          <w:p w:rsidRPr="00724D57" w:rsidR="00724D57" w:rsidP="00724D57" w:rsidRDefault="00724D57" w14:paraId="21B9C184" w14:textId="77777777">
            <w:pPr>
              <w:rPr>
                <w:rFonts w:asciiTheme="minorHAnsi" w:hAnsiTheme="minorHAnsi" w:eastAsiaTheme="minorHAnsi" w:cstheme="minorBidi"/>
                <w:sz w:val="22"/>
                <w:szCs w:val="22"/>
              </w:rPr>
            </w:pPr>
          </w:p>
        </w:tc>
        <w:tc>
          <w:tcPr>
            <w:tcW w:w="1870" w:type="dxa"/>
          </w:tcPr>
          <w:p w:rsidRPr="00724D57" w:rsidR="00724D57" w:rsidP="00724D57" w:rsidRDefault="00724D57" w14:paraId="6E419DAC" w14:textId="77777777">
            <w:pPr>
              <w:rPr>
                <w:rFonts w:asciiTheme="minorHAnsi" w:hAnsiTheme="minorHAnsi" w:eastAsiaTheme="minorHAnsi" w:cstheme="minorBidi"/>
                <w:sz w:val="22"/>
                <w:szCs w:val="22"/>
              </w:rPr>
            </w:pPr>
          </w:p>
        </w:tc>
        <w:tc>
          <w:tcPr>
            <w:tcW w:w="1870" w:type="dxa"/>
          </w:tcPr>
          <w:p w:rsidRPr="00724D57" w:rsidR="00724D57" w:rsidP="00724D57" w:rsidRDefault="00724D57" w14:paraId="664ABC94" w14:textId="77777777">
            <w:pPr>
              <w:rPr>
                <w:rFonts w:asciiTheme="minorHAnsi" w:hAnsiTheme="minorHAnsi" w:eastAsiaTheme="minorHAnsi" w:cstheme="minorBidi"/>
                <w:sz w:val="22"/>
                <w:szCs w:val="22"/>
              </w:rPr>
            </w:pPr>
          </w:p>
        </w:tc>
      </w:tr>
    </w:tbl>
    <w:p w:rsidR="00724D57" w:rsidP="00970CF4" w:rsidRDefault="00724D57" w14:paraId="247198CF" w14:textId="77777777">
      <w:pPr>
        <w:rPr>
          <w:rFonts w:asciiTheme="minorHAnsi" w:hAnsiTheme="minorHAnsi" w:cstheme="minorHAnsi"/>
          <w:b/>
          <w:color w:val="000000"/>
        </w:rPr>
      </w:pPr>
    </w:p>
    <w:p w:rsidR="00970CF4" w:rsidP="00970CF4" w:rsidRDefault="00970CF4" w14:paraId="78F483CE" w14:textId="0ED5357C">
      <w:pPr>
        <w:rPr>
          <w:rFonts w:asciiTheme="minorHAnsi" w:hAnsiTheme="minorHAnsi" w:cstheme="minorHAnsi"/>
          <w:b/>
          <w:color w:val="000000"/>
        </w:rPr>
      </w:pPr>
      <w:r w:rsidRPr="000667FD">
        <w:rPr>
          <w:rFonts w:asciiTheme="minorHAnsi" w:hAnsiTheme="minorHAnsi" w:cstheme="minorHAnsi"/>
          <w:b/>
          <w:color w:val="000000"/>
        </w:rPr>
        <w:t>Table A-14: Estimated Annualized Cost to the Federal Government</w:t>
      </w:r>
    </w:p>
    <w:tbl>
      <w:tblPr>
        <w:tblW w:w="963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77"/>
        <w:gridCol w:w="1710"/>
        <w:gridCol w:w="2543"/>
      </w:tblGrid>
      <w:tr w:rsidRPr="00CA3CF1" w:rsidR="00CA3CF1" w:rsidTr="00D01037" w14:paraId="06696AB6" w14:textId="77777777">
        <w:tc>
          <w:tcPr>
            <w:tcW w:w="5377" w:type="dxa"/>
            <w:shd w:val="clear" w:color="auto" w:fill="auto"/>
          </w:tcPr>
          <w:p w:rsidRPr="00CA3CF1" w:rsidR="00CA3CF1" w:rsidP="00CA3CF1" w:rsidRDefault="00CA3CF1" w14:paraId="33BBDACE" w14:textId="77777777">
            <w:pPr>
              <w:rPr>
                <w:rFonts w:asciiTheme="minorHAnsi" w:hAnsiTheme="minorHAnsi" w:cstheme="minorHAnsi"/>
                <w:b/>
                <w:bCs/>
                <w:color w:val="000000"/>
              </w:rPr>
            </w:pPr>
            <w:r w:rsidRPr="00CA3CF1">
              <w:rPr>
                <w:rFonts w:asciiTheme="minorHAnsi" w:hAnsiTheme="minorHAnsi" w:cstheme="minorHAnsi"/>
                <w:b/>
                <w:bCs/>
                <w:color w:val="000000"/>
              </w:rPr>
              <w:t>Source of Cost</w:t>
            </w:r>
          </w:p>
        </w:tc>
        <w:tc>
          <w:tcPr>
            <w:tcW w:w="1710" w:type="dxa"/>
            <w:shd w:val="clear" w:color="auto" w:fill="auto"/>
          </w:tcPr>
          <w:p w:rsidRPr="00CA3CF1" w:rsidR="00CA3CF1" w:rsidP="00CA3CF1" w:rsidRDefault="00CA3CF1" w14:paraId="48C5CE94" w14:textId="77777777">
            <w:pPr>
              <w:rPr>
                <w:rFonts w:asciiTheme="minorHAnsi" w:hAnsiTheme="minorHAnsi" w:cstheme="minorHAnsi"/>
                <w:b/>
                <w:bCs/>
                <w:color w:val="000000"/>
              </w:rPr>
            </w:pPr>
            <w:r w:rsidRPr="00CA3CF1">
              <w:rPr>
                <w:rFonts w:asciiTheme="minorHAnsi" w:hAnsiTheme="minorHAnsi" w:cstheme="minorHAnsi"/>
                <w:b/>
                <w:bCs/>
                <w:color w:val="000000"/>
              </w:rPr>
              <w:t>Unit Cost</w:t>
            </w:r>
          </w:p>
        </w:tc>
        <w:tc>
          <w:tcPr>
            <w:tcW w:w="2543" w:type="dxa"/>
            <w:shd w:val="clear" w:color="auto" w:fill="auto"/>
          </w:tcPr>
          <w:p w:rsidRPr="00CA3CF1" w:rsidR="00CA3CF1" w:rsidP="00CA3CF1" w:rsidRDefault="00CA3CF1" w14:paraId="6792D104" w14:textId="77777777">
            <w:pPr>
              <w:rPr>
                <w:rFonts w:asciiTheme="minorHAnsi" w:hAnsiTheme="minorHAnsi" w:cstheme="minorHAnsi"/>
                <w:b/>
                <w:bCs/>
                <w:color w:val="000000"/>
              </w:rPr>
            </w:pPr>
            <w:r w:rsidRPr="00CA3CF1">
              <w:rPr>
                <w:rFonts w:asciiTheme="minorHAnsi" w:hAnsiTheme="minorHAnsi" w:cstheme="minorHAnsi"/>
                <w:b/>
                <w:bCs/>
                <w:color w:val="000000"/>
              </w:rPr>
              <w:t xml:space="preserve">Total Cost for Task </w:t>
            </w:r>
          </w:p>
        </w:tc>
      </w:tr>
      <w:tr w:rsidRPr="00CA3CF1" w:rsidR="00CA3CF1" w:rsidTr="00D01037" w14:paraId="124F0939" w14:textId="77777777">
        <w:tc>
          <w:tcPr>
            <w:tcW w:w="5377" w:type="dxa"/>
            <w:shd w:val="clear" w:color="auto" w:fill="auto"/>
          </w:tcPr>
          <w:p w:rsidRPr="00CA3CF1" w:rsidR="00CA3CF1" w:rsidP="00CA3CF1" w:rsidRDefault="00CA3CF1" w14:paraId="152F7CF2" w14:textId="77777777">
            <w:pPr>
              <w:rPr>
                <w:rFonts w:asciiTheme="minorHAnsi" w:hAnsiTheme="minorHAnsi" w:cstheme="minorHAnsi"/>
                <w:b/>
                <w:bCs/>
                <w:color w:val="000000"/>
              </w:rPr>
            </w:pPr>
            <w:r w:rsidRPr="00CA3CF1">
              <w:rPr>
                <w:rFonts w:asciiTheme="minorHAnsi" w:hAnsiTheme="minorHAnsi" w:cstheme="minorHAnsi"/>
                <w:b/>
                <w:bCs/>
                <w:color w:val="000000"/>
              </w:rPr>
              <w:t>LTG personnel costs</w:t>
            </w:r>
          </w:p>
        </w:tc>
        <w:tc>
          <w:tcPr>
            <w:tcW w:w="1710" w:type="dxa"/>
            <w:shd w:val="clear" w:color="auto" w:fill="auto"/>
          </w:tcPr>
          <w:p w:rsidRPr="00CA3CF1" w:rsidR="00CA3CF1" w:rsidP="00CA3CF1" w:rsidRDefault="00CA3CF1" w14:paraId="59D90590" w14:textId="77777777">
            <w:pPr>
              <w:rPr>
                <w:rFonts w:asciiTheme="minorHAnsi" w:hAnsiTheme="minorHAnsi" w:cstheme="minorHAnsi"/>
                <w:b/>
                <w:bCs/>
                <w:color w:val="000000"/>
              </w:rPr>
            </w:pPr>
            <w:r w:rsidRPr="00CA3CF1">
              <w:rPr>
                <w:rFonts w:asciiTheme="minorHAnsi" w:hAnsiTheme="minorHAnsi" w:cstheme="minorHAnsi"/>
                <w:b/>
                <w:bCs/>
                <w:color w:val="000000"/>
              </w:rPr>
              <w:t>N/A</w:t>
            </w:r>
          </w:p>
        </w:tc>
        <w:tc>
          <w:tcPr>
            <w:tcW w:w="2543" w:type="dxa"/>
            <w:shd w:val="clear" w:color="auto" w:fill="auto"/>
          </w:tcPr>
          <w:p w:rsidRPr="00CA3CF1" w:rsidR="00CA3CF1" w:rsidP="00CA3CF1" w:rsidRDefault="00CA3CF1" w14:paraId="75B7413F" w14:textId="77777777">
            <w:pPr>
              <w:rPr>
                <w:rFonts w:asciiTheme="minorHAnsi" w:hAnsiTheme="minorHAnsi" w:cstheme="minorHAnsi"/>
                <w:b/>
                <w:bCs/>
                <w:color w:val="000000"/>
              </w:rPr>
            </w:pPr>
            <w:r w:rsidRPr="00CA3CF1">
              <w:rPr>
                <w:rFonts w:asciiTheme="minorHAnsi" w:hAnsiTheme="minorHAnsi" w:cstheme="minorHAnsi"/>
                <w:b/>
                <w:bCs/>
                <w:color w:val="000000"/>
              </w:rPr>
              <w:t>TBD</w:t>
            </w:r>
          </w:p>
        </w:tc>
      </w:tr>
      <w:tr w:rsidRPr="00CA3CF1" w:rsidR="00CA3CF1" w:rsidTr="00D01037" w14:paraId="2FB1C1A3" w14:textId="77777777">
        <w:tc>
          <w:tcPr>
            <w:tcW w:w="5377" w:type="dxa"/>
            <w:shd w:val="clear" w:color="auto" w:fill="auto"/>
          </w:tcPr>
          <w:p w:rsidRPr="00CA3CF1" w:rsidR="00CA3CF1" w:rsidP="00CA3CF1" w:rsidRDefault="00CA3CF1" w14:paraId="7D218294" w14:textId="77777777">
            <w:pPr>
              <w:rPr>
                <w:rFonts w:asciiTheme="minorHAnsi" w:hAnsiTheme="minorHAnsi" w:cstheme="minorHAnsi"/>
                <w:b/>
                <w:bCs/>
                <w:color w:val="000000"/>
              </w:rPr>
            </w:pPr>
            <w:r w:rsidRPr="00CA3CF1">
              <w:rPr>
                <w:rFonts w:asciiTheme="minorHAnsi" w:hAnsiTheme="minorHAnsi" w:cstheme="minorHAnsi"/>
                <w:b/>
                <w:bCs/>
                <w:color w:val="000000"/>
              </w:rPr>
              <w:t>NORC personnel costs</w:t>
            </w:r>
          </w:p>
        </w:tc>
        <w:tc>
          <w:tcPr>
            <w:tcW w:w="1710" w:type="dxa"/>
            <w:shd w:val="clear" w:color="auto" w:fill="auto"/>
          </w:tcPr>
          <w:p w:rsidRPr="00CA3CF1" w:rsidR="00CA3CF1" w:rsidP="00CA3CF1" w:rsidRDefault="00CA3CF1" w14:paraId="099B74C9" w14:textId="77777777">
            <w:pPr>
              <w:rPr>
                <w:rFonts w:asciiTheme="minorHAnsi" w:hAnsiTheme="minorHAnsi" w:cstheme="minorHAnsi"/>
                <w:b/>
                <w:bCs/>
                <w:color w:val="000000"/>
              </w:rPr>
            </w:pPr>
            <w:r w:rsidRPr="00CA3CF1">
              <w:rPr>
                <w:rFonts w:asciiTheme="minorHAnsi" w:hAnsiTheme="minorHAnsi" w:cstheme="minorHAnsi"/>
                <w:b/>
                <w:bCs/>
                <w:color w:val="000000"/>
              </w:rPr>
              <w:t>N/A</w:t>
            </w:r>
          </w:p>
        </w:tc>
        <w:tc>
          <w:tcPr>
            <w:tcW w:w="2543" w:type="dxa"/>
            <w:shd w:val="clear" w:color="auto" w:fill="auto"/>
          </w:tcPr>
          <w:p w:rsidRPr="00CA3CF1" w:rsidR="00CA3CF1" w:rsidP="00CA3CF1" w:rsidRDefault="00CA3CF1" w14:paraId="2BDBF0CD" w14:textId="77777777">
            <w:pPr>
              <w:rPr>
                <w:rFonts w:asciiTheme="minorHAnsi" w:hAnsiTheme="minorHAnsi" w:cstheme="minorHAnsi"/>
                <w:b/>
                <w:bCs/>
                <w:color w:val="000000"/>
              </w:rPr>
            </w:pPr>
            <w:r w:rsidRPr="00CA3CF1">
              <w:rPr>
                <w:rFonts w:asciiTheme="minorHAnsi" w:hAnsiTheme="minorHAnsi" w:cstheme="minorHAnsi"/>
                <w:b/>
                <w:bCs/>
                <w:color w:val="000000"/>
              </w:rPr>
              <w:t>TBD</w:t>
            </w:r>
          </w:p>
        </w:tc>
      </w:tr>
      <w:tr w:rsidRPr="00CA3CF1" w:rsidR="00CA3CF1" w:rsidTr="00D01037" w14:paraId="4BFA8FB0" w14:textId="77777777">
        <w:tc>
          <w:tcPr>
            <w:tcW w:w="5377" w:type="dxa"/>
            <w:shd w:val="clear" w:color="auto" w:fill="auto"/>
          </w:tcPr>
          <w:p w:rsidRPr="00CA3CF1" w:rsidR="00CA3CF1" w:rsidP="00CA3CF1" w:rsidRDefault="00CA3CF1" w14:paraId="515E69E6" w14:textId="77777777">
            <w:pPr>
              <w:rPr>
                <w:rFonts w:asciiTheme="minorHAnsi" w:hAnsiTheme="minorHAnsi" w:cstheme="minorHAnsi"/>
                <w:b/>
                <w:bCs/>
                <w:color w:val="000000"/>
              </w:rPr>
            </w:pPr>
            <w:r w:rsidRPr="00CA3CF1">
              <w:rPr>
                <w:rFonts w:asciiTheme="minorHAnsi" w:hAnsiTheme="minorHAnsi" w:cstheme="minorHAnsi"/>
                <w:b/>
                <w:bCs/>
                <w:color w:val="000000"/>
              </w:rPr>
              <w:t>Focus group moderator costs</w:t>
            </w:r>
          </w:p>
        </w:tc>
        <w:tc>
          <w:tcPr>
            <w:tcW w:w="1710" w:type="dxa"/>
            <w:shd w:val="clear" w:color="auto" w:fill="auto"/>
          </w:tcPr>
          <w:p w:rsidRPr="00CA3CF1" w:rsidR="00CA3CF1" w:rsidP="00CA3CF1" w:rsidRDefault="00CA3CF1" w14:paraId="2E1174AC" w14:textId="77777777">
            <w:pPr>
              <w:rPr>
                <w:rFonts w:asciiTheme="minorHAnsi" w:hAnsiTheme="minorHAnsi" w:cstheme="minorHAnsi"/>
                <w:b/>
                <w:bCs/>
                <w:color w:val="000000"/>
              </w:rPr>
            </w:pPr>
            <w:r w:rsidRPr="00CA3CF1">
              <w:rPr>
                <w:rFonts w:asciiTheme="minorHAnsi" w:hAnsiTheme="minorHAnsi" w:cstheme="minorHAnsi"/>
                <w:b/>
                <w:bCs/>
                <w:color w:val="000000"/>
              </w:rPr>
              <w:t>$750/group</w:t>
            </w:r>
          </w:p>
        </w:tc>
        <w:tc>
          <w:tcPr>
            <w:tcW w:w="2543" w:type="dxa"/>
            <w:shd w:val="clear" w:color="auto" w:fill="auto"/>
          </w:tcPr>
          <w:p w:rsidRPr="00CA3CF1" w:rsidR="00CA3CF1" w:rsidP="00CA3CF1" w:rsidRDefault="00CA3CF1" w14:paraId="6EB5B556" w14:textId="77777777">
            <w:pPr>
              <w:rPr>
                <w:rFonts w:asciiTheme="minorHAnsi" w:hAnsiTheme="minorHAnsi" w:cstheme="minorHAnsi"/>
                <w:b/>
                <w:bCs/>
                <w:color w:val="000000"/>
              </w:rPr>
            </w:pPr>
            <w:r w:rsidRPr="00CA3CF1">
              <w:rPr>
                <w:rFonts w:asciiTheme="minorHAnsi" w:hAnsiTheme="minorHAnsi" w:cstheme="minorHAnsi"/>
                <w:b/>
                <w:bCs/>
                <w:color w:val="000000"/>
              </w:rPr>
              <w:t>$22,500</w:t>
            </w:r>
          </w:p>
        </w:tc>
      </w:tr>
      <w:tr w:rsidRPr="00CA3CF1" w:rsidR="00CA3CF1" w:rsidTr="00D01037" w14:paraId="51EE04F6" w14:textId="77777777">
        <w:tc>
          <w:tcPr>
            <w:tcW w:w="5377" w:type="dxa"/>
            <w:shd w:val="clear" w:color="auto" w:fill="auto"/>
          </w:tcPr>
          <w:p w:rsidRPr="00CA3CF1" w:rsidR="00CA3CF1" w:rsidP="00CA3CF1" w:rsidRDefault="00CA3CF1" w14:paraId="66673F0F" w14:textId="77777777">
            <w:pPr>
              <w:rPr>
                <w:rFonts w:asciiTheme="minorHAnsi" w:hAnsiTheme="minorHAnsi" w:cstheme="minorHAnsi"/>
                <w:b/>
                <w:bCs/>
                <w:color w:val="000000"/>
              </w:rPr>
            </w:pPr>
            <w:r w:rsidRPr="00CA3CF1">
              <w:rPr>
                <w:rFonts w:asciiTheme="minorHAnsi" w:hAnsiTheme="minorHAnsi" w:cstheme="minorHAnsi"/>
                <w:b/>
                <w:bCs/>
                <w:color w:val="000000"/>
              </w:rPr>
              <w:t xml:space="preserve">Incentives for respondents  </w:t>
            </w:r>
          </w:p>
        </w:tc>
        <w:tc>
          <w:tcPr>
            <w:tcW w:w="1710" w:type="dxa"/>
            <w:shd w:val="clear" w:color="auto" w:fill="auto"/>
          </w:tcPr>
          <w:p w:rsidRPr="00CA3CF1" w:rsidR="00CA3CF1" w:rsidP="00CA3CF1" w:rsidRDefault="00CA3CF1" w14:paraId="21EB0069" w14:textId="77777777">
            <w:pPr>
              <w:rPr>
                <w:rFonts w:asciiTheme="minorHAnsi" w:hAnsiTheme="minorHAnsi" w:cstheme="minorHAnsi"/>
                <w:b/>
                <w:bCs/>
                <w:color w:val="000000"/>
              </w:rPr>
            </w:pPr>
            <w:r w:rsidRPr="00CA3CF1">
              <w:rPr>
                <w:rFonts w:asciiTheme="minorHAnsi" w:hAnsiTheme="minorHAnsi" w:cstheme="minorHAnsi"/>
                <w:b/>
                <w:bCs/>
                <w:color w:val="000000"/>
              </w:rPr>
              <w:t>$100 x 300</w:t>
            </w:r>
          </w:p>
        </w:tc>
        <w:tc>
          <w:tcPr>
            <w:tcW w:w="2543" w:type="dxa"/>
            <w:shd w:val="clear" w:color="auto" w:fill="auto"/>
          </w:tcPr>
          <w:p w:rsidRPr="00CA3CF1" w:rsidR="00CA3CF1" w:rsidP="00CA3CF1" w:rsidRDefault="00CA3CF1" w14:paraId="4F7B8D71" w14:textId="70F9F3C3">
            <w:pPr>
              <w:rPr>
                <w:rFonts w:asciiTheme="minorHAnsi" w:hAnsiTheme="minorHAnsi" w:cstheme="minorHAnsi"/>
                <w:b/>
                <w:bCs/>
                <w:color w:val="000000"/>
              </w:rPr>
            </w:pPr>
            <w:r w:rsidRPr="00CA3CF1">
              <w:rPr>
                <w:rFonts w:asciiTheme="minorHAnsi" w:hAnsiTheme="minorHAnsi" w:cstheme="minorHAnsi"/>
                <w:b/>
                <w:bCs/>
                <w:color w:val="000000"/>
              </w:rPr>
              <w:t>$30,000</w:t>
            </w:r>
          </w:p>
        </w:tc>
      </w:tr>
      <w:tr w:rsidRPr="00CA3CF1" w:rsidR="00CA3CF1" w:rsidTr="00D01037" w14:paraId="64A913F7" w14:textId="77777777">
        <w:tc>
          <w:tcPr>
            <w:tcW w:w="5377" w:type="dxa"/>
            <w:shd w:val="clear" w:color="auto" w:fill="auto"/>
          </w:tcPr>
          <w:p w:rsidRPr="00CA3CF1" w:rsidR="00CA3CF1" w:rsidP="00CA3CF1" w:rsidRDefault="00CA3CF1" w14:paraId="33413433" w14:textId="77777777">
            <w:pPr>
              <w:rPr>
                <w:rFonts w:asciiTheme="minorHAnsi" w:hAnsiTheme="minorHAnsi" w:cstheme="minorHAnsi"/>
                <w:b/>
                <w:bCs/>
                <w:color w:val="000000"/>
              </w:rPr>
            </w:pPr>
            <w:r w:rsidRPr="00CA3CF1">
              <w:rPr>
                <w:rFonts w:asciiTheme="minorHAnsi" w:hAnsiTheme="minorHAnsi" w:cstheme="minorHAnsi"/>
                <w:b/>
                <w:bCs/>
                <w:color w:val="000000"/>
              </w:rPr>
              <w:t>Incentive handling charge</w:t>
            </w:r>
          </w:p>
        </w:tc>
        <w:tc>
          <w:tcPr>
            <w:tcW w:w="1710" w:type="dxa"/>
            <w:shd w:val="clear" w:color="auto" w:fill="auto"/>
          </w:tcPr>
          <w:p w:rsidRPr="00CA3CF1" w:rsidR="00CA3CF1" w:rsidP="00CA3CF1" w:rsidRDefault="00CA3CF1" w14:paraId="677C5268" w14:textId="77777777">
            <w:pPr>
              <w:rPr>
                <w:rFonts w:asciiTheme="minorHAnsi" w:hAnsiTheme="minorHAnsi" w:cstheme="minorHAnsi"/>
                <w:b/>
                <w:bCs/>
                <w:color w:val="000000"/>
              </w:rPr>
            </w:pPr>
            <w:r w:rsidRPr="00CA3CF1">
              <w:rPr>
                <w:rFonts w:asciiTheme="minorHAnsi" w:hAnsiTheme="minorHAnsi" w:cstheme="minorHAnsi"/>
                <w:b/>
                <w:bCs/>
                <w:color w:val="000000"/>
              </w:rPr>
              <w:t>$7 x 300</w:t>
            </w:r>
          </w:p>
        </w:tc>
        <w:tc>
          <w:tcPr>
            <w:tcW w:w="2543" w:type="dxa"/>
            <w:shd w:val="clear" w:color="auto" w:fill="auto"/>
          </w:tcPr>
          <w:p w:rsidRPr="00CA3CF1" w:rsidR="00CA3CF1" w:rsidP="00CA3CF1" w:rsidRDefault="00CA3CF1" w14:paraId="27723D5E" w14:textId="77777777">
            <w:pPr>
              <w:rPr>
                <w:rFonts w:asciiTheme="minorHAnsi" w:hAnsiTheme="minorHAnsi" w:cstheme="minorHAnsi"/>
                <w:b/>
                <w:bCs/>
                <w:color w:val="000000"/>
              </w:rPr>
            </w:pPr>
            <w:r w:rsidRPr="00CA3CF1">
              <w:rPr>
                <w:rFonts w:asciiTheme="minorHAnsi" w:hAnsiTheme="minorHAnsi" w:cstheme="minorHAnsi"/>
                <w:b/>
                <w:bCs/>
                <w:color w:val="000000"/>
              </w:rPr>
              <w:t>$2,100</w:t>
            </w:r>
          </w:p>
        </w:tc>
      </w:tr>
      <w:tr w:rsidRPr="00CA3CF1" w:rsidR="00CA3CF1" w:rsidTr="00D01037" w14:paraId="71772299" w14:textId="77777777">
        <w:tc>
          <w:tcPr>
            <w:tcW w:w="5377" w:type="dxa"/>
            <w:shd w:val="clear" w:color="auto" w:fill="auto"/>
          </w:tcPr>
          <w:p w:rsidRPr="00CA3CF1" w:rsidR="00CA3CF1" w:rsidP="00CA3CF1" w:rsidRDefault="00CA3CF1" w14:paraId="456FDC3F" w14:textId="77777777">
            <w:pPr>
              <w:rPr>
                <w:rFonts w:asciiTheme="minorHAnsi" w:hAnsiTheme="minorHAnsi" w:cstheme="minorHAnsi"/>
                <w:b/>
                <w:bCs/>
                <w:color w:val="000000"/>
              </w:rPr>
            </w:pPr>
            <w:r w:rsidRPr="00CA3CF1">
              <w:rPr>
                <w:rFonts w:asciiTheme="minorHAnsi" w:hAnsiTheme="minorHAnsi" w:cstheme="minorHAnsi"/>
                <w:b/>
                <w:bCs/>
                <w:color w:val="000000"/>
              </w:rPr>
              <w:t>Recruitment costs</w:t>
            </w:r>
          </w:p>
        </w:tc>
        <w:tc>
          <w:tcPr>
            <w:tcW w:w="1710" w:type="dxa"/>
            <w:shd w:val="clear" w:color="auto" w:fill="auto"/>
          </w:tcPr>
          <w:p w:rsidRPr="00CA3CF1" w:rsidR="00CA3CF1" w:rsidP="00CA3CF1" w:rsidRDefault="00CA3CF1" w14:paraId="6F613DD7" w14:textId="77777777">
            <w:pPr>
              <w:rPr>
                <w:rFonts w:asciiTheme="minorHAnsi" w:hAnsiTheme="minorHAnsi" w:cstheme="minorHAnsi"/>
                <w:b/>
                <w:bCs/>
                <w:color w:val="000000"/>
              </w:rPr>
            </w:pPr>
            <w:r w:rsidRPr="00CA3CF1">
              <w:rPr>
                <w:rFonts w:asciiTheme="minorHAnsi" w:hAnsiTheme="minorHAnsi" w:cstheme="minorHAnsi"/>
                <w:b/>
                <w:bCs/>
                <w:color w:val="000000"/>
              </w:rPr>
              <w:t>$125 x 360*</w:t>
            </w:r>
          </w:p>
        </w:tc>
        <w:tc>
          <w:tcPr>
            <w:tcW w:w="2543" w:type="dxa"/>
            <w:shd w:val="clear" w:color="auto" w:fill="auto"/>
          </w:tcPr>
          <w:p w:rsidRPr="00CA3CF1" w:rsidR="00CA3CF1" w:rsidP="00CA3CF1" w:rsidRDefault="00CA3CF1" w14:paraId="008E62F6" w14:textId="77777777">
            <w:pPr>
              <w:rPr>
                <w:rFonts w:asciiTheme="minorHAnsi" w:hAnsiTheme="minorHAnsi" w:cstheme="minorHAnsi"/>
                <w:b/>
                <w:bCs/>
                <w:color w:val="000000"/>
              </w:rPr>
            </w:pPr>
            <w:r w:rsidRPr="00CA3CF1">
              <w:rPr>
                <w:rFonts w:asciiTheme="minorHAnsi" w:hAnsiTheme="minorHAnsi" w:cstheme="minorHAnsi"/>
                <w:b/>
                <w:bCs/>
                <w:color w:val="000000"/>
              </w:rPr>
              <w:t>$45,000</w:t>
            </w:r>
          </w:p>
        </w:tc>
      </w:tr>
      <w:tr w:rsidRPr="00CA3CF1" w:rsidR="00CA3CF1" w:rsidTr="00D01037" w14:paraId="391A709E" w14:textId="77777777">
        <w:tc>
          <w:tcPr>
            <w:tcW w:w="5377" w:type="dxa"/>
            <w:shd w:val="clear" w:color="auto" w:fill="auto"/>
          </w:tcPr>
          <w:p w:rsidRPr="00CA3CF1" w:rsidR="00CA3CF1" w:rsidP="00CA3CF1" w:rsidRDefault="00CA3CF1" w14:paraId="0277405F" w14:textId="77777777">
            <w:pPr>
              <w:rPr>
                <w:rFonts w:asciiTheme="minorHAnsi" w:hAnsiTheme="minorHAnsi" w:cstheme="minorHAnsi"/>
                <w:b/>
                <w:bCs/>
                <w:color w:val="000000"/>
              </w:rPr>
            </w:pPr>
            <w:r w:rsidRPr="00CA3CF1">
              <w:rPr>
                <w:rFonts w:asciiTheme="minorHAnsi" w:hAnsiTheme="minorHAnsi" w:cstheme="minorHAnsi"/>
                <w:b/>
                <w:bCs/>
                <w:color w:val="000000"/>
              </w:rPr>
              <w:t>Project set-up and management charge</w:t>
            </w:r>
          </w:p>
        </w:tc>
        <w:tc>
          <w:tcPr>
            <w:tcW w:w="1710" w:type="dxa"/>
            <w:shd w:val="clear" w:color="auto" w:fill="auto"/>
          </w:tcPr>
          <w:p w:rsidRPr="00CA3CF1" w:rsidR="00CA3CF1" w:rsidP="00CA3CF1" w:rsidRDefault="00CA3CF1" w14:paraId="33ED3409" w14:textId="77777777">
            <w:pPr>
              <w:rPr>
                <w:rFonts w:asciiTheme="minorHAnsi" w:hAnsiTheme="minorHAnsi" w:cstheme="minorHAnsi"/>
                <w:b/>
                <w:bCs/>
                <w:color w:val="000000"/>
              </w:rPr>
            </w:pPr>
            <w:r w:rsidRPr="00CA3CF1">
              <w:rPr>
                <w:rFonts w:asciiTheme="minorHAnsi" w:hAnsiTheme="minorHAnsi" w:cstheme="minorHAnsi"/>
                <w:b/>
                <w:bCs/>
                <w:color w:val="000000"/>
              </w:rPr>
              <w:t>$300 x 1</w:t>
            </w:r>
          </w:p>
        </w:tc>
        <w:tc>
          <w:tcPr>
            <w:tcW w:w="2543" w:type="dxa"/>
            <w:shd w:val="clear" w:color="auto" w:fill="auto"/>
          </w:tcPr>
          <w:p w:rsidRPr="00CA3CF1" w:rsidR="00CA3CF1" w:rsidP="00CA3CF1" w:rsidRDefault="00CA3CF1" w14:paraId="2DF2079A" w14:textId="77777777">
            <w:pPr>
              <w:rPr>
                <w:rFonts w:asciiTheme="minorHAnsi" w:hAnsiTheme="minorHAnsi" w:cstheme="minorHAnsi"/>
                <w:b/>
                <w:bCs/>
                <w:color w:val="000000"/>
              </w:rPr>
            </w:pPr>
            <w:r w:rsidRPr="00CA3CF1">
              <w:rPr>
                <w:rFonts w:asciiTheme="minorHAnsi" w:hAnsiTheme="minorHAnsi" w:cstheme="minorHAnsi"/>
                <w:b/>
                <w:bCs/>
                <w:color w:val="000000"/>
              </w:rPr>
              <w:t>$300</w:t>
            </w:r>
          </w:p>
        </w:tc>
      </w:tr>
      <w:tr w:rsidRPr="00CA3CF1" w:rsidR="00CA3CF1" w:rsidTr="00D01037" w14:paraId="68AE1693" w14:textId="77777777">
        <w:tc>
          <w:tcPr>
            <w:tcW w:w="5377" w:type="dxa"/>
            <w:shd w:val="clear" w:color="auto" w:fill="auto"/>
          </w:tcPr>
          <w:p w:rsidRPr="00CA3CF1" w:rsidR="00CA3CF1" w:rsidP="00CA3CF1" w:rsidRDefault="00CA3CF1" w14:paraId="465F36CA" w14:textId="77777777">
            <w:pPr>
              <w:rPr>
                <w:rFonts w:asciiTheme="minorHAnsi" w:hAnsiTheme="minorHAnsi" w:cstheme="minorHAnsi"/>
                <w:b/>
                <w:bCs/>
                <w:color w:val="000000"/>
              </w:rPr>
            </w:pPr>
            <w:r w:rsidRPr="00CA3CF1">
              <w:rPr>
                <w:rFonts w:asciiTheme="minorHAnsi" w:hAnsiTheme="minorHAnsi" w:cstheme="minorHAnsi"/>
                <w:b/>
                <w:bCs/>
                <w:color w:val="000000"/>
              </w:rPr>
              <w:t>Other costs (transcription)</w:t>
            </w:r>
          </w:p>
        </w:tc>
        <w:tc>
          <w:tcPr>
            <w:tcW w:w="1710" w:type="dxa"/>
            <w:shd w:val="clear" w:color="auto" w:fill="auto"/>
          </w:tcPr>
          <w:p w:rsidRPr="00CA3CF1" w:rsidR="00CA3CF1" w:rsidP="00CA3CF1" w:rsidRDefault="00CA3CF1" w14:paraId="4DC5B19C" w14:textId="77777777">
            <w:pPr>
              <w:rPr>
                <w:rFonts w:asciiTheme="minorHAnsi" w:hAnsiTheme="minorHAnsi" w:cstheme="minorHAnsi"/>
                <w:b/>
                <w:bCs/>
                <w:color w:val="000000"/>
              </w:rPr>
            </w:pPr>
            <w:r w:rsidRPr="00CA3CF1">
              <w:rPr>
                <w:rFonts w:asciiTheme="minorHAnsi" w:hAnsiTheme="minorHAnsi" w:cstheme="minorHAnsi"/>
                <w:b/>
                <w:bCs/>
                <w:color w:val="000000"/>
              </w:rPr>
              <w:t>$350 x 30</w:t>
            </w:r>
          </w:p>
        </w:tc>
        <w:tc>
          <w:tcPr>
            <w:tcW w:w="2543" w:type="dxa"/>
            <w:shd w:val="clear" w:color="auto" w:fill="auto"/>
          </w:tcPr>
          <w:p w:rsidRPr="00CA3CF1" w:rsidR="00CA3CF1" w:rsidP="00CA3CF1" w:rsidRDefault="00CA3CF1" w14:paraId="343B796D" w14:textId="77777777">
            <w:pPr>
              <w:rPr>
                <w:rFonts w:asciiTheme="minorHAnsi" w:hAnsiTheme="minorHAnsi" w:cstheme="minorHAnsi"/>
                <w:b/>
                <w:bCs/>
                <w:color w:val="000000"/>
              </w:rPr>
            </w:pPr>
            <w:r w:rsidRPr="00CA3CF1">
              <w:rPr>
                <w:rFonts w:asciiTheme="minorHAnsi" w:hAnsiTheme="minorHAnsi" w:cstheme="minorHAnsi"/>
                <w:b/>
                <w:bCs/>
                <w:color w:val="000000"/>
              </w:rPr>
              <w:t>$10,500</w:t>
            </w:r>
          </w:p>
        </w:tc>
      </w:tr>
      <w:tr w:rsidRPr="00CA3CF1" w:rsidR="00CA3CF1" w:rsidTr="00D01037" w14:paraId="54357C46" w14:textId="77777777">
        <w:tc>
          <w:tcPr>
            <w:tcW w:w="7087" w:type="dxa"/>
            <w:gridSpan w:val="2"/>
            <w:shd w:val="clear" w:color="auto" w:fill="auto"/>
            <w:vAlign w:val="center"/>
          </w:tcPr>
          <w:p w:rsidRPr="00CA3CF1" w:rsidR="00CA3CF1" w:rsidP="00CA3CF1" w:rsidRDefault="00CA3CF1" w14:paraId="79A4E648" w14:textId="77777777">
            <w:pPr>
              <w:rPr>
                <w:rFonts w:asciiTheme="minorHAnsi" w:hAnsiTheme="minorHAnsi" w:cstheme="minorHAnsi"/>
                <w:b/>
                <w:color w:val="000000"/>
              </w:rPr>
            </w:pPr>
            <w:r w:rsidRPr="00CA3CF1">
              <w:rPr>
                <w:rFonts w:asciiTheme="minorHAnsi" w:hAnsiTheme="minorHAnsi" w:cstheme="minorHAnsi"/>
                <w:b/>
                <w:color w:val="000000"/>
              </w:rPr>
              <w:t>Total Estimated Cost:</w:t>
            </w:r>
          </w:p>
        </w:tc>
        <w:tc>
          <w:tcPr>
            <w:tcW w:w="2543" w:type="dxa"/>
            <w:shd w:val="clear" w:color="auto" w:fill="auto"/>
          </w:tcPr>
          <w:p w:rsidRPr="00CA3CF1" w:rsidR="00CA3CF1" w:rsidP="00CA3CF1" w:rsidRDefault="00CA3CF1" w14:paraId="4623530A" w14:textId="77777777">
            <w:pPr>
              <w:rPr>
                <w:rFonts w:asciiTheme="minorHAnsi" w:hAnsiTheme="minorHAnsi" w:cstheme="minorHAnsi"/>
                <w:b/>
                <w:bCs/>
                <w:color w:val="000000"/>
              </w:rPr>
            </w:pPr>
            <w:r w:rsidRPr="00CA3CF1">
              <w:rPr>
                <w:rFonts w:asciiTheme="minorHAnsi" w:hAnsiTheme="minorHAnsi" w:cstheme="minorHAnsi"/>
                <w:b/>
                <w:bCs/>
                <w:color w:val="000000"/>
              </w:rPr>
              <w:fldChar w:fldCharType="begin"/>
            </w:r>
            <w:r w:rsidRPr="00CA3CF1">
              <w:rPr>
                <w:rFonts w:asciiTheme="minorHAnsi" w:hAnsiTheme="minorHAnsi" w:cstheme="minorHAnsi"/>
                <w:b/>
                <w:bCs/>
                <w:color w:val="000000"/>
              </w:rPr>
              <w:instrText xml:space="preserve"> =SUM(ABOVE) </w:instrText>
            </w:r>
            <w:r w:rsidRPr="00CA3CF1">
              <w:rPr>
                <w:rFonts w:asciiTheme="minorHAnsi" w:hAnsiTheme="minorHAnsi" w:cstheme="minorHAnsi"/>
                <w:b/>
                <w:bCs/>
                <w:color w:val="000000"/>
              </w:rPr>
              <w:fldChar w:fldCharType="separate"/>
            </w:r>
            <w:r w:rsidRPr="00CA3CF1">
              <w:rPr>
                <w:rFonts w:asciiTheme="minorHAnsi" w:hAnsiTheme="minorHAnsi" w:cstheme="minorHAnsi"/>
                <w:b/>
                <w:bCs/>
                <w:color w:val="000000"/>
              </w:rPr>
              <w:t>$110,400.00</w:t>
            </w:r>
            <w:r w:rsidRPr="00CA3CF1">
              <w:rPr>
                <w:rFonts w:asciiTheme="minorHAnsi" w:hAnsiTheme="minorHAnsi" w:cstheme="minorHAnsi"/>
                <w:b/>
                <w:color w:val="000000"/>
              </w:rPr>
              <w:fldChar w:fldCharType="end"/>
            </w:r>
          </w:p>
        </w:tc>
      </w:tr>
    </w:tbl>
    <w:p w:rsidRPr="00CA3CF1" w:rsidR="00CA3CF1" w:rsidP="00CA3CF1" w:rsidRDefault="00CA3CF1" w14:paraId="22ED7AE0" w14:textId="77777777">
      <w:pPr>
        <w:rPr>
          <w:rFonts w:asciiTheme="minorHAnsi" w:hAnsiTheme="minorHAnsi" w:cstheme="minorHAnsi"/>
          <w:b/>
          <w:color w:val="000000"/>
          <w:sz w:val="20"/>
          <w:szCs w:val="20"/>
        </w:rPr>
      </w:pPr>
      <w:r w:rsidRPr="00CA3CF1">
        <w:rPr>
          <w:rFonts w:asciiTheme="minorHAnsi" w:hAnsiTheme="minorHAnsi" w:cstheme="minorHAnsi"/>
          <w:b/>
          <w:color w:val="000000"/>
          <w:sz w:val="20"/>
          <w:szCs w:val="20"/>
        </w:rPr>
        <w:t>*Need to over recruit to offset no shows/scheduling issues</w:t>
      </w:r>
    </w:p>
    <w:p w:rsidRPr="000667FD" w:rsidR="00CA3CF1" w:rsidP="00970CF4" w:rsidRDefault="00CA3CF1" w14:paraId="0B8349CD" w14:textId="77777777">
      <w:pPr>
        <w:rPr>
          <w:rFonts w:asciiTheme="minorHAnsi" w:hAnsiTheme="minorHAnsi" w:cstheme="minorHAnsi"/>
          <w:color w:val="000000"/>
        </w:rPr>
      </w:pPr>
    </w:p>
    <w:p w:rsidR="0060248F" w:rsidP="00174A4B" w:rsidRDefault="0060248F" w14:paraId="0EEFF01F" w14:textId="25D50933">
      <w:pPr>
        <w:rPr>
          <w:rFonts w:eastAsia="SimSun" w:cstheme="minorHAnsi"/>
        </w:rPr>
      </w:pPr>
      <w:r>
        <w:rPr>
          <w:rFonts w:cstheme="minorHAnsi"/>
          <w:b/>
          <w:color w:val="000000"/>
        </w:rPr>
        <w:t>Estimated Annualized Cost to the Federal Government</w:t>
      </w:r>
    </w:p>
    <w:p w:rsidRPr="00351C56" w:rsidR="00174A4B" w:rsidP="00174A4B" w:rsidRDefault="00174A4B" w14:paraId="7DC2DE16" w14:textId="4D7B2FFA">
      <w:pPr>
        <w:rPr>
          <w:rFonts w:cstheme="minorHAnsi"/>
          <w:u w:val="single"/>
        </w:rPr>
      </w:pPr>
      <w:r w:rsidRPr="00C3139D">
        <w:rPr>
          <w:rFonts w:cstheme="minorHAnsi"/>
          <w:highlight w:val="yellow"/>
        </w:rPr>
        <w:t xml:space="preserve">The estimated </w:t>
      </w:r>
      <w:r w:rsidRPr="0012236F">
        <w:rPr>
          <w:rFonts w:cstheme="minorHAnsi"/>
          <w:highlight w:val="yellow"/>
        </w:rPr>
        <w:t xml:space="preserve">annual cost to the Federal government is </w:t>
      </w:r>
      <w:r w:rsidRPr="0012236F">
        <w:rPr>
          <w:rFonts w:cstheme="minorHAnsi"/>
          <w:highlight w:val="yellow"/>
          <w:u w:val="single"/>
        </w:rPr>
        <w:t>$</w:t>
      </w:r>
      <w:r w:rsidRPr="0012236F" w:rsidR="0012236F">
        <w:rPr>
          <w:rFonts w:cstheme="minorHAnsi"/>
          <w:highlight w:val="yellow"/>
          <w:u w:val="single"/>
        </w:rPr>
        <w:t>110,400.00</w:t>
      </w:r>
    </w:p>
    <w:p w:rsidRPr="000667FD" w:rsidR="00970CF4" w:rsidP="00B7221C" w:rsidRDefault="00970CF4" w14:paraId="2C8702B9"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Explanation for Program Changes or Adjustments</w:t>
      </w:r>
    </w:p>
    <w:p w:rsidRPr="000667FD" w:rsidR="00970CF4" w:rsidP="00970CF4" w:rsidRDefault="00970CF4" w14:paraId="3EE4FE9A" w14:textId="6714AFA5">
      <w:pPr>
        <w:rPr>
          <w:rFonts w:eastAsia="SimSun" w:asciiTheme="minorHAnsi" w:hAnsiTheme="minorHAnsi" w:cstheme="minorHAnsi"/>
        </w:rPr>
      </w:pPr>
      <w:r w:rsidRPr="000667FD">
        <w:rPr>
          <w:rFonts w:eastAsia="SimSun" w:asciiTheme="minorHAnsi" w:hAnsiTheme="minorHAnsi" w:cstheme="minorHAnsi"/>
        </w:rPr>
        <w:t>This is new data collection.</w:t>
      </w:r>
    </w:p>
    <w:p w:rsidRPr="000667FD" w:rsidR="00970CF4" w:rsidP="00B7221C" w:rsidRDefault="00970CF4" w14:paraId="72084072"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Plans for Tabulation and Publication and Project Time Schedule</w:t>
      </w:r>
    </w:p>
    <w:p w:rsidR="00A743CB" w:rsidP="007476DF" w:rsidRDefault="00A743CB" w14:paraId="349BB15B" w14:textId="24C68F3C">
      <w:pPr>
        <w:pStyle w:val="CommentText"/>
        <w:jc w:val="both"/>
        <w:rPr>
          <w:rFonts w:eastAsia="SimSun" w:asciiTheme="minorHAnsi" w:hAnsiTheme="minorHAnsi" w:cstheme="minorHAnsi"/>
          <w:sz w:val="24"/>
          <w:szCs w:val="24"/>
        </w:rPr>
      </w:pPr>
      <w:r w:rsidRPr="002E08DF">
        <w:rPr>
          <w:rFonts w:eastAsia="SimSun" w:asciiTheme="minorHAnsi" w:hAnsiTheme="minorHAnsi" w:cstheme="minorHAnsi"/>
          <w:sz w:val="24"/>
          <w:szCs w:val="24"/>
        </w:rPr>
        <w:t>After the data collection, OWH will conduct a</w:t>
      </w:r>
      <w:r w:rsidR="00390455">
        <w:rPr>
          <w:rFonts w:eastAsia="SimSun" w:asciiTheme="minorHAnsi" w:hAnsiTheme="minorHAnsi" w:cstheme="minorHAnsi"/>
          <w:sz w:val="24"/>
          <w:szCs w:val="24"/>
        </w:rPr>
        <w:t xml:space="preserve">n </w:t>
      </w:r>
      <w:r w:rsidRPr="002E08DF">
        <w:rPr>
          <w:rFonts w:eastAsia="SimSun" w:asciiTheme="minorHAnsi" w:hAnsiTheme="minorHAnsi" w:cstheme="minorHAnsi"/>
          <w:sz w:val="24"/>
          <w:szCs w:val="24"/>
        </w:rPr>
        <w:t xml:space="preserve">analysis of the data and </w:t>
      </w:r>
      <w:r w:rsidRPr="002E08DF" w:rsidR="00851099">
        <w:rPr>
          <w:rFonts w:eastAsia="SimSun" w:asciiTheme="minorHAnsi" w:hAnsiTheme="minorHAnsi" w:cstheme="minorHAnsi"/>
          <w:sz w:val="24"/>
          <w:szCs w:val="24"/>
        </w:rPr>
        <w:t xml:space="preserve">determine the </w:t>
      </w:r>
      <w:r w:rsidR="00390455">
        <w:rPr>
          <w:rFonts w:eastAsia="SimSun" w:asciiTheme="minorHAnsi" w:hAnsiTheme="minorHAnsi" w:cstheme="minorHAnsi"/>
          <w:sz w:val="24"/>
          <w:szCs w:val="24"/>
        </w:rPr>
        <w:t>best narrative and images for</w:t>
      </w:r>
      <w:r w:rsidRPr="002E08DF" w:rsidR="00851099">
        <w:rPr>
          <w:rFonts w:eastAsia="SimSun" w:asciiTheme="minorHAnsi" w:hAnsiTheme="minorHAnsi" w:cstheme="minorHAnsi"/>
          <w:sz w:val="24"/>
          <w:szCs w:val="24"/>
        </w:rPr>
        <w:t xml:space="preserve"> the </w:t>
      </w:r>
      <w:r w:rsidR="0066241B">
        <w:rPr>
          <w:rFonts w:eastAsia="SimSun" w:asciiTheme="minorHAnsi" w:hAnsiTheme="minorHAnsi" w:cstheme="minorHAnsi"/>
          <w:sz w:val="24"/>
          <w:szCs w:val="24"/>
        </w:rPr>
        <w:t xml:space="preserve">segments of </w:t>
      </w:r>
      <w:r w:rsidRPr="002E08DF" w:rsidR="00851099">
        <w:rPr>
          <w:rFonts w:eastAsia="SimSun" w:asciiTheme="minorHAnsi" w:hAnsiTheme="minorHAnsi" w:cstheme="minorHAnsi"/>
          <w:sz w:val="24"/>
          <w:szCs w:val="24"/>
        </w:rPr>
        <w:t>target audience, new mothers aged 18–44</w:t>
      </w:r>
      <w:r w:rsidRPr="002E08DF">
        <w:rPr>
          <w:rFonts w:eastAsia="SimSun" w:asciiTheme="minorHAnsi" w:hAnsiTheme="minorHAnsi" w:cstheme="minorHAnsi"/>
          <w:sz w:val="24"/>
          <w:szCs w:val="24"/>
        </w:rPr>
        <w:t xml:space="preserve">. </w:t>
      </w:r>
      <w:r w:rsidRPr="002E08DF">
        <w:rPr>
          <w:rFonts w:asciiTheme="minorHAnsi" w:hAnsiTheme="minorHAnsi" w:cstheme="minorHAnsi"/>
          <w:sz w:val="24"/>
          <w:szCs w:val="24"/>
        </w:rPr>
        <w:t xml:space="preserve">The results </w:t>
      </w:r>
      <w:r w:rsidRPr="002E08DF">
        <w:rPr>
          <w:rFonts w:asciiTheme="minorHAnsi" w:hAnsiTheme="minorHAnsi" w:cstheme="minorHAnsi"/>
          <w:sz w:val="24"/>
          <w:szCs w:val="24"/>
        </w:rPr>
        <w:lastRenderedPageBreak/>
        <w:t xml:space="preserve">of the research will be used for internal purposes only as research to inform the development of </w:t>
      </w:r>
      <w:r w:rsidRPr="002E08DF" w:rsidR="00851099">
        <w:rPr>
          <w:rFonts w:asciiTheme="minorHAnsi" w:hAnsiTheme="minorHAnsi" w:cstheme="minorHAnsi"/>
          <w:sz w:val="24"/>
          <w:szCs w:val="24"/>
        </w:rPr>
        <w:t>the campaign materials specific to those segments</w:t>
      </w:r>
      <w:r w:rsidRPr="002E08DF">
        <w:rPr>
          <w:rFonts w:asciiTheme="minorHAnsi" w:hAnsiTheme="minorHAnsi" w:cstheme="minorHAnsi"/>
          <w:sz w:val="24"/>
          <w:szCs w:val="24"/>
        </w:rPr>
        <w:t xml:space="preserve">. </w:t>
      </w:r>
      <w:r w:rsidRPr="002E08DF">
        <w:rPr>
          <w:rFonts w:eastAsia="SimSun" w:asciiTheme="minorHAnsi" w:hAnsiTheme="minorHAnsi" w:cstheme="minorHAnsi"/>
          <w:sz w:val="24"/>
          <w:szCs w:val="24"/>
        </w:rPr>
        <w:t>No names or other personal information will be reported in the</w:t>
      </w:r>
      <w:r w:rsidRPr="002E08DF" w:rsidR="00851099">
        <w:rPr>
          <w:rFonts w:eastAsia="SimSun" w:asciiTheme="minorHAnsi" w:hAnsiTheme="minorHAnsi" w:cstheme="minorHAnsi"/>
          <w:sz w:val="24"/>
          <w:szCs w:val="24"/>
        </w:rPr>
        <w:t xml:space="preserve"> summaries of the findings.</w:t>
      </w:r>
      <w:r w:rsidRPr="002D2E44">
        <w:rPr>
          <w:rFonts w:eastAsia="SimSun" w:asciiTheme="minorHAnsi" w:hAnsiTheme="minorHAnsi" w:cstheme="minorHAnsi"/>
          <w:sz w:val="24"/>
          <w:szCs w:val="24"/>
        </w:rPr>
        <w:t xml:space="preserve"> </w:t>
      </w:r>
      <w:r w:rsidRPr="00CA3CF1" w:rsidR="00CA3CF1">
        <w:rPr>
          <w:rFonts w:eastAsia="SimSun" w:asciiTheme="minorHAnsi" w:hAnsiTheme="minorHAnsi" w:cstheme="minorHAnsi"/>
          <w:b/>
          <w:bCs/>
          <w:sz w:val="24"/>
          <w:szCs w:val="24"/>
        </w:rPr>
        <w:t>Please see: Supporting Statement B: Data Collection Procedures</w:t>
      </w:r>
    </w:p>
    <w:p w:rsidRPr="002D2E44" w:rsidR="001E6493" w:rsidP="007476DF" w:rsidRDefault="001E6493" w14:paraId="33451C04" w14:textId="77777777">
      <w:pPr>
        <w:pStyle w:val="CommentText"/>
        <w:jc w:val="both"/>
        <w:rPr>
          <w:sz w:val="24"/>
          <w:szCs w:val="24"/>
        </w:rPr>
      </w:pPr>
    </w:p>
    <w:p w:rsidR="00A54EE4" w:rsidP="00A54EE4" w:rsidRDefault="00A54EE4" w14:paraId="55362B07" w14:textId="4B299706">
      <w:pPr>
        <w:rPr>
          <w:rFonts w:eastAsia="SimSun" w:cstheme="minorHAnsi"/>
          <w:b/>
        </w:rPr>
      </w:pPr>
      <w:r>
        <w:rPr>
          <w:rFonts w:eastAsia="SimSun" w:cstheme="minorHAnsi"/>
          <w:b/>
        </w:rPr>
        <w:t>Proposed Timeline</w:t>
      </w:r>
    </w:p>
    <w:tbl>
      <w:tblPr>
        <w:tblW w:w="64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67"/>
        <w:gridCol w:w="4590"/>
      </w:tblGrid>
      <w:tr w:rsidRPr="00014ADC" w:rsidR="00A54EE4" w:rsidTr="0060248F" w14:paraId="5CB83105" w14:textId="77777777">
        <w:trPr>
          <w:trHeight w:val="274"/>
        </w:trPr>
        <w:tc>
          <w:tcPr>
            <w:tcW w:w="1867"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014ADC" w:rsidR="00A54EE4" w:rsidP="00B530BE" w:rsidRDefault="00A54EE4" w14:paraId="1A1DA0A9" w14:textId="77777777">
            <w:pPr>
              <w:spacing w:line="254" w:lineRule="auto"/>
              <w:rPr>
                <w:rFonts w:cstheme="minorHAnsi"/>
                <w:b/>
                <w:color w:val="FFFFFF" w:themeColor="background1"/>
                <w:sz w:val="22"/>
                <w:szCs w:val="22"/>
              </w:rPr>
            </w:pPr>
            <w:r w:rsidRPr="00014ADC">
              <w:rPr>
                <w:rFonts w:cstheme="minorHAnsi"/>
                <w:b/>
                <w:color w:val="FFFFFF" w:themeColor="background1"/>
                <w:sz w:val="22"/>
                <w:szCs w:val="22"/>
              </w:rPr>
              <w:t xml:space="preserve">Completion Date </w:t>
            </w:r>
          </w:p>
        </w:tc>
        <w:tc>
          <w:tcPr>
            <w:tcW w:w="459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Pr="00014ADC" w:rsidR="00A54EE4" w:rsidP="00B530BE" w:rsidRDefault="00A54EE4" w14:paraId="7DA92332" w14:textId="77777777">
            <w:pPr>
              <w:spacing w:line="254" w:lineRule="auto"/>
              <w:rPr>
                <w:rFonts w:cstheme="minorHAnsi"/>
                <w:b/>
                <w:color w:val="FFFFFF" w:themeColor="background1"/>
                <w:sz w:val="22"/>
                <w:szCs w:val="22"/>
              </w:rPr>
            </w:pPr>
            <w:r w:rsidRPr="00014ADC">
              <w:rPr>
                <w:rFonts w:cstheme="minorHAnsi"/>
                <w:b/>
                <w:color w:val="FFFFFF" w:themeColor="background1"/>
                <w:sz w:val="22"/>
                <w:szCs w:val="22"/>
              </w:rPr>
              <w:t>Major Tasks/Milestones</w:t>
            </w:r>
          </w:p>
        </w:tc>
      </w:tr>
      <w:tr w:rsidRPr="00A17F87" w:rsidR="00A54EE4" w:rsidTr="0060248F" w14:paraId="22EDF492" w14:textId="77777777">
        <w:trPr>
          <w:trHeight w:val="242"/>
        </w:trPr>
        <w:tc>
          <w:tcPr>
            <w:tcW w:w="1867" w:type="dxa"/>
            <w:tcBorders>
              <w:top w:val="single" w:color="auto" w:sz="4" w:space="0"/>
              <w:left w:val="single" w:color="auto" w:sz="4" w:space="0"/>
              <w:bottom w:val="single" w:color="auto" w:sz="4" w:space="0"/>
              <w:right w:val="single" w:color="auto" w:sz="4" w:space="0"/>
            </w:tcBorders>
            <w:vAlign w:val="center"/>
          </w:tcPr>
          <w:p w:rsidRPr="00A17F87" w:rsidR="00A54EE4" w:rsidP="00B530BE" w:rsidRDefault="003F591B" w14:paraId="213D7066" w14:textId="2BF4F4CB">
            <w:pPr>
              <w:spacing w:line="254" w:lineRule="auto"/>
              <w:rPr>
                <w:rFonts w:cstheme="minorHAnsi"/>
                <w:sz w:val="20"/>
                <w:szCs w:val="20"/>
              </w:rPr>
            </w:pPr>
            <w:r>
              <w:rPr>
                <w:rFonts w:cstheme="minorHAnsi"/>
                <w:sz w:val="20"/>
                <w:szCs w:val="20"/>
              </w:rPr>
              <w:t>5</w:t>
            </w:r>
            <w:r w:rsidRPr="00A17F87" w:rsidR="00C3358E">
              <w:rPr>
                <w:rFonts w:cstheme="minorHAnsi"/>
                <w:sz w:val="20"/>
                <w:szCs w:val="20"/>
              </w:rPr>
              <w:t>/</w:t>
            </w:r>
            <w:r>
              <w:rPr>
                <w:rFonts w:cstheme="minorHAnsi"/>
                <w:sz w:val="20"/>
                <w:szCs w:val="20"/>
              </w:rPr>
              <w:t>2</w:t>
            </w:r>
            <w:r w:rsidRPr="00A17F87" w:rsidR="00C3358E">
              <w:rPr>
                <w:rFonts w:cstheme="minorHAnsi"/>
                <w:sz w:val="20"/>
                <w:szCs w:val="20"/>
              </w:rPr>
              <w:t>/202</w:t>
            </w:r>
            <w:r w:rsidR="006C21BD">
              <w:rPr>
                <w:rFonts w:cstheme="minorHAnsi"/>
                <w:sz w:val="20"/>
                <w:szCs w:val="20"/>
              </w:rPr>
              <w:t>2</w:t>
            </w:r>
          </w:p>
        </w:tc>
        <w:tc>
          <w:tcPr>
            <w:tcW w:w="4590" w:type="dxa"/>
            <w:tcBorders>
              <w:top w:val="single" w:color="auto" w:sz="4" w:space="0"/>
              <w:left w:val="single" w:color="auto" w:sz="4" w:space="0"/>
              <w:bottom w:val="single" w:color="auto" w:sz="4" w:space="0"/>
              <w:right w:val="single" w:color="auto" w:sz="4" w:space="0"/>
            </w:tcBorders>
            <w:vAlign w:val="center"/>
          </w:tcPr>
          <w:p w:rsidRPr="00A17F87" w:rsidR="00A54EE4" w:rsidP="00A54EE4" w:rsidRDefault="00A17F87" w14:paraId="4D0DBBE4" w14:textId="40AE12D9">
            <w:pPr>
              <w:pStyle w:val="ListParagraph"/>
              <w:numPr>
                <w:ilvl w:val="0"/>
                <w:numId w:val="8"/>
              </w:numPr>
              <w:spacing w:line="254" w:lineRule="auto"/>
              <w:ind w:left="367"/>
              <w:rPr>
                <w:rFonts w:asciiTheme="minorHAnsi" w:hAnsiTheme="minorHAnsi" w:cstheme="minorHAnsi"/>
                <w:sz w:val="20"/>
                <w:szCs w:val="20"/>
              </w:rPr>
            </w:pPr>
            <w:r w:rsidRPr="00A17F87">
              <w:rPr>
                <w:rFonts w:asciiTheme="minorHAnsi" w:hAnsiTheme="minorHAnsi" w:cstheme="minorHAnsi"/>
                <w:sz w:val="20"/>
                <w:szCs w:val="20"/>
              </w:rPr>
              <w:t>OMB/IRB Clearance</w:t>
            </w:r>
          </w:p>
        </w:tc>
      </w:tr>
      <w:tr w:rsidRPr="00A17F87" w:rsidR="00014ADC" w:rsidTr="0060248F" w14:paraId="312681AF" w14:textId="77777777">
        <w:trPr>
          <w:trHeight w:val="161"/>
        </w:trPr>
        <w:tc>
          <w:tcPr>
            <w:tcW w:w="1867" w:type="dxa"/>
            <w:tcBorders>
              <w:top w:val="single" w:color="auto" w:sz="4" w:space="0"/>
              <w:left w:val="single" w:color="auto" w:sz="4" w:space="0"/>
              <w:bottom w:val="single" w:color="auto" w:sz="4" w:space="0"/>
              <w:right w:val="single" w:color="auto" w:sz="4" w:space="0"/>
            </w:tcBorders>
            <w:vAlign w:val="center"/>
          </w:tcPr>
          <w:p w:rsidRPr="00A17F87" w:rsidR="00014ADC" w:rsidP="00B530BE" w:rsidRDefault="00FA2818" w14:paraId="10F11582" w14:textId="0B050F9C">
            <w:pPr>
              <w:spacing w:line="254" w:lineRule="auto"/>
              <w:rPr>
                <w:rFonts w:cstheme="minorHAnsi"/>
                <w:sz w:val="20"/>
                <w:szCs w:val="20"/>
              </w:rPr>
            </w:pPr>
            <w:r>
              <w:rPr>
                <w:rFonts w:cstheme="minorHAnsi"/>
                <w:sz w:val="20"/>
                <w:szCs w:val="20"/>
              </w:rPr>
              <w:t>6</w:t>
            </w:r>
            <w:r w:rsidR="00014ADC">
              <w:rPr>
                <w:rFonts w:cstheme="minorHAnsi"/>
                <w:sz w:val="20"/>
                <w:szCs w:val="20"/>
              </w:rPr>
              <w:t>/</w:t>
            </w:r>
            <w:r w:rsidR="005626A9">
              <w:rPr>
                <w:rFonts w:cstheme="minorHAnsi"/>
                <w:sz w:val="20"/>
                <w:szCs w:val="20"/>
              </w:rPr>
              <w:t>1</w:t>
            </w:r>
            <w:r w:rsidR="00014ADC">
              <w:rPr>
                <w:rFonts w:cstheme="minorHAnsi"/>
                <w:sz w:val="20"/>
                <w:szCs w:val="20"/>
              </w:rPr>
              <w:t>/202</w:t>
            </w:r>
            <w:r>
              <w:rPr>
                <w:rFonts w:cstheme="minorHAnsi"/>
                <w:sz w:val="20"/>
                <w:szCs w:val="20"/>
              </w:rPr>
              <w:t>2</w:t>
            </w:r>
          </w:p>
        </w:tc>
        <w:tc>
          <w:tcPr>
            <w:tcW w:w="4590" w:type="dxa"/>
            <w:tcBorders>
              <w:top w:val="single" w:color="auto" w:sz="4" w:space="0"/>
              <w:left w:val="single" w:color="auto" w:sz="4" w:space="0"/>
              <w:bottom w:val="single" w:color="auto" w:sz="4" w:space="0"/>
              <w:right w:val="single" w:color="auto" w:sz="4" w:space="0"/>
            </w:tcBorders>
            <w:vAlign w:val="center"/>
          </w:tcPr>
          <w:p w:rsidRPr="00A17F87" w:rsidR="00014ADC" w:rsidP="001B164C" w:rsidRDefault="003F591B" w14:paraId="0BD2CD9C" w14:textId="4C28AC78">
            <w:pPr>
              <w:pStyle w:val="ListParagraph"/>
              <w:numPr>
                <w:ilvl w:val="0"/>
                <w:numId w:val="8"/>
              </w:numPr>
              <w:spacing w:line="254" w:lineRule="auto"/>
              <w:ind w:left="367"/>
              <w:rPr>
                <w:rFonts w:asciiTheme="minorHAnsi" w:hAnsiTheme="minorHAnsi" w:cstheme="minorHAnsi"/>
                <w:sz w:val="20"/>
                <w:szCs w:val="20"/>
              </w:rPr>
            </w:pPr>
            <w:r>
              <w:rPr>
                <w:rFonts w:asciiTheme="minorHAnsi" w:hAnsiTheme="minorHAnsi" w:cstheme="minorHAnsi"/>
                <w:sz w:val="20"/>
                <w:szCs w:val="20"/>
              </w:rPr>
              <w:t>Focus groups</w:t>
            </w:r>
            <w:r w:rsidR="001B164C">
              <w:rPr>
                <w:rFonts w:asciiTheme="minorHAnsi" w:hAnsiTheme="minorHAnsi" w:cstheme="minorHAnsi"/>
                <w:sz w:val="20"/>
                <w:szCs w:val="20"/>
              </w:rPr>
              <w:t xml:space="preserve"> </w:t>
            </w:r>
            <w:r w:rsidR="00014ADC">
              <w:rPr>
                <w:rFonts w:asciiTheme="minorHAnsi" w:hAnsiTheme="minorHAnsi" w:cstheme="minorHAnsi"/>
                <w:sz w:val="20"/>
                <w:szCs w:val="20"/>
              </w:rPr>
              <w:t>completed</w:t>
            </w:r>
          </w:p>
        </w:tc>
      </w:tr>
      <w:tr w:rsidRPr="00A17F87" w:rsidR="00014ADC" w:rsidTr="0060248F" w14:paraId="7E6A8C7F" w14:textId="77777777">
        <w:trPr>
          <w:trHeight w:val="242"/>
        </w:trPr>
        <w:tc>
          <w:tcPr>
            <w:tcW w:w="1867" w:type="dxa"/>
            <w:tcBorders>
              <w:top w:val="single" w:color="auto" w:sz="4" w:space="0"/>
              <w:left w:val="single" w:color="auto" w:sz="4" w:space="0"/>
              <w:bottom w:val="single" w:color="auto" w:sz="4" w:space="0"/>
              <w:right w:val="single" w:color="auto" w:sz="4" w:space="0"/>
            </w:tcBorders>
            <w:vAlign w:val="center"/>
          </w:tcPr>
          <w:p w:rsidRPr="00A17F87" w:rsidR="00014ADC" w:rsidP="00B530BE" w:rsidRDefault="005626A9" w14:paraId="0FE9BE53" w14:textId="3D5C34D9">
            <w:pPr>
              <w:spacing w:line="254" w:lineRule="auto"/>
              <w:rPr>
                <w:rFonts w:cstheme="minorHAnsi"/>
                <w:sz w:val="20"/>
                <w:szCs w:val="20"/>
              </w:rPr>
            </w:pPr>
            <w:r>
              <w:rPr>
                <w:rFonts w:cstheme="minorHAnsi"/>
                <w:sz w:val="20"/>
                <w:szCs w:val="20"/>
              </w:rPr>
              <w:t>6</w:t>
            </w:r>
            <w:r w:rsidR="00014ADC">
              <w:rPr>
                <w:rFonts w:cstheme="minorHAnsi"/>
                <w:sz w:val="20"/>
                <w:szCs w:val="20"/>
              </w:rPr>
              <w:t>/</w:t>
            </w:r>
            <w:r>
              <w:rPr>
                <w:rFonts w:cstheme="minorHAnsi"/>
                <w:sz w:val="20"/>
                <w:szCs w:val="20"/>
              </w:rPr>
              <w:t>3</w:t>
            </w:r>
            <w:r w:rsidR="00014ADC">
              <w:rPr>
                <w:rFonts w:cstheme="minorHAnsi"/>
                <w:sz w:val="20"/>
                <w:szCs w:val="20"/>
              </w:rPr>
              <w:t>0/202</w:t>
            </w:r>
            <w:r>
              <w:rPr>
                <w:rFonts w:cstheme="minorHAnsi"/>
                <w:sz w:val="20"/>
                <w:szCs w:val="20"/>
              </w:rPr>
              <w:t>2</w:t>
            </w:r>
          </w:p>
        </w:tc>
        <w:tc>
          <w:tcPr>
            <w:tcW w:w="4590" w:type="dxa"/>
            <w:tcBorders>
              <w:top w:val="single" w:color="auto" w:sz="4" w:space="0"/>
              <w:left w:val="single" w:color="auto" w:sz="4" w:space="0"/>
              <w:bottom w:val="single" w:color="auto" w:sz="4" w:space="0"/>
              <w:right w:val="single" w:color="auto" w:sz="4" w:space="0"/>
            </w:tcBorders>
            <w:vAlign w:val="center"/>
          </w:tcPr>
          <w:p w:rsidRPr="00A17F87" w:rsidR="00014ADC" w:rsidP="00A54EE4" w:rsidRDefault="00014ADC" w14:paraId="15371D45" w14:textId="28F96D0E">
            <w:pPr>
              <w:pStyle w:val="ListParagraph"/>
              <w:numPr>
                <w:ilvl w:val="0"/>
                <w:numId w:val="8"/>
              </w:numPr>
              <w:spacing w:line="254" w:lineRule="auto"/>
              <w:ind w:left="367"/>
              <w:rPr>
                <w:rFonts w:asciiTheme="minorHAnsi" w:hAnsiTheme="minorHAnsi" w:cstheme="minorHAnsi"/>
                <w:sz w:val="20"/>
                <w:szCs w:val="20"/>
              </w:rPr>
            </w:pPr>
            <w:r>
              <w:rPr>
                <w:rFonts w:asciiTheme="minorHAnsi" w:hAnsiTheme="minorHAnsi" w:cstheme="minorHAnsi"/>
                <w:sz w:val="20"/>
                <w:szCs w:val="20"/>
              </w:rPr>
              <w:t>Data analysis completed</w:t>
            </w:r>
            <w:r w:rsidR="005626A9">
              <w:rPr>
                <w:rFonts w:asciiTheme="minorHAnsi" w:hAnsiTheme="minorHAnsi" w:cstheme="minorHAnsi"/>
                <w:sz w:val="20"/>
                <w:szCs w:val="20"/>
              </w:rPr>
              <w:t xml:space="preserve"> and reported</w:t>
            </w:r>
          </w:p>
        </w:tc>
      </w:tr>
    </w:tbl>
    <w:p w:rsidRPr="000667FD" w:rsidR="00970CF4" w:rsidP="00B7221C" w:rsidRDefault="00970CF4" w14:paraId="392512C3"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Reason(s) Display of OMB Expiration Data is Inappropriate</w:t>
      </w:r>
    </w:p>
    <w:p w:rsidRPr="000667FD" w:rsidR="00970CF4" w:rsidP="00970CF4" w:rsidRDefault="00970CF4" w14:paraId="5E927E25" w14:textId="77777777">
      <w:pPr>
        <w:rPr>
          <w:rFonts w:eastAsia="SimSun" w:asciiTheme="minorHAnsi" w:hAnsiTheme="minorHAnsi" w:cstheme="minorHAnsi"/>
        </w:rPr>
      </w:pPr>
      <w:r w:rsidRPr="002E08DF">
        <w:rPr>
          <w:rFonts w:eastAsia="SimSun" w:asciiTheme="minorHAnsi" w:hAnsiTheme="minorHAnsi" w:cstheme="minorHAnsi"/>
        </w:rPr>
        <w:t>We are requesting no exemption.</w:t>
      </w:r>
    </w:p>
    <w:p w:rsidRPr="000667FD" w:rsidR="00970CF4" w:rsidP="00B7221C" w:rsidRDefault="00970CF4" w14:paraId="192D9408"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Exceptions to Certification for Paperwork Reduction Act Submissions</w:t>
      </w:r>
    </w:p>
    <w:p w:rsidRPr="000667FD" w:rsidR="00970CF4" w:rsidP="00C3358E" w:rsidRDefault="00970CF4" w14:paraId="5ABA50D6" w14:textId="77777777">
      <w:pPr>
        <w:jc w:val="both"/>
        <w:rPr>
          <w:rFonts w:eastAsia="SimSun" w:asciiTheme="minorHAnsi" w:hAnsiTheme="minorHAnsi" w:cstheme="minorHAnsi"/>
        </w:rPr>
      </w:pPr>
      <w:r w:rsidRPr="000667FD">
        <w:rPr>
          <w:rFonts w:eastAsia="SimSun" w:asciiTheme="minorHAnsi" w:hAnsiTheme="minorHAnsi" w:cstheme="minorHAnsi"/>
        </w:rPr>
        <w:t>There are no exceptions to the certification. These activities comply with the requirements in 5 CFR 1320.9.</w:t>
      </w:r>
    </w:p>
    <w:p w:rsidR="00602505" w:rsidP="00970CF4" w:rsidRDefault="00602505" w14:paraId="4B419AB0" w14:textId="77777777">
      <w:pPr>
        <w:pStyle w:val="Heading1"/>
        <w:rPr>
          <w:rFonts w:asciiTheme="minorHAnsi" w:hAnsiTheme="minorHAnsi" w:cstheme="minorHAnsi"/>
        </w:rPr>
      </w:pPr>
    </w:p>
    <w:p w:rsidRPr="007F6ACF" w:rsidR="00970CF4" w:rsidP="00970CF4" w:rsidRDefault="00970CF4" w14:paraId="7488F09C" w14:textId="3D60F270">
      <w:pPr>
        <w:pStyle w:val="Heading1"/>
        <w:rPr>
          <w:rFonts w:asciiTheme="minorHAnsi" w:hAnsiTheme="minorHAnsi" w:cstheme="minorHAnsi"/>
        </w:rPr>
      </w:pPr>
      <w:r w:rsidRPr="007F6ACF">
        <w:rPr>
          <w:rFonts w:asciiTheme="minorHAnsi" w:hAnsiTheme="minorHAnsi" w:cstheme="minorHAnsi"/>
        </w:rPr>
        <w:t>Section A — List of Attachments</w:t>
      </w:r>
    </w:p>
    <w:p w:rsidRPr="00602505" w:rsidR="005626A9" w:rsidP="00970CF4" w:rsidRDefault="00B14412" w14:paraId="29983F10" w14:textId="01A8B9B9">
      <w:pPr>
        <w:pStyle w:val="ListParagraph"/>
        <w:numPr>
          <w:ilvl w:val="0"/>
          <w:numId w:val="3"/>
        </w:numPr>
        <w:rPr>
          <w:rFonts w:asciiTheme="minorHAnsi" w:hAnsiTheme="minorHAnsi" w:cstheme="minorHAnsi"/>
          <w:b/>
          <w:color w:val="000000"/>
        </w:rPr>
      </w:pPr>
      <w:r w:rsidRPr="00602505">
        <w:rPr>
          <w:rFonts w:asciiTheme="minorHAnsi" w:hAnsiTheme="minorHAnsi" w:cstheme="minorHAnsi"/>
          <w:b/>
          <w:color w:val="000000"/>
        </w:rPr>
        <w:t xml:space="preserve">Attachment A: </w:t>
      </w:r>
      <w:r w:rsidRPr="00602505" w:rsidR="007A782A">
        <w:rPr>
          <w:rFonts w:asciiTheme="minorHAnsi" w:hAnsiTheme="minorHAnsi" w:cstheme="minorHAnsi"/>
          <w:b/>
          <w:color w:val="000000"/>
        </w:rPr>
        <w:t xml:space="preserve">Initial </w:t>
      </w:r>
      <w:bookmarkStart w:name="_Hlk99544309" w:id="1"/>
      <w:r w:rsidRPr="00602505" w:rsidR="0041626B">
        <w:rPr>
          <w:rFonts w:asciiTheme="minorHAnsi" w:hAnsiTheme="minorHAnsi" w:cstheme="minorHAnsi"/>
          <w:b/>
          <w:color w:val="000000"/>
        </w:rPr>
        <w:t xml:space="preserve">Focus Group Screener </w:t>
      </w:r>
      <w:bookmarkEnd w:id="1"/>
    </w:p>
    <w:p w:rsidRPr="00602505" w:rsidR="005626A9" w:rsidP="00970CF4" w:rsidRDefault="005626A9" w14:paraId="65CC5CF6" w14:textId="1E9E0BCA">
      <w:pPr>
        <w:pStyle w:val="ListParagraph"/>
        <w:numPr>
          <w:ilvl w:val="0"/>
          <w:numId w:val="3"/>
        </w:numPr>
        <w:rPr>
          <w:rFonts w:asciiTheme="minorHAnsi" w:hAnsiTheme="minorHAnsi" w:cstheme="minorHAnsi"/>
          <w:b/>
          <w:color w:val="000000"/>
        </w:rPr>
      </w:pPr>
      <w:r w:rsidRPr="00602505">
        <w:rPr>
          <w:rFonts w:asciiTheme="minorHAnsi" w:hAnsiTheme="minorHAnsi" w:cstheme="minorHAnsi"/>
          <w:b/>
          <w:color w:val="000000"/>
        </w:rPr>
        <w:t xml:space="preserve">Attachment B: </w:t>
      </w:r>
      <w:r w:rsidRPr="00602505" w:rsidR="007A782A">
        <w:rPr>
          <w:rFonts w:asciiTheme="minorHAnsi" w:hAnsiTheme="minorHAnsi" w:cstheme="minorHAnsi"/>
          <w:b/>
          <w:color w:val="000000"/>
        </w:rPr>
        <w:t xml:space="preserve">Segment-specific </w:t>
      </w:r>
      <w:r w:rsidRPr="00602505" w:rsidR="00602505">
        <w:rPr>
          <w:rFonts w:asciiTheme="minorHAnsi" w:hAnsiTheme="minorHAnsi" w:cstheme="minorHAnsi"/>
          <w:b/>
          <w:color w:val="000000"/>
        </w:rPr>
        <w:t>Focus Group Screener</w:t>
      </w:r>
    </w:p>
    <w:p w:rsidRPr="00602505" w:rsidR="005626A9" w:rsidP="005626A9" w:rsidRDefault="005626A9" w14:paraId="3EB65754" w14:textId="5C2D1274">
      <w:pPr>
        <w:pStyle w:val="ListParagraph"/>
        <w:numPr>
          <w:ilvl w:val="0"/>
          <w:numId w:val="3"/>
        </w:numPr>
        <w:rPr>
          <w:rFonts w:asciiTheme="minorHAnsi" w:hAnsiTheme="minorHAnsi" w:cstheme="minorHAnsi"/>
          <w:b/>
          <w:color w:val="000000"/>
        </w:rPr>
      </w:pPr>
      <w:r w:rsidRPr="00602505">
        <w:rPr>
          <w:rFonts w:asciiTheme="minorHAnsi" w:hAnsiTheme="minorHAnsi" w:cstheme="minorHAnsi"/>
          <w:b/>
          <w:color w:val="000000"/>
        </w:rPr>
        <w:t xml:space="preserve">Attachment C: Focus Group </w:t>
      </w:r>
      <w:r w:rsidRPr="00602505" w:rsidR="00F114BC">
        <w:rPr>
          <w:rFonts w:asciiTheme="minorHAnsi" w:hAnsiTheme="minorHAnsi" w:cstheme="minorHAnsi"/>
          <w:b/>
          <w:color w:val="000000"/>
        </w:rPr>
        <w:t xml:space="preserve">Moderator’s </w:t>
      </w:r>
      <w:r w:rsidRPr="00602505">
        <w:rPr>
          <w:rFonts w:asciiTheme="minorHAnsi" w:hAnsiTheme="minorHAnsi" w:cstheme="minorHAnsi"/>
          <w:b/>
          <w:color w:val="000000"/>
        </w:rPr>
        <w:t xml:space="preserve">Guide </w:t>
      </w:r>
    </w:p>
    <w:p w:rsidRPr="00602505" w:rsidR="00602505" w:rsidP="0055072C" w:rsidRDefault="00602505" w14:paraId="4ADA818C" w14:textId="55C2D168">
      <w:pPr>
        <w:pStyle w:val="ListParagraph"/>
        <w:rPr>
          <w:rFonts w:asciiTheme="minorHAnsi" w:hAnsiTheme="minorHAnsi" w:cstheme="minorHAnsi"/>
          <w:b/>
          <w:color w:val="000000"/>
        </w:rPr>
      </w:pPr>
    </w:p>
    <w:p w:rsidRPr="00B14412" w:rsidR="00E7617A" w:rsidP="00E877CE" w:rsidRDefault="00E7617A" w14:paraId="09007C64" w14:textId="6C61CDB0">
      <w:pPr>
        <w:pStyle w:val="ListParagraph"/>
        <w:rPr>
          <w:rFonts w:asciiTheme="minorHAnsi" w:hAnsiTheme="minorHAnsi" w:cstheme="minorHAnsi"/>
          <w:b/>
          <w:color w:val="000000"/>
        </w:rPr>
      </w:pPr>
    </w:p>
    <w:sectPr w:rsidRPr="00B14412" w:rsidR="00E761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19BB8" w14:textId="77777777" w:rsidR="00FA6104" w:rsidRDefault="00FA6104" w:rsidP="00970CF4">
      <w:r>
        <w:separator/>
      </w:r>
    </w:p>
  </w:endnote>
  <w:endnote w:type="continuationSeparator" w:id="0">
    <w:p w14:paraId="71838201" w14:textId="77777777" w:rsidR="00FA6104" w:rsidRDefault="00FA6104" w:rsidP="0097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514D1" w14:textId="77777777" w:rsidR="00FA6104" w:rsidRDefault="00FA6104" w:rsidP="00970CF4">
      <w:r>
        <w:separator/>
      </w:r>
    </w:p>
  </w:footnote>
  <w:footnote w:type="continuationSeparator" w:id="0">
    <w:p w14:paraId="617CA2F8" w14:textId="77777777" w:rsidR="00FA6104" w:rsidRDefault="00FA6104" w:rsidP="00970CF4">
      <w:r>
        <w:continuationSeparator/>
      </w:r>
    </w:p>
  </w:footnote>
  <w:footnote w:id="1">
    <w:p w14:paraId="04098A7C" w14:textId="38AD0E92" w:rsidR="005D6D22" w:rsidRPr="0060248F" w:rsidRDefault="005D6D22">
      <w:pPr>
        <w:pStyle w:val="FootnoteText"/>
        <w:rPr>
          <w:sz w:val="16"/>
          <w:szCs w:val="16"/>
        </w:rPr>
      </w:pPr>
      <w:r w:rsidRPr="0060248F">
        <w:rPr>
          <w:rStyle w:val="FootnoteReference"/>
          <w:sz w:val="16"/>
          <w:szCs w:val="16"/>
        </w:rPr>
        <w:footnoteRef/>
      </w:r>
      <w:r w:rsidRPr="0060248F">
        <w:rPr>
          <w:sz w:val="16"/>
          <w:szCs w:val="16"/>
        </w:rPr>
        <w:t xml:space="preserve"> </w:t>
      </w:r>
      <w:r w:rsidRPr="0060248F">
        <w:rPr>
          <w:rFonts w:ascii="Calibri" w:eastAsia="Times New Roman" w:hAnsi="Calibri"/>
          <w:sz w:val="16"/>
          <w:szCs w:val="16"/>
        </w:rPr>
        <w:t>Kendall-Tackett, K.A. (2017). Depression in new mothers, 3rd Ed. Abington, UK: Routledge.</w:t>
      </w:r>
    </w:p>
  </w:footnote>
  <w:footnote w:id="2">
    <w:p w14:paraId="3BABAFBB" w14:textId="0D9411CE" w:rsidR="005D6D22" w:rsidRPr="0060248F" w:rsidRDefault="005D6D22" w:rsidP="005D6D22">
      <w:pPr>
        <w:jc w:val="both"/>
        <w:rPr>
          <w:w w:val="90"/>
          <w:sz w:val="16"/>
          <w:szCs w:val="16"/>
        </w:rPr>
      </w:pPr>
      <w:r w:rsidRPr="0060248F">
        <w:rPr>
          <w:rStyle w:val="FootnoteReference"/>
          <w:sz w:val="16"/>
          <w:szCs w:val="16"/>
        </w:rPr>
        <w:footnoteRef/>
      </w:r>
      <w:r w:rsidRPr="0060248F">
        <w:rPr>
          <w:sz w:val="16"/>
          <w:szCs w:val="16"/>
        </w:rPr>
        <w:t xml:space="preserve"> Centers for Disease Control and Prevention. (2008). Prevalence of postpartum depressive symptoms: 17 states, 2004-2005. Morbidity &amp; Mortality Weekly Report, 57(14), 361-367.  doi.org/10.1146/annurev.psych.52.1.1</w:t>
      </w:r>
    </w:p>
    <w:p w14:paraId="0C5194FB" w14:textId="4481703A" w:rsidR="005D6D22" w:rsidRDefault="005D6D22">
      <w:pPr>
        <w:pStyle w:val="FootnoteText"/>
      </w:pPr>
    </w:p>
  </w:footnote>
  <w:footnote w:id="3">
    <w:p w14:paraId="3CB823A7" w14:textId="77777777" w:rsidR="00937AC7" w:rsidRPr="00962C38" w:rsidRDefault="00937AC7" w:rsidP="00937AC7">
      <w:pPr>
        <w:pStyle w:val="CommentText"/>
        <w:rPr>
          <w:rFonts w:asciiTheme="minorHAnsi" w:hAnsiTheme="minorHAnsi" w:cstheme="minorHAnsi"/>
          <w:sz w:val="16"/>
          <w:szCs w:val="16"/>
        </w:rPr>
      </w:pPr>
      <w:r w:rsidRPr="00962C38">
        <w:rPr>
          <w:rStyle w:val="FootnoteReference"/>
          <w:rFonts w:asciiTheme="minorHAnsi" w:hAnsiTheme="minorHAnsi" w:cstheme="minorHAnsi"/>
          <w:sz w:val="16"/>
          <w:szCs w:val="16"/>
        </w:rPr>
        <w:footnoteRef/>
      </w:r>
      <w:r w:rsidRPr="00962C38">
        <w:rPr>
          <w:rFonts w:asciiTheme="minorHAnsi" w:hAnsiTheme="minorHAnsi" w:cstheme="minorHAnsi"/>
          <w:sz w:val="16"/>
          <w:szCs w:val="16"/>
        </w:rPr>
        <w:t xml:space="preserve"> </w:t>
      </w:r>
      <w:hyperlink r:id="rId1" w:history="1">
        <w:r w:rsidRPr="00962C38">
          <w:rPr>
            <w:rStyle w:val="Hyperlink"/>
            <w:rFonts w:asciiTheme="minorHAnsi" w:hAnsiTheme="minorHAnsi" w:cstheme="minorHAnsi"/>
            <w:sz w:val="16"/>
            <w:szCs w:val="16"/>
          </w:rPr>
          <w:t>https://www.cdc.gov/mmwr/preview/mmwrhtml/mm5714a1.htm</w:t>
        </w:r>
      </w:hyperlink>
    </w:p>
    <w:p w14:paraId="6FF90DD5" w14:textId="1F69D1AD" w:rsidR="00937AC7" w:rsidRPr="00962C38" w:rsidRDefault="00937AC7">
      <w:pPr>
        <w:pStyle w:val="FootnoteText"/>
        <w:rPr>
          <w:rFonts w:asciiTheme="minorHAnsi" w:hAnsiTheme="minorHAnsi" w:cstheme="minorHAnsi"/>
          <w:sz w:val="16"/>
          <w:szCs w:val="16"/>
        </w:rPr>
      </w:pPr>
    </w:p>
  </w:footnote>
  <w:footnote w:id="4">
    <w:p w14:paraId="3BB9CAD4" w14:textId="77777777" w:rsidR="00F10974" w:rsidRDefault="00F10974" w:rsidP="00F10974">
      <w:pPr>
        <w:pStyle w:val="FootnoteText"/>
      </w:pPr>
      <w:r w:rsidRPr="00962C38">
        <w:rPr>
          <w:rStyle w:val="FootnoteReference"/>
          <w:rFonts w:asciiTheme="minorHAnsi" w:hAnsiTheme="minorHAnsi" w:cstheme="minorHAnsi"/>
          <w:sz w:val="16"/>
          <w:szCs w:val="16"/>
        </w:rPr>
        <w:footnoteRef/>
      </w:r>
      <w:r w:rsidRPr="00962C38">
        <w:rPr>
          <w:rFonts w:asciiTheme="minorHAnsi" w:hAnsiTheme="minorHAnsi" w:cstheme="minorHAnsi"/>
          <w:sz w:val="16"/>
          <w:szCs w:val="16"/>
        </w:rPr>
        <w:t xml:space="preserve"> </w:t>
      </w:r>
      <w:r w:rsidRPr="00962C38">
        <w:rPr>
          <w:rFonts w:asciiTheme="minorHAnsi" w:eastAsia="Garamond" w:hAnsiTheme="minorHAnsi" w:cstheme="minorHAnsi"/>
          <w:sz w:val="16"/>
          <w:szCs w:val="16"/>
        </w:rPr>
        <w:t xml:space="preserve">Slater, M. D., Kelly, K. J., &amp; Thackeray, R. (2006). Segmentation on a shoestring: Health audience segmentation in limited-budget and local social marketing interventions. </w:t>
      </w:r>
      <w:r w:rsidRPr="00962C38">
        <w:rPr>
          <w:rFonts w:asciiTheme="minorHAnsi" w:eastAsia="Garamond" w:hAnsiTheme="minorHAnsi" w:cstheme="minorHAnsi"/>
          <w:i/>
          <w:sz w:val="16"/>
          <w:szCs w:val="16"/>
        </w:rPr>
        <w:t>Health promotion practice, 7</w:t>
      </w:r>
      <w:r w:rsidRPr="00962C38">
        <w:rPr>
          <w:rFonts w:asciiTheme="minorHAnsi" w:eastAsia="Garamond" w:hAnsiTheme="minorHAnsi" w:cstheme="minorHAnsi"/>
          <w:sz w:val="16"/>
          <w:szCs w:val="16"/>
        </w:rPr>
        <w:t>(2), 170-173.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F59B2"/>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F0926"/>
    <w:multiLevelType w:val="hybridMultilevel"/>
    <w:tmpl w:val="354A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824C6"/>
    <w:multiLevelType w:val="hybridMultilevel"/>
    <w:tmpl w:val="81E821EE"/>
    <w:lvl w:ilvl="0" w:tplc="B884442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804DE"/>
    <w:multiLevelType w:val="hybridMultilevel"/>
    <w:tmpl w:val="E0CED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EA32E6"/>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91E4B"/>
    <w:multiLevelType w:val="hybridMultilevel"/>
    <w:tmpl w:val="93767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F357F"/>
    <w:multiLevelType w:val="hybridMultilevel"/>
    <w:tmpl w:val="F6969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619DB"/>
    <w:multiLevelType w:val="hybridMultilevel"/>
    <w:tmpl w:val="1E74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31603"/>
    <w:multiLevelType w:val="hybridMultilevel"/>
    <w:tmpl w:val="5AE6913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15:restartNumberingAfterBreak="0">
    <w:nsid w:val="28557143"/>
    <w:multiLevelType w:val="hybridMultilevel"/>
    <w:tmpl w:val="DF74F08C"/>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A24CC"/>
    <w:multiLevelType w:val="hybridMultilevel"/>
    <w:tmpl w:val="3566D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459F3"/>
    <w:multiLevelType w:val="hybridMultilevel"/>
    <w:tmpl w:val="0CDCC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7418A"/>
    <w:multiLevelType w:val="hybridMultilevel"/>
    <w:tmpl w:val="30F0EA8A"/>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AA2D41"/>
    <w:multiLevelType w:val="hybridMultilevel"/>
    <w:tmpl w:val="A0E02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90136A"/>
    <w:multiLevelType w:val="hybridMultilevel"/>
    <w:tmpl w:val="DF7A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C24D4"/>
    <w:multiLevelType w:val="hybridMultilevel"/>
    <w:tmpl w:val="88A4864C"/>
    <w:lvl w:ilvl="0" w:tplc="75968ADE">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37481"/>
    <w:multiLevelType w:val="hybridMultilevel"/>
    <w:tmpl w:val="8F1C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AD7A38"/>
    <w:multiLevelType w:val="hybridMultilevel"/>
    <w:tmpl w:val="C090E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8243FF"/>
    <w:multiLevelType w:val="hybridMultilevel"/>
    <w:tmpl w:val="7EB0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FB5517"/>
    <w:multiLevelType w:val="hybridMultilevel"/>
    <w:tmpl w:val="872C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547DC0"/>
    <w:multiLevelType w:val="hybridMultilevel"/>
    <w:tmpl w:val="0D4EA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F21F0"/>
    <w:multiLevelType w:val="hybridMultilevel"/>
    <w:tmpl w:val="5236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8239DD"/>
    <w:multiLevelType w:val="hybridMultilevel"/>
    <w:tmpl w:val="0E4A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A41839"/>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E602D6"/>
    <w:multiLevelType w:val="hybridMultilevel"/>
    <w:tmpl w:val="C090E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81CA6"/>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81939"/>
    <w:multiLevelType w:val="hybridMultilevel"/>
    <w:tmpl w:val="9C2E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AB5E84"/>
    <w:multiLevelType w:val="hybridMultilevel"/>
    <w:tmpl w:val="510C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872A2"/>
    <w:multiLevelType w:val="hybridMultilevel"/>
    <w:tmpl w:val="29D65E8C"/>
    <w:lvl w:ilvl="0" w:tplc="11E26C40">
      <w:start w:val="12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17"/>
  </w:num>
  <w:num w:numId="5">
    <w:abstractNumId w:val="8"/>
  </w:num>
  <w:num w:numId="6">
    <w:abstractNumId w:val="27"/>
  </w:num>
  <w:num w:numId="7">
    <w:abstractNumId w:val="16"/>
  </w:num>
  <w:num w:numId="8">
    <w:abstractNumId w:val="19"/>
  </w:num>
  <w:num w:numId="9">
    <w:abstractNumId w:val="13"/>
  </w:num>
  <w:num w:numId="10">
    <w:abstractNumId w:val="1"/>
  </w:num>
  <w:num w:numId="11">
    <w:abstractNumId w:val="26"/>
  </w:num>
  <w:num w:numId="12">
    <w:abstractNumId w:val="18"/>
  </w:num>
  <w:num w:numId="13">
    <w:abstractNumId w:val="22"/>
  </w:num>
  <w:num w:numId="14">
    <w:abstractNumId w:val="14"/>
  </w:num>
  <w:num w:numId="15">
    <w:abstractNumId w:val="20"/>
  </w:num>
  <w:num w:numId="16">
    <w:abstractNumId w:val="6"/>
  </w:num>
  <w:num w:numId="17">
    <w:abstractNumId w:val="2"/>
  </w:num>
  <w:num w:numId="18">
    <w:abstractNumId w:val="4"/>
  </w:num>
  <w:num w:numId="19">
    <w:abstractNumId w:val="15"/>
  </w:num>
  <w:num w:numId="20">
    <w:abstractNumId w:val="23"/>
  </w:num>
  <w:num w:numId="21">
    <w:abstractNumId w:val="25"/>
  </w:num>
  <w:num w:numId="22">
    <w:abstractNumId w:val="0"/>
  </w:num>
  <w:num w:numId="23">
    <w:abstractNumId w:val="5"/>
  </w:num>
  <w:num w:numId="24">
    <w:abstractNumId w:val="10"/>
  </w:num>
  <w:num w:numId="25">
    <w:abstractNumId w:val="11"/>
  </w:num>
  <w:num w:numId="26">
    <w:abstractNumId w:val="3"/>
  </w:num>
  <w:num w:numId="27">
    <w:abstractNumId w:val="21"/>
  </w:num>
  <w:num w:numId="28">
    <w:abstractNumId w:val="28"/>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CF4"/>
    <w:rsid w:val="00002BA1"/>
    <w:rsid w:val="00014ADC"/>
    <w:rsid w:val="00026122"/>
    <w:rsid w:val="000277FB"/>
    <w:rsid w:val="000323CA"/>
    <w:rsid w:val="00040E2D"/>
    <w:rsid w:val="0004387F"/>
    <w:rsid w:val="000543AA"/>
    <w:rsid w:val="000575A2"/>
    <w:rsid w:val="00063C43"/>
    <w:rsid w:val="00065AE6"/>
    <w:rsid w:val="000667FD"/>
    <w:rsid w:val="0007229D"/>
    <w:rsid w:val="000834B0"/>
    <w:rsid w:val="000905A3"/>
    <w:rsid w:val="00090D3E"/>
    <w:rsid w:val="0009642E"/>
    <w:rsid w:val="000A3272"/>
    <w:rsid w:val="000A6E98"/>
    <w:rsid w:val="000C3843"/>
    <w:rsid w:val="000C6F4E"/>
    <w:rsid w:val="000D4576"/>
    <w:rsid w:val="000E449F"/>
    <w:rsid w:val="00102DCD"/>
    <w:rsid w:val="00103866"/>
    <w:rsid w:val="00104A9C"/>
    <w:rsid w:val="001211D4"/>
    <w:rsid w:val="00121255"/>
    <w:rsid w:val="0012236F"/>
    <w:rsid w:val="0012238A"/>
    <w:rsid w:val="00132642"/>
    <w:rsid w:val="00146CAE"/>
    <w:rsid w:val="00162044"/>
    <w:rsid w:val="0016562E"/>
    <w:rsid w:val="001744CF"/>
    <w:rsid w:val="00174A4B"/>
    <w:rsid w:val="00186984"/>
    <w:rsid w:val="00192E92"/>
    <w:rsid w:val="001B164C"/>
    <w:rsid w:val="001B4AB1"/>
    <w:rsid w:val="001D248A"/>
    <w:rsid w:val="001D6411"/>
    <w:rsid w:val="001E12B9"/>
    <w:rsid w:val="001E6493"/>
    <w:rsid w:val="002319C7"/>
    <w:rsid w:val="00233464"/>
    <w:rsid w:val="00235132"/>
    <w:rsid w:val="00235D78"/>
    <w:rsid w:val="0023728D"/>
    <w:rsid w:val="00240ADD"/>
    <w:rsid w:val="0026428C"/>
    <w:rsid w:val="002675D0"/>
    <w:rsid w:val="00274980"/>
    <w:rsid w:val="0028445A"/>
    <w:rsid w:val="00284732"/>
    <w:rsid w:val="002B26AD"/>
    <w:rsid w:val="002D1676"/>
    <w:rsid w:val="002D1D16"/>
    <w:rsid w:val="002D5872"/>
    <w:rsid w:val="002E08DF"/>
    <w:rsid w:val="002E5EED"/>
    <w:rsid w:val="002E71AF"/>
    <w:rsid w:val="002E738B"/>
    <w:rsid w:val="002F7BD0"/>
    <w:rsid w:val="0030213D"/>
    <w:rsid w:val="00305BD0"/>
    <w:rsid w:val="0030645E"/>
    <w:rsid w:val="00313B9F"/>
    <w:rsid w:val="00316583"/>
    <w:rsid w:val="003238DA"/>
    <w:rsid w:val="00325B9B"/>
    <w:rsid w:val="003464FE"/>
    <w:rsid w:val="00361129"/>
    <w:rsid w:val="0036395B"/>
    <w:rsid w:val="003723F5"/>
    <w:rsid w:val="00373C0D"/>
    <w:rsid w:val="00375B2A"/>
    <w:rsid w:val="0038264C"/>
    <w:rsid w:val="00382E6A"/>
    <w:rsid w:val="003834E5"/>
    <w:rsid w:val="00385D1C"/>
    <w:rsid w:val="00390455"/>
    <w:rsid w:val="00391202"/>
    <w:rsid w:val="00394DE6"/>
    <w:rsid w:val="00394FCA"/>
    <w:rsid w:val="003A29D5"/>
    <w:rsid w:val="003B14D5"/>
    <w:rsid w:val="003B4828"/>
    <w:rsid w:val="003B53EC"/>
    <w:rsid w:val="003C031A"/>
    <w:rsid w:val="003C3050"/>
    <w:rsid w:val="003C5CCC"/>
    <w:rsid w:val="003D712B"/>
    <w:rsid w:val="003F10A7"/>
    <w:rsid w:val="003F2AE9"/>
    <w:rsid w:val="003F36D8"/>
    <w:rsid w:val="003F591B"/>
    <w:rsid w:val="00405FB4"/>
    <w:rsid w:val="0041626B"/>
    <w:rsid w:val="00417A26"/>
    <w:rsid w:val="004227FB"/>
    <w:rsid w:val="00422B3D"/>
    <w:rsid w:val="0042542C"/>
    <w:rsid w:val="00426349"/>
    <w:rsid w:val="004320DA"/>
    <w:rsid w:val="00446927"/>
    <w:rsid w:val="004623FB"/>
    <w:rsid w:val="00471546"/>
    <w:rsid w:val="00475158"/>
    <w:rsid w:val="004779B7"/>
    <w:rsid w:val="004826C6"/>
    <w:rsid w:val="004A1158"/>
    <w:rsid w:val="004A11A6"/>
    <w:rsid w:val="004A4956"/>
    <w:rsid w:val="004A531E"/>
    <w:rsid w:val="004B4F6F"/>
    <w:rsid w:val="004B71B8"/>
    <w:rsid w:val="004C3DB1"/>
    <w:rsid w:val="004C45D8"/>
    <w:rsid w:val="004D677F"/>
    <w:rsid w:val="004E0F39"/>
    <w:rsid w:val="004E200C"/>
    <w:rsid w:val="00500597"/>
    <w:rsid w:val="005114BD"/>
    <w:rsid w:val="00512F77"/>
    <w:rsid w:val="00533840"/>
    <w:rsid w:val="0055072C"/>
    <w:rsid w:val="00552158"/>
    <w:rsid w:val="00560F53"/>
    <w:rsid w:val="005626A9"/>
    <w:rsid w:val="0057494D"/>
    <w:rsid w:val="005761CE"/>
    <w:rsid w:val="00577979"/>
    <w:rsid w:val="00590DA2"/>
    <w:rsid w:val="00595C05"/>
    <w:rsid w:val="005A703D"/>
    <w:rsid w:val="005A7899"/>
    <w:rsid w:val="005B3ED3"/>
    <w:rsid w:val="005C4748"/>
    <w:rsid w:val="005D6D22"/>
    <w:rsid w:val="005E25E4"/>
    <w:rsid w:val="005E5A42"/>
    <w:rsid w:val="005F3CA1"/>
    <w:rsid w:val="0060248F"/>
    <w:rsid w:val="00602505"/>
    <w:rsid w:val="006038CC"/>
    <w:rsid w:val="006172DE"/>
    <w:rsid w:val="00626B63"/>
    <w:rsid w:val="0063082F"/>
    <w:rsid w:val="00632425"/>
    <w:rsid w:val="0063382A"/>
    <w:rsid w:val="00636A9E"/>
    <w:rsid w:val="0065328D"/>
    <w:rsid w:val="0066241B"/>
    <w:rsid w:val="00662D99"/>
    <w:rsid w:val="0068464E"/>
    <w:rsid w:val="00696AFA"/>
    <w:rsid w:val="006B517D"/>
    <w:rsid w:val="006B5558"/>
    <w:rsid w:val="006C21BD"/>
    <w:rsid w:val="006D0064"/>
    <w:rsid w:val="006D0C2E"/>
    <w:rsid w:val="006F327B"/>
    <w:rsid w:val="0071638B"/>
    <w:rsid w:val="00717A3C"/>
    <w:rsid w:val="007225E7"/>
    <w:rsid w:val="00723434"/>
    <w:rsid w:val="00724D57"/>
    <w:rsid w:val="00740CD5"/>
    <w:rsid w:val="00742F96"/>
    <w:rsid w:val="007476DF"/>
    <w:rsid w:val="00751235"/>
    <w:rsid w:val="00761BFF"/>
    <w:rsid w:val="007739AF"/>
    <w:rsid w:val="00775D5C"/>
    <w:rsid w:val="00776C8D"/>
    <w:rsid w:val="00781284"/>
    <w:rsid w:val="00782444"/>
    <w:rsid w:val="007958E1"/>
    <w:rsid w:val="007A782A"/>
    <w:rsid w:val="007B758F"/>
    <w:rsid w:val="007D47E5"/>
    <w:rsid w:val="007E0C74"/>
    <w:rsid w:val="007F6ACF"/>
    <w:rsid w:val="00812FE1"/>
    <w:rsid w:val="008134D9"/>
    <w:rsid w:val="008316FB"/>
    <w:rsid w:val="00832A7E"/>
    <w:rsid w:val="00835D7E"/>
    <w:rsid w:val="00840F14"/>
    <w:rsid w:val="008445A7"/>
    <w:rsid w:val="00851099"/>
    <w:rsid w:val="00856524"/>
    <w:rsid w:val="008616F8"/>
    <w:rsid w:val="00867CE7"/>
    <w:rsid w:val="008746AC"/>
    <w:rsid w:val="00896ADD"/>
    <w:rsid w:val="008A17D7"/>
    <w:rsid w:val="008C5728"/>
    <w:rsid w:val="008D1B32"/>
    <w:rsid w:val="008D4830"/>
    <w:rsid w:val="008D5423"/>
    <w:rsid w:val="008D77BA"/>
    <w:rsid w:val="00912982"/>
    <w:rsid w:val="0091384F"/>
    <w:rsid w:val="009177F6"/>
    <w:rsid w:val="00924C62"/>
    <w:rsid w:val="00937AC7"/>
    <w:rsid w:val="0094228B"/>
    <w:rsid w:val="009434E4"/>
    <w:rsid w:val="00946DAE"/>
    <w:rsid w:val="009504A5"/>
    <w:rsid w:val="0095494C"/>
    <w:rsid w:val="00957D35"/>
    <w:rsid w:val="00962C38"/>
    <w:rsid w:val="00970CF4"/>
    <w:rsid w:val="009715AC"/>
    <w:rsid w:val="009802B4"/>
    <w:rsid w:val="00980817"/>
    <w:rsid w:val="00984195"/>
    <w:rsid w:val="00997B7D"/>
    <w:rsid w:val="009A5D1C"/>
    <w:rsid w:val="009B7140"/>
    <w:rsid w:val="009C03E5"/>
    <w:rsid w:val="009D12CD"/>
    <w:rsid w:val="009D1319"/>
    <w:rsid w:val="009D1CBC"/>
    <w:rsid w:val="009F2685"/>
    <w:rsid w:val="00A02E76"/>
    <w:rsid w:val="00A100B9"/>
    <w:rsid w:val="00A1289A"/>
    <w:rsid w:val="00A16231"/>
    <w:rsid w:val="00A17F87"/>
    <w:rsid w:val="00A2363B"/>
    <w:rsid w:val="00A30445"/>
    <w:rsid w:val="00A333A6"/>
    <w:rsid w:val="00A45A77"/>
    <w:rsid w:val="00A54EE4"/>
    <w:rsid w:val="00A55048"/>
    <w:rsid w:val="00A57227"/>
    <w:rsid w:val="00A71229"/>
    <w:rsid w:val="00A743CB"/>
    <w:rsid w:val="00A74C17"/>
    <w:rsid w:val="00A801B9"/>
    <w:rsid w:val="00A848E2"/>
    <w:rsid w:val="00A90A90"/>
    <w:rsid w:val="00AC0568"/>
    <w:rsid w:val="00AC1132"/>
    <w:rsid w:val="00AC3595"/>
    <w:rsid w:val="00AE1E44"/>
    <w:rsid w:val="00AE25CE"/>
    <w:rsid w:val="00AE27C3"/>
    <w:rsid w:val="00AF2CA4"/>
    <w:rsid w:val="00B017CB"/>
    <w:rsid w:val="00B111FF"/>
    <w:rsid w:val="00B12021"/>
    <w:rsid w:val="00B14412"/>
    <w:rsid w:val="00B30A98"/>
    <w:rsid w:val="00B3515B"/>
    <w:rsid w:val="00B3768D"/>
    <w:rsid w:val="00B408B3"/>
    <w:rsid w:val="00B623A4"/>
    <w:rsid w:val="00B6376A"/>
    <w:rsid w:val="00B7221C"/>
    <w:rsid w:val="00B902A2"/>
    <w:rsid w:val="00B90AB1"/>
    <w:rsid w:val="00B919A8"/>
    <w:rsid w:val="00B91FCC"/>
    <w:rsid w:val="00B968B3"/>
    <w:rsid w:val="00B96D61"/>
    <w:rsid w:val="00B97C89"/>
    <w:rsid w:val="00BB3FB7"/>
    <w:rsid w:val="00BB4F80"/>
    <w:rsid w:val="00BB5022"/>
    <w:rsid w:val="00BB6B31"/>
    <w:rsid w:val="00BC17E2"/>
    <w:rsid w:val="00BC2AA0"/>
    <w:rsid w:val="00BC31CB"/>
    <w:rsid w:val="00BC3C06"/>
    <w:rsid w:val="00BC4154"/>
    <w:rsid w:val="00BD64A4"/>
    <w:rsid w:val="00BE4278"/>
    <w:rsid w:val="00C04179"/>
    <w:rsid w:val="00C04EBE"/>
    <w:rsid w:val="00C11547"/>
    <w:rsid w:val="00C26826"/>
    <w:rsid w:val="00C3139D"/>
    <w:rsid w:val="00C33066"/>
    <w:rsid w:val="00C3358E"/>
    <w:rsid w:val="00C3495F"/>
    <w:rsid w:val="00C47158"/>
    <w:rsid w:val="00C53034"/>
    <w:rsid w:val="00C611B1"/>
    <w:rsid w:val="00C66084"/>
    <w:rsid w:val="00C763E8"/>
    <w:rsid w:val="00C76B18"/>
    <w:rsid w:val="00C81019"/>
    <w:rsid w:val="00C8192C"/>
    <w:rsid w:val="00C8531D"/>
    <w:rsid w:val="00C879B3"/>
    <w:rsid w:val="00C96C9A"/>
    <w:rsid w:val="00CA2272"/>
    <w:rsid w:val="00CA3CF1"/>
    <w:rsid w:val="00CA51FD"/>
    <w:rsid w:val="00CB064C"/>
    <w:rsid w:val="00CB4AE5"/>
    <w:rsid w:val="00CB5170"/>
    <w:rsid w:val="00CE05C9"/>
    <w:rsid w:val="00CE06A9"/>
    <w:rsid w:val="00D05595"/>
    <w:rsid w:val="00D0651C"/>
    <w:rsid w:val="00D06FF9"/>
    <w:rsid w:val="00D16A04"/>
    <w:rsid w:val="00D22EEE"/>
    <w:rsid w:val="00D27E98"/>
    <w:rsid w:val="00D30D15"/>
    <w:rsid w:val="00D37969"/>
    <w:rsid w:val="00D423EB"/>
    <w:rsid w:val="00D52859"/>
    <w:rsid w:val="00D53043"/>
    <w:rsid w:val="00D5554A"/>
    <w:rsid w:val="00D74B2E"/>
    <w:rsid w:val="00D96A73"/>
    <w:rsid w:val="00DA2C6E"/>
    <w:rsid w:val="00DA4F6A"/>
    <w:rsid w:val="00DB5ABC"/>
    <w:rsid w:val="00DC05EB"/>
    <w:rsid w:val="00DC513D"/>
    <w:rsid w:val="00DD30F9"/>
    <w:rsid w:val="00E117E7"/>
    <w:rsid w:val="00E25DD7"/>
    <w:rsid w:val="00E2702B"/>
    <w:rsid w:val="00E313AA"/>
    <w:rsid w:val="00E37F46"/>
    <w:rsid w:val="00E43E9D"/>
    <w:rsid w:val="00E45350"/>
    <w:rsid w:val="00E472DC"/>
    <w:rsid w:val="00E50367"/>
    <w:rsid w:val="00E72233"/>
    <w:rsid w:val="00E74CD8"/>
    <w:rsid w:val="00E7617A"/>
    <w:rsid w:val="00E840A9"/>
    <w:rsid w:val="00E877CE"/>
    <w:rsid w:val="00E94485"/>
    <w:rsid w:val="00EA161D"/>
    <w:rsid w:val="00EA7BDF"/>
    <w:rsid w:val="00EB1597"/>
    <w:rsid w:val="00ED6C9E"/>
    <w:rsid w:val="00EE04FA"/>
    <w:rsid w:val="00F014A6"/>
    <w:rsid w:val="00F045EA"/>
    <w:rsid w:val="00F10974"/>
    <w:rsid w:val="00F114BC"/>
    <w:rsid w:val="00F2614C"/>
    <w:rsid w:val="00F27A30"/>
    <w:rsid w:val="00F40EE3"/>
    <w:rsid w:val="00F51295"/>
    <w:rsid w:val="00F537DE"/>
    <w:rsid w:val="00F709EB"/>
    <w:rsid w:val="00F76391"/>
    <w:rsid w:val="00F77C61"/>
    <w:rsid w:val="00F82DE1"/>
    <w:rsid w:val="00F9449F"/>
    <w:rsid w:val="00FA25FA"/>
    <w:rsid w:val="00FA2818"/>
    <w:rsid w:val="00FA3A36"/>
    <w:rsid w:val="00FA6104"/>
    <w:rsid w:val="00FD1E55"/>
    <w:rsid w:val="00FD59B7"/>
    <w:rsid w:val="00FE2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C72C0"/>
  <w15:docId w15:val="{6AA6718F-C868-4C71-A94B-EC372013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CF4"/>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70CF4"/>
    <w:pPr>
      <w:keepNext/>
      <w:ind w:right="-360"/>
      <w:outlineLvl w:val="0"/>
    </w:pPr>
    <w:rPr>
      <w:b/>
      <w:bCs/>
      <w:sz w:val="28"/>
    </w:rPr>
  </w:style>
  <w:style w:type="paragraph" w:styleId="Heading2">
    <w:name w:val="heading 2"/>
    <w:basedOn w:val="Normal"/>
    <w:next w:val="Normal"/>
    <w:link w:val="Heading2Char"/>
    <w:uiPriority w:val="9"/>
    <w:unhideWhenUsed/>
    <w:qFormat/>
    <w:rsid w:val="00970CF4"/>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70CF4"/>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0CF4"/>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70CF4"/>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70CF4"/>
    <w:rPr>
      <w:rFonts w:ascii="Calibri" w:eastAsiaTheme="majorEastAsia" w:hAnsi="Calibri" w:cstheme="majorBidi"/>
      <w:b/>
      <w:bCs/>
      <w:sz w:val="24"/>
      <w:szCs w:val="24"/>
    </w:rPr>
  </w:style>
  <w:style w:type="paragraph" w:styleId="ListParagraph">
    <w:name w:val="List Paragraph"/>
    <w:aliases w:val="CH Bullets (square),Question"/>
    <w:basedOn w:val="Normal"/>
    <w:link w:val="ListParagraphChar"/>
    <w:uiPriority w:val="34"/>
    <w:qFormat/>
    <w:rsid w:val="00970CF4"/>
    <w:pPr>
      <w:ind w:left="720"/>
      <w:contextualSpacing/>
    </w:pPr>
  </w:style>
  <w:style w:type="paragraph" w:styleId="FootnoteText">
    <w:name w:val="footnote text"/>
    <w:basedOn w:val="Normal"/>
    <w:link w:val="FootnoteTextChar"/>
    <w:uiPriority w:val="99"/>
    <w:unhideWhenUsed/>
    <w:rsid w:val="00970CF4"/>
    <w:rPr>
      <w:rFonts w:ascii="Arial" w:eastAsia="Calibri" w:hAnsi="Arial"/>
    </w:rPr>
  </w:style>
  <w:style w:type="character" w:customStyle="1" w:styleId="FootnoteTextChar">
    <w:name w:val="Footnote Text Char"/>
    <w:basedOn w:val="DefaultParagraphFont"/>
    <w:link w:val="FootnoteText"/>
    <w:uiPriority w:val="99"/>
    <w:rsid w:val="00970CF4"/>
    <w:rPr>
      <w:rFonts w:ascii="Arial" w:eastAsia="Calibri" w:hAnsi="Arial" w:cs="Times New Roman"/>
      <w:sz w:val="24"/>
      <w:szCs w:val="24"/>
    </w:rPr>
  </w:style>
  <w:style w:type="character" w:styleId="FootnoteReference">
    <w:name w:val="footnote reference"/>
    <w:basedOn w:val="DefaultParagraphFont"/>
    <w:uiPriority w:val="99"/>
    <w:unhideWhenUsed/>
    <w:rsid w:val="00970CF4"/>
    <w:rPr>
      <w:vertAlign w:val="superscript"/>
    </w:rPr>
  </w:style>
  <w:style w:type="character" w:styleId="Hyperlink">
    <w:name w:val="Hyperlink"/>
    <w:basedOn w:val="DefaultParagraphFont"/>
    <w:uiPriority w:val="99"/>
    <w:rsid w:val="00970CF4"/>
    <w:rPr>
      <w:color w:val="0000FF"/>
      <w:u w:val="single"/>
    </w:rPr>
  </w:style>
  <w:style w:type="character" w:customStyle="1" w:styleId="ListParagraphChar">
    <w:name w:val="List Paragraph Char"/>
    <w:aliases w:val="CH Bullets (square) Char,Question Char"/>
    <w:link w:val="ListParagraph"/>
    <w:uiPriority w:val="34"/>
    <w:rsid w:val="00970CF4"/>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0667FD"/>
    <w:rPr>
      <w:sz w:val="16"/>
      <w:szCs w:val="16"/>
    </w:rPr>
  </w:style>
  <w:style w:type="paragraph" w:styleId="CommentText">
    <w:name w:val="annotation text"/>
    <w:basedOn w:val="Normal"/>
    <w:link w:val="CommentTextChar"/>
    <w:uiPriority w:val="99"/>
    <w:unhideWhenUsed/>
    <w:rsid w:val="000667FD"/>
    <w:rPr>
      <w:sz w:val="20"/>
      <w:szCs w:val="20"/>
    </w:rPr>
  </w:style>
  <w:style w:type="character" w:customStyle="1" w:styleId="CommentTextChar">
    <w:name w:val="Comment Text Char"/>
    <w:basedOn w:val="DefaultParagraphFont"/>
    <w:link w:val="CommentText"/>
    <w:uiPriority w:val="99"/>
    <w:rsid w:val="000667F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67FD"/>
    <w:rPr>
      <w:b/>
      <w:bCs/>
    </w:rPr>
  </w:style>
  <w:style w:type="character" w:customStyle="1" w:styleId="CommentSubjectChar">
    <w:name w:val="Comment Subject Char"/>
    <w:basedOn w:val="CommentTextChar"/>
    <w:link w:val="CommentSubject"/>
    <w:uiPriority w:val="99"/>
    <w:semiHidden/>
    <w:rsid w:val="000667F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667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FD"/>
    <w:rPr>
      <w:rFonts w:ascii="Segoe UI" w:eastAsia="Times New Roman" w:hAnsi="Segoe UI" w:cs="Segoe UI"/>
      <w:sz w:val="18"/>
      <w:szCs w:val="18"/>
    </w:rPr>
  </w:style>
  <w:style w:type="paragraph" w:styleId="BodyText3">
    <w:name w:val="Body Text 3"/>
    <w:basedOn w:val="Normal"/>
    <w:link w:val="BodyText3Char"/>
    <w:rsid w:val="009D1CBC"/>
    <w:pPr>
      <w:spacing w:after="120"/>
    </w:pPr>
    <w:rPr>
      <w:rFonts w:ascii="Arial" w:eastAsia="Calibri" w:hAnsi="Arial"/>
      <w:sz w:val="16"/>
      <w:szCs w:val="16"/>
    </w:rPr>
  </w:style>
  <w:style w:type="character" w:customStyle="1" w:styleId="BodyText3Char">
    <w:name w:val="Body Text 3 Char"/>
    <w:basedOn w:val="DefaultParagraphFont"/>
    <w:link w:val="BodyText3"/>
    <w:rsid w:val="009D1CBC"/>
    <w:rPr>
      <w:rFonts w:ascii="Arial" w:eastAsia="Calibri" w:hAnsi="Arial" w:cs="Times New Roman"/>
      <w:sz w:val="16"/>
      <w:szCs w:val="16"/>
    </w:rPr>
  </w:style>
  <w:style w:type="paragraph" w:styleId="Header">
    <w:name w:val="header"/>
    <w:basedOn w:val="Normal"/>
    <w:link w:val="HeaderChar"/>
    <w:uiPriority w:val="99"/>
    <w:unhideWhenUsed/>
    <w:rsid w:val="009D1CBC"/>
    <w:pPr>
      <w:tabs>
        <w:tab w:val="center" w:pos="4680"/>
        <w:tab w:val="right" w:pos="9360"/>
      </w:tabs>
    </w:pPr>
  </w:style>
  <w:style w:type="character" w:customStyle="1" w:styleId="HeaderChar">
    <w:name w:val="Header Char"/>
    <w:basedOn w:val="DefaultParagraphFont"/>
    <w:link w:val="Header"/>
    <w:uiPriority w:val="99"/>
    <w:rsid w:val="009D1CBC"/>
    <w:rPr>
      <w:rFonts w:ascii="Calibri" w:eastAsia="Times New Roman" w:hAnsi="Calibri" w:cs="Times New Roman"/>
      <w:sz w:val="24"/>
      <w:szCs w:val="24"/>
    </w:rPr>
  </w:style>
  <w:style w:type="paragraph" w:styleId="Footer">
    <w:name w:val="footer"/>
    <w:basedOn w:val="Normal"/>
    <w:link w:val="FooterChar"/>
    <w:uiPriority w:val="99"/>
    <w:unhideWhenUsed/>
    <w:rsid w:val="009D1CBC"/>
    <w:pPr>
      <w:tabs>
        <w:tab w:val="center" w:pos="4680"/>
        <w:tab w:val="right" w:pos="9360"/>
      </w:tabs>
    </w:pPr>
  </w:style>
  <w:style w:type="character" w:customStyle="1" w:styleId="FooterChar">
    <w:name w:val="Footer Char"/>
    <w:basedOn w:val="DefaultParagraphFont"/>
    <w:link w:val="Footer"/>
    <w:uiPriority w:val="99"/>
    <w:rsid w:val="009D1CBC"/>
    <w:rPr>
      <w:rFonts w:ascii="Calibri" w:eastAsia="Times New Roman" w:hAnsi="Calibri" w:cs="Times New Roman"/>
      <w:sz w:val="24"/>
      <w:szCs w:val="24"/>
    </w:rPr>
  </w:style>
  <w:style w:type="paragraph" w:styleId="Revision">
    <w:name w:val="Revision"/>
    <w:hidden/>
    <w:uiPriority w:val="99"/>
    <w:semiHidden/>
    <w:rsid w:val="0091384F"/>
    <w:pPr>
      <w:spacing w:after="0" w:line="240" w:lineRule="auto"/>
    </w:pPr>
    <w:rPr>
      <w:rFonts w:ascii="Calibri" w:eastAsia="Times New Roman" w:hAnsi="Calibri" w:cs="Times New Roman"/>
      <w:sz w:val="24"/>
      <w:szCs w:val="24"/>
    </w:rPr>
  </w:style>
  <w:style w:type="paragraph" w:customStyle="1" w:styleId="Title1">
    <w:name w:val="Title 1"/>
    <w:autoRedefine/>
    <w:qFormat/>
    <w:rsid w:val="00BC17E2"/>
    <w:pPr>
      <w:spacing w:after="0" w:line="240" w:lineRule="auto"/>
      <w:jc w:val="center"/>
    </w:pPr>
    <w:rPr>
      <w:rFonts w:ascii="Calibri" w:eastAsia="Calibri" w:hAnsi="Calibri" w:cs="Arial"/>
      <w:b/>
      <w:bCs/>
      <w:sz w:val="44"/>
      <w:szCs w:val="28"/>
    </w:rPr>
  </w:style>
  <w:style w:type="character" w:styleId="FollowedHyperlink">
    <w:name w:val="FollowedHyperlink"/>
    <w:basedOn w:val="DefaultParagraphFont"/>
    <w:uiPriority w:val="99"/>
    <w:semiHidden/>
    <w:unhideWhenUsed/>
    <w:rsid w:val="003B14D5"/>
    <w:rPr>
      <w:color w:val="954F72" w:themeColor="followedHyperlink"/>
      <w:u w:val="single"/>
    </w:rPr>
  </w:style>
  <w:style w:type="table" w:styleId="TableGrid">
    <w:name w:val="Table Grid"/>
    <w:basedOn w:val="TableNormal"/>
    <w:rsid w:val="001D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link w:val="pChar"/>
    <w:qFormat/>
    <w:rsid w:val="003464FE"/>
    <w:pPr>
      <w:widowControl w:val="0"/>
      <w:autoSpaceDE w:val="0"/>
      <w:autoSpaceDN w:val="0"/>
      <w:spacing w:after="0" w:line="240" w:lineRule="auto"/>
    </w:pPr>
    <w:rPr>
      <w:rFonts w:ascii="Arial" w:eastAsia="Arial" w:hAnsi="Arial" w:cs="Arial"/>
      <w:color w:val="231F20"/>
      <w:w w:val="110"/>
      <w:sz w:val="24"/>
      <w:szCs w:val="24"/>
      <w:lang w:bidi="en-US"/>
    </w:rPr>
  </w:style>
  <w:style w:type="character" w:customStyle="1" w:styleId="pChar">
    <w:name w:val="p Char"/>
    <w:basedOn w:val="DefaultParagraphFont"/>
    <w:link w:val="p"/>
    <w:rsid w:val="003464FE"/>
    <w:rPr>
      <w:rFonts w:ascii="Arial" w:eastAsia="Arial" w:hAnsi="Arial" w:cs="Arial"/>
      <w:color w:val="231F20"/>
      <w:w w:val="110"/>
      <w:sz w:val="24"/>
      <w:szCs w:val="24"/>
      <w:lang w:bidi="en-US"/>
    </w:rPr>
  </w:style>
  <w:style w:type="paragraph" w:styleId="NoSpacing">
    <w:name w:val="No Spacing"/>
    <w:uiPriority w:val="1"/>
    <w:qFormat/>
    <w:rsid w:val="003464FE"/>
    <w:pPr>
      <w:spacing w:after="0" w:line="240" w:lineRule="auto"/>
    </w:pPr>
    <w:rPr>
      <w:rFonts w:ascii="Calibri" w:eastAsia="Calibri" w:hAnsi="Calibri" w:cs="Times New Roman"/>
    </w:rPr>
  </w:style>
  <w:style w:type="table" w:customStyle="1" w:styleId="GridTable4-Accent41">
    <w:name w:val="Grid Table 4 - Accent 41"/>
    <w:basedOn w:val="TableNormal"/>
    <w:uiPriority w:val="49"/>
    <w:rsid w:val="003464FE"/>
    <w:pPr>
      <w:spacing w:after="0" w:line="240" w:lineRule="auto"/>
    </w:pPr>
    <w:rPr>
      <w:rFonts w:ascii="Calibri" w:eastAsia="Calibri" w:hAnsi="Calibri"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UnresolvedMention1">
    <w:name w:val="Unresolved Mention1"/>
    <w:basedOn w:val="DefaultParagraphFont"/>
    <w:uiPriority w:val="99"/>
    <w:semiHidden/>
    <w:unhideWhenUsed/>
    <w:rsid w:val="004C3DB1"/>
    <w:rPr>
      <w:color w:val="605E5C"/>
      <w:shd w:val="clear" w:color="auto" w:fill="E1DFDD"/>
    </w:rPr>
  </w:style>
  <w:style w:type="paragraph" w:styleId="Caption">
    <w:name w:val="caption"/>
    <w:basedOn w:val="Normal"/>
    <w:next w:val="Normal"/>
    <w:uiPriority w:val="35"/>
    <w:semiHidden/>
    <w:unhideWhenUsed/>
    <w:qFormat/>
    <w:rsid w:val="005D6D22"/>
    <w:pPr>
      <w:spacing w:after="200"/>
    </w:pPr>
    <w:rPr>
      <w:rFonts w:asciiTheme="minorHAnsi" w:eastAsiaTheme="minorHAnsi" w:hAnsiTheme="minorHAnsi" w:cstheme="minorBidi"/>
      <w:i/>
      <w:iCs/>
      <w:color w:val="44546A" w:themeColor="text2"/>
      <w:sz w:val="18"/>
      <w:szCs w:val="18"/>
    </w:rPr>
  </w:style>
  <w:style w:type="table" w:customStyle="1" w:styleId="TableGrid1">
    <w:name w:val="Table Grid1"/>
    <w:basedOn w:val="TableNormal"/>
    <w:next w:val="TableGrid"/>
    <w:uiPriority w:val="39"/>
    <w:rsid w:val="00724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761003">
      <w:bodyDiv w:val="1"/>
      <w:marLeft w:val="0"/>
      <w:marRight w:val="0"/>
      <w:marTop w:val="0"/>
      <w:marBottom w:val="0"/>
      <w:divBdr>
        <w:top w:val="none" w:sz="0" w:space="0" w:color="auto"/>
        <w:left w:val="none" w:sz="0" w:space="0" w:color="auto"/>
        <w:bottom w:val="none" w:sz="0" w:space="0" w:color="auto"/>
        <w:right w:val="none" w:sz="0" w:space="0" w:color="auto"/>
      </w:divBdr>
    </w:div>
    <w:div w:id="1174607923">
      <w:bodyDiv w:val="1"/>
      <w:marLeft w:val="0"/>
      <w:marRight w:val="0"/>
      <w:marTop w:val="0"/>
      <w:marBottom w:val="0"/>
      <w:divBdr>
        <w:top w:val="none" w:sz="0" w:space="0" w:color="auto"/>
        <w:left w:val="none" w:sz="0" w:space="0" w:color="auto"/>
        <w:bottom w:val="none" w:sz="0" w:space="0" w:color="auto"/>
        <w:right w:val="none" w:sz="0" w:space="0" w:color="auto"/>
      </w:divBdr>
    </w:div>
    <w:div w:id="1591087707">
      <w:bodyDiv w:val="1"/>
      <w:marLeft w:val="0"/>
      <w:marRight w:val="0"/>
      <w:marTop w:val="0"/>
      <w:marBottom w:val="0"/>
      <w:divBdr>
        <w:top w:val="none" w:sz="0" w:space="0" w:color="auto"/>
        <w:left w:val="none" w:sz="0" w:space="0" w:color="auto"/>
        <w:bottom w:val="none" w:sz="0" w:space="0" w:color="auto"/>
        <w:right w:val="none" w:sz="0" w:space="0" w:color="auto"/>
      </w:divBdr>
    </w:div>
    <w:div w:id="1809009867">
      <w:bodyDiv w:val="1"/>
      <w:marLeft w:val="0"/>
      <w:marRight w:val="0"/>
      <w:marTop w:val="0"/>
      <w:marBottom w:val="0"/>
      <w:divBdr>
        <w:top w:val="none" w:sz="0" w:space="0" w:color="auto"/>
        <w:left w:val="none" w:sz="0" w:space="0" w:color="auto"/>
        <w:bottom w:val="none" w:sz="0" w:space="0" w:color="auto"/>
        <w:right w:val="none" w:sz="0" w:space="0" w:color="auto"/>
      </w:divBdr>
    </w:div>
    <w:div w:id="214207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mmwr/preview/mmwrhtml/mm5714a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ADB43-BA4B-4653-A03C-BE81DA97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dc:creator>
  <cp:keywords/>
  <dc:description/>
  <cp:lastModifiedBy>Stella, Linda (OS/OASH)</cp:lastModifiedBy>
  <cp:revision>16</cp:revision>
  <dcterms:created xsi:type="dcterms:W3CDTF">2022-04-20T12:23:00Z</dcterms:created>
  <dcterms:modified xsi:type="dcterms:W3CDTF">2022-04-20T19:21:00Z</dcterms:modified>
</cp:coreProperties>
</file>