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3959" w:rsidRPr="00A96020" w:rsidP="003B229B" w14:paraId="40288777" w14:textId="77777777">
      <w:pPr>
        <w:widowControl w:val="0"/>
        <w:tabs>
          <w:tab w:val="left" w:pos="360"/>
          <w:tab w:val="left" w:pos="720"/>
        </w:tabs>
        <w:jc w:val="center"/>
        <w:rPr>
          <w:rFonts w:ascii="Arial" w:hAnsi="Arial" w:cs="Arial"/>
          <w:b/>
          <w:caps/>
          <w:sz w:val="26"/>
          <w:szCs w:val="26"/>
        </w:rPr>
      </w:pPr>
      <w:r w:rsidRPr="00A96020">
        <w:rPr>
          <w:rFonts w:ascii="Arial" w:hAnsi="Arial" w:cs="Arial"/>
          <w:caps/>
          <w:sz w:val="26"/>
          <w:szCs w:val="26"/>
        </w:rPr>
        <w:fldChar w:fldCharType="begin"/>
      </w:r>
      <w:r w:rsidRPr="00A96020">
        <w:rPr>
          <w:rFonts w:ascii="Arial" w:hAnsi="Arial" w:cs="Arial"/>
          <w:caps/>
          <w:sz w:val="26"/>
          <w:szCs w:val="26"/>
        </w:rPr>
        <w:instrText xml:space="preserve"> SEQ CHAPTER \h \r 1</w:instrText>
      </w:r>
      <w:r w:rsidRPr="00A96020">
        <w:rPr>
          <w:rFonts w:ascii="Arial" w:hAnsi="Arial" w:cs="Arial"/>
          <w:caps/>
          <w:sz w:val="26"/>
          <w:szCs w:val="26"/>
        </w:rPr>
        <w:fldChar w:fldCharType="separate"/>
      </w:r>
      <w:r w:rsidRPr="00A96020">
        <w:rPr>
          <w:rFonts w:ascii="Arial" w:hAnsi="Arial" w:cs="Arial"/>
          <w:caps/>
          <w:sz w:val="26"/>
          <w:szCs w:val="26"/>
        </w:rPr>
        <w:fldChar w:fldCharType="end"/>
      </w:r>
      <w:r w:rsidRPr="00A96020">
        <w:rPr>
          <w:rFonts w:ascii="Arial" w:hAnsi="Arial" w:cs="Arial"/>
          <w:b/>
          <w:caps/>
          <w:sz w:val="26"/>
          <w:szCs w:val="26"/>
        </w:rPr>
        <w:t>Supporting Statement B for</w:t>
      </w:r>
    </w:p>
    <w:p w:rsidR="00160852" w:rsidRPr="00A96020" w:rsidP="003B229B" w14:paraId="6DE1A46A" w14:textId="77777777">
      <w:pPr>
        <w:widowControl w:val="0"/>
        <w:tabs>
          <w:tab w:val="left" w:pos="360"/>
          <w:tab w:val="left" w:pos="720"/>
        </w:tabs>
        <w:jc w:val="center"/>
        <w:rPr>
          <w:rFonts w:ascii="Arial" w:hAnsi="Arial" w:cs="Arial"/>
          <w:b/>
          <w:caps/>
          <w:sz w:val="26"/>
          <w:szCs w:val="26"/>
        </w:rPr>
      </w:pPr>
      <w:r w:rsidRPr="00A96020">
        <w:rPr>
          <w:rFonts w:ascii="Arial" w:hAnsi="Arial" w:cs="Arial"/>
          <w:b/>
          <w:bCs/>
          <w:caps/>
          <w:sz w:val="26"/>
          <w:szCs w:val="26"/>
        </w:rPr>
        <w:t>Paperwork Reduction Act Submission</w:t>
      </w:r>
    </w:p>
    <w:p w:rsidR="00160852" w:rsidRPr="00A96020" w:rsidP="003B229B" w14:paraId="046D5B97" w14:textId="77777777">
      <w:pPr>
        <w:widowControl w:val="0"/>
        <w:tabs>
          <w:tab w:val="left" w:pos="360"/>
          <w:tab w:val="left" w:pos="720"/>
        </w:tabs>
        <w:jc w:val="center"/>
        <w:rPr>
          <w:rFonts w:ascii="Arial" w:hAnsi="Arial" w:cs="Arial"/>
          <w:b/>
          <w:sz w:val="26"/>
          <w:szCs w:val="26"/>
        </w:rPr>
      </w:pPr>
    </w:p>
    <w:p w:rsidR="003D3959" w:rsidRPr="00A96020" w:rsidP="003B229B" w14:paraId="725F64AD" w14:textId="77777777">
      <w:pPr>
        <w:widowControl w:val="0"/>
        <w:tabs>
          <w:tab w:val="left" w:pos="360"/>
          <w:tab w:val="left" w:pos="720"/>
        </w:tabs>
        <w:jc w:val="center"/>
        <w:rPr>
          <w:rFonts w:ascii="Arial" w:hAnsi="Arial" w:cs="Arial"/>
          <w:b/>
          <w:sz w:val="26"/>
          <w:szCs w:val="26"/>
        </w:rPr>
      </w:pPr>
      <w:r w:rsidRPr="00A96020">
        <w:rPr>
          <w:rFonts w:ascii="Arial" w:hAnsi="Arial" w:cs="Arial"/>
          <w:b/>
          <w:sz w:val="26"/>
          <w:szCs w:val="26"/>
        </w:rPr>
        <w:t>DOI Programmatic Clearance for Customer Satisfaction Surveys</w:t>
      </w:r>
    </w:p>
    <w:p w:rsidR="003D3959" w:rsidRPr="00160852" w:rsidP="003B229B" w14:paraId="50A64339" w14:textId="77777777">
      <w:pPr>
        <w:widowControl w:val="0"/>
        <w:tabs>
          <w:tab w:val="left" w:pos="360"/>
          <w:tab w:val="left" w:pos="720"/>
        </w:tabs>
        <w:jc w:val="center"/>
        <w:rPr>
          <w:rFonts w:ascii="Arial" w:hAnsi="Arial" w:cs="Arial"/>
          <w:b/>
          <w:sz w:val="22"/>
        </w:rPr>
      </w:pPr>
      <w:r w:rsidRPr="00A96020">
        <w:rPr>
          <w:rFonts w:ascii="Arial" w:hAnsi="Arial" w:cs="Arial"/>
          <w:b/>
          <w:sz w:val="26"/>
          <w:szCs w:val="26"/>
        </w:rPr>
        <w:t>OMB Control Number 1040-0001</w:t>
      </w:r>
    </w:p>
    <w:p w:rsidR="003D3959" w:rsidRPr="004A38E7" w:rsidP="003B229B" w14:paraId="156DBDA6" w14:textId="77777777">
      <w:pPr>
        <w:widowControl w:val="0"/>
        <w:tabs>
          <w:tab w:val="left" w:pos="360"/>
          <w:tab w:val="left" w:pos="720"/>
        </w:tabs>
        <w:rPr>
          <w:rFonts w:ascii="Arial" w:hAnsi="Arial" w:cs="Arial"/>
          <w:sz w:val="22"/>
          <w:szCs w:val="22"/>
        </w:rPr>
      </w:pPr>
    </w:p>
    <w:p w:rsidR="003B229B" w:rsidRPr="004A38E7" w:rsidP="003B229B" w14:paraId="2E1137E9" w14:textId="77777777">
      <w:pPr>
        <w:widowControl w:val="0"/>
        <w:tabs>
          <w:tab w:val="left" w:pos="360"/>
          <w:tab w:val="left" w:pos="720"/>
        </w:tabs>
        <w:autoSpaceDE w:val="0"/>
        <w:autoSpaceDN w:val="0"/>
        <w:adjustRightInd w:val="0"/>
        <w:ind w:left="360" w:hanging="360"/>
        <w:rPr>
          <w:rFonts w:ascii="Arial" w:hAnsi="Arial" w:cs="Arial"/>
          <w:sz w:val="22"/>
          <w:szCs w:val="22"/>
        </w:rPr>
      </w:pPr>
      <w:r w:rsidRPr="004A38E7">
        <w:rPr>
          <w:rFonts w:ascii="Arial" w:hAnsi="Arial" w:cs="Arial"/>
          <w:b/>
          <w:bCs/>
          <w:sz w:val="22"/>
          <w:szCs w:val="22"/>
        </w:rPr>
        <w:t>Collections of Information Employing Statistical Methods</w:t>
      </w:r>
    </w:p>
    <w:p w:rsidR="003B229B" w:rsidRPr="004A38E7" w:rsidP="003B229B" w14:paraId="659ABEBB" w14:textId="77777777">
      <w:pPr>
        <w:widowControl w:val="0"/>
        <w:tabs>
          <w:tab w:val="left" w:pos="360"/>
          <w:tab w:val="left" w:pos="720"/>
        </w:tabs>
        <w:autoSpaceDE w:val="0"/>
        <w:autoSpaceDN w:val="0"/>
        <w:adjustRightInd w:val="0"/>
        <w:rPr>
          <w:rFonts w:ascii="Arial" w:hAnsi="Arial" w:cs="Arial"/>
          <w:sz w:val="22"/>
          <w:szCs w:val="22"/>
        </w:rPr>
      </w:pPr>
    </w:p>
    <w:p w:rsidR="003B229B" w:rsidRPr="004A38E7" w:rsidP="003B229B" w14:paraId="7C940B02" w14:textId="2F239F5C">
      <w:pPr>
        <w:widowControl w:val="0"/>
        <w:tabs>
          <w:tab w:val="left" w:pos="360"/>
          <w:tab w:val="left" w:pos="720"/>
        </w:tabs>
        <w:autoSpaceDE w:val="0"/>
        <w:autoSpaceDN w:val="0"/>
        <w:adjustRightInd w:val="0"/>
        <w:rPr>
          <w:rFonts w:ascii="Arial" w:hAnsi="Arial" w:cs="Arial"/>
          <w:sz w:val="22"/>
          <w:szCs w:val="22"/>
        </w:rPr>
      </w:pPr>
      <w:r w:rsidRPr="004A38E7">
        <w:rPr>
          <w:rFonts w:ascii="Arial" w:hAnsi="Arial" w:cs="Arial"/>
          <w:sz w:val="22"/>
          <w:szCs w:val="22"/>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Supporting Statement B to the extent that it applies to the methods proposed:</w:t>
      </w:r>
      <w:r w:rsidRPr="004A38E7" w:rsidR="009E27E4">
        <w:rPr>
          <w:rFonts w:ascii="Arial" w:hAnsi="Arial" w:cs="Arial"/>
          <w:sz w:val="22"/>
          <w:szCs w:val="22"/>
        </w:rPr>
        <w:t xml:space="preserve"> </w:t>
      </w:r>
    </w:p>
    <w:p w:rsidR="003B229B" w:rsidRPr="004A38E7" w:rsidP="003B229B" w14:paraId="56774E53" w14:textId="77777777">
      <w:pPr>
        <w:widowControl w:val="0"/>
        <w:tabs>
          <w:tab w:val="left" w:pos="360"/>
          <w:tab w:val="left" w:pos="720"/>
        </w:tabs>
        <w:autoSpaceDE w:val="0"/>
        <w:autoSpaceDN w:val="0"/>
        <w:adjustRightInd w:val="0"/>
        <w:rPr>
          <w:rFonts w:ascii="Arial" w:hAnsi="Arial" w:cs="Arial"/>
          <w:sz w:val="22"/>
          <w:szCs w:val="22"/>
        </w:rPr>
      </w:pPr>
    </w:p>
    <w:p w:rsidR="003B229B" w:rsidRPr="004A38E7" w:rsidP="003B229B" w14:paraId="3A04B712" w14:textId="77777777">
      <w:pPr>
        <w:widowControl w:val="0"/>
        <w:tabs>
          <w:tab w:val="left" w:pos="360"/>
          <w:tab w:val="left" w:pos="720"/>
        </w:tabs>
        <w:autoSpaceDE w:val="0"/>
        <w:autoSpaceDN w:val="0"/>
        <w:adjustRightInd w:val="0"/>
        <w:rPr>
          <w:rFonts w:ascii="Arial" w:hAnsi="Arial" w:cs="Arial"/>
          <w:b/>
          <w:sz w:val="22"/>
          <w:szCs w:val="22"/>
        </w:rPr>
      </w:pPr>
      <w:r w:rsidRPr="004A38E7">
        <w:rPr>
          <w:rFonts w:ascii="Arial" w:hAnsi="Arial" w:cs="Arial"/>
          <w:b/>
          <w:sz w:val="22"/>
          <w:szCs w:val="22"/>
        </w:rPr>
        <w:t>1.</w:t>
      </w:r>
      <w:r w:rsidRPr="004A38E7">
        <w:rPr>
          <w:rFonts w:ascii="Arial" w:hAnsi="Arial" w:cs="Arial"/>
          <w:b/>
          <w:sz w:val="22"/>
          <w:szCs w:val="22"/>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3B229B" w:rsidRPr="004A38E7" w:rsidP="003B229B" w14:paraId="61EFFD1C" w14:textId="77777777">
      <w:pPr>
        <w:widowControl w:val="0"/>
        <w:tabs>
          <w:tab w:val="left" w:pos="360"/>
          <w:tab w:val="left" w:pos="720"/>
        </w:tabs>
        <w:autoSpaceDE w:val="0"/>
        <w:autoSpaceDN w:val="0"/>
        <w:adjustRightInd w:val="0"/>
        <w:rPr>
          <w:rFonts w:ascii="Arial" w:hAnsi="Arial" w:cs="Arial"/>
          <w:sz w:val="22"/>
          <w:szCs w:val="22"/>
        </w:rPr>
      </w:pPr>
    </w:p>
    <w:p w:rsidR="003D3959" w:rsidRPr="004A38E7" w:rsidP="003B229B" w14:paraId="4ECE17A1" w14:textId="77777777">
      <w:pPr>
        <w:widowControl w:val="0"/>
        <w:tabs>
          <w:tab w:val="left" w:pos="360"/>
          <w:tab w:val="left" w:pos="720"/>
        </w:tabs>
        <w:rPr>
          <w:rFonts w:ascii="Arial" w:hAnsi="Arial" w:cs="Arial"/>
          <w:sz w:val="22"/>
          <w:szCs w:val="22"/>
        </w:rPr>
      </w:pPr>
      <w:r w:rsidRPr="004A38E7">
        <w:rPr>
          <w:rFonts w:ascii="Arial" w:hAnsi="Arial" w:cs="Arial"/>
          <w:sz w:val="22"/>
          <w:szCs w:val="22"/>
        </w:rPr>
        <w:t>Our potential respondent universe consists of</w:t>
      </w:r>
      <w:r w:rsidRPr="004A38E7" w:rsidR="004F3DE5">
        <w:rPr>
          <w:rFonts w:ascii="Arial" w:hAnsi="Arial" w:cs="Arial"/>
          <w:sz w:val="22"/>
          <w:szCs w:val="22"/>
        </w:rPr>
        <w:t xml:space="preserve"> </w:t>
      </w:r>
      <w:r w:rsidRPr="004A38E7">
        <w:rPr>
          <w:rFonts w:ascii="Arial" w:hAnsi="Arial" w:cs="Arial"/>
          <w:sz w:val="22"/>
          <w:szCs w:val="22"/>
        </w:rPr>
        <w:t>DOI’s customers.  DOI defines the term “customer” in the following manner:</w:t>
      </w:r>
    </w:p>
    <w:p w:rsidR="003D3959" w:rsidRPr="004A38E7" w:rsidP="003B229B" w14:paraId="536D4A03" w14:textId="77777777">
      <w:pPr>
        <w:widowControl w:val="0"/>
        <w:tabs>
          <w:tab w:val="left" w:pos="360"/>
          <w:tab w:val="left" w:pos="720"/>
        </w:tabs>
        <w:rPr>
          <w:rFonts w:ascii="Arial" w:hAnsi="Arial" w:cs="Arial"/>
          <w:sz w:val="22"/>
          <w:szCs w:val="22"/>
        </w:rPr>
      </w:pPr>
    </w:p>
    <w:p w:rsidR="003D3959" w:rsidRPr="004A38E7" w:rsidP="003B229B" w14:paraId="22BD3CB8" w14:textId="77777777">
      <w:pPr>
        <w:widowControl w:val="0"/>
        <w:tabs>
          <w:tab w:val="left" w:pos="360"/>
          <w:tab w:val="left" w:pos="720"/>
        </w:tabs>
        <w:ind w:left="720"/>
        <w:rPr>
          <w:rFonts w:ascii="Arial" w:hAnsi="Arial" w:cs="Arial"/>
          <w:sz w:val="22"/>
          <w:szCs w:val="22"/>
        </w:rPr>
      </w:pPr>
      <w:r w:rsidRPr="004A38E7">
        <w:rPr>
          <w:rFonts w:ascii="Arial" w:hAnsi="Arial" w:cs="Arial"/>
          <w:b/>
          <w:i/>
          <w:sz w:val="22"/>
          <w:szCs w:val="22"/>
          <w:u w:val="single"/>
        </w:rPr>
        <w:t>Customer:</w:t>
      </w:r>
      <w:r w:rsidRPr="004A38E7">
        <w:rPr>
          <w:rFonts w:ascii="Arial" w:hAnsi="Arial" w:cs="Arial"/>
          <w:b/>
          <w:sz w:val="22"/>
          <w:szCs w:val="22"/>
        </w:rPr>
        <w:t xml:space="preserve"> </w:t>
      </w:r>
      <w:r w:rsidRPr="004A38E7">
        <w:rPr>
          <w:rFonts w:ascii="Arial" w:hAnsi="Arial" w:cs="Arial"/>
          <w:sz w:val="22"/>
          <w:szCs w:val="22"/>
        </w:rPr>
        <w:t xml:space="preserve"> Anyone who uses DOI resources, products, or services.  This includes internal customers (anyone within DOI) as well as external customers (e.g., the American public, representatives of the private sector, Tribes, academia, other government agencies).  Depending upon their role in specific situations and interactions, citizens and DOI stakeholders and partners may also be considered customers.</w:t>
      </w:r>
    </w:p>
    <w:p w:rsidR="003D3959" w:rsidRPr="004A38E7" w:rsidP="003B229B" w14:paraId="50CF1A56" w14:textId="77777777">
      <w:pPr>
        <w:widowControl w:val="0"/>
        <w:tabs>
          <w:tab w:val="left" w:pos="360"/>
          <w:tab w:val="left" w:pos="720"/>
        </w:tabs>
        <w:rPr>
          <w:rFonts w:ascii="Arial" w:hAnsi="Arial" w:cs="Arial"/>
          <w:sz w:val="22"/>
          <w:szCs w:val="22"/>
        </w:rPr>
      </w:pPr>
    </w:p>
    <w:p w:rsidR="003D3959" w:rsidRPr="004A38E7" w:rsidP="003B229B" w14:paraId="343237A0" w14:textId="77777777">
      <w:pPr>
        <w:widowControl w:val="0"/>
        <w:tabs>
          <w:tab w:val="left" w:pos="360"/>
          <w:tab w:val="left" w:pos="720"/>
        </w:tabs>
        <w:rPr>
          <w:rFonts w:ascii="Arial" w:hAnsi="Arial" w:cs="Arial"/>
          <w:sz w:val="22"/>
          <w:szCs w:val="22"/>
        </w:rPr>
      </w:pPr>
      <w:r w:rsidRPr="004A38E7">
        <w:rPr>
          <w:rFonts w:ascii="Arial" w:hAnsi="Arial" w:cs="Arial"/>
          <w:sz w:val="22"/>
          <w:szCs w:val="22"/>
        </w:rPr>
        <w:t>We define “Stakeholder” to mean groups, individuals or Tribes who have an expressed interest in and who seek to influence the present and future state of DOI’s resources, products, and services.</w:t>
      </w:r>
    </w:p>
    <w:p w:rsidR="003D3959" w:rsidRPr="004A38E7" w:rsidP="003B229B" w14:paraId="058CBB90" w14:textId="77777777">
      <w:pPr>
        <w:widowControl w:val="0"/>
        <w:tabs>
          <w:tab w:val="left" w:pos="360"/>
          <w:tab w:val="left" w:pos="720"/>
        </w:tabs>
        <w:rPr>
          <w:rFonts w:ascii="Arial" w:hAnsi="Arial" w:cs="Arial"/>
          <w:sz w:val="22"/>
          <w:szCs w:val="22"/>
        </w:rPr>
      </w:pPr>
    </w:p>
    <w:p w:rsidR="003D3959" w:rsidRPr="004A38E7" w:rsidP="003B229B" w14:paraId="03042CE7" w14:textId="77777777">
      <w:pPr>
        <w:widowControl w:val="0"/>
        <w:tabs>
          <w:tab w:val="left" w:pos="360"/>
          <w:tab w:val="left" w:pos="720"/>
        </w:tabs>
        <w:rPr>
          <w:rFonts w:ascii="Arial" w:hAnsi="Arial" w:cs="Arial"/>
          <w:sz w:val="22"/>
          <w:szCs w:val="22"/>
        </w:rPr>
      </w:pPr>
      <w:r w:rsidRPr="004A38E7">
        <w:rPr>
          <w:rFonts w:ascii="Arial" w:hAnsi="Arial" w:cs="Arial"/>
          <w:sz w:val="22"/>
          <w:szCs w:val="22"/>
        </w:rPr>
        <w:t>We define “Partners” to mean groups, individuals, Tribes and government agencies who are formally engaged in helping DOI accomplish its mission, or with whom DOI has a joint responsibility/mission.</w:t>
      </w:r>
    </w:p>
    <w:p w:rsidR="003D3959" w:rsidRPr="004A38E7" w:rsidP="003B229B" w14:paraId="523B4620" w14:textId="77777777">
      <w:pPr>
        <w:widowControl w:val="0"/>
        <w:tabs>
          <w:tab w:val="left" w:pos="360"/>
          <w:tab w:val="left" w:pos="720"/>
        </w:tabs>
        <w:rPr>
          <w:rFonts w:ascii="Arial" w:hAnsi="Arial" w:cs="Arial"/>
          <w:sz w:val="22"/>
          <w:szCs w:val="22"/>
        </w:rPr>
      </w:pPr>
    </w:p>
    <w:p w:rsidR="003D3959" w:rsidRPr="004A38E7" w:rsidP="003B229B" w14:paraId="46FE19E9" w14:textId="19F80387">
      <w:pPr>
        <w:widowControl w:val="0"/>
        <w:tabs>
          <w:tab w:val="left" w:pos="360"/>
          <w:tab w:val="left" w:pos="720"/>
        </w:tabs>
        <w:rPr>
          <w:rFonts w:ascii="Arial" w:hAnsi="Arial" w:cs="Arial"/>
          <w:sz w:val="22"/>
          <w:szCs w:val="22"/>
        </w:rPr>
      </w:pPr>
      <w:r w:rsidRPr="004A38E7">
        <w:rPr>
          <w:rFonts w:ascii="Arial" w:hAnsi="Arial" w:cs="Arial"/>
          <w:sz w:val="22"/>
          <w:szCs w:val="22"/>
        </w:rPr>
        <w:t xml:space="preserve">Based on experience with the existing Programmatic Clearance, we estimate that there will be approximately </w:t>
      </w:r>
      <w:r w:rsidRPr="004A38E7" w:rsidR="00DE6718">
        <w:rPr>
          <w:rFonts w:ascii="Arial" w:hAnsi="Arial" w:cs="Arial"/>
          <w:sz w:val="22"/>
          <w:szCs w:val="22"/>
        </w:rPr>
        <w:t>65</w:t>
      </w:r>
      <w:r w:rsidRPr="004A38E7">
        <w:rPr>
          <w:rFonts w:ascii="Arial" w:hAnsi="Arial" w:cs="Arial"/>
          <w:sz w:val="22"/>
          <w:szCs w:val="22"/>
        </w:rPr>
        <w:t xml:space="preserve">,000 </w:t>
      </w:r>
      <w:r w:rsidRPr="004A38E7" w:rsidR="00DE6718">
        <w:rPr>
          <w:rFonts w:ascii="Arial" w:hAnsi="Arial" w:cs="Arial"/>
          <w:sz w:val="22"/>
          <w:szCs w:val="22"/>
        </w:rPr>
        <w:t xml:space="preserve">annual </w:t>
      </w:r>
      <w:r w:rsidRPr="004A38E7">
        <w:rPr>
          <w:rFonts w:ascii="Arial" w:hAnsi="Arial" w:cs="Arial"/>
          <w:sz w:val="22"/>
          <w:szCs w:val="22"/>
        </w:rPr>
        <w:t>respondents.  Respondent types include coal operators, contractors/vendors, environmental groups, other governments (state, local, foreign), grant recipients, American Indians/Alaska Natives, industry groups, insular governments, interested publics (including community and specific-interest groups), law enforcement, mining companies, public information centers, scientific data users, universities/educators, utility companies, and visitors/recreationists.</w:t>
      </w:r>
    </w:p>
    <w:p w:rsidR="003D3959" w:rsidRPr="004A38E7" w:rsidP="003B229B" w14:paraId="1D34D9C9" w14:textId="77777777">
      <w:pPr>
        <w:widowControl w:val="0"/>
        <w:tabs>
          <w:tab w:val="left" w:pos="360"/>
          <w:tab w:val="left" w:pos="720"/>
        </w:tabs>
        <w:rPr>
          <w:rFonts w:ascii="Arial" w:hAnsi="Arial" w:cs="Arial"/>
          <w:sz w:val="22"/>
          <w:szCs w:val="22"/>
        </w:rPr>
      </w:pPr>
    </w:p>
    <w:p w:rsidR="003D3959" w:rsidRPr="004A38E7" w:rsidP="003B229B" w14:paraId="0F93BB34" w14:textId="77777777">
      <w:pPr>
        <w:widowControl w:val="0"/>
        <w:tabs>
          <w:tab w:val="left" w:pos="360"/>
          <w:tab w:val="left" w:pos="720"/>
        </w:tabs>
        <w:rPr>
          <w:rFonts w:ascii="Arial" w:hAnsi="Arial" w:cs="Arial"/>
          <w:sz w:val="22"/>
          <w:szCs w:val="22"/>
        </w:rPr>
      </w:pPr>
      <w:r w:rsidRPr="004A38E7">
        <w:rPr>
          <w:rFonts w:ascii="Arial" w:hAnsi="Arial" w:cs="Arial"/>
          <w:sz w:val="22"/>
          <w:szCs w:val="22"/>
        </w:rPr>
        <w:t xml:space="preserve">Based on our experience with the existing Programmatic Clearance, we anticipate response rates at or above levels needed to obtain statistically viable results.  We will take steps to </w:t>
      </w:r>
      <w:r w:rsidRPr="004A38E7">
        <w:rPr>
          <w:rFonts w:ascii="Arial" w:hAnsi="Arial" w:cs="Arial"/>
          <w:sz w:val="22"/>
          <w:szCs w:val="22"/>
        </w:rPr>
        <w:t>maximize response rates and ensure that these are integrated as part of the survey methodology in the supporting statement for each information collection to be considered under the clearance.</w:t>
      </w:r>
    </w:p>
    <w:p w:rsidR="00C701B1" w:rsidRPr="004A38E7" w:rsidP="003B229B" w14:paraId="318182CC" w14:textId="77777777">
      <w:pPr>
        <w:widowControl w:val="0"/>
        <w:tabs>
          <w:tab w:val="left" w:pos="360"/>
          <w:tab w:val="left" w:pos="720"/>
        </w:tabs>
        <w:rPr>
          <w:rFonts w:ascii="Arial" w:hAnsi="Arial" w:cs="Arial"/>
          <w:sz w:val="22"/>
          <w:szCs w:val="22"/>
        </w:rPr>
      </w:pPr>
    </w:p>
    <w:p w:rsidR="003B229B" w:rsidRPr="004A38E7" w:rsidP="003B229B" w14:paraId="50839BD5" w14:textId="77777777">
      <w:pPr>
        <w:widowControl w:val="0"/>
        <w:tabs>
          <w:tab w:val="left" w:pos="360"/>
          <w:tab w:val="left" w:pos="720"/>
        </w:tabs>
        <w:autoSpaceDE w:val="0"/>
        <w:autoSpaceDN w:val="0"/>
        <w:adjustRightInd w:val="0"/>
        <w:rPr>
          <w:rFonts w:ascii="Arial" w:hAnsi="Arial" w:cs="Arial"/>
          <w:b/>
          <w:sz w:val="22"/>
          <w:szCs w:val="22"/>
        </w:rPr>
      </w:pPr>
      <w:r w:rsidRPr="004A38E7">
        <w:rPr>
          <w:rFonts w:ascii="Arial" w:hAnsi="Arial" w:cs="Arial"/>
          <w:b/>
          <w:sz w:val="22"/>
          <w:szCs w:val="22"/>
        </w:rPr>
        <w:t>2.</w:t>
      </w:r>
      <w:r w:rsidRPr="004A38E7">
        <w:rPr>
          <w:rFonts w:ascii="Arial" w:hAnsi="Arial" w:cs="Arial"/>
          <w:b/>
          <w:sz w:val="22"/>
          <w:szCs w:val="22"/>
        </w:rPr>
        <w:tab/>
        <w:t>Describe the procedures for the collection of information including:</w:t>
      </w:r>
    </w:p>
    <w:p w:rsidR="003B229B" w:rsidRPr="004A38E7" w:rsidP="003B229B" w14:paraId="63FE1E68"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4A38E7">
        <w:rPr>
          <w:rFonts w:ascii="Arial" w:hAnsi="Arial" w:cs="Arial"/>
          <w:b/>
          <w:sz w:val="22"/>
          <w:szCs w:val="22"/>
        </w:rPr>
        <w:tab/>
        <w:t>*</w:t>
      </w:r>
      <w:r w:rsidRPr="004A38E7">
        <w:rPr>
          <w:rFonts w:ascii="Arial" w:hAnsi="Arial" w:cs="Arial"/>
          <w:b/>
          <w:sz w:val="22"/>
          <w:szCs w:val="22"/>
        </w:rPr>
        <w:tab/>
        <w:t>Statistical methodology for stratification and sample selection,</w:t>
      </w:r>
    </w:p>
    <w:p w:rsidR="003B229B" w:rsidRPr="004A38E7" w:rsidP="003B229B" w14:paraId="26E1686E"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4A38E7">
        <w:rPr>
          <w:rFonts w:ascii="Arial" w:hAnsi="Arial" w:cs="Arial"/>
          <w:b/>
          <w:sz w:val="22"/>
          <w:szCs w:val="22"/>
        </w:rPr>
        <w:tab/>
        <w:t>*</w:t>
      </w:r>
      <w:r w:rsidRPr="004A38E7">
        <w:rPr>
          <w:rFonts w:ascii="Arial" w:hAnsi="Arial" w:cs="Arial"/>
          <w:b/>
          <w:sz w:val="22"/>
          <w:szCs w:val="22"/>
        </w:rPr>
        <w:tab/>
        <w:t>Estimation procedure,</w:t>
      </w:r>
    </w:p>
    <w:p w:rsidR="003B229B" w:rsidRPr="004A38E7" w:rsidP="003B229B" w14:paraId="307005F9"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4A38E7">
        <w:rPr>
          <w:rFonts w:ascii="Arial" w:hAnsi="Arial" w:cs="Arial"/>
          <w:b/>
          <w:sz w:val="22"/>
          <w:szCs w:val="22"/>
        </w:rPr>
        <w:tab/>
        <w:t>*</w:t>
      </w:r>
      <w:r w:rsidRPr="004A38E7">
        <w:rPr>
          <w:rFonts w:ascii="Arial" w:hAnsi="Arial" w:cs="Arial"/>
          <w:b/>
          <w:sz w:val="22"/>
          <w:szCs w:val="22"/>
        </w:rPr>
        <w:tab/>
        <w:t>Degree of accuracy needed for the purpose described in the justification,</w:t>
      </w:r>
    </w:p>
    <w:p w:rsidR="003B229B" w:rsidRPr="004A38E7" w:rsidP="003B229B" w14:paraId="54A1FC45" w14:textId="77777777">
      <w:pPr>
        <w:widowControl w:val="0"/>
        <w:tabs>
          <w:tab w:val="left" w:pos="360"/>
          <w:tab w:val="left" w:pos="720"/>
        </w:tabs>
        <w:autoSpaceDE w:val="0"/>
        <w:autoSpaceDN w:val="0"/>
        <w:adjustRightInd w:val="0"/>
        <w:ind w:left="720" w:hanging="720"/>
        <w:rPr>
          <w:rFonts w:ascii="Arial" w:hAnsi="Arial" w:cs="Arial"/>
          <w:b/>
          <w:sz w:val="22"/>
          <w:szCs w:val="22"/>
        </w:rPr>
      </w:pPr>
      <w:r w:rsidRPr="004A38E7">
        <w:rPr>
          <w:rFonts w:ascii="Arial" w:hAnsi="Arial" w:cs="Arial"/>
          <w:b/>
          <w:sz w:val="22"/>
          <w:szCs w:val="22"/>
        </w:rPr>
        <w:tab/>
        <w:t>*</w:t>
      </w:r>
      <w:r w:rsidRPr="004A38E7">
        <w:rPr>
          <w:rFonts w:ascii="Arial" w:hAnsi="Arial" w:cs="Arial"/>
          <w:b/>
          <w:sz w:val="22"/>
          <w:szCs w:val="22"/>
        </w:rPr>
        <w:tab/>
        <w:t>Unusual problems requiring specialized sampling procedures, and</w:t>
      </w:r>
    </w:p>
    <w:p w:rsidR="003B229B" w:rsidRPr="004A38E7" w:rsidP="003B229B" w14:paraId="6557C299" w14:textId="77777777">
      <w:pPr>
        <w:widowControl w:val="0"/>
        <w:tabs>
          <w:tab w:val="left" w:pos="360"/>
          <w:tab w:val="left" w:pos="720"/>
        </w:tabs>
        <w:autoSpaceDE w:val="0"/>
        <w:autoSpaceDN w:val="0"/>
        <w:adjustRightInd w:val="0"/>
        <w:ind w:left="720" w:hanging="720"/>
        <w:rPr>
          <w:rFonts w:ascii="Arial" w:hAnsi="Arial" w:cs="Arial"/>
          <w:sz w:val="22"/>
          <w:szCs w:val="22"/>
        </w:rPr>
      </w:pPr>
      <w:r w:rsidRPr="004A38E7">
        <w:rPr>
          <w:rFonts w:ascii="Arial" w:hAnsi="Arial" w:cs="Arial"/>
          <w:b/>
          <w:sz w:val="22"/>
          <w:szCs w:val="22"/>
        </w:rPr>
        <w:tab/>
        <w:t>*</w:t>
      </w:r>
      <w:r w:rsidRPr="004A38E7">
        <w:rPr>
          <w:rFonts w:ascii="Arial" w:hAnsi="Arial" w:cs="Arial"/>
          <w:b/>
          <w:sz w:val="22"/>
          <w:szCs w:val="22"/>
        </w:rPr>
        <w:tab/>
        <w:t>Any use of periodic (less frequent than annual) data collection cycles to reduce burden.</w:t>
      </w:r>
    </w:p>
    <w:p w:rsidR="003B229B" w:rsidRPr="004A38E7" w:rsidP="003B229B" w14:paraId="72D1581F" w14:textId="77777777">
      <w:pPr>
        <w:widowControl w:val="0"/>
        <w:tabs>
          <w:tab w:val="left" w:pos="360"/>
          <w:tab w:val="left" w:pos="720"/>
        </w:tabs>
        <w:autoSpaceDE w:val="0"/>
        <w:autoSpaceDN w:val="0"/>
        <w:adjustRightInd w:val="0"/>
        <w:ind w:left="720" w:hanging="720"/>
        <w:rPr>
          <w:rFonts w:ascii="Arial" w:hAnsi="Arial" w:cs="Arial"/>
          <w:sz w:val="22"/>
          <w:szCs w:val="22"/>
        </w:rPr>
      </w:pPr>
    </w:p>
    <w:p w:rsidR="003B229B" w:rsidRPr="004A38E7" w:rsidP="003B229B" w14:paraId="642E96B8" w14:textId="0E48FC3D">
      <w:pPr>
        <w:widowControl w:val="0"/>
        <w:tabs>
          <w:tab w:val="left" w:pos="360"/>
          <w:tab w:val="left" w:pos="720"/>
        </w:tabs>
        <w:autoSpaceDE w:val="0"/>
        <w:autoSpaceDN w:val="0"/>
        <w:adjustRightInd w:val="0"/>
        <w:ind w:left="720" w:hanging="720"/>
        <w:rPr>
          <w:rFonts w:ascii="Arial" w:hAnsi="Arial" w:cs="Arial"/>
          <w:sz w:val="22"/>
          <w:szCs w:val="22"/>
        </w:rPr>
      </w:pPr>
      <w:r w:rsidRPr="004A38E7">
        <w:rPr>
          <w:rFonts w:ascii="Arial" w:hAnsi="Arial" w:cs="Arial"/>
          <w:sz w:val="22"/>
          <w:szCs w:val="22"/>
        </w:rPr>
        <w:t>N/A</w:t>
      </w:r>
    </w:p>
    <w:p w:rsidR="003B229B" w:rsidRPr="004A38E7" w:rsidP="003B229B" w14:paraId="6A58FB9D" w14:textId="77777777">
      <w:pPr>
        <w:widowControl w:val="0"/>
        <w:tabs>
          <w:tab w:val="left" w:pos="360"/>
          <w:tab w:val="left" w:pos="720"/>
        </w:tabs>
        <w:autoSpaceDE w:val="0"/>
        <w:autoSpaceDN w:val="0"/>
        <w:adjustRightInd w:val="0"/>
        <w:ind w:left="720" w:hanging="720"/>
        <w:rPr>
          <w:rFonts w:ascii="Arial" w:hAnsi="Arial" w:cs="Arial"/>
          <w:sz w:val="22"/>
          <w:szCs w:val="22"/>
        </w:rPr>
      </w:pPr>
    </w:p>
    <w:p w:rsidR="003B229B" w:rsidRPr="004A38E7" w:rsidP="003B229B" w14:paraId="72B9B004" w14:textId="77777777">
      <w:pPr>
        <w:widowControl w:val="0"/>
        <w:tabs>
          <w:tab w:val="left" w:pos="360"/>
          <w:tab w:val="left" w:pos="720"/>
        </w:tabs>
        <w:autoSpaceDE w:val="0"/>
        <w:autoSpaceDN w:val="0"/>
        <w:adjustRightInd w:val="0"/>
        <w:rPr>
          <w:rFonts w:ascii="Arial" w:hAnsi="Arial" w:cs="Arial"/>
          <w:b/>
          <w:sz w:val="22"/>
          <w:szCs w:val="22"/>
        </w:rPr>
      </w:pPr>
      <w:r w:rsidRPr="004A38E7">
        <w:rPr>
          <w:rFonts w:ascii="Arial" w:hAnsi="Arial" w:cs="Arial"/>
          <w:b/>
          <w:sz w:val="22"/>
          <w:szCs w:val="22"/>
        </w:rPr>
        <w:t>3.</w:t>
      </w:r>
      <w:r w:rsidRPr="004A38E7">
        <w:rPr>
          <w:rFonts w:ascii="Arial" w:hAnsi="Arial" w:cs="Arial"/>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3B229B" w:rsidRPr="004A38E7" w:rsidP="003B229B" w14:paraId="58A27E91" w14:textId="77777777">
      <w:pPr>
        <w:widowControl w:val="0"/>
        <w:tabs>
          <w:tab w:val="left" w:pos="360"/>
          <w:tab w:val="left" w:pos="720"/>
        </w:tabs>
        <w:autoSpaceDE w:val="0"/>
        <w:autoSpaceDN w:val="0"/>
        <w:adjustRightInd w:val="0"/>
        <w:rPr>
          <w:rFonts w:ascii="Arial" w:hAnsi="Arial" w:cs="Arial"/>
          <w:sz w:val="22"/>
          <w:szCs w:val="22"/>
        </w:rPr>
      </w:pPr>
    </w:p>
    <w:p w:rsidR="003B229B" w:rsidRPr="004A38E7" w:rsidP="003B229B" w14:paraId="6CDE56EA" w14:textId="21015900">
      <w:pPr>
        <w:widowControl w:val="0"/>
        <w:tabs>
          <w:tab w:val="left" w:pos="360"/>
          <w:tab w:val="left" w:pos="720"/>
        </w:tabs>
        <w:autoSpaceDE w:val="0"/>
        <w:autoSpaceDN w:val="0"/>
        <w:adjustRightInd w:val="0"/>
        <w:rPr>
          <w:rFonts w:ascii="Arial" w:hAnsi="Arial" w:cs="Arial"/>
          <w:sz w:val="22"/>
          <w:szCs w:val="22"/>
        </w:rPr>
      </w:pPr>
      <w:r w:rsidRPr="004A38E7">
        <w:rPr>
          <w:rFonts w:ascii="Arial" w:hAnsi="Arial" w:cs="Arial"/>
          <w:sz w:val="22"/>
          <w:szCs w:val="22"/>
        </w:rPr>
        <w:t>N/A</w:t>
      </w:r>
    </w:p>
    <w:p w:rsidR="003B229B" w:rsidRPr="004A38E7" w:rsidP="003B229B" w14:paraId="28B951D6" w14:textId="77777777">
      <w:pPr>
        <w:widowControl w:val="0"/>
        <w:tabs>
          <w:tab w:val="left" w:pos="360"/>
          <w:tab w:val="left" w:pos="720"/>
        </w:tabs>
        <w:autoSpaceDE w:val="0"/>
        <w:autoSpaceDN w:val="0"/>
        <w:adjustRightInd w:val="0"/>
        <w:rPr>
          <w:rFonts w:ascii="Arial" w:hAnsi="Arial" w:cs="Arial"/>
          <w:sz w:val="22"/>
          <w:szCs w:val="22"/>
        </w:rPr>
      </w:pPr>
    </w:p>
    <w:p w:rsidR="003B229B" w:rsidRPr="004A38E7" w:rsidP="003B229B" w14:paraId="688537E9" w14:textId="77777777">
      <w:pPr>
        <w:widowControl w:val="0"/>
        <w:tabs>
          <w:tab w:val="left" w:pos="360"/>
          <w:tab w:val="left" w:pos="720"/>
        </w:tabs>
        <w:autoSpaceDE w:val="0"/>
        <w:autoSpaceDN w:val="0"/>
        <w:adjustRightInd w:val="0"/>
        <w:rPr>
          <w:rFonts w:ascii="Arial" w:hAnsi="Arial" w:cs="Arial"/>
          <w:b/>
          <w:sz w:val="22"/>
          <w:szCs w:val="22"/>
        </w:rPr>
      </w:pPr>
      <w:r w:rsidRPr="004A38E7">
        <w:rPr>
          <w:rFonts w:ascii="Arial" w:hAnsi="Arial" w:cs="Arial"/>
          <w:b/>
          <w:sz w:val="22"/>
          <w:szCs w:val="22"/>
        </w:rPr>
        <w:t>4.</w:t>
      </w:r>
      <w:r w:rsidRPr="004A38E7">
        <w:rPr>
          <w:rFonts w:ascii="Arial" w:hAnsi="Arial" w:cs="Arial"/>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3B229B" w:rsidRPr="004A38E7" w:rsidP="003B229B" w14:paraId="59BED630" w14:textId="77777777">
      <w:pPr>
        <w:widowControl w:val="0"/>
        <w:tabs>
          <w:tab w:val="left" w:pos="360"/>
          <w:tab w:val="left" w:pos="720"/>
        </w:tabs>
        <w:autoSpaceDE w:val="0"/>
        <w:autoSpaceDN w:val="0"/>
        <w:adjustRightInd w:val="0"/>
        <w:rPr>
          <w:rFonts w:ascii="Arial" w:hAnsi="Arial" w:cs="Arial"/>
          <w:sz w:val="22"/>
          <w:szCs w:val="22"/>
        </w:rPr>
      </w:pPr>
    </w:p>
    <w:p w:rsidR="007F081A" w:rsidRPr="004A38E7" w:rsidP="003B229B" w14:paraId="092BC289" w14:textId="77777777">
      <w:pPr>
        <w:widowControl w:val="0"/>
        <w:tabs>
          <w:tab w:val="left" w:pos="360"/>
          <w:tab w:val="left" w:pos="720"/>
        </w:tabs>
        <w:rPr>
          <w:rFonts w:ascii="Arial" w:hAnsi="Arial" w:cs="Arial"/>
          <w:sz w:val="22"/>
          <w:szCs w:val="22"/>
        </w:rPr>
      </w:pPr>
      <w:r w:rsidRPr="004A38E7">
        <w:rPr>
          <w:rFonts w:ascii="Arial" w:hAnsi="Arial" w:cs="Arial"/>
          <w:sz w:val="22"/>
          <w:szCs w:val="22"/>
        </w:rPr>
        <w:t>All requests to collect information under the auspices of this proposed renewal will be carefully evaluated to ensure consistency with the intent, requirements, and boundaries of this programmatic clearance</w:t>
      </w:r>
      <w:r w:rsidRPr="004A38E7" w:rsidR="00284C95">
        <w:rPr>
          <w:rFonts w:ascii="Arial" w:hAnsi="Arial" w:cs="Arial"/>
          <w:sz w:val="22"/>
          <w:szCs w:val="22"/>
        </w:rPr>
        <w:t xml:space="preserve">. </w:t>
      </w:r>
      <w:r w:rsidRPr="004A38E7" w:rsidR="00C701B1">
        <w:rPr>
          <w:rFonts w:ascii="Arial" w:hAnsi="Arial" w:cs="Arial"/>
          <w:sz w:val="22"/>
          <w:szCs w:val="22"/>
        </w:rPr>
        <w:t xml:space="preserve"> </w:t>
      </w:r>
      <w:r w:rsidRPr="004A38E7" w:rsidR="00284C95">
        <w:rPr>
          <w:rFonts w:ascii="Arial" w:hAnsi="Arial" w:cs="Arial"/>
          <w:sz w:val="22"/>
          <w:szCs w:val="22"/>
        </w:rPr>
        <w:t xml:space="preserve">Proposed collection instruments and procedures must comply with OMB guidance in “Guidance on Agency Survey and Statistical Information Collections (January 20, 2006).” </w:t>
      </w:r>
    </w:p>
    <w:p w:rsidR="00284C95" w:rsidRPr="004A38E7" w:rsidP="003B229B" w14:paraId="6ED2C61A" w14:textId="77777777">
      <w:pPr>
        <w:widowControl w:val="0"/>
        <w:tabs>
          <w:tab w:val="left" w:pos="360"/>
          <w:tab w:val="left" w:pos="720"/>
        </w:tabs>
        <w:ind w:left="720"/>
        <w:rPr>
          <w:rFonts w:ascii="Arial" w:hAnsi="Arial" w:cs="Arial"/>
          <w:sz w:val="22"/>
          <w:szCs w:val="22"/>
        </w:rPr>
      </w:pPr>
    </w:p>
    <w:p w:rsidR="007F081A" w:rsidRPr="004A38E7" w:rsidP="003B229B" w14:paraId="2706C676" w14:textId="77777777">
      <w:pPr>
        <w:widowControl w:val="0"/>
        <w:tabs>
          <w:tab w:val="left" w:pos="360"/>
          <w:tab w:val="left" w:pos="720"/>
        </w:tabs>
        <w:rPr>
          <w:rFonts w:ascii="Arial" w:hAnsi="Arial" w:cs="Arial"/>
          <w:sz w:val="22"/>
          <w:szCs w:val="22"/>
        </w:rPr>
      </w:pPr>
      <w:r w:rsidRPr="004A38E7">
        <w:rPr>
          <w:rFonts w:ascii="Arial" w:hAnsi="Arial" w:cs="Arial"/>
          <w:sz w:val="22"/>
          <w:szCs w:val="22"/>
        </w:rPr>
        <w:t>Program managers and investigators planning to submit information collection requests under this Programmatic Clearance are strongly encouraged to pretest any information collection instruments to be used.  Further, we strongly encourage use of the Programmatic Clearance to obtain approval to conduct any pretesting that falls under the requirements of the Paperwork Reduction Act (i.e., more than nine individuals are being surveyed</w:t>
      </w:r>
      <w:r w:rsidRPr="004A38E7" w:rsidR="007B0D4A">
        <w:rPr>
          <w:rFonts w:ascii="Arial" w:hAnsi="Arial" w:cs="Arial"/>
          <w:sz w:val="22"/>
          <w:szCs w:val="22"/>
        </w:rPr>
        <w:t xml:space="preserve">, etc.).  </w:t>
      </w:r>
      <w:r w:rsidRPr="004A38E7">
        <w:rPr>
          <w:rFonts w:ascii="Arial" w:hAnsi="Arial" w:cs="Arial"/>
          <w:sz w:val="22"/>
          <w:szCs w:val="22"/>
        </w:rPr>
        <w:t>In these cases, requests for approval to pretest surveys will be subject to the same requirements as a standard information collection.</w:t>
      </w:r>
    </w:p>
    <w:p w:rsidR="003D3959" w:rsidRPr="004A38E7" w:rsidP="003B229B" w14:paraId="49F86FD0" w14:textId="77777777">
      <w:pPr>
        <w:widowControl w:val="0"/>
        <w:tabs>
          <w:tab w:val="left" w:pos="360"/>
          <w:tab w:val="left" w:pos="720"/>
        </w:tabs>
        <w:ind w:left="720"/>
        <w:rPr>
          <w:rFonts w:ascii="Arial" w:hAnsi="Arial" w:cs="Arial"/>
          <w:sz w:val="22"/>
          <w:szCs w:val="22"/>
        </w:rPr>
      </w:pPr>
    </w:p>
    <w:p w:rsidR="007F081A" w:rsidRPr="004A38E7" w:rsidP="003B229B" w14:paraId="5AE65B53" w14:textId="5270684C">
      <w:pPr>
        <w:widowControl w:val="0"/>
        <w:tabs>
          <w:tab w:val="left" w:pos="360"/>
          <w:tab w:val="left" w:pos="720"/>
        </w:tabs>
        <w:rPr>
          <w:rFonts w:ascii="Arial" w:hAnsi="Arial" w:cs="Arial"/>
          <w:sz w:val="22"/>
          <w:szCs w:val="22"/>
        </w:rPr>
      </w:pPr>
      <w:r w:rsidRPr="004A38E7">
        <w:rPr>
          <w:rFonts w:ascii="Arial" w:hAnsi="Arial" w:cs="Arial"/>
          <w:sz w:val="22"/>
          <w:szCs w:val="22"/>
        </w:rPr>
        <w:t xml:space="preserve">Interior’s Office of Policy Analysis </w:t>
      </w:r>
      <w:r w:rsidRPr="004A38E7" w:rsidR="0098036E">
        <w:rPr>
          <w:rFonts w:ascii="Arial" w:hAnsi="Arial" w:cs="Arial"/>
          <w:sz w:val="22"/>
          <w:szCs w:val="22"/>
        </w:rPr>
        <w:t xml:space="preserve">(PPA) </w:t>
      </w:r>
      <w:r w:rsidRPr="004A38E7">
        <w:rPr>
          <w:rFonts w:ascii="Arial" w:hAnsi="Arial" w:cs="Arial"/>
          <w:sz w:val="22"/>
          <w:szCs w:val="22"/>
        </w:rPr>
        <w:t>will conduct an administrative review of each request and oversee technical reviews of each request to ensure statistical validity and soundness.  All information collection instruments will be designed and deployed based upon acceptable statistical practices and sampling methodologies, where appropriate, and will be used to obtain consistent, valid data that are representative of the target populations, account for non-response bias, and achieve response rates at or above levels needed to obtain statistically useful results.</w:t>
      </w:r>
    </w:p>
    <w:p w:rsidR="003D3959" w:rsidRPr="004A38E7" w:rsidP="003B229B" w14:paraId="524A540C" w14:textId="77777777">
      <w:pPr>
        <w:widowControl w:val="0"/>
        <w:tabs>
          <w:tab w:val="left" w:pos="360"/>
          <w:tab w:val="left" w:pos="720"/>
        </w:tabs>
        <w:ind w:left="720"/>
        <w:rPr>
          <w:rFonts w:ascii="Arial" w:hAnsi="Arial" w:cs="Arial"/>
          <w:sz w:val="22"/>
          <w:szCs w:val="22"/>
        </w:rPr>
      </w:pPr>
    </w:p>
    <w:p w:rsidR="007F081A" w:rsidRPr="004A38E7" w:rsidP="003B229B" w14:paraId="0887227C" w14:textId="7CF95F96">
      <w:pPr>
        <w:widowControl w:val="0"/>
        <w:tabs>
          <w:tab w:val="left" w:pos="360"/>
          <w:tab w:val="left" w:pos="720"/>
        </w:tabs>
        <w:rPr>
          <w:rFonts w:ascii="Arial" w:hAnsi="Arial" w:cs="Arial"/>
          <w:sz w:val="22"/>
          <w:szCs w:val="22"/>
        </w:rPr>
      </w:pPr>
      <w:r w:rsidRPr="004A38E7">
        <w:rPr>
          <w:rFonts w:ascii="Arial" w:hAnsi="Arial" w:cs="Arial"/>
          <w:sz w:val="22"/>
          <w:szCs w:val="22"/>
        </w:rPr>
        <w:t xml:space="preserve">All submissions under the program of expedited approval must include a description of the </w:t>
      </w:r>
      <w:r w:rsidRPr="004A38E7">
        <w:rPr>
          <w:rFonts w:ascii="Arial" w:hAnsi="Arial" w:cs="Arial"/>
          <w:sz w:val="22"/>
          <w:szCs w:val="22"/>
        </w:rPr>
        <w:t xml:space="preserve">survey methodology.  This description must be specific and describe, as appropriate, each of the following: </w:t>
      </w:r>
      <w:r w:rsidR="004A38E7">
        <w:rPr>
          <w:rFonts w:ascii="Arial" w:hAnsi="Arial" w:cs="Arial"/>
          <w:sz w:val="22"/>
          <w:szCs w:val="22"/>
        </w:rPr>
        <w:t xml:space="preserve"> </w:t>
      </w:r>
      <w:r w:rsidRPr="004A38E7">
        <w:rPr>
          <w:rFonts w:ascii="Arial" w:hAnsi="Arial" w:cs="Arial"/>
          <w:sz w:val="22"/>
          <w:szCs w:val="22"/>
        </w:rPr>
        <w:t xml:space="preserve">(a) respondent universe, (b) the sampling plan and all sampling procedures, including how individual respondents will be selected, (c) how the instrument will be administered, (d) expected response rate and confidence, and (e) strategies for dealing with potential non-response bias.  A description of any pre-testing and peer review of the methods and/or instrument is highly recommended.  Further, all submissions under the Programmatic Clearance will describe how data will be presented to managers and any others that will use results of the surveys, particularly in cases where response rates were lower than anticipated.  In these cases, program managers must take steps to ensure that the appropriate caveats and explanations are provided with data presentations and reports so that users of the data understand that there may be possible biases associated with the data. </w:t>
      </w:r>
    </w:p>
    <w:p w:rsidR="003D3959" w:rsidRPr="004A38E7" w:rsidP="003B229B" w14:paraId="4342A585" w14:textId="77777777">
      <w:pPr>
        <w:widowControl w:val="0"/>
        <w:tabs>
          <w:tab w:val="left" w:pos="360"/>
          <w:tab w:val="left" w:pos="720"/>
        </w:tabs>
        <w:ind w:left="720"/>
        <w:rPr>
          <w:rFonts w:ascii="Arial" w:hAnsi="Arial" w:cs="Arial"/>
          <w:sz w:val="22"/>
          <w:szCs w:val="22"/>
        </w:rPr>
      </w:pPr>
    </w:p>
    <w:p w:rsidR="007F081A" w:rsidRPr="004A38E7" w:rsidP="003B229B" w14:paraId="6ED4BB2D" w14:textId="263A7669">
      <w:pPr>
        <w:widowControl w:val="0"/>
        <w:tabs>
          <w:tab w:val="left" w:pos="360"/>
          <w:tab w:val="left" w:pos="720"/>
        </w:tabs>
        <w:rPr>
          <w:rFonts w:ascii="Arial" w:hAnsi="Arial" w:cs="Arial"/>
          <w:sz w:val="22"/>
          <w:szCs w:val="22"/>
        </w:rPr>
      </w:pPr>
      <w:r w:rsidRPr="004A38E7">
        <w:rPr>
          <w:rFonts w:ascii="Arial" w:hAnsi="Arial" w:cs="Arial"/>
          <w:sz w:val="22"/>
          <w:szCs w:val="22"/>
        </w:rPr>
        <w:t xml:space="preserve">Interior has established a </w:t>
      </w:r>
      <w:r w:rsidRPr="004A38E7" w:rsidR="00F4341A">
        <w:rPr>
          <w:rFonts w:ascii="Arial" w:hAnsi="Arial" w:cs="Arial"/>
          <w:sz w:val="22"/>
          <w:szCs w:val="22"/>
        </w:rPr>
        <w:t xml:space="preserve">clearance </w:t>
      </w:r>
      <w:r w:rsidRPr="004A38E7">
        <w:rPr>
          <w:rFonts w:ascii="Arial" w:hAnsi="Arial" w:cs="Arial"/>
          <w:sz w:val="22"/>
          <w:szCs w:val="22"/>
        </w:rPr>
        <w:t>form</w:t>
      </w:r>
      <w:r w:rsidRPr="004A38E7" w:rsidR="0017239A">
        <w:rPr>
          <w:rFonts w:ascii="Arial" w:hAnsi="Arial" w:cs="Arial"/>
          <w:sz w:val="22"/>
          <w:szCs w:val="22"/>
        </w:rPr>
        <w:t xml:space="preserve"> (DI-4010)</w:t>
      </w:r>
      <w:r w:rsidRPr="004A38E7">
        <w:rPr>
          <w:rFonts w:ascii="Arial" w:hAnsi="Arial" w:cs="Arial"/>
          <w:sz w:val="22"/>
          <w:szCs w:val="22"/>
        </w:rPr>
        <w:t xml:space="preserve"> that program managers must complete for any submission under the </w:t>
      </w:r>
      <w:r w:rsidRPr="004A38E7" w:rsidR="00F4341A">
        <w:rPr>
          <w:rFonts w:ascii="Arial" w:hAnsi="Arial" w:cs="Arial"/>
          <w:sz w:val="22"/>
          <w:szCs w:val="22"/>
        </w:rPr>
        <w:t xml:space="preserve">DOI </w:t>
      </w:r>
      <w:r w:rsidRPr="004A38E7">
        <w:rPr>
          <w:rFonts w:ascii="Arial" w:hAnsi="Arial" w:cs="Arial"/>
          <w:sz w:val="22"/>
          <w:szCs w:val="22"/>
        </w:rPr>
        <w:t>Programmatic Clearance for Customer Satisfaction Surveys.   The form addresses all points mentioned above.</w:t>
      </w:r>
      <w:r w:rsidRPr="004A38E7" w:rsidR="00F4341A">
        <w:rPr>
          <w:rFonts w:ascii="Arial" w:hAnsi="Arial" w:cs="Arial"/>
          <w:sz w:val="22"/>
          <w:szCs w:val="22"/>
        </w:rPr>
        <w:t xml:space="preserve">  This form </w:t>
      </w:r>
      <w:r w:rsidRPr="004A38E7" w:rsidR="007B0D4A">
        <w:rPr>
          <w:rFonts w:ascii="Arial" w:hAnsi="Arial" w:cs="Arial"/>
          <w:sz w:val="22"/>
          <w:szCs w:val="22"/>
        </w:rPr>
        <w:t xml:space="preserve">and a </w:t>
      </w:r>
      <w:r w:rsidRPr="004A38E7" w:rsidR="00F4341A">
        <w:rPr>
          <w:rFonts w:ascii="Arial" w:hAnsi="Arial" w:cs="Arial"/>
          <w:sz w:val="22"/>
          <w:szCs w:val="22"/>
        </w:rPr>
        <w:t>de</w:t>
      </w:r>
      <w:r w:rsidRPr="004A38E7" w:rsidR="007B0D4A">
        <w:rPr>
          <w:rFonts w:ascii="Arial" w:hAnsi="Arial" w:cs="Arial"/>
          <w:sz w:val="22"/>
          <w:szCs w:val="22"/>
        </w:rPr>
        <w:t xml:space="preserve">tailed Guidelines Document </w:t>
      </w:r>
      <w:r w:rsidRPr="004A38E7" w:rsidR="00F4341A">
        <w:rPr>
          <w:rFonts w:ascii="Arial" w:hAnsi="Arial" w:cs="Arial"/>
          <w:sz w:val="22"/>
          <w:szCs w:val="22"/>
        </w:rPr>
        <w:t xml:space="preserve">explain the full process for submitting a specific instrument for expedited approval under this Programmatic Clearance.  This </w:t>
      </w:r>
      <w:r w:rsidRPr="004A38E7" w:rsidR="007B0D4A">
        <w:rPr>
          <w:rFonts w:ascii="Arial" w:hAnsi="Arial" w:cs="Arial"/>
          <w:sz w:val="22"/>
          <w:szCs w:val="22"/>
        </w:rPr>
        <w:t xml:space="preserve">form and the </w:t>
      </w:r>
      <w:r w:rsidRPr="004A38E7" w:rsidR="00F4341A">
        <w:rPr>
          <w:rFonts w:ascii="Arial" w:hAnsi="Arial" w:cs="Arial"/>
          <w:sz w:val="22"/>
          <w:szCs w:val="22"/>
        </w:rPr>
        <w:t xml:space="preserve">Guidelines </w:t>
      </w:r>
      <w:r w:rsidR="004A38E7">
        <w:rPr>
          <w:rFonts w:ascii="Arial" w:hAnsi="Arial" w:cs="Arial"/>
          <w:sz w:val="22"/>
          <w:szCs w:val="22"/>
        </w:rPr>
        <w:t>for Submission d</w:t>
      </w:r>
      <w:r w:rsidRPr="004A38E7" w:rsidR="00F4341A">
        <w:rPr>
          <w:rFonts w:ascii="Arial" w:hAnsi="Arial" w:cs="Arial"/>
          <w:sz w:val="22"/>
          <w:szCs w:val="22"/>
        </w:rPr>
        <w:t xml:space="preserve">ocument </w:t>
      </w:r>
      <w:r w:rsidRPr="004A38E7" w:rsidR="007B0D4A">
        <w:rPr>
          <w:rFonts w:ascii="Arial" w:hAnsi="Arial" w:cs="Arial"/>
          <w:sz w:val="22"/>
          <w:szCs w:val="22"/>
        </w:rPr>
        <w:t>are</w:t>
      </w:r>
      <w:r w:rsidRPr="004A38E7" w:rsidR="00F4341A">
        <w:rPr>
          <w:rFonts w:ascii="Arial" w:hAnsi="Arial" w:cs="Arial"/>
          <w:sz w:val="22"/>
          <w:szCs w:val="22"/>
        </w:rPr>
        <w:t xml:space="preserve"> attached in ROCIS as part of this submission for an extension of OMB </w:t>
      </w:r>
      <w:r w:rsidRPr="004A38E7" w:rsidR="00C44A21">
        <w:rPr>
          <w:rFonts w:ascii="Arial" w:hAnsi="Arial" w:cs="Arial"/>
          <w:sz w:val="22"/>
          <w:szCs w:val="22"/>
        </w:rPr>
        <w:t>C</w:t>
      </w:r>
      <w:r w:rsidRPr="004A38E7" w:rsidR="00F4341A">
        <w:rPr>
          <w:rFonts w:ascii="Arial" w:hAnsi="Arial" w:cs="Arial"/>
          <w:sz w:val="22"/>
          <w:szCs w:val="22"/>
        </w:rPr>
        <w:t xml:space="preserve">ontrol </w:t>
      </w:r>
      <w:r w:rsidRPr="004A38E7" w:rsidR="00C44A21">
        <w:rPr>
          <w:rFonts w:ascii="Arial" w:hAnsi="Arial" w:cs="Arial"/>
          <w:sz w:val="22"/>
          <w:szCs w:val="22"/>
        </w:rPr>
        <w:t>N</w:t>
      </w:r>
      <w:r w:rsidRPr="004A38E7" w:rsidR="00F4341A">
        <w:rPr>
          <w:rFonts w:ascii="Arial" w:hAnsi="Arial" w:cs="Arial"/>
          <w:sz w:val="22"/>
          <w:szCs w:val="22"/>
        </w:rPr>
        <w:t>umber 1040-0001.</w:t>
      </w:r>
    </w:p>
    <w:p w:rsidR="003D3959" w:rsidRPr="004A38E7" w:rsidP="003B229B" w14:paraId="721DA1B5" w14:textId="77777777">
      <w:pPr>
        <w:widowControl w:val="0"/>
        <w:tabs>
          <w:tab w:val="left" w:pos="360"/>
          <w:tab w:val="left" w:pos="720"/>
        </w:tabs>
        <w:rPr>
          <w:rFonts w:ascii="Arial" w:hAnsi="Arial" w:cs="Arial"/>
          <w:sz w:val="22"/>
          <w:szCs w:val="22"/>
        </w:rPr>
      </w:pPr>
    </w:p>
    <w:p w:rsidR="003B229B" w:rsidRPr="004A38E7" w:rsidP="003B229B" w14:paraId="75D1A066" w14:textId="77777777">
      <w:pPr>
        <w:widowControl w:val="0"/>
        <w:tabs>
          <w:tab w:val="left" w:pos="360"/>
          <w:tab w:val="left" w:pos="720"/>
        </w:tabs>
        <w:autoSpaceDE w:val="0"/>
        <w:autoSpaceDN w:val="0"/>
        <w:adjustRightInd w:val="0"/>
        <w:rPr>
          <w:rFonts w:ascii="Arial" w:hAnsi="Arial" w:cs="Arial"/>
          <w:b/>
          <w:sz w:val="22"/>
          <w:szCs w:val="22"/>
        </w:rPr>
      </w:pPr>
      <w:r w:rsidRPr="004A38E7">
        <w:rPr>
          <w:rFonts w:ascii="Arial" w:hAnsi="Arial" w:cs="Arial"/>
          <w:b/>
          <w:sz w:val="22"/>
          <w:szCs w:val="22"/>
        </w:rPr>
        <w:t>5.</w:t>
      </w:r>
      <w:r w:rsidRPr="004A38E7">
        <w:rPr>
          <w:rFonts w:ascii="Arial" w:hAnsi="Arial" w:cs="Arial"/>
          <w:b/>
          <w:sz w:val="22"/>
          <w:szCs w:val="22"/>
        </w:rPr>
        <w:tab/>
        <w:t>Provide the names and telephone numbers of individuals consulted on statistical aspects of the design and the name of the agency unit, contractor(s), grantee(s), or other person(s) who will actually collect and/or analyze the information for the agency.</w:t>
      </w:r>
    </w:p>
    <w:p w:rsidR="003B229B" w:rsidRPr="004A38E7" w:rsidP="003B229B" w14:paraId="06036ECE" w14:textId="77777777">
      <w:pPr>
        <w:widowControl w:val="0"/>
        <w:tabs>
          <w:tab w:val="left" w:pos="360"/>
          <w:tab w:val="left" w:pos="720"/>
        </w:tabs>
        <w:autoSpaceDE w:val="0"/>
        <w:autoSpaceDN w:val="0"/>
        <w:adjustRightInd w:val="0"/>
        <w:ind w:left="360" w:hanging="360"/>
        <w:rPr>
          <w:rFonts w:ascii="Arial" w:hAnsi="Arial" w:cs="Arial"/>
          <w:sz w:val="22"/>
          <w:szCs w:val="22"/>
        </w:rPr>
      </w:pPr>
    </w:p>
    <w:p w:rsidR="003D3959" w:rsidRPr="004A38E7" w:rsidP="003B229B" w14:paraId="4CBE9127" w14:textId="0052A10F">
      <w:pPr>
        <w:widowControl w:val="0"/>
        <w:tabs>
          <w:tab w:val="left" w:pos="360"/>
          <w:tab w:val="left" w:pos="720"/>
        </w:tabs>
        <w:rPr>
          <w:rFonts w:ascii="Arial" w:hAnsi="Arial" w:cs="Arial"/>
          <w:sz w:val="22"/>
          <w:szCs w:val="22"/>
        </w:rPr>
      </w:pPr>
      <w:r w:rsidRPr="004A38E7">
        <w:rPr>
          <w:rFonts w:ascii="Arial" w:hAnsi="Arial" w:cs="Arial"/>
          <w:sz w:val="22"/>
          <w:szCs w:val="22"/>
        </w:rPr>
        <w:t xml:space="preserve">Statistical aspects of this programmatic approval were reviewed by </w:t>
      </w:r>
      <w:r w:rsidR="004A38E7">
        <w:rPr>
          <w:rFonts w:ascii="Arial" w:hAnsi="Arial" w:cs="Arial"/>
          <w:sz w:val="22"/>
          <w:szCs w:val="22"/>
        </w:rPr>
        <w:t>Melissa Baybrooks</w:t>
      </w:r>
      <w:r w:rsidRPr="004A38E7">
        <w:rPr>
          <w:rFonts w:ascii="Arial" w:hAnsi="Arial" w:cs="Arial"/>
          <w:sz w:val="22"/>
          <w:szCs w:val="22"/>
        </w:rPr>
        <w:t xml:space="preserve">, </w:t>
      </w:r>
      <w:r w:rsidRPr="004A38E7" w:rsidR="00EE2882">
        <w:rPr>
          <w:rFonts w:ascii="Arial" w:hAnsi="Arial" w:cs="Arial"/>
          <w:sz w:val="22"/>
          <w:szCs w:val="22"/>
        </w:rPr>
        <w:t>Economist, Department of the Interior</w:t>
      </w:r>
      <w:r w:rsidRPr="004A38E7">
        <w:rPr>
          <w:rFonts w:ascii="Arial" w:hAnsi="Arial" w:cs="Arial"/>
          <w:sz w:val="22"/>
          <w:szCs w:val="22"/>
        </w:rPr>
        <w:t xml:space="preserve">, </w:t>
      </w:r>
      <w:r w:rsidRPr="004A38E7" w:rsidR="00FF0A74">
        <w:rPr>
          <w:rFonts w:ascii="Arial" w:hAnsi="Arial" w:cs="Arial"/>
          <w:sz w:val="22"/>
          <w:szCs w:val="22"/>
        </w:rPr>
        <w:t xml:space="preserve">email:  </w:t>
      </w:r>
      <w:r w:rsidRPr="004A38E7" w:rsidR="004A38E7">
        <w:rPr>
          <w:rFonts w:ascii="Arial" w:hAnsi="Arial" w:cs="Arial"/>
          <w:sz w:val="22"/>
          <w:szCs w:val="22"/>
        </w:rPr>
        <w:t>melissa_braybrooks@ios.doi.gov</w:t>
      </w:r>
      <w:r w:rsidRPr="004A38E7">
        <w:rPr>
          <w:rFonts w:ascii="Arial" w:hAnsi="Arial" w:cs="Arial"/>
          <w:sz w:val="22"/>
          <w:szCs w:val="22"/>
        </w:rPr>
        <w:t>.</w:t>
      </w:r>
    </w:p>
    <w:p w:rsidR="003D3959" w:rsidRPr="004A38E7" w:rsidP="003B229B" w14:paraId="45D36779" w14:textId="77777777">
      <w:pPr>
        <w:widowControl w:val="0"/>
        <w:tabs>
          <w:tab w:val="left" w:pos="360"/>
          <w:tab w:val="left" w:pos="720"/>
        </w:tabs>
        <w:rPr>
          <w:rFonts w:ascii="Arial" w:hAnsi="Arial" w:cs="Arial"/>
          <w:sz w:val="22"/>
          <w:szCs w:val="22"/>
        </w:rPr>
      </w:pPr>
    </w:p>
    <w:p w:rsidR="003D3959" w:rsidRPr="004A38E7" w:rsidP="003B229B" w14:paraId="5A3572C9" w14:textId="1F9286AA">
      <w:pPr>
        <w:widowControl w:val="0"/>
        <w:tabs>
          <w:tab w:val="left" w:pos="360"/>
          <w:tab w:val="left" w:pos="720"/>
        </w:tabs>
        <w:rPr>
          <w:rFonts w:ascii="Arial" w:hAnsi="Arial" w:cs="Arial"/>
          <w:sz w:val="22"/>
          <w:szCs w:val="22"/>
        </w:rPr>
      </w:pPr>
      <w:r w:rsidRPr="004A38E7">
        <w:rPr>
          <w:rFonts w:ascii="Arial" w:hAnsi="Arial" w:cs="Arial"/>
          <w:sz w:val="22"/>
          <w:szCs w:val="22"/>
        </w:rPr>
        <w:t xml:space="preserve">DOI’s </w:t>
      </w:r>
      <w:r w:rsidRPr="004A38E7" w:rsidR="00000D38">
        <w:rPr>
          <w:rFonts w:ascii="Arial" w:hAnsi="Arial" w:cs="Arial"/>
          <w:sz w:val="22"/>
          <w:szCs w:val="22"/>
        </w:rPr>
        <w:t>PPA</w:t>
      </w:r>
      <w:r w:rsidRPr="004A38E7">
        <w:rPr>
          <w:rFonts w:ascii="Arial" w:hAnsi="Arial" w:cs="Arial"/>
          <w:sz w:val="22"/>
          <w:szCs w:val="22"/>
        </w:rPr>
        <w:t>, in concert with other statistical experts in DOI, will serve as the “secondary office of control,” coordinating the customer research efforts of DOI and ensuring that statistical aspects of all surveys remain consistent with the programmatic approval.  PPA will require that a qualified statistician review and approve each proposed information collection prior to submission of the collection to PPA.  Further, PPA will require that the appropriate bureau/office Information Collection Clearance Officer review and approve the proposed information collection prior to submission of the collection to PPA.  PPA will provide the final technical review at the Departmental level prior to submitting the specific information collection request to OMB for expedited approval.</w:t>
      </w:r>
    </w:p>
    <w:p w:rsidR="003D3959" w:rsidRPr="004A38E7" w:rsidP="003B229B" w14:paraId="4F815D17" w14:textId="77777777">
      <w:pPr>
        <w:widowControl w:val="0"/>
        <w:tabs>
          <w:tab w:val="left" w:pos="360"/>
          <w:tab w:val="left" w:pos="720"/>
        </w:tabs>
        <w:rPr>
          <w:rFonts w:ascii="Arial" w:hAnsi="Arial" w:cs="Arial"/>
          <w:sz w:val="22"/>
          <w:szCs w:val="22"/>
        </w:rPr>
      </w:pPr>
    </w:p>
    <w:p w:rsidR="003D3959" w:rsidRPr="004A38E7" w:rsidP="003B229B" w14:paraId="30DD0D8E" w14:textId="13FF50D9">
      <w:pPr>
        <w:widowControl w:val="0"/>
        <w:tabs>
          <w:tab w:val="left" w:pos="360"/>
          <w:tab w:val="left" w:pos="720"/>
        </w:tabs>
        <w:rPr>
          <w:rFonts w:ascii="Arial" w:hAnsi="Arial" w:cs="Arial"/>
          <w:sz w:val="22"/>
          <w:szCs w:val="22"/>
        </w:rPr>
      </w:pPr>
      <w:r w:rsidRPr="004A38E7">
        <w:rPr>
          <w:rFonts w:ascii="Arial" w:hAnsi="Arial" w:cs="Arial"/>
          <w:sz w:val="22"/>
          <w:szCs w:val="22"/>
        </w:rPr>
        <w:t>Respective Interior bureau and office program managers, their contractors, and statistical staff will actually collect and analyze the information collected via surveys approved under this generic clearance.</w:t>
      </w:r>
    </w:p>
    <w:sectPr w:rsidSect="00164461">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2"/>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16cid:durableId="864251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F4341A"/>
    <w:rsid w:val="00000D38"/>
    <w:rsid w:val="00035434"/>
    <w:rsid w:val="000D309E"/>
    <w:rsid w:val="00114ACE"/>
    <w:rsid w:val="001429C6"/>
    <w:rsid w:val="00160852"/>
    <w:rsid w:val="00164461"/>
    <w:rsid w:val="0017239A"/>
    <w:rsid w:val="001E11C1"/>
    <w:rsid w:val="00227E7A"/>
    <w:rsid w:val="00284C95"/>
    <w:rsid w:val="002D288C"/>
    <w:rsid w:val="002E21EB"/>
    <w:rsid w:val="00355CFC"/>
    <w:rsid w:val="003B229B"/>
    <w:rsid w:val="003D3959"/>
    <w:rsid w:val="00431C6B"/>
    <w:rsid w:val="00483099"/>
    <w:rsid w:val="004A38E7"/>
    <w:rsid w:val="004F3DE5"/>
    <w:rsid w:val="00566EA1"/>
    <w:rsid w:val="005D3758"/>
    <w:rsid w:val="006D4023"/>
    <w:rsid w:val="0074643F"/>
    <w:rsid w:val="00747983"/>
    <w:rsid w:val="007B0D4A"/>
    <w:rsid w:val="007F081A"/>
    <w:rsid w:val="008642A7"/>
    <w:rsid w:val="00882961"/>
    <w:rsid w:val="0098036E"/>
    <w:rsid w:val="009D1F94"/>
    <w:rsid w:val="009E27E4"/>
    <w:rsid w:val="00A96020"/>
    <w:rsid w:val="00C44A21"/>
    <w:rsid w:val="00C701B1"/>
    <w:rsid w:val="00CA6C44"/>
    <w:rsid w:val="00DD2AF3"/>
    <w:rsid w:val="00DE6718"/>
    <w:rsid w:val="00E1140E"/>
    <w:rsid w:val="00EB6ECB"/>
    <w:rsid w:val="00EE2882"/>
    <w:rsid w:val="00F4341A"/>
    <w:rsid w:val="00FF0A74"/>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64FEA49"/>
  <w15:docId w15:val="{D6FC8524-02F0-4029-8768-BBC1AEC02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446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84C95"/>
    <w:rPr>
      <w:rFonts w:ascii="Tahoma" w:hAnsi="Tahoma" w:cs="Tahoma"/>
      <w:sz w:val="16"/>
      <w:szCs w:val="16"/>
    </w:rPr>
  </w:style>
  <w:style w:type="paragraph" w:customStyle="1" w:styleId="level1">
    <w:name w:val="_level1"/>
    <w:basedOn w:val="Normal"/>
    <w:rsid w:val="0016446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WPHeading1">
    <w:name w:val="WP_Heading 1"/>
    <w:basedOn w:val="Normal"/>
    <w:rsid w:val="00164461"/>
    <w:pPr>
      <w:widowControl w:val="0"/>
    </w:pPr>
    <w:rPr>
      <w:b/>
    </w:rPr>
  </w:style>
  <w:style w:type="paragraph" w:customStyle="1" w:styleId="WPBodyText">
    <w:name w:val="WP_Body Text"/>
    <w:basedOn w:val="Normal"/>
    <w:rsid w:val="00164461"/>
    <w:pPr>
      <w:widowControl w:val="0"/>
    </w:pPr>
    <w:rPr>
      <w:b/>
    </w:rPr>
  </w:style>
  <w:style w:type="paragraph" w:customStyle="1" w:styleId="Level10">
    <w:name w:val="Level 1"/>
    <w:basedOn w:val="Normal"/>
    <w:rsid w:val="00164461"/>
    <w:pPr>
      <w:widowControl w:val="0"/>
    </w:pPr>
  </w:style>
  <w:style w:type="paragraph" w:customStyle="1" w:styleId="Level2">
    <w:name w:val="Level 2"/>
    <w:basedOn w:val="Normal"/>
    <w:rsid w:val="00164461"/>
    <w:pPr>
      <w:widowControl w:val="0"/>
    </w:pPr>
  </w:style>
  <w:style w:type="paragraph" w:customStyle="1" w:styleId="Level3">
    <w:name w:val="Level 3"/>
    <w:basedOn w:val="Normal"/>
    <w:rsid w:val="00164461"/>
    <w:pPr>
      <w:widowControl w:val="0"/>
    </w:pPr>
  </w:style>
  <w:style w:type="paragraph" w:customStyle="1" w:styleId="Level4">
    <w:name w:val="Level 4"/>
    <w:basedOn w:val="Normal"/>
    <w:rsid w:val="00164461"/>
    <w:pPr>
      <w:widowControl w:val="0"/>
    </w:pPr>
  </w:style>
  <w:style w:type="paragraph" w:customStyle="1" w:styleId="Level5">
    <w:name w:val="Level 5"/>
    <w:basedOn w:val="Normal"/>
    <w:rsid w:val="00164461"/>
    <w:pPr>
      <w:widowControl w:val="0"/>
    </w:pPr>
  </w:style>
  <w:style w:type="paragraph" w:customStyle="1" w:styleId="Level6">
    <w:name w:val="Level 6"/>
    <w:basedOn w:val="Normal"/>
    <w:rsid w:val="00164461"/>
    <w:pPr>
      <w:widowControl w:val="0"/>
    </w:pPr>
  </w:style>
  <w:style w:type="paragraph" w:customStyle="1" w:styleId="Level7">
    <w:name w:val="Level 7"/>
    <w:basedOn w:val="Normal"/>
    <w:rsid w:val="00164461"/>
    <w:pPr>
      <w:widowControl w:val="0"/>
    </w:pPr>
  </w:style>
  <w:style w:type="paragraph" w:customStyle="1" w:styleId="Level8">
    <w:name w:val="Level 8"/>
    <w:basedOn w:val="Normal"/>
    <w:rsid w:val="00164461"/>
    <w:pPr>
      <w:widowControl w:val="0"/>
    </w:pPr>
  </w:style>
  <w:style w:type="paragraph" w:customStyle="1" w:styleId="Level9">
    <w:name w:val="Level 9"/>
    <w:basedOn w:val="Normal"/>
    <w:rsid w:val="00164461"/>
    <w:pPr>
      <w:widowControl w:val="0"/>
    </w:pPr>
    <w:rPr>
      <w:b/>
    </w:rPr>
  </w:style>
  <w:style w:type="character" w:styleId="CommentReference">
    <w:name w:val="annotation reference"/>
    <w:basedOn w:val="DefaultParagraphFont"/>
    <w:rsid w:val="00E1140E"/>
    <w:rPr>
      <w:sz w:val="16"/>
      <w:szCs w:val="16"/>
    </w:rPr>
  </w:style>
  <w:style w:type="paragraph" w:styleId="CommentText">
    <w:name w:val="annotation text"/>
    <w:basedOn w:val="Normal"/>
    <w:link w:val="CommentTextChar"/>
    <w:rsid w:val="00E1140E"/>
    <w:rPr>
      <w:sz w:val="20"/>
    </w:rPr>
  </w:style>
  <w:style w:type="character" w:customStyle="1" w:styleId="CommentTextChar">
    <w:name w:val="Comment Text Char"/>
    <w:basedOn w:val="DefaultParagraphFont"/>
    <w:link w:val="CommentText"/>
    <w:rsid w:val="00E1140E"/>
  </w:style>
  <w:style w:type="paragraph" w:styleId="CommentSubject">
    <w:name w:val="annotation subject"/>
    <w:basedOn w:val="CommentText"/>
    <w:next w:val="CommentText"/>
    <w:link w:val="CommentSubjectChar"/>
    <w:rsid w:val="00E1140E"/>
    <w:rPr>
      <w:b/>
      <w:bCs/>
    </w:rPr>
  </w:style>
  <w:style w:type="character" w:customStyle="1" w:styleId="CommentSubjectChar">
    <w:name w:val="Comment Subject Char"/>
    <w:basedOn w:val="CommentTextChar"/>
    <w:link w:val="CommentSubject"/>
    <w:rsid w:val="00E114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D3E94358DD5E4094EA7A3485D29B25" ma:contentTypeVersion="14" ma:contentTypeDescription="Create a new document." ma:contentTypeScope="" ma:versionID="57e4ae4e25fff106fd4266a8f991d3ad">
  <xsd:schema xmlns:xsd="http://www.w3.org/2001/XMLSchema" xmlns:xs="http://www.w3.org/2001/XMLSchema" xmlns:p="http://schemas.microsoft.com/office/2006/metadata/properties" xmlns:ns1="http://schemas.microsoft.com/sharepoint/v3" xmlns:ns3="173833d8-5c27-4dfc-8c66-b95248c48c30" xmlns:ns4="c783a9be-6482-4e9a-a77c-ffc10e952c68" targetNamespace="http://schemas.microsoft.com/office/2006/metadata/properties" ma:root="true" ma:fieldsID="440ef660371ded22f4c155a90aacb580" ns1:_="" ns3:_="" ns4:_="">
    <xsd:import namespace="http://schemas.microsoft.com/sharepoint/v3"/>
    <xsd:import namespace="173833d8-5c27-4dfc-8c66-b95248c48c30"/>
    <xsd:import namespace="c783a9be-6482-4e9a-a77c-ffc10e952c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3833d8-5c27-4dfc-8c66-b95248c48c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83a9be-6482-4e9a-a77c-ffc10e952c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2B426-24DB-43A8-8464-5B0865FA55F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EC37B0F-E6DC-4ED2-B6D3-FFFC5463D8E0}">
  <ds:schemaRefs>
    <ds:schemaRef ds:uri="http://schemas.microsoft.com/sharepoint/v3/contenttype/forms"/>
  </ds:schemaRefs>
</ds:datastoreItem>
</file>

<file path=customXml/itemProps3.xml><?xml version="1.0" encoding="utf-8"?>
<ds:datastoreItem xmlns:ds="http://schemas.openxmlformats.org/officeDocument/2006/customXml" ds:itemID="{C4D4CF4A-0FE6-49F7-B2D2-F05DFD517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3833d8-5c27-4dfc-8c66-b95248c48c30"/>
    <ds:schemaRef ds:uri="c783a9be-6482-4e9a-a77c-ffc10e952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 B for</vt:lpstr>
    </vt:vector>
  </TitlesOfParts>
  <Company>US Department of the Interior</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for</dc:title>
  <dc:creator>US Department of the Interior</dc:creator>
  <cp:lastModifiedBy>Baucum, Madonna L</cp:lastModifiedBy>
  <cp:revision>11</cp:revision>
  <cp:lastPrinted>2012-03-26T16:37:00Z</cp:lastPrinted>
  <dcterms:created xsi:type="dcterms:W3CDTF">2021-03-04T17:40:00Z</dcterms:created>
  <dcterms:modified xsi:type="dcterms:W3CDTF">2024-07-09T13:56:00Z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0x01010035D3E94358DD5E4094EA7A3485D29B25</vt:lpwstr>
  </property>
  <property fmtid="{D5CDD505-2E9C-101B-9397-08002B2CF9AE}" pid="3" name="lqminfo">
    <vt:i4>23</vt:i4>
  </property>
  <property fmtid="{D5CDD505-2E9C-101B-9397-08002B2CF9AE}" pid="4" name="lqmsess">
    <vt:lpwstr>63cf60e9-cfeb-4824-b1f7-59e515ef2a99</vt:lpwstr>
  </property>
</Properties>
</file>