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E5C50" w:rsidR="00074CC7" w:rsidP="001E5C50" w:rsidRDefault="00095BF1" w14:paraId="36F2C6B8" w14:textId="77777777">
      <w:pPr>
        <w:jc w:val="center"/>
        <w:rPr>
          <w:b/>
          <w:sz w:val="24"/>
          <w:szCs w:val="24"/>
        </w:rPr>
      </w:pPr>
      <w:r>
        <w:rPr>
          <w:rFonts w:ascii="Arial" w:hAnsi="Arial" w:cs="Arial"/>
          <w:lang w:val="en"/>
        </w:rPr>
        <w:t>§1308.23   Exemption of certain chemical preparations; application.</w:t>
      </w:r>
    </w:p>
    <w:p w:rsidRPr="00EC5159" w:rsidR="00074CC7" w:rsidP="00095BF1" w:rsidRDefault="00C463F9" w14:paraId="1ABE4601" w14:textId="77777777">
      <w:pPr>
        <w:pStyle w:val="NormalWeb"/>
        <w:ind w:firstLine="360"/>
      </w:pPr>
      <w:bookmarkStart w:name="c" w:id="0"/>
      <w:bookmarkEnd w:id="0"/>
      <w:r>
        <w:rPr>
          <w:rFonts w:ascii="Arial" w:hAnsi="Arial" w:cs="Arial"/>
        </w:rPr>
        <w:t xml:space="preserve">(c) </w:t>
      </w:r>
      <w:r w:rsidRPr="00EC5159" w:rsidR="00074CC7">
        <w:rPr>
          <w:rFonts w:ascii="Arial" w:hAnsi="Arial" w:cs="Arial"/>
        </w:rPr>
        <w:t>An application for an exemption under this section shall contain the following information:</w:t>
      </w:r>
      <w:r w:rsidRPr="00EC5159" w:rsidR="00074CC7">
        <w:t xml:space="preserve"> </w:t>
      </w:r>
    </w:p>
    <w:p w:rsidR="00074CC7" w:rsidP="00095BF1" w:rsidRDefault="00074CC7" w14:paraId="109060F1" w14:textId="77777777">
      <w:pPr>
        <w:pStyle w:val="ListParagraph"/>
        <w:numPr>
          <w:ilvl w:val="0"/>
          <w:numId w:val="6"/>
        </w:numPr>
        <w:spacing w:before="100"/>
        <w:ind w:right="720"/>
        <w:rPr>
          <w:sz w:val="24"/>
          <w:szCs w:val="24"/>
        </w:rPr>
      </w:pPr>
      <w:r w:rsidRPr="00EC5159">
        <w:rPr>
          <w:rFonts w:ascii="Arial" w:hAnsi="Arial" w:cs="Arial"/>
          <w:sz w:val="24"/>
          <w:szCs w:val="24"/>
        </w:rPr>
        <w:t>The name, address, and registration number, if any, of the applicant;</w:t>
      </w:r>
      <w:r w:rsidRPr="00EC5159">
        <w:rPr>
          <w:sz w:val="24"/>
          <w:szCs w:val="24"/>
        </w:rPr>
        <w:t xml:space="preserve"> </w:t>
      </w:r>
    </w:p>
    <w:p w:rsidR="00095BF1" w:rsidP="00095BF1" w:rsidRDefault="00095BF1" w14:paraId="0DE3C975" w14:textId="77777777">
      <w:pPr>
        <w:pStyle w:val="ListParagraph"/>
        <w:spacing w:before="100"/>
        <w:ind w:left="0" w:right="720"/>
        <w:rPr>
          <w:sz w:val="24"/>
          <w:szCs w:val="24"/>
        </w:rPr>
      </w:pPr>
    </w:p>
    <w:p w:rsidR="00074CC7" w:rsidP="00095BF1" w:rsidRDefault="00074CC7" w14:paraId="76B4410D" w14:textId="77777777">
      <w:pPr>
        <w:pStyle w:val="ListParagraph"/>
        <w:numPr>
          <w:ilvl w:val="0"/>
          <w:numId w:val="6"/>
        </w:numPr>
        <w:spacing w:before="100"/>
        <w:ind w:left="0" w:right="720" w:firstLine="360"/>
        <w:rPr>
          <w:sz w:val="24"/>
          <w:szCs w:val="24"/>
        </w:rPr>
      </w:pPr>
      <w:r w:rsidRPr="00EC5159">
        <w:rPr>
          <w:rFonts w:ascii="Arial" w:hAnsi="Arial" w:cs="Arial"/>
          <w:sz w:val="24"/>
          <w:szCs w:val="24"/>
        </w:rPr>
        <w:t>The name, address, and registration number, if any, of the manufacturer or importer of the preparation or mixture, if not the applicant;</w:t>
      </w:r>
      <w:r w:rsidRPr="00EC5159">
        <w:rPr>
          <w:sz w:val="24"/>
          <w:szCs w:val="24"/>
        </w:rPr>
        <w:t xml:space="preserve"> </w:t>
      </w:r>
    </w:p>
    <w:p w:rsidR="00EC5159" w:rsidP="00EC5159" w:rsidRDefault="00EC5159" w14:paraId="7C308EB9" w14:textId="77777777">
      <w:pPr>
        <w:pStyle w:val="ListParagraph"/>
        <w:rPr>
          <w:sz w:val="24"/>
          <w:szCs w:val="24"/>
        </w:rPr>
      </w:pPr>
    </w:p>
    <w:p w:rsidR="00EC5159" w:rsidP="00095BF1" w:rsidRDefault="00074CC7" w14:paraId="6DE04AE9" w14:textId="77777777">
      <w:pPr>
        <w:pStyle w:val="ListParagraph"/>
        <w:numPr>
          <w:ilvl w:val="0"/>
          <w:numId w:val="6"/>
        </w:numPr>
        <w:spacing w:before="100"/>
        <w:ind w:right="720"/>
        <w:rPr>
          <w:sz w:val="24"/>
          <w:szCs w:val="24"/>
        </w:rPr>
      </w:pPr>
      <w:r w:rsidRPr="00EC5159">
        <w:rPr>
          <w:rFonts w:ascii="Arial" w:hAnsi="Arial" w:cs="Arial"/>
          <w:sz w:val="24"/>
          <w:szCs w:val="24"/>
        </w:rPr>
        <w:t>The exact trade name or other designation of the preparation or mixture;</w:t>
      </w:r>
      <w:r w:rsidRPr="00EC5159">
        <w:rPr>
          <w:sz w:val="24"/>
          <w:szCs w:val="24"/>
        </w:rPr>
        <w:t xml:space="preserve"> </w:t>
      </w:r>
    </w:p>
    <w:p w:rsidR="00EC5159" w:rsidP="00EC5159" w:rsidRDefault="00EC5159" w14:paraId="50A6C8A6" w14:textId="77777777">
      <w:pPr>
        <w:pStyle w:val="ListParagraph"/>
        <w:rPr>
          <w:rFonts w:ascii="Arial" w:hAnsi="Arial" w:cs="Arial"/>
          <w:sz w:val="24"/>
          <w:szCs w:val="24"/>
        </w:rPr>
      </w:pPr>
    </w:p>
    <w:p w:rsidR="00EC5159" w:rsidP="00095BF1" w:rsidRDefault="00074CC7" w14:paraId="296C79D3" w14:textId="77777777">
      <w:pPr>
        <w:pStyle w:val="ListParagraph"/>
        <w:numPr>
          <w:ilvl w:val="0"/>
          <w:numId w:val="6"/>
        </w:numPr>
        <w:spacing w:before="100"/>
        <w:ind w:left="0" w:right="720" w:firstLine="360"/>
        <w:rPr>
          <w:sz w:val="24"/>
          <w:szCs w:val="24"/>
        </w:rPr>
      </w:pPr>
      <w:r w:rsidRPr="00EC5159">
        <w:rPr>
          <w:rFonts w:ascii="Arial" w:hAnsi="Arial" w:cs="Arial"/>
          <w:sz w:val="24"/>
          <w:szCs w:val="24"/>
        </w:rPr>
        <w:t>The complete qualitative and quantitative composition of the preparation or mixture (including all active and inactive ingredients and all controlled and non</w:t>
      </w:r>
      <w:r w:rsidRPr="00EC5159" w:rsidR="00EC5159">
        <w:rPr>
          <w:rFonts w:ascii="Arial" w:hAnsi="Arial" w:cs="Arial"/>
          <w:sz w:val="24"/>
          <w:szCs w:val="24"/>
        </w:rPr>
        <w:t>-</w:t>
      </w:r>
      <w:r w:rsidRPr="00EC5159">
        <w:rPr>
          <w:rFonts w:ascii="Arial" w:hAnsi="Arial" w:cs="Arial"/>
          <w:sz w:val="24"/>
          <w:szCs w:val="24"/>
        </w:rPr>
        <w:t>controlled substances);</w:t>
      </w:r>
      <w:r w:rsidRPr="00EC5159">
        <w:rPr>
          <w:sz w:val="24"/>
          <w:szCs w:val="24"/>
        </w:rPr>
        <w:t xml:space="preserve"> </w:t>
      </w:r>
    </w:p>
    <w:p w:rsidR="00EC5159" w:rsidP="00EC5159" w:rsidRDefault="00EC5159" w14:paraId="418A4E3F" w14:textId="77777777">
      <w:pPr>
        <w:pStyle w:val="ListParagraph"/>
        <w:rPr>
          <w:rFonts w:ascii="Arial" w:hAnsi="Arial" w:cs="Arial"/>
          <w:sz w:val="24"/>
          <w:szCs w:val="24"/>
        </w:rPr>
      </w:pPr>
    </w:p>
    <w:p w:rsidR="00EC5159" w:rsidP="00095BF1" w:rsidRDefault="00074CC7" w14:paraId="71E8A25F" w14:textId="77777777">
      <w:pPr>
        <w:pStyle w:val="ListParagraph"/>
        <w:numPr>
          <w:ilvl w:val="0"/>
          <w:numId w:val="6"/>
        </w:numPr>
        <w:spacing w:before="100"/>
        <w:ind w:left="0" w:right="720" w:firstLine="360"/>
        <w:rPr>
          <w:sz w:val="24"/>
          <w:szCs w:val="24"/>
        </w:rPr>
      </w:pPr>
      <w:r w:rsidRPr="00EC5159">
        <w:rPr>
          <w:rFonts w:ascii="Arial" w:hAnsi="Arial" w:cs="Arial"/>
          <w:sz w:val="24"/>
          <w:szCs w:val="24"/>
        </w:rPr>
        <w:t>The form of the immediate container in which the preparation or mixture will be distributed with sufficient descriptive detail to identify the preparation or mixture (e.g., bottle, packet, vial, soft plastic pillow, agar gel plate, etc.);</w:t>
      </w:r>
      <w:r w:rsidRPr="00EC5159">
        <w:rPr>
          <w:sz w:val="24"/>
          <w:szCs w:val="24"/>
        </w:rPr>
        <w:t xml:space="preserve"> </w:t>
      </w:r>
    </w:p>
    <w:p w:rsidR="00EC5159" w:rsidP="00EC5159" w:rsidRDefault="00EC5159" w14:paraId="04AA0E67" w14:textId="77777777">
      <w:pPr>
        <w:pStyle w:val="ListParagraph"/>
        <w:rPr>
          <w:rFonts w:ascii="Arial" w:hAnsi="Arial" w:cs="Arial"/>
          <w:sz w:val="24"/>
          <w:szCs w:val="24"/>
        </w:rPr>
      </w:pPr>
    </w:p>
    <w:p w:rsidR="00EC5159" w:rsidP="00095BF1" w:rsidRDefault="00074CC7" w14:paraId="0AF72A83" w14:textId="77777777">
      <w:pPr>
        <w:pStyle w:val="ListParagraph"/>
        <w:numPr>
          <w:ilvl w:val="0"/>
          <w:numId w:val="6"/>
        </w:numPr>
        <w:spacing w:before="100"/>
        <w:ind w:left="0" w:right="720" w:firstLine="360"/>
        <w:rPr>
          <w:sz w:val="24"/>
          <w:szCs w:val="24"/>
        </w:rPr>
      </w:pPr>
      <w:r w:rsidRPr="00EC5159">
        <w:rPr>
          <w:rFonts w:ascii="Arial" w:hAnsi="Arial" w:cs="Arial"/>
          <w:sz w:val="24"/>
          <w:szCs w:val="24"/>
        </w:rPr>
        <w:t>The dimensions or capacity of the immediate container of the preparation or mixture;</w:t>
      </w:r>
      <w:r w:rsidRPr="00EC5159">
        <w:rPr>
          <w:sz w:val="24"/>
          <w:szCs w:val="24"/>
        </w:rPr>
        <w:t xml:space="preserve"> </w:t>
      </w:r>
    </w:p>
    <w:p w:rsidR="00EC5159" w:rsidP="00EC5159" w:rsidRDefault="00EC5159" w14:paraId="472693B2" w14:textId="77777777">
      <w:pPr>
        <w:pStyle w:val="ListParagraph"/>
        <w:rPr>
          <w:rFonts w:ascii="Arial" w:hAnsi="Arial" w:cs="Arial"/>
          <w:sz w:val="24"/>
          <w:szCs w:val="24"/>
        </w:rPr>
      </w:pPr>
    </w:p>
    <w:p w:rsidR="00EC5159" w:rsidP="00095BF1" w:rsidRDefault="00074CC7" w14:paraId="2DFCDEAB" w14:textId="77777777">
      <w:pPr>
        <w:pStyle w:val="ListParagraph"/>
        <w:numPr>
          <w:ilvl w:val="0"/>
          <w:numId w:val="6"/>
        </w:numPr>
        <w:spacing w:before="100"/>
        <w:ind w:left="0" w:right="720" w:firstLine="360"/>
        <w:rPr>
          <w:sz w:val="24"/>
          <w:szCs w:val="24"/>
        </w:rPr>
      </w:pPr>
      <w:r w:rsidRPr="00EC5159">
        <w:rPr>
          <w:rFonts w:ascii="Arial" w:hAnsi="Arial" w:cs="Arial"/>
          <w:sz w:val="24"/>
          <w:szCs w:val="24"/>
        </w:rPr>
        <w:t xml:space="preserve">The label and labeling, as defined in </w:t>
      </w:r>
      <w:hyperlink w:history="1" r:id="rId9">
        <w:r w:rsidRPr="00EC5159">
          <w:rPr>
            <w:rStyle w:val="Hyperlink"/>
            <w:rFonts w:ascii="Arial" w:hAnsi="Arial" w:cs="Arial"/>
            <w:sz w:val="24"/>
            <w:szCs w:val="24"/>
          </w:rPr>
          <w:t>part 1300</w:t>
        </w:r>
      </w:hyperlink>
      <w:r w:rsidRPr="00EC5159">
        <w:rPr>
          <w:rFonts w:ascii="Arial" w:hAnsi="Arial" w:cs="Arial"/>
          <w:sz w:val="24"/>
          <w:szCs w:val="24"/>
        </w:rPr>
        <w:t xml:space="preserve"> of this chapter, of the immediate container and the commercial containers, if any, of the preparation or mixture;</w:t>
      </w:r>
      <w:r w:rsidRPr="00EC5159">
        <w:rPr>
          <w:sz w:val="24"/>
          <w:szCs w:val="24"/>
        </w:rPr>
        <w:t xml:space="preserve"> </w:t>
      </w:r>
    </w:p>
    <w:p w:rsidRPr="00542937" w:rsidR="00EC5159" w:rsidP="00095BF1" w:rsidRDefault="00EC5159" w14:paraId="58F71924" w14:textId="77777777">
      <w:pPr>
        <w:pStyle w:val="ListParagraph"/>
        <w:ind w:left="0"/>
        <w:rPr>
          <w:rFonts w:ascii="Arial" w:hAnsi="Arial" w:cs="Arial"/>
          <w:sz w:val="24"/>
          <w:szCs w:val="24"/>
        </w:rPr>
      </w:pPr>
    </w:p>
    <w:p w:rsidR="00EC5159" w:rsidP="00095BF1" w:rsidRDefault="00074CC7" w14:paraId="1A8C5DCF" w14:textId="77777777">
      <w:pPr>
        <w:pStyle w:val="ListParagraph"/>
        <w:numPr>
          <w:ilvl w:val="0"/>
          <w:numId w:val="6"/>
        </w:numPr>
        <w:spacing w:before="100"/>
        <w:ind w:left="0" w:right="720" w:firstLine="360"/>
        <w:rPr>
          <w:sz w:val="24"/>
          <w:szCs w:val="24"/>
        </w:rPr>
      </w:pPr>
      <w:r w:rsidRPr="00EC5159">
        <w:rPr>
          <w:rFonts w:ascii="Arial" w:hAnsi="Arial" w:cs="Arial"/>
          <w:sz w:val="24"/>
          <w:szCs w:val="24"/>
        </w:rPr>
        <w:t>A brief statement of the facts which the applicant believes justify the granting of an exemption under this paragraph, including information on the use to which the preparation or mixture will be put;</w:t>
      </w:r>
      <w:r w:rsidRPr="00EC5159">
        <w:rPr>
          <w:sz w:val="24"/>
          <w:szCs w:val="24"/>
        </w:rPr>
        <w:t xml:space="preserve"> </w:t>
      </w:r>
    </w:p>
    <w:p w:rsidR="00EC5159" w:rsidP="00EC5159" w:rsidRDefault="00EC5159" w14:paraId="15F79EFA" w14:textId="77777777">
      <w:pPr>
        <w:pStyle w:val="ListParagraph"/>
        <w:rPr>
          <w:rFonts w:ascii="Arial" w:hAnsi="Arial" w:cs="Arial"/>
          <w:sz w:val="24"/>
          <w:szCs w:val="24"/>
        </w:rPr>
      </w:pPr>
    </w:p>
    <w:p w:rsidR="00095BF1" w:rsidP="00095BF1" w:rsidRDefault="00074CC7" w14:paraId="579A88F4" w14:textId="77777777">
      <w:pPr>
        <w:pStyle w:val="ListParagraph"/>
        <w:numPr>
          <w:ilvl w:val="0"/>
          <w:numId w:val="6"/>
        </w:numPr>
        <w:spacing w:before="100"/>
        <w:ind w:right="720"/>
        <w:rPr>
          <w:sz w:val="24"/>
          <w:szCs w:val="24"/>
        </w:rPr>
      </w:pPr>
      <w:r w:rsidRPr="00EC5159">
        <w:rPr>
          <w:rFonts w:ascii="Arial" w:hAnsi="Arial" w:cs="Arial"/>
          <w:sz w:val="24"/>
          <w:szCs w:val="24"/>
        </w:rPr>
        <w:t>The date of the application; and</w:t>
      </w:r>
      <w:r w:rsidRPr="00EC5159">
        <w:rPr>
          <w:sz w:val="24"/>
          <w:szCs w:val="24"/>
        </w:rPr>
        <w:t xml:space="preserve"> </w:t>
      </w:r>
    </w:p>
    <w:p w:rsidR="00095BF1" w:rsidP="00095BF1" w:rsidRDefault="00095BF1" w14:paraId="5E84D1F4" w14:textId="77777777">
      <w:pPr>
        <w:pStyle w:val="ListParagraph"/>
        <w:rPr>
          <w:rFonts w:ascii="Arial" w:hAnsi="Arial" w:cs="Arial"/>
          <w:sz w:val="24"/>
          <w:szCs w:val="24"/>
        </w:rPr>
      </w:pPr>
    </w:p>
    <w:p w:rsidRPr="00095BF1" w:rsidR="00074CC7" w:rsidP="00095BF1" w:rsidRDefault="00074CC7" w14:paraId="28776B43" w14:textId="77777777">
      <w:pPr>
        <w:pStyle w:val="ListParagraph"/>
        <w:numPr>
          <w:ilvl w:val="0"/>
          <w:numId w:val="6"/>
        </w:numPr>
        <w:tabs>
          <w:tab w:val="left" w:pos="810"/>
        </w:tabs>
        <w:spacing w:before="100"/>
        <w:ind w:left="0" w:right="720" w:firstLine="360"/>
        <w:rPr>
          <w:sz w:val="24"/>
          <w:szCs w:val="24"/>
        </w:rPr>
      </w:pPr>
      <w:r w:rsidRPr="00095BF1">
        <w:rPr>
          <w:rFonts w:ascii="Arial" w:hAnsi="Arial" w:cs="Arial"/>
          <w:sz w:val="24"/>
          <w:szCs w:val="24"/>
        </w:rPr>
        <w:t xml:space="preserve">Which of the information submitted on the application, if any, is deemed </w:t>
      </w:r>
      <w:bookmarkStart w:name="_GoBack" w:id="1"/>
      <w:bookmarkEnd w:id="1"/>
      <w:r w:rsidRPr="00095BF1">
        <w:rPr>
          <w:rFonts w:ascii="Arial" w:hAnsi="Arial" w:cs="Arial"/>
          <w:sz w:val="24"/>
          <w:szCs w:val="24"/>
        </w:rPr>
        <w:t>by the applicant to be a trade secret or otherwise confidential and entitled to protection under subsection 402(a)(8) of the Act (</w:t>
      </w:r>
      <w:hyperlink w:history="1" w:anchor="a8" r:id="rId10">
        <w:r w:rsidRPr="00095BF1">
          <w:rPr>
            <w:rStyle w:val="Hyperlink"/>
            <w:rFonts w:ascii="Arial" w:hAnsi="Arial" w:cs="Arial"/>
            <w:sz w:val="24"/>
            <w:szCs w:val="24"/>
          </w:rPr>
          <w:t>21 U.S.C. 842(a) (8)</w:t>
        </w:r>
      </w:hyperlink>
      <w:r w:rsidRPr="00095BF1">
        <w:rPr>
          <w:rFonts w:ascii="Arial" w:hAnsi="Arial" w:cs="Arial"/>
          <w:sz w:val="24"/>
          <w:szCs w:val="24"/>
        </w:rPr>
        <w:t>) or any other law restricting public disclosure of information.</w:t>
      </w:r>
      <w:r w:rsidRPr="00095BF1">
        <w:rPr>
          <w:sz w:val="24"/>
          <w:szCs w:val="24"/>
        </w:rPr>
        <w:t xml:space="preserve"> </w:t>
      </w:r>
    </w:p>
    <w:sectPr w:rsidRPr="00095BF1" w:rsidR="00074CC7" w:rsidSect="000E09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DF6CE1"/>
    <w:multiLevelType w:val="hybridMultilevel"/>
    <w:tmpl w:val="92C047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FB689F"/>
    <w:multiLevelType w:val="hybridMultilevel"/>
    <w:tmpl w:val="CB1C8F94"/>
    <w:lvl w:ilvl="0" w:tplc="E6F4A69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120818"/>
    <w:multiLevelType w:val="hybridMultilevel"/>
    <w:tmpl w:val="6792A5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353B9F"/>
    <w:multiLevelType w:val="hybridMultilevel"/>
    <w:tmpl w:val="FE18AB40"/>
    <w:lvl w:ilvl="0" w:tplc="AF9A26EE">
      <w:start w:val="1"/>
      <w:numFmt w:val="decimal"/>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AD6206"/>
    <w:multiLevelType w:val="hybridMultilevel"/>
    <w:tmpl w:val="A96AE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D8010A"/>
    <w:multiLevelType w:val="hybridMultilevel"/>
    <w:tmpl w:val="335CB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CC7"/>
    <w:rsid w:val="00074CC7"/>
    <w:rsid w:val="00095BF1"/>
    <w:rsid w:val="000E090D"/>
    <w:rsid w:val="001E5C50"/>
    <w:rsid w:val="00542937"/>
    <w:rsid w:val="006D1F93"/>
    <w:rsid w:val="007E64ED"/>
    <w:rsid w:val="00876332"/>
    <w:rsid w:val="00C463F9"/>
    <w:rsid w:val="00DA2904"/>
    <w:rsid w:val="00EC5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0DF09AD"/>
  <w15:chartTrackingRefBased/>
  <w15:docId w15:val="{A01ED1DC-EDBA-48B0-A304-F9BCD6112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090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CC7"/>
    <w:pPr>
      <w:ind w:left="720"/>
      <w:contextualSpacing/>
    </w:pPr>
  </w:style>
  <w:style w:type="character" w:styleId="Hyperlink">
    <w:name w:val="Hyperlink"/>
    <w:uiPriority w:val="99"/>
    <w:unhideWhenUsed/>
    <w:rsid w:val="00074CC7"/>
    <w:rPr>
      <w:color w:val="0000FF"/>
      <w:u w:val="single"/>
    </w:rPr>
  </w:style>
  <w:style w:type="paragraph" w:styleId="NormalWeb">
    <w:name w:val="Normal (Web)"/>
    <w:basedOn w:val="Normal"/>
    <w:uiPriority w:val="99"/>
    <w:semiHidden/>
    <w:unhideWhenUsed/>
    <w:rsid w:val="00074CC7"/>
    <w:pPr>
      <w:spacing w:before="100" w:beforeAutospacing="1" w:after="100" w:afterAutospacing="1" w:line="240" w:lineRule="auto"/>
    </w:pPr>
    <w:rPr>
      <w:rFonts w:ascii="Times New Roman" w:eastAsia="Times New Roman" w:hAnsi="Times New Roman"/>
      <w:color w:val="000000"/>
      <w:sz w:val="24"/>
      <w:szCs w:val="24"/>
    </w:rPr>
  </w:style>
  <w:style w:type="paragraph" w:styleId="BalloonText">
    <w:name w:val="Balloon Text"/>
    <w:basedOn w:val="Normal"/>
    <w:link w:val="BalloonTextChar"/>
    <w:uiPriority w:val="99"/>
    <w:semiHidden/>
    <w:unhideWhenUsed/>
    <w:rsid w:val="0087633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763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7984068">
      <w:bodyDiv w:val="1"/>
      <w:marLeft w:val="0"/>
      <w:marRight w:val="0"/>
      <w:marTop w:val="0"/>
      <w:marBottom w:val="0"/>
      <w:divBdr>
        <w:top w:val="none" w:sz="0" w:space="0" w:color="auto"/>
        <w:left w:val="none" w:sz="0" w:space="0" w:color="auto"/>
        <w:bottom w:val="none" w:sz="0" w:space="0" w:color="auto"/>
        <w:right w:val="none" w:sz="0" w:space="0" w:color="auto"/>
      </w:divBdr>
      <w:divsChild>
        <w:div w:id="820468822">
          <w:blockQuote w:val="1"/>
          <w:marLeft w:val="720"/>
          <w:marRight w:val="720"/>
          <w:marTop w:val="100"/>
          <w:marBottom w:val="100"/>
          <w:divBdr>
            <w:top w:val="none" w:sz="0" w:space="0" w:color="auto"/>
            <w:left w:val="none" w:sz="0" w:space="0" w:color="auto"/>
            <w:bottom w:val="none" w:sz="0" w:space="0" w:color="auto"/>
            <w:right w:val="none" w:sz="0" w:space="0" w:color="auto"/>
          </w:divBdr>
        </w:div>
        <w:div w:id="851069887">
          <w:blockQuote w:val="1"/>
          <w:marLeft w:val="720"/>
          <w:marRight w:val="720"/>
          <w:marTop w:val="100"/>
          <w:marBottom w:val="100"/>
          <w:divBdr>
            <w:top w:val="none" w:sz="0" w:space="0" w:color="auto"/>
            <w:left w:val="none" w:sz="0" w:space="0" w:color="auto"/>
            <w:bottom w:val="none" w:sz="0" w:space="0" w:color="auto"/>
            <w:right w:val="none" w:sz="0" w:space="0" w:color="auto"/>
          </w:divBdr>
        </w:div>
        <w:div w:id="9848140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3308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4027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109106">
          <w:blockQuote w:val="1"/>
          <w:marLeft w:val="720"/>
          <w:marRight w:val="720"/>
          <w:marTop w:val="100"/>
          <w:marBottom w:val="100"/>
          <w:divBdr>
            <w:top w:val="none" w:sz="0" w:space="0" w:color="auto"/>
            <w:left w:val="none" w:sz="0" w:space="0" w:color="auto"/>
            <w:bottom w:val="none" w:sz="0" w:space="0" w:color="auto"/>
            <w:right w:val="none" w:sz="0" w:space="0" w:color="auto"/>
          </w:divBdr>
        </w:div>
        <w:div w:id="1809132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35367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924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404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155.96.49.10/dea/programs/diversion/21cfr/21usc/842.htm" TargetMode="External"/><Relationship Id="rId4" Type="http://schemas.openxmlformats.org/officeDocument/2006/relationships/customXml" Target="../customXml/item4.xml"/><Relationship Id="rId9" Type="http://schemas.openxmlformats.org/officeDocument/2006/relationships/hyperlink" Target="http://155.96.49.10/dea/programs/diversion/21cfr/cfr/2100cfr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D08035B467DA41A1DD2A04B3EC14BB" ma:contentTypeVersion="0" ma:contentTypeDescription="Create a new document." ma:contentTypeScope="" ma:versionID="86e7a288cddb1b1c98673c93c87bab14">
  <xsd:schema xmlns:xsd="http://www.w3.org/2001/XMLSchema" xmlns:xs="http://www.w3.org/2001/XMLSchema" xmlns:p="http://schemas.microsoft.com/office/2006/metadata/properties" targetNamespace="http://schemas.microsoft.com/office/2006/metadata/properties" ma:root="true" ma:fieldsID="b3f239a318a8435337186283e17b199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BF288-A971-4BBD-9C8D-377254BF76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0565FBE-6CD4-40F7-8731-DFA9F0A08609}">
  <ds:schemaRefs>
    <ds:schemaRef ds:uri="http://schemas.microsoft.com/sharepoint/v3/contenttype/forms"/>
  </ds:schemaRefs>
</ds:datastoreItem>
</file>

<file path=customXml/itemProps3.xml><?xml version="1.0" encoding="utf-8"?>
<ds:datastoreItem xmlns:ds="http://schemas.openxmlformats.org/officeDocument/2006/customXml" ds:itemID="{D9E27591-6663-48F7-9389-421DFCAE8DB2}">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E80C61C8-3325-4F16-B3ED-36C6E7553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DEA</Company>
  <LinksUpToDate>false</LinksUpToDate>
  <CharactersWithSpaces>1820</CharactersWithSpaces>
  <SharedDoc>false</SharedDoc>
  <HLinks>
    <vt:vector size="12" baseType="variant">
      <vt:variant>
        <vt:i4>327681</vt:i4>
      </vt:variant>
      <vt:variant>
        <vt:i4>3</vt:i4>
      </vt:variant>
      <vt:variant>
        <vt:i4>0</vt:i4>
      </vt:variant>
      <vt:variant>
        <vt:i4>5</vt:i4>
      </vt:variant>
      <vt:variant>
        <vt:lpwstr>http://155.96.49.10/dea/programs/diversion/21cfr/21usc/842.htm</vt:lpwstr>
      </vt:variant>
      <vt:variant>
        <vt:lpwstr>a8</vt:lpwstr>
      </vt:variant>
      <vt:variant>
        <vt:i4>5111889</vt:i4>
      </vt:variant>
      <vt:variant>
        <vt:i4>0</vt:i4>
      </vt:variant>
      <vt:variant>
        <vt:i4>0</vt:i4>
      </vt:variant>
      <vt:variant>
        <vt:i4>5</vt:i4>
      </vt:variant>
      <vt:variant>
        <vt:lpwstr>http://155.96.49.10/dea/programs/diversion/21cfr/cfr/2100cfrt.htm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mtdang</dc:creator>
  <cp:keywords/>
  <dc:description/>
  <cp:lastModifiedBy>Moore, Alana J</cp:lastModifiedBy>
  <cp:revision>2</cp:revision>
  <cp:lastPrinted>2010-04-21T12:29:00Z</cp:lastPrinted>
  <dcterms:created xsi:type="dcterms:W3CDTF">2021-07-12T17:07:00Z</dcterms:created>
  <dcterms:modified xsi:type="dcterms:W3CDTF">2021-07-12T17:07:00Z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0x01010086D08035B467DA41A1DD2A04B3EC14BB</vt:lpwstr>
  </property>
</Properties>
</file>