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3B44" w:rsidRPr="006058A0" w:rsidP="00CD4D72" w14:paraId="49E88F6E" w14:textId="3D2B4579">
      <w:pPr>
        <w:pStyle w:val="Default"/>
        <w:rPr>
          <w:sz w:val="28"/>
          <w:szCs w:val="28"/>
        </w:rPr>
      </w:pPr>
      <w:r w:rsidRPr="006058A0">
        <w:rPr>
          <w:sz w:val="28"/>
          <w:szCs w:val="28"/>
        </w:rPr>
        <w:t>Attachment B</w:t>
      </w:r>
      <w:r w:rsidR="00474916">
        <w:rPr>
          <w:sz w:val="28"/>
          <w:szCs w:val="28"/>
        </w:rPr>
        <w:t xml:space="preserve"> </w:t>
      </w:r>
    </w:p>
    <w:p w:rsidR="00892EE2" w:rsidRPr="00CD4D72" w:rsidP="00CD4D72" w14:paraId="4706667F" w14:textId="77777777">
      <w:pPr>
        <w:pStyle w:val="Default"/>
        <w:jc w:val="center"/>
        <w:rPr>
          <w:b/>
          <w:bCs/>
        </w:rPr>
      </w:pPr>
    </w:p>
    <w:p w:rsidR="00A966F9" w:rsidRPr="00CD4D72" w:rsidP="006058A0" w14:paraId="1FDB822C" w14:textId="423C734A">
      <w:pPr>
        <w:pStyle w:val="Default"/>
        <w:rPr>
          <w:b/>
          <w:bCs/>
        </w:rPr>
      </w:pPr>
      <w:r w:rsidRPr="00CD4D72">
        <w:rPr>
          <w:b/>
          <w:bCs/>
        </w:rPr>
        <w:t>Demographic Data Collection: Definitions and Reasoning</w:t>
      </w:r>
      <w:r w:rsidRPr="00CD4D72" w:rsidR="00EB6A5C">
        <w:rPr>
          <w:b/>
          <w:bCs/>
        </w:rPr>
        <w:t xml:space="preserve"> for Expanding Current Categories</w:t>
      </w:r>
    </w:p>
    <w:p w:rsidR="00A966F9" w:rsidRPr="00CD4D72" w:rsidP="00CD4D72" w14:paraId="2BF12D67" w14:textId="61E00271">
      <w:pPr>
        <w:pStyle w:val="Default"/>
      </w:pPr>
    </w:p>
    <w:p w:rsidR="001C3BF2" w:rsidP="00CD4D72" w14:paraId="067EB64A" w14:textId="77777777">
      <w:pPr>
        <w:spacing w:after="0" w:line="240" w:lineRule="auto"/>
        <w:rPr>
          <w:rStyle w:val="cf01"/>
          <w:rFonts w:ascii="Times New Roman" w:hAnsi="Times New Roman" w:cs="Times New Roman"/>
          <w:sz w:val="24"/>
          <w:szCs w:val="24"/>
        </w:rPr>
      </w:pPr>
      <w:r w:rsidRPr="00CD4D72">
        <w:rPr>
          <w:rFonts w:ascii="Times New Roman" w:hAnsi="Times New Roman" w:cs="Times New Roman"/>
          <w:sz w:val="24"/>
          <w:szCs w:val="24"/>
        </w:rPr>
        <w:t xml:space="preserve">Disclosing personal demographic information is entirely voluntary by the claimant and cannot be used for the purposes of establishing eligibility for benefits. </w:t>
      </w:r>
      <w:r w:rsidRPr="00CD4D72">
        <w:rPr>
          <w:rStyle w:val="cf01"/>
          <w:rFonts w:ascii="Times New Roman" w:hAnsi="Times New Roman" w:cs="Times New Roman"/>
          <w:sz w:val="24"/>
          <w:szCs w:val="24"/>
        </w:rPr>
        <w:t xml:space="preserve">The following data elements are self-selected by the claimant on the initial claim application and must be masked from non-essential state workforce agency staff.  Any other UI required reports that also collect demographic information will use the same definitions established by the ETA 203 report as stipulated below. </w:t>
      </w:r>
    </w:p>
    <w:p w:rsidR="00CD4D72" w:rsidRPr="00CD4D72" w:rsidP="00CD4D72" w14:paraId="2133E1FE" w14:textId="77777777">
      <w:pPr>
        <w:spacing w:after="0" w:line="240" w:lineRule="auto"/>
        <w:rPr>
          <w:rStyle w:val="cf01"/>
          <w:rFonts w:ascii="Times New Roman" w:hAnsi="Times New Roman" w:cs="Times New Roman"/>
          <w:sz w:val="24"/>
          <w:szCs w:val="24"/>
        </w:rPr>
      </w:pPr>
    </w:p>
    <w:p w:rsidR="005A11BE" w:rsidRPr="00CD4D72" w:rsidP="00CD4D72" w14:paraId="69CA89EE" w14:textId="1FA86DB3">
      <w:pPr>
        <w:pStyle w:val="Default"/>
      </w:pPr>
      <w:r>
        <w:rPr>
          <w:rStyle w:val="cf01"/>
          <w:rFonts w:ascii="Times New Roman" w:hAnsi="Times New Roman" w:cs="Times New Roman"/>
          <w:sz w:val="24"/>
          <w:szCs w:val="24"/>
        </w:rPr>
        <w:t>Some</w:t>
      </w:r>
      <w:r w:rsidRPr="00CD4D72" w:rsidR="00547B17">
        <w:rPr>
          <w:rStyle w:val="cf01"/>
          <w:rFonts w:ascii="Times New Roman" w:hAnsi="Times New Roman" w:cs="Times New Roman"/>
          <w:sz w:val="24"/>
          <w:szCs w:val="24"/>
        </w:rPr>
        <w:t xml:space="preserve"> demographic categor</w:t>
      </w:r>
      <w:r>
        <w:rPr>
          <w:rStyle w:val="cf01"/>
          <w:rFonts w:ascii="Times New Roman" w:hAnsi="Times New Roman" w:cs="Times New Roman"/>
          <w:sz w:val="24"/>
          <w:szCs w:val="24"/>
        </w:rPr>
        <w:t>ies</w:t>
      </w:r>
      <w:r w:rsidRPr="00CD4D72" w:rsidR="00547B17">
        <w:rPr>
          <w:rStyle w:val="cf01"/>
          <w:rFonts w:ascii="Times New Roman" w:hAnsi="Times New Roman" w:cs="Times New Roman"/>
          <w:sz w:val="24"/>
          <w:szCs w:val="24"/>
        </w:rPr>
        <w:t xml:space="preserve"> will include a “</w:t>
      </w:r>
      <w:r w:rsidRPr="00CD4D72" w:rsidR="004E4F39">
        <w:t xml:space="preserve">Prefer not to </w:t>
      </w:r>
      <w:r w:rsidRPr="00CD4D72" w:rsidR="00547B17">
        <w:t>D</w:t>
      </w:r>
      <w:r w:rsidRPr="00CD4D72" w:rsidR="004E4F39">
        <w:t>isclose</w:t>
      </w:r>
      <w:r w:rsidRPr="00CD4D72" w:rsidR="00547B17">
        <w:t>”</w:t>
      </w:r>
      <w:r w:rsidRPr="00CD4D72" w:rsidR="004E4F39">
        <w:t xml:space="preserve"> option</w:t>
      </w:r>
      <w:r w:rsidRPr="00CD4D72" w:rsidR="00547B17">
        <w:t xml:space="preserve"> that allows claimants to </w:t>
      </w:r>
      <w:r w:rsidRPr="00CD4D72" w:rsidR="00AB7BC9">
        <w:t>indicate</w:t>
      </w:r>
      <w:r w:rsidRPr="00CD4D72" w:rsidR="00B3500E">
        <w:t xml:space="preserve"> they</w:t>
      </w:r>
      <w:r w:rsidRPr="00CD4D72" w:rsidR="00AB7BC9">
        <w:t xml:space="preserve"> do not wish to share </w:t>
      </w:r>
      <w:r w:rsidR="00F1480B">
        <w:t>the</w:t>
      </w:r>
      <w:r w:rsidRPr="00CD4D72" w:rsidR="00AB7BC9">
        <w:t xml:space="preserve"> information.  The Information Not Available (INA) option will remain </w:t>
      </w:r>
      <w:r w:rsidRPr="00CD4D72" w:rsidR="00B3500E">
        <w:t>“</w:t>
      </w:r>
      <w:r w:rsidRPr="00CD4D72" w:rsidR="00AB7BC9">
        <w:t xml:space="preserve">as </w:t>
      </w:r>
      <w:r w:rsidRPr="00CD4D72" w:rsidR="0042046D">
        <w:t>is” to</w:t>
      </w:r>
      <w:r w:rsidRPr="00CD4D72" w:rsidR="00B3500E">
        <w:t xml:space="preserve"> capture incidences where</w:t>
      </w:r>
      <w:r w:rsidRPr="00CD4D72" w:rsidR="00AB7BC9">
        <w:t xml:space="preserve"> claimants leave a question(s) blank. </w:t>
      </w:r>
    </w:p>
    <w:p w:rsidR="00A966F9" w:rsidRPr="00CD4D72" w:rsidP="00CD4D72" w14:paraId="45DD3146" w14:textId="77777777">
      <w:pPr>
        <w:pStyle w:val="Default"/>
      </w:pPr>
    </w:p>
    <w:p w:rsidR="00F34AA8" w:rsidRPr="00CD4D72" w:rsidP="00CD4D72" w14:paraId="6C9FAB0E" w14:textId="767144D3">
      <w:pPr>
        <w:pStyle w:val="Default"/>
        <w:rPr>
          <w:color w:val="auto"/>
        </w:rPr>
      </w:pPr>
      <w:r w:rsidRPr="00CD4D72">
        <w:rPr>
          <w:color w:val="auto"/>
          <w:highlight w:val="yellow"/>
        </w:rPr>
        <w:t>Yellow Highlight: Proposed New Data Element</w:t>
      </w:r>
      <w:r w:rsidRPr="00CD4D72" w:rsidR="001C3BF2">
        <w:rPr>
          <w:color w:val="auto"/>
          <w:highlight w:val="yellow"/>
        </w:rPr>
        <w:t xml:space="preserve"> or newly added terms to demographic category</w:t>
      </w:r>
      <w:r w:rsidRPr="00CD4D72">
        <w:rPr>
          <w:color w:val="auto"/>
          <w:highlight w:val="yellow"/>
        </w:rPr>
        <w:t>.</w:t>
      </w:r>
    </w:p>
    <w:p w:rsidR="00F34AA8" w:rsidP="00CD4D72" w14:paraId="51EC4CCA" w14:textId="77777777">
      <w:pPr>
        <w:pStyle w:val="Default"/>
        <w:rPr>
          <w:color w:val="auto"/>
        </w:rPr>
      </w:pPr>
    </w:p>
    <w:p w:rsidR="00CD4D72" w:rsidRPr="00CD4D72" w:rsidP="00CD4D72" w14:paraId="2160B5CD" w14:textId="77777777">
      <w:pPr>
        <w:pStyle w:val="Default"/>
        <w:rPr>
          <w:color w:val="auto"/>
        </w:rPr>
      </w:pPr>
    </w:p>
    <w:p w:rsidR="00460BBA" w:rsidRPr="00CD4D72" w:rsidP="00CD4D72" w14:paraId="46210BE5" w14:textId="63084FA1">
      <w:pPr>
        <w:pStyle w:val="pf0"/>
        <w:spacing w:before="0" w:beforeAutospacing="0" w:after="0" w:afterAutospacing="0"/>
        <w:rPr>
          <w:strike/>
          <w:color w:val="FF0000"/>
          <w:u w:val="single"/>
        </w:rPr>
      </w:pPr>
      <w:r w:rsidRPr="00CD4D72">
        <w:rPr>
          <w:b/>
          <w:bCs/>
        </w:rPr>
        <w:t>1.</w:t>
      </w:r>
      <w:r w:rsidRPr="00CD4D72">
        <w:rPr>
          <w:b/>
          <w:bCs/>
          <w:u w:val="single"/>
        </w:rPr>
        <w:t xml:space="preserve"> Sex</w:t>
      </w:r>
      <w:r w:rsidRPr="00CD4D72" w:rsidR="00CD4D72">
        <w:rPr>
          <w:b/>
          <w:bCs/>
          <w:u w:val="single"/>
        </w:rPr>
        <w:t xml:space="preserve"> </w:t>
      </w:r>
      <w:r w:rsidRPr="00FD29AE" w:rsidR="00CD4D72">
        <w:rPr>
          <w:b/>
          <w:bCs/>
          <w:highlight w:val="yellow"/>
          <w:u w:val="single"/>
        </w:rPr>
        <w:t>and/or</w:t>
      </w:r>
      <w:r w:rsidRPr="00CD4D72" w:rsidR="00CD4D72">
        <w:rPr>
          <w:b/>
          <w:bCs/>
          <w:u w:val="single"/>
        </w:rPr>
        <w:t xml:space="preserve"> Gender</w:t>
      </w:r>
      <w:r w:rsidRPr="00CD4D72">
        <w:rPr>
          <w:b/>
          <w:bCs/>
        </w:rPr>
        <w:t>.</w:t>
      </w:r>
      <w:r w:rsidRPr="00CD4D72">
        <w:t xml:space="preserve"> </w:t>
      </w:r>
      <w:r w:rsidRPr="00CD4D72">
        <w:rPr>
          <w:color w:val="FF0000"/>
        </w:rPr>
        <w:t>The number of weeks claimed for claimants in each category will be reported</w:t>
      </w:r>
      <w:r w:rsidRPr="00CD4D72">
        <w:t xml:space="preserve">. </w:t>
      </w:r>
    </w:p>
    <w:p w:rsidR="00B3500E" w:rsidP="00CD4D72" w14:paraId="491F98F6" w14:textId="211DDE52">
      <w:pPr>
        <w:pStyle w:val="pf0"/>
        <w:spacing w:before="0" w:beforeAutospacing="0" w:after="0" w:afterAutospacing="0"/>
      </w:pPr>
      <w:r w:rsidRPr="00CD4D72">
        <w:rPr>
          <w:rStyle w:val="cf01"/>
          <w:rFonts w:ascii="Times New Roman" w:hAnsi="Times New Roman" w:cs="Times New Roman"/>
          <w:sz w:val="24"/>
          <w:szCs w:val="24"/>
        </w:rPr>
        <w:t xml:space="preserve">Sex is a biological category based on reproductive, anatomical, and genetic characteristics. </w:t>
      </w:r>
      <w:r w:rsidRPr="00CD4D72">
        <w:t xml:space="preserve">Gender is </w:t>
      </w:r>
      <w:r w:rsidRPr="00CD4D72" w:rsidR="00DF2FDA">
        <w:t>a person’s</w:t>
      </w:r>
      <w:r w:rsidRPr="00CD4D72">
        <w:rPr>
          <w:rStyle w:val="cf01"/>
          <w:rFonts w:ascii="Times New Roman" w:hAnsi="Times New Roman" w:cs="Times New Roman"/>
          <w:sz w:val="24"/>
          <w:szCs w:val="24"/>
        </w:rPr>
        <w:t xml:space="preserve"> sense of being. This identity is not necessarily visible to others.</w:t>
      </w:r>
      <w:r>
        <w:rPr>
          <w:rStyle w:val="FootnoteReference"/>
        </w:rPr>
        <w:footnoteReference w:id="2"/>
      </w:r>
      <w:r w:rsidRPr="00CD4D72">
        <w:rPr>
          <w:rStyle w:val="cf01"/>
          <w:rFonts w:ascii="Times New Roman" w:hAnsi="Times New Roman" w:cs="Times New Roman"/>
          <w:sz w:val="24"/>
          <w:szCs w:val="24"/>
        </w:rPr>
        <w:t xml:space="preserve">  This information is self-selected by the claimant on the initial claim application </w:t>
      </w:r>
      <w:r w:rsidRPr="00CD4D72">
        <w:t xml:space="preserve">as Male (M), Female (F), </w:t>
      </w:r>
      <w:r w:rsidRPr="00CD4D72">
        <w:rPr>
          <w:highlight w:val="yellow"/>
        </w:rPr>
        <w:t>Another Gender Identity/Non-binary (X).</w:t>
      </w:r>
      <w:r w:rsidRPr="00CD4D72">
        <w:t xml:space="preserve"> </w:t>
      </w:r>
    </w:p>
    <w:p w:rsidR="00CD4D72" w:rsidRPr="00CD4D72" w:rsidP="00CD4D72" w14:paraId="44A708F0" w14:textId="77777777">
      <w:pPr>
        <w:pStyle w:val="pf0"/>
        <w:spacing w:before="0" w:beforeAutospacing="0" w:after="0" w:afterAutospacing="0"/>
      </w:pPr>
    </w:p>
    <w:p w:rsidR="008821C5" w:rsidP="00CD4D72" w14:paraId="5463D3F5" w14:textId="1B8D6CE0">
      <w:pPr>
        <w:pStyle w:val="pf0"/>
        <w:spacing w:before="0" w:beforeAutospacing="0" w:after="0" w:afterAutospacing="0"/>
        <w:rPr>
          <w:shd w:val="clear" w:color="auto" w:fill="FFFFFF"/>
        </w:rPr>
      </w:pPr>
      <w:r>
        <w:t xml:space="preserve">States may wish to consider phrasing this question as: </w:t>
      </w:r>
      <w:r w:rsidRPr="00CD4D72">
        <w:t>“</w:t>
      </w:r>
      <w:r w:rsidRPr="00CD4D72">
        <w:rPr>
          <w:shd w:val="clear" w:color="auto" w:fill="FFFFFF"/>
        </w:rPr>
        <w:t xml:space="preserve">Which one of the following best represents how you think of yourself?” </w:t>
      </w:r>
    </w:p>
    <w:p w:rsidR="00CD4D72" w:rsidRPr="00CD4D72" w:rsidP="00CD4D72" w14:paraId="163A6C47" w14:textId="77777777">
      <w:pPr>
        <w:pStyle w:val="pf0"/>
        <w:spacing w:before="0" w:beforeAutospacing="0" w:after="0" w:afterAutospacing="0"/>
      </w:pPr>
    </w:p>
    <w:p w:rsidR="00E759E2" w:rsidP="00CD4D72" w14:paraId="6167FCA8" w14:textId="687C1216">
      <w:pPr>
        <w:pStyle w:val="pf0"/>
        <w:spacing w:before="0" w:beforeAutospacing="0" w:after="0" w:afterAutospacing="0"/>
      </w:pPr>
      <w:r w:rsidRPr="00CD4D72">
        <w:t xml:space="preserve">A person’s </w:t>
      </w:r>
      <w:r w:rsidRPr="00CD4D72" w:rsidR="008821C5">
        <w:t>self-selected</w:t>
      </w:r>
      <w:r w:rsidRPr="00CD4D72">
        <w:t xml:space="preserve"> sex or gender would not create a flag or issue in the</w:t>
      </w:r>
      <w:r w:rsidRPr="00CD4D72" w:rsidR="00B05EBB">
        <w:t xml:space="preserve"> Integrity Data Hub (IDH)</w:t>
      </w:r>
      <w:r w:rsidRPr="00CD4D72" w:rsidR="00F317FF">
        <w:t xml:space="preserve">, a name and date of birth crossmatch, or in the state system itself for </w:t>
      </w:r>
      <w:r w:rsidRPr="00CD4D72" w:rsidR="00AE0E90">
        <w:t xml:space="preserve">the </w:t>
      </w:r>
      <w:r w:rsidRPr="00CD4D72" w:rsidR="00F317FF">
        <w:t>purpose</w:t>
      </w:r>
      <w:r w:rsidRPr="00CD4D72" w:rsidR="00AE0E90">
        <w:t>s</w:t>
      </w:r>
      <w:r w:rsidRPr="00CD4D72" w:rsidR="00F317FF">
        <w:t xml:space="preserve"> of identity verification.  Identity verification vendors</w:t>
      </w:r>
      <w:r w:rsidRPr="00CD4D72" w:rsidR="00AE0E90">
        <w:t xml:space="preserve"> (i.e.,</w:t>
      </w:r>
      <w:r w:rsidRPr="00CD4D72" w:rsidR="00A14C93">
        <w:t xml:space="preserve"> ID.me, LexisNexis)</w:t>
      </w:r>
      <w:r w:rsidRPr="00CD4D72" w:rsidR="00F317FF">
        <w:t xml:space="preserve"> use multiple algo</w:t>
      </w:r>
      <w:r w:rsidRPr="00CD4D72" w:rsidR="00C76638">
        <w:t>rithms to prioritize potential identity issues (i.e., deceased or incarcerated</w:t>
      </w:r>
      <w:r w:rsidRPr="00CD4D72" w:rsidR="00A14C93">
        <w:t xml:space="preserve"> individuals</w:t>
      </w:r>
      <w:r w:rsidRPr="00CD4D72" w:rsidR="00C76638">
        <w:t>)</w:t>
      </w:r>
      <w:r w:rsidRPr="00CD4D72" w:rsidR="008821C5">
        <w:t xml:space="preserve"> but does not include sex and gender. </w:t>
      </w:r>
      <w:r w:rsidRPr="00CD4D72">
        <w:t xml:space="preserve"> </w:t>
      </w:r>
      <w:r w:rsidRPr="00CD4D72" w:rsidR="00D50E44">
        <w:t xml:space="preserve"> </w:t>
      </w:r>
    </w:p>
    <w:p w:rsidR="00CD4D72" w:rsidRPr="00CD4D72" w:rsidP="00CD4D72" w14:paraId="6A9DD60F" w14:textId="77777777">
      <w:pPr>
        <w:pStyle w:val="pf0"/>
        <w:spacing w:before="0" w:beforeAutospacing="0" w:after="0" w:afterAutospacing="0"/>
      </w:pPr>
    </w:p>
    <w:p w:rsidR="008A2077" w:rsidRPr="00CD4D72" w:rsidP="00CD4D72" w14:paraId="7C3F1A51" w14:textId="11CF5C3B">
      <w:pPr>
        <w:pStyle w:val="Default"/>
      </w:pPr>
      <w:r w:rsidRPr="00CD4D72">
        <w:rPr>
          <w:b/>
          <w:bCs/>
          <w:i/>
          <w:iCs/>
        </w:rPr>
        <w:t>Reasoning:</w:t>
      </w:r>
      <w:r w:rsidRPr="00CD4D72">
        <w:t xml:space="preserve"> </w:t>
      </w:r>
      <w:r w:rsidRPr="00CD4D72" w:rsidR="000415B0">
        <w:t xml:space="preserve"> </w:t>
      </w:r>
      <w:r w:rsidRPr="00CD4D72" w:rsidR="00D26158">
        <w:rPr>
          <w:color w:val="auto"/>
        </w:rPr>
        <w:t>As of April 11, 2022, the U.S. Department of State</w:t>
      </w:r>
      <w:r w:rsidRPr="00CD4D72">
        <w:rPr>
          <w:color w:val="auto"/>
        </w:rPr>
        <w:t xml:space="preserve"> announce</w:t>
      </w:r>
      <w:r w:rsidRPr="00CD4D72" w:rsidR="007155FA">
        <w:rPr>
          <w:color w:val="auto"/>
        </w:rPr>
        <w:t>d</w:t>
      </w:r>
      <w:r w:rsidRPr="00CD4D72">
        <w:rPr>
          <w:color w:val="auto"/>
        </w:rPr>
        <w:t xml:space="preserve"> U.S. </w:t>
      </w:r>
      <w:r w:rsidRPr="00CD4D72" w:rsidR="007155FA">
        <w:rPr>
          <w:color w:val="auto"/>
        </w:rPr>
        <w:t>p</w:t>
      </w:r>
      <w:r w:rsidRPr="00CD4D72">
        <w:rPr>
          <w:color w:val="auto"/>
        </w:rPr>
        <w:t xml:space="preserve">assport applicants and </w:t>
      </w:r>
      <w:r w:rsidRPr="00CD4D72" w:rsidR="003D52C9">
        <w:rPr>
          <w:color w:val="auto"/>
        </w:rPr>
        <w:t xml:space="preserve">passport </w:t>
      </w:r>
      <w:r w:rsidRPr="00CD4D72" w:rsidR="007155FA">
        <w:rPr>
          <w:color w:val="auto"/>
        </w:rPr>
        <w:t>holders</w:t>
      </w:r>
      <w:r w:rsidRPr="00CD4D72" w:rsidR="00F32CD6">
        <w:rPr>
          <w:color w:val="auto"/>
        </w:rPr>
        <w:t xml:space="preserve"> </w:t>
      </w:r>
      <w:r w:rsidRPr="00CD4D72" w:rsidR="007155FA">
        <w:rPr>
          <w:color w:val="auto"/>
        </w:rPr>
        <w:t xml:space="preserve">can </w:t>
      </w:r>
      <w:r w:rsidRPr="00CD4D72" w:rsidR="00F32CD6">
        <w:rPr>
          <w:color w:val="auto"/>
        </w:rPr>
        <w:t>self-select their gender marker</w:t>
      </w:r>
      <w:r w:rsidRPr="00CD4D72" w:rsidR="002A3072">
        <w:rPr>
          <w:color w:val="auto"/>
        </w:rPr>
        <w:t xml:space="preserve"> </w:t>
      </w:r>
      <w:r w:rsidRPr="00CD4D72" w:rsidR="002A3072">
        <w:t xml:space="preserve">as Male (M), Female (F), Another Gender Identity/Non-binary (X). </w:t>
      </w:r>
      <w:r w:rsidRPr="00CD4D72" w:rsidR="00F32CD6">
        <w:rPr>
          <w:color w:val="auto"/>
        </w:rPr>
        <w:t xml:space="preserve"> </w:t>
      </w:r>
      <w:r w:rsidRPr="00CD4D72" w:rsidR="00541EA6">
        <w:rPr>
          <w:color w:val="auto"/>
        </w:rPr>
        <w:t xml:space="preserve"> </w:t>
      </w:r>
      <w:r w:rsidRPr="00CD4D72" w:rsidR="00346838">
        <w:rPr>
          <w:color w:val="auto"/>
        </w:rPr>
        <w:t>To</w:t>
      </w:r>
      <w:r w:rsidRPr="00CD4D72" w:rsidR="00541EA6">
        <w:rPr>
          <w:color w:val="auto"/>
        </w:rPr>
        <w:t xml:space="preserve"> </w:t>
      </w:r>
      <w:r w:rsidRPr="00CD4D72" w:rsidR="007A0A3B">
        <w:rPr>
          <w:color w:val="auto"/>
        </w:rPr>
        <w:t xml:space="preserve">maintain consistency across federal government agencies and forms, </w:t>
      </w:r>
      <w:r w:rsidRPr="00CD4D72" w:rsidR="00B3500E">
        <w:rPr>
          <w:color w:val="auto"/>
        </w:rPr>
        <w:t>ETA</w:t>
      </w:r>
      <w:r w:rsidRPr="00CD4D72" w:rsidR="007A0A3B">
        <w:rPr>
          <w:color w:val="auto"/>
        </w:rPr>
        <w:t xml:space="preserve"> proposes </w:t>
      </w:r>
      <w:r w:rsidRPr="00CD4D72" w:rsidR="00716973">
        <w:rPr>
          <w:color w:val="auto"/>
        </w:rPr>
        <w:t>including</w:t>
      </w:r>
      <w:r w:rsidRPr="00CD4D72" w:rsidR="00790BDB">
        <w:rPr>
          <w:color w:val="auto"/>
        </w:rPr>
        <w:t xml:space="preserve"> these updates to Sex</w:t>
      </w:r>
      <w:r w:rsidRPr="00CD4D72" w:rsidR="007A1314">
        <w:rPr>
          <w:color w:val="auto"/>
        </w:rPr>
        <w:t xml:space="preserve"> and</w:t>
      </w:r>
      <w:r w:rsidRPr="00CD4D72" w:rsidR="00790BDB">
        <w:rPr>
          <w:color w:val="auto"/>
        </w:rPr>
        <w:t>/</w:t>
      </w:r>
      <w:r w:rsidRPr="00CD4D72" w:rsidR="007A1314">
        <w:rPr>
          <w:color w:val="auto"/>
        </w:rPr>
        <w:t xml:space="preserve">or </w:t>
      </w:r>
      <w:r w:rsidRPr="00CD4D72" w:rsidR="00790BDB">
        <w:rPr>
          <w:color w:val="auto"/>
        </w:rPr>
        <w:t xml:space="preserve">Gender reporting </w:t>
      </w:r>
      <w:r w:rsidRPr="00CD4D72" w:rsidR="003F1766">
        <w:rPr>
          <w:color w:val="auto"/>
        </w:rPr>
        <w:t xml:space="preserve">instrument </w:t>
      </w:r>
      <w:r w:rsidRPr="00CD4D72" w:rsidR="00BF0988">
        <w:rPr>
          <w:color w:val="auto"/>
        </w:rPr>
        <w:t xml:space="preserve">of the </w:t>
      </w:r>
      <w:r w:rsidRPr="00CD4D72" w:rsidR="001612A5">
        <w:rPr>
          <w:color w:val="auto"/>
        </w:rPr>
        <w:t>C</w:t>
      </w:r>
      <w:r w:rsidRPr="00CD4D72" w:rsidR="00BF0988">
        <w:rPr>
          <w:color w:val="auto"/>
        </w:rPr>
        <w:t xml:space="preserve">haracteristics of the </w:t>
      </w:r>
      <w:r w:rsidRPr="00CD4D72" w:rsidR="001612A5">
        <w:rPr>
          <w:color w:val="auto"/>
        </w:rPr>
        <w:t>I</w:t>
      </w:r>
      <w:r w:rsidRPr="00CD4D72" w:rsidR="00BF0988">
        <w:rPr>
          <w:color w:val="auto"/>
        </w:rPr>
        <w:t xml:space="preserve">nsured </w:t>
      </w:r>
      <w:r w:rsidRPr="00CD4D72" w:rsidR="001612A5">
        <w:rPr>
          <w:color w:val="auto"/>
        </w:rPr>
        <w:t>U</w:t>
      </w:r>
      <w:r w:rsidRPr="00CD4D72" w:rsidR="00BF0988">
        <w:rPr>
          <w:color w:val="auto"/>
        </w:rPr>
        <w:t>nemployed</w:t>
      </w:r>
      <w:r w:rsidRPr="00CD4D72" w:rsidR="001612A5">
        <w:rPr>
          <w:color w:val="auto"/>
        </w:rPr>
        <w:t xml:space="preserve"> (ETA 203)</w:t>
      </w:r>
      <w:r w:rsidRPr="00CD4D72" w:rsidR="00BF0988">
        <w:rPr>
          <w:color w:val="auto"/>
        </w:rPr>
        <w:t xml:space="preserve">. </w:t>
      </w:r>
    </w:p>
    <w:p w:rsidR="00833B44" w:rsidP="00CD4D72" w14:paraId="3957B540" w14:textId="3B50B440">
      <w:pPr>
        <w:pStyle w:val="Default"/>
      </w:pPr>
    </w:p>
    <w:p w:rsidR="00CD4D72" w:rsidRPr="00CD4D72" w:rsidP="00CD4D72" w14:paraId="0560FBBC" w14:textId="77777777">
      <w:pPr>
        <w:pStyle w:val="Default"/>
      </w:pPr>
    </w:p>
    <w:p w:rsidR="00D13E16" w:rsidRPr="00CD4D72" w:rsidP="00CD4D72" w14:paraId="3B6D4C71" w14:textId="6D22C338">
      <w:pPr>
        <w:pStyle w:val="Default"/>
      </w:pPr>
      <w:r w:rsidRPr="00CD4D72">
        <w:rPr>
          <w:b/>
          <w:bCs/>
        </w:rPr>
        <w:t xml:space="preserve">2. </w:t>
      </w:r>
      <w:r w:rsidRPr="00CD4D72" w:rsidR="00FA4119">
        <w:rPr>
          <w:b/>
          <w:bCs/>
          <w:u w:val="single"/>
        </w:rPr>
        <w:t xml:space="preserve">Race </w:t>
      </w:r>
      <w:r w:rsidRPr="00CD4D72" w:rsidR="00FA4119">
        <w:rPr>
          <w:b/>
          <w:bCs/>
          <w:highlight w:val="yellow"/>
          <w:u w:val="single"/>
        </w:rPr>
        <w:t>or</w:t>
      </w:r>
      <w:r w:rsidRPr="00CD4D72" w:rsidR="00FA4119">
        <w:rPr>
          <w:b/>
          <w:bCs/>
          <w:u w:val="single"/>
        </w:rPr>
        <w:t xml:space="preserve"> Ethnicity</w:t>
      </w:r>
      <w:r w:rsidRPr="00CD4D72">
        <w:rPr>
          <w:b/>
          <w:bCs/>
        </w:rPr>
        <w:t>.</w:t>
      </w:r>
      <w:r w:rsidRPr="00CD4D72">
        <w:t xml:space="preserve"> </w:t>
      </w:r>
      <w:r w:rsidRPr="00CD4D72">
        <w:rPr>
          <w:color w:val="FF0000"/>
        </w:rPr>
        <w:t>The number of weeks claimed for claimants in each category will be reported.</w:t>
      </w:r>
      <w:r w:rsidRPr="00CD4D72">
        <w:rPr>
          <w:color w:val="FF0000"/>
        </w:rPr>
        <w:t xml:space="preserve"> </w:t>
      </w:r>
      <w:r w:rsidRPr="00CD4D72" w:rsidR="001E08D1">
        <w:rPr>
          <w:color w:val="FF0000"/>
        </w:rPr>
        <w:t xml:space="preserve">If state law prohibits identifying race or ethnic group on employment records, or if the claimant does not self-code </w:t>
      </w:r>
      <w:r w:rsidRPr="00CD4D72" w:rsidR="001E08D1">
        <w:rPr>
          <w:strike/>
          <w:color w:val="FF0000"/>
        </w:rPr>
        <w:t>or is not seen</w:t>
      </w:r>
      <w:r w:rsidRPr="00CD4D72" w:rsidR="001E08D1">
        <w:rPr>
          <w:color w:val="FF0000"/>
        </w:rPr>
        <w:t xml:space="preserve">, this information will have to be recorded as INA in the </w:t>
      </w:r>
      <w:r w:rsidRPr="00CD4D72" w:rsidR="001E08D1">
        <w:rPr>
          <w:color w:val="FF0000"/>
        </w:rPr>
        <w:t xml:space="preserve">appropriate category. Please use the comments section to indicate if this unknown data is the result of a state law.   </w:t>
      </w:r>
    </w:p>
    <w:p w:rsidR="00D13E16" w:rsidRPr="00CD4D72" w:rsidP="00CD4D72" w14:paraId="0E5A3ED5" w14:textId="77777777">
      <w:pPr>
        <w:pStyle w:val="Default"/>
      </w:pPr>
    </w:p>
    <w:p w:rsidR="00D13E16" w:rsidRPr="00CD4D72" w:rsidP="00CD4D72" w14:paraId="66B6D1AA" w14:textId="1FAC4E2D">
      <w:pPr>
        <w:pStyle w:val="Default"/>
        <w:rPr>
          <w:rStyle w:val="cf01"/>
          <w:rFonts w:ascii="Times New Roman" w:hAnsi="Times New Roman" w:cs="Times New Roman"/>
          <w:sz w:val="24"/>
          <w:szCs w:val="24"/>
        </w:rPr>
      </w:pPr>
      <w:r w:rsidRPr="00CD4D72">
        <w:rPr>
          <w:rStyle w:val="cf01"/>
          <w:rFonts w:ascii="Times New Roman" w:hAnsi="Times New Roman" w:cs="Times New Roman"/>
          <w:sz w:val="24"/>
          <w:szCs w:val="24"/>
        </w:rPr>
        <w:t xml:space="preserve">Ethnicity refers to </w:t>
      </w:r>
      <w:r w:rsidRPr="00CD4D72" w:rsidR="004672A4">
        <w:rPr>
          <w:rStyle w:val="cf01"/>
          <w:rFonts w:ascii="Times New Roman" w:hAnsi="Times New Roman" w:cs="Times New Roman"/>
          <w:sz w:val="24"/>
          <w:szCs w:val="24"/>
        </w:rPr>
        <w:t>membership in a group that</w:t>
      </w:r>
      <w:r w:rsidRPr="00CD4D72">
        <w:rPr>
          <w:rStyle w:val="cf01"/>
          <w:rFonts w:ascii="Times New Roman" w:hAnsi="Times New Roman" w:cs="Times New Roman"/>
          <w:sz w:val="24"/>
          <w:szCs w:val="24"/>
        </w:rPr>
        <w:t xml:space="preserve"> shares cultural, traditional, </w:t>
      </w:r>
      <w:r w:rsidRPr="00CD4D72" w:rsidR="00CF283E">
        <w:rPr>
          <w:rStyle w:val="cf01"/>
          <w:rFonts w:ascii="Times New Roman" w:hAnsi="Times New Roman" w:cs="Times New Roman"/>
          <w:sz w:val="24"/>
          <w:szCs w:val="24"/>
        </w:rPr>
        <w:t xml:space="preserve">linguistic, and </w:t>
      </w:r>
      <w:r w:rsidRPr="00CD4D72">
        <w:rPr>
          <w:rStyle w:val="cf01"/>
          <w:rFonts w:ascii="Times New Roman" w:hAnsi="Times New Roman" w:cs="Times New Roman"/>
          <w:sz w:val="24"/>
          <w:szCs w:val="24"/>
        </w:rPr>
        <w:t>familial bonds</w:t>
      </w:r>
      <w:r w:rsidRPr="00CD4D72" w:rsidR="00FB315C">
        <w:rPr>
          <w:color w:val="212121"/>
        </w:rPr>
        <w:t>.</w:t>
      </w:r>
      <w:r>
        <w:rPr>
          <w:rStyle w:val="FootnoteReference"/>
          <w:color w:val="212121"/>
        </w:rPr>
        <w:footnoteReference w:id="3"/>
      </w:r>
      <w:r w:rsidRPr="00CD4D72" w:rsidR="00FB315C">
        <w:rPr>
          <w:color w:val="212121"/>
        </w:rPr>
        <w:t xml:space="preserve"> </w:t>
      </w:r>
      <w:r w:rsidRPr="00CD4D72">
        <w:t>Race r</w:t>
      </w:r>
      <w:r w:rsidRPr="00CD4D72">
        <w:rPr>
          <w:rStyle w:val="cf01"/>
          <w:rFonts w:ascii="Times New Roman" w:hAnsi="Times New Roman" w:cs="Times New Roman"/>
          <w:sz w:val="24"/>
          <w:szCs w:val="24"/>
        </w:rPr>
        <w:t xml:space="preserve">efers to a group sharing some outward physical characteristics and some commonalities of culture and history. </w:t>
      </w:r>
    </w:p>
    <w:p w:rsidR="00FA4119" w:rsidRPr="00CD4D72" w:rsidP="00CD4D72" w14:paraId="721FD27C" w14:textId="77777777">
      <w:pPr>
        <w:pStyle w:val="Default"/>
        <w:rPr>
          <w:shd w:val="clear" w:color="auto" w:fill="FFFFFF"/>
        </w:rPr>
      </w:pPr>
    </w:p>
    <w:p w:rsidR="00FA4119" w:rsidP="00CD4D72" w14:paraId="68553E61" w14:textId="46017229">
      <w:pPr>
        <w:pStyle w:val="Default"/>
        <w:rPr>
          <w:shd w:val="clear" w:color="auto" w:fill="FFFFFF"/>
        </w:rPr>
      </w:pPr>
      <w:bookmarkStart w:id="0" w:name="_Hlk156326321"/>
      <w:r w:rsidRPr="00CD4D72">
        <w:rPr>
          <w:shd w:val="clear" w:color="auto" w:fill="FFFFFF"/>
        </w:rPr>
        <w:t>OMB Statistical Policy Directive</w:t>
      </w:r>
      <w:r w:rsidR="0006284C">
        <w:rPr>
          <w:shd w:val="clear" w:color="auto" w:fill="FFFFFF"/>
        </w:rPr>
        <w:t xml:space="preserve"> (SPD)</w:t>
      </w:r>
      <w:r w:rsidRPr="00CD4D72">
        <w:rPr>
          <w:shd w:val="clear" w:color="auto" w:fill="FFFFFF"/>
        </w:rPr>
        <w:t xml:space="preserve"> No. 15</w:t>
      </w:r>
      <w:r>
        <w:rPr>
          <w:rStyle w:val="FootnoteReference"/>
          <w:shd w:val="clear" w:color="auto" w:fill="FFFFFF"/>
        </w:rPr>
        <w:footnoteReference w:id="4"/>
      </w:r>
      <w:r w:rsidRPr="00CD4D72">
        <w:rPr>
          <w:shd w:val="clear" w:color="auto" w:fill="FFFFFF"/>
        </w:rPr>
        <w:t xml:space="preserve"> </w:t>
      </w:r>
      <w:r w:rsidR="0006284C">
        <w:rPr>
          <w:shd w:val="clear" w:color="auto" w:fill="FFFFFF"/>
        </w:rPr>
        <w:t xml:space="preserve">instructs government agencies to </w:t>
      </w:r>
      <w:r w:rsidRPr="00CD4D72">
        <w:rPr>
          <w:shd w:val="clear" w:color="auto" w:fill="FFFFFF"/>
        </w:rPr>
        <w:t>combin</w:t>
      </w:r>
      <w:r w:rsidR="0006284C">
        <w:rPr>
          <w:shd w:val="clear" w:color="auto" w:fill="FFFFFF"/>
        </w:rPr>
        <w:t>e questions on</w:t>
      </w:r>
      <w:r w:rsidRPr="00CD4D72">
        <w:rPr>
          <w:shd w:val="clear" w:color="auto" w:fill="FFFFFF"/>
        </w:rPr>
        <w:t xml:space="preserve"> race and ethnicity into one question to </w:t>
      </w:r>
      <w:r w:rsidR="0006284C">
        <w:rPr>
          <w:shd w:val="clear" w:color="auto" w:fill="FFFFFF"/>
        </w:rPr>
        <w:t>produce higher quality and useful data and</w:t>
      </w:r>
      <w:r w:rsidRPr="00CD4D72">
        <w:rPr>
          <w:shd w:val="clear" w:color="auto" w:fill="FFFFFF"/>
        </w:rPr>
        <w:t xml:space="preserve"> </w:t>
      </w:r>
      <w:r w:rsidR="0006284C">
        <w:rPr>
          <w:shd w:val="clear" w:color="auto" w:fill="FFFFFF"/>
        </w:rPr>
        <w:t>be more concis</w:t>
      </w:r>
      <w:r w:rsidR="00346838">
        <w:rPr>
          <w:shd w:val="clear" w:color="auto" w:fill="FFFFFF"/>
        </w:rPr>
        <w:t>e</w:t>
      </w:r>
      <w:r w:rsidRPr="00CD4D72">
        <w:rPr>
          <w:shd w:val="clear" w:color="auto" w:fill="FFFFFF"/>
        </w:rPr>
        <w:t xml:space="preserve">. </w:t>
      </w:r>
    </w:p>
    <w:p w:rsidR="00CD4D72" w:rsidRPr="00CD4D72" w:rsidP="00CD4D72" w14:paraId="3865A7AC" w14:textId="77777777">
      <w:pPr>
        <w:pStyle w:val="Default"/>
        <w:rPr>
          <w:rStyle w:val="cf01"/>
          <w:rFonts w:ascii="Times New Roman" w:hAnsi="Times New Roman" w:cs="Times New Roman"/>
          <w:sz w:val="24"/>
          <w:szCs w:val="24"/>
        </w:rPr>
      </w:pPr>
    </w:p>
    <w:bookmarkEnd w:id="0"/>
    <w:p w:rsidR="00B030AA" w:rsidP="00CD4D72" w14:paraId="06C9C0FA" w14:textId="58E91CEC">
      <w:pPr>
        <w:pStyle w:val="pf0"/>
        <w:spacing w:before="0" w:beforeAutospacing="0" w:after="0" w:afterAutospacing="0"/>
        <w:rPr>
          <w:rStyle w:val="cf01"/>
          <w:rFonts w:ascii="Times New Roman" w:hAnsi="Times New Roman" w:cs="Times New Roman"/>
          <w:sz w:val="24"/>
          <w:szCs w:val="24"/>
        </w:rPr>
      </w:pPr>
      <w:r w:rsidRPr="00CD4D72">
        <w:rPr>
          <w:b/>
          <w:bCs/>
          <w:i/>
          <w:iCs/>
        </w:rPr>
        <w:t xml:space="preserve">Recommendation: </w:t>
      </w:r>
      <w:r w:rsidRPr="00CD4D72" w:rsidR="009F5B4D">
        <w:rPr>
          <w:b/>
          <w:bCs/>
          <w:i/>
          <w:iCs/>
        </w:rPr>
        <w:t xml:space="preserve"> </w:t>
      </w:r>
      <w:r w:rsidRPr="00CD4D72" w:rsidR="00833B44">
        <w:t xml:space="preserve">For the purposes of this report, the </w:t>
      </w:r>
      <w:r w:rsidRPr="00CD4D72" w:rsidR="00AD55FD">
        <w:t>identities in the</w:t>
      </w:r>
      <w:r w:rsidRPr="00CD4D72" w:rsidR="00DE61A3">
        <w:t xml:space="preserve"> </w:t>
      </w:r>
      <w:r w:rsidRPr="00CD4D72" w:rsidR="00FA4119">
        <w:t>race or ethnicity</w:t>
      </w:r>
      <w:r w:rsidRPr="00CD4D72" w:rsidR="00DE61A3">
        <w:t xml:space="preserve"> </w:t>
      </w:r>
      <w:r w:rsidRPr="00CD4D72" w:rsidR="00BF0988">
        <w:t xml:space="preserve">categories </w:t>
      </w:r>
      <w:r w:rsidRPr="00CD4D72" w:rsidR="00DE61A3">
        <w:t>are defined as</w:t>
      </w:r>
      <w:r w:rsidRPr="00CD4D72" w:rsidR="008951CB">
        <w:t xml:space="preserve"> the following according to </w:t>
      </w:r>
      <w:r w:rsidR="0006284C">
        <w:t xml:space="preserve">OMB’s SPD 15 published on March 29, 2024. </w:t>
      </w:r>
      <w:r w:rsidRPr="00CD4D72" w:rsidR="00753ED3">
        <w:t xml:space="preserve"> </w:t>
      </w:r>
      <w:r w:rsidRPr="00CD4D72" w:rsidR="001F366C">
        <w:t>S</w:t>
      </w:r>
      <w:r w:rsidRPr="00CD4D72" w:rsidR="00753ED3">
        <w:t xml:space="preserve">tates </w:t>
      </w:r>
      <w:r w:rsidR="00D13984">
        <w:t>must</w:t>
      </w:r>
      <w:r w:rsidRPr="00CD4D72" w:rsidR="00753ED3">
        <w:t xml:space="preserve"> allow</w:t>
      </w:r>
      <w:r w:rsidRPr="00CD4D72" w:rsidR="00753ED3">
        <w:rPr>
          <w:rStyle w:val="cf01"/>
          <w:rFonts w:ascii="Times New Roman" w:hAnsi="Times New Roman" w:cs="Times New Roman"/>
          <w:sz w:val="24"/>
          <w:szCs w:val="24"/>
        </w:rPr>
        <w:t xml:space="preserve"> claimants to </w:t>
      </w:r>
      <w:r w:rsidR="00FD29AE">
        <w:rPr>
          <w:rStyle w:val="cf01"/>
          <w:rFonts w:ascii="Times New Roman" w:hAnsi="Times New Roman" w:cs="Times New Roman"/>
          <w:sz w:val="24"/>
          <w:szCs w:val="24"/>
        </w:rPr>
        <w:t>select</w:t>
      </w:r>
      <w:r w:rsidRPr="00CD4D72" w:rsidR="00753ED3">
        <w:rPr>
          <w:rStyle w:val="cf01"/>
          <w:rFonts w:ascii="Times New Roman" w:hAnsi="Times New Roman" w:cs="Times New Roman"/>
          <w:sz w:val="24"/>
          <w:szCs w:val="24"/>
        </w:rPr>
        <w:t xml:space="preserve"> more than one </w:t>
      </w:r>
      <w:r w:rsidRPr="00CD4D72" w:rsidR="00916036">
        <w:rPr>
          <w:rStyle w:val="cf01"/>
          <w:rFonts w:ascii="Times New Roman" w:hAnsi="Times New Roman" w:cs="Times New Roman"/>
          <w:sz w:val="24"/>
          <w:szCs w:val="24"/>
        </w:rPr>
        <w:t>race</w:t>
      </w:r>
      <w:r w:rsidR="00D13984">
        <w:rPr>
          <w:rStyle w:val="cf01"/>
          <w:rFonts w:ascii="Times New Roman" w:hAnsi="Times New Roman" w:cs="Times New Roman"/>
          <w:sz w:val="24"/>
          <w:szCs w:val="24"/>
        </w:rPr>
        <w:t xml:space="preserve"> or ethnicity</w:t>
      </w:r>
      <w:r w:rsidR="00FD29AE">
        <w:rPr>
          <w:rStyle w:val="cf01"/>
          <w:rFonts w:ascii="Times New Roman" w:hAnsi="Times New Roman" w:cs="Times New Roman"/>
          <w:sz w:val="24"/>
          <w:szCs w:val="24"/>
        </w:rPr>
        <w:t>.</w:t>
      </w:r>
      <w:r w:rsidR="00BA6EFF">
        <w:rPr>
          <w:rStyle w:val="cf01"/>
          <w:rFonts w:ascii="Times New Roman" w:hAnsi="Times New Roman" w:cs="Times New Roman"/>
          <w:sz w:val="24"/>
          <w:szCs w:val="24"/>
        </w:rPr>
        <w:t xml:space="preserve"> </w:t>
      </w:r>
      <w:r w:rsidR="00FD29AE">
        <w:rPr>
          <w:rStyle w:val="cf01"/>
          <w:rFonts w:ascii="Times New Roman" w:hAnsi="Times New Roman" w:cs="Times New Roman"/>
          <w:sz w:val="24"/>
          <w:szCs w:val="24"/>
        </w:rPr>
        <w:t xml:space="preserve">When reported by State Workforce Agencies, these counts </w:t>
      </w:r>
      <w:r w:rsidR="00D13984">
        <w:rPr>
          <w:rStyle w:val="cf01"/>
          <w:rFonts w:ascii="Times New Roman" w:hAnsi="Times New Roman" w:cs="Times New Roman"/>
          <w:sz w:val="24"/>
          <w:szCs w:val="24"/>
        </w:rPr>
        <w:t>will be aggregated for reporting purposes</w:t>
      </w:r>
      <w:r w:rsidR="00FD29AE">
        <w:rPr>
          <w:rStyle w:val="cf01"/>
          <w:rFonts w:ascii="Times New Roman" w:hAnsi="Times New Roman" w:cs="Times New Roman"/>
          <w:sz w:val="24"/>
          <w:szCs w:val="24"/>
        </w:rPr>
        <w:t xml:space="preserve"> only</w:t>
      </w:r>
      <w:r w:rsidR="00D13984">
        <w:rPr>
          <w:rStyle w:val="cf01"/>
          <w:rFonts w:ascii="Times New Roman" w:hAnsi="Times New Roman" w:cs="Times New Roman"/>
          <w:sz w:val="24"/>
          <w:szCs w:val="24"/>
        </w:rPr>
        <w:t xml:space="preserve"> in the </w:t>
      </w:r>
      <w:r w:rsidRPr="00B030AA" w:rsidR="00D13984">
        <w:rPr>
          <w:rStyle w:val="cf01"/>
          <w:rFonts w:ascii="Times New Roman" w:hAnsi="Times New Roman" w:cs="Times New Roman"/>
          <w:sz w:val="24"/>
          <w:szCs w:val="24"/>
        </w:rPr>
        <w:t xml:space="preserve">“multiracial/multiethnic” </w:t>
      </w:r>
      <w:r w:rsidRPr="00B030AA" w:rsidR="00753ED3">
        <w:rPr>
          <w:rStyle w:val="cf01"/>
          <w:rFonts w:ascii="Times New Roman" w:hAnsi="Times New Roman" w:cs="Times New Roman"/>
          <w:sz w:val="24"/>
          <w:szCs w:val="24"/>
        </w:rPr>
        <w:t>category</w:t>
      </w:r>
      <w:r w:rsidRPr="00B030AA" w:rsidR="001F366C">
        <w:rPr>
          <w:rStyle w:val="cf01"/>
          <w:rFonts w:ascii="Times New Roman" w:hAnsi="Times New Roman" w:cs="Times New Roman"/>
          <w:sz w:val="24"/>
          <w:szCs w:val="24"/>
        </w:rPr>
        <w:t xml:space="preserve"> for the ETA 203 report</w:t>
      </w:r>
      <w:r w:rsidRPr="00B030AA">
        <w:rPr>
          <w:rStyle w:val="cf01"/>
          <w:rFonts w:ascii="Times New Roman" w:hAnsi="Times New Roman" w:cs="Times New Roman"/>
          <w:sz w:val="24"/>
          <w:szCs w:val="24"/>
        </w:rPr>
        <w:t xml:space="preserve"> and</w:t>
      </w:r>
      <w:r w:rsidRPr="00B030AA" w:rsidR="00346838">
        <w:rPr>
          <w:rStyle w:val="cf01"/>
          <w:rFonts w:ascii="Times New Roman" w:hAnsi="Times New Roman" w:cs="Times New Roman"/>
          <w:sz w:val="24"/>
          <w:szCs w:val="24"/>
        </w:rPr>
        <w:t xml:space="preserve"> highlight</w:t>
      </w:r>
      <w:r w:rsidRPr="00B030AA" w:rsidR="00FD29AE">
        <w:rPr>
          <w:rStyle w:val="cf01"/>
          <w:rFonts w:ascii="Times New Roman" w:hAnsi="Times New Roman" w:cs="Times New Roman"/>
          <w:sz w:val="24"/>
          <w:szCs w:val="24"/>
        </w:rPr>
        <w:t>ed</w:t>
      </w:r>
      <w:r w:rsidRPr="00B030AA" w:rsidR="00346838">
        <w:rPr>
          <w:rStyle w:val="cf01"/>
          <w:rFonts w:ascii="Times New Roman" w:hAnsi="Times New Roman" w:cs="Times New Roman"/>
          <w:sz w:val="24"/>
          <w:szCs w:val="24"/>
        </w:rPr>
        <w:t xml:space="preserve"> </w:t>
      </w:r>
      <w:r>
        <w:rPr>
          <w:rStyle w:val="cf01"/>
          <w:rFonts w:ascii="Times New Roman" w:hAnsi="Times New Roman" w:cs="Times New Roman"/>
          <w:sz w:val="24"/>
          <w:szCs w:val="24"/>
        </w:rPr>
        <w:t xml:space="preserve">below in </w:t>
      </w:r>
      <w:r w:rsidRPr="00FD29AE" w:rsidR="00346838">
        <w:rPr>
          <w:rStyle w:val="cf01"/>
          <w:rFonts w:ascii="Times New Roman" w:hAnsi="Times New Roman" w:cs="Times New Roman"/>
          <w:sz w:val="24"/>
          <w:szCs w:val="24"/>
          <w:highlight w:val="green"/>
        </w:rPr>
        <w:t>green</w:t>
      </w:r>
      <w:r>
        <w:rPr>
          <w:rStyle w:val="cf01"/>
          <w:rFonts w:ascii="Times New Roman" w:hAnsi="Times New Roman" w:cs="Times New Roman"/>
          <w:sz w:val="24"/>
          <w:szCs w:val="24"/>
        </w:rPr>
        <w:t xml:space="preserve">. The tabulations will represent people who identify with multiple minimum reporting categories. </w:t>
      </w:r>
      <w:r w:rsidR="00BA6EFF">
        <w:rPr>
          <w:rStyle w:val="cf01"/>
          <w:rFonts w:ascii="Times New Roman" w:hAnsi="Times New Roman" w:cs="Times New Roman"/>
          <w:sz w:val="24"/>
          <w:szCs w:val="24"/>
        </w:rPr>
        <w:t xml:space="preserve">A “prefer not to disclose” option was specifically omitted as a reporting category by OMB; “information not available” will represent people who leave this question blank and choose not to answer.  </w:t>
      </w:r>
    </w:p>
    <w:p w:rsidR="00B030AA" w:rsidP="00CD4D72" w14:paraId="747EC53F" w14:textId="77777777">
      <w:pPr>
        <w:pStyle w:val="pf0"/>
        <w:spacing w:before="0" w:beforeAutospacing="0" w:after="0" w:afterAutospacing="0"/>
        <w:rPr>
          <w:rStyle w:val="cf01"/>
          <w:rFonts w:ascii="Times New Roman" w:hAnsi="Times New Roman" w:cs="Times New Roman"/>
          <w:sz w:val="24"/>
          <w:szCs w:val="24"/>
        </w:rPr>
      </w:pPr>
    </w:p>
    <w:p w:rsidR="00753ED3" w:rsidP="00CD4D72" w14:paraId="6B170BFA" w14:textId="6A71E311">
      <w:pPr>
        <w:pStyle w:val="pf0"/>
        <w:spacing w:before="0" w:beforeAutospacing="0" w:after="0" w:afterAutospacing="0"/>
        <w:rPr>
          <w:rStyle w:val="cf01"/>
          <w:rFonts w:ascii="Times New Roman" w:hAnsi="Times New Roman" w:cs="Times New Roman"/>
          <w:sz w:val="24"/>
          <w:szCs w:val="24"/>
        </w:rPr>
      </w:pPr>
      <w:r w:rsidRPr="00FD29AE">
        <w:rPr>
          <w:rStyle w:val="cf01"/>
          <w:rFonts w:ascii="Times New Roman" w:hAnsi="Times New Roman" w:cs="Times New Roman"/>
          <w:sz w:val="24"/>
          <w:szCs w:val="24"/>
          <w:highlight w:val="yellow"/>
        </w:rPr>
        <w:t>New</w:t>
      </w:r>
      <w:r w:rsidR="00B030AA">
        <w:rPr>
          <w:rStyle w:val="cf01"/>
          <w:rFonts w:ascii="Times New Roman" w:hAnsi="Times New Roman" w:cs="Times New Roman"/>
          <w:sz w:val="24"/>
          <w:szCs w:val="24"/>
          <w:highlight w:val="yellow"/>
        </w:rPr>
        <w:t xml:space="preserve"> minimum reporting</w:t>
      </w:r>
      <w:r w:rsidRPr="00FD29AE">
        <w:rPr>
          <w:rStyle w:val="cf01"/>
          <w:rFonts w:ascii="Times New Roman" w:hAnsi="Times New Roman" w:cs="Times New Roman"/>
          <w:sz w:val="24"/>
          <w:szCs w:val="24"/>
          <w:highlight w:val="yellow"/>
        </w:rPr>
        <w:t xml:space="preserve"> categories</w:t>
      </w:r>
      <w:r w:rsidR="00FD29AE">
        <w:rPr>
          <w:rStyle w:val="cf01"/>
          <w:rFonts w:ascii="Times New Roman" w:hAnsi="Times New Roman" w:cs="Times New Roman"/>
          <w:sz w:val="24"/>
          <w:szCs w:val="24"/>
          <w:highlight w:val="yellow"/>
        </w:rPr>
        <w:t xml:space="preserve"> or </w:t>
      </w:r>
      <w:r w:rsidR="00B030AA">
        <w:rPr>
          <w:rStyle w:val="cf01"/>
          <w:rFonts w:ascii="Times New Roman" w:hAnsi="Times New Roman" w:cs="Times New Roman"/>
          <w:sz w:val="24"/>
          <w:szCs w:val="24"/>
          <w:highlight w:val="yellow"/>
        </w:rPr>
        <w:t>those</w:t>
      </w:r>
      <w:r w:rsidR="00FD29AE">
        <w:rPr>
          <w:rStyle w:val="cf01"/>
          <w:rFonts w:ascii="Times New Roman" w:hAnsi="Times New Roman" w:cs="Times New Roman"/>
          <w:sz w:val="24"/>
          <w:szCs w:val="24"/>
          <w:highlight w:val="yellow"/>
        </w:rPr>
        <w:t xml:space="preserve"> previously categorized as ethnicities</w:t>
      </w:r>
      <w:r w:rsidRPr="00FD29AE">
        <w:rPr>
          <w:rStyle w:val="cf01"/>
          <w:rFonts w:ascii="Times New Roman" w:hAnsi="Times New Roman" w:cs="Times New Roman"/>
          <w:sz w:val="24"/>
          <w:szCs w:val="24"/>
          <w:highlight w:val="yellow"/>
        </w:rPr>
        <w:t xml:space="preserve"> are highlighted in yellow.</w:t>
      </w:r>
      <w:r>
        <w:rPr>
          <w:rStyle w:val="cf01"/>
          <w:rFonts w:ascii="Times New Roman" w:hAnsi="Times New Roman" w:cs="Times New Roman"/>
          <w:sz w:val="24"/>
          <w:szCs w:val="24"/>
        </w:rPr>
        <w:t xml:space="preserve"> </w:t>
      </w:r>
    </w:p>
    <w:p w:rsidR="00CD4D72" w:rsidP="00CD4D72" w14:paraId="57588374" w14:textId="77777777">
      <w:pPr>
        <w:pStyle w:val="pf0"/>
        <w:spacing w:before="0" w:beforeAutospacing="0" w:after="0" w:afterAutospacing="0"/>
      </w:pPr>
    </w:p>
    <w:p w:rsidR="00D13984" w:rsidRPr="00D13984" w:rsidP="00FD29AE" w14:paraId="53F8F2A3" w14:textId="52BDDA82">
      <w:pPr>
        <w:pStyle w:val="pf0"/>
        <w:spacing w:before="0" w:beforeAutospacing="0" w:after="0" w:afterAutospacing="0"/>
        <w:ind w:firstLine="720"/>
        <w:rPr>
          <w:b/>
          <w:bCs/>
        </w:rPr>
      </w:pPr>
      <w:r>
        <w:rPr>
          <w:b/>
          <w:bCs/>
        </w:rPr>
        <w:t xml:space="preserve">What is your race or ethnicity? </w:t>
      </w:r>
      <w:r w:rsidRPr="00D13984">
        <w:rPr>
          <w:b/>
          <w:bCs/>
        </w:rPr>
        <w:t>Select all that apply</w:t>
      </w:r>
      <w:r w:rsidR="00B41EB2">
        <w:rPr>
          <w:b/>
          <w:bCs/>
        </w:rPr>
        <w:t xml:space="preserve"> </w:t>
      </w:r>
      <w:r w:rsidRPr="00FD29AE" w:rsidR="00B41EB2">
        <w:t>or</w:t>
      </w:r>
      <w:r w:rsidRPr="00D13984">
        <w:rPr>
          <w:b/>
          <w:bCs/>
        </w:rPr>
        <w:t xml:space="preserve"> Mark all that apply:</w:t>
      </w:r>
    </w:p>
    <w:p w:rsidR="00D13984" w:rsidRPr="00CD4D72" w:rsidP="00CD4D72" w14:paraId="4914E1AF" w14:textId="77777777">
      <w:pPr>
        <w:pStyle w:val="pf0"/>
        <w:spacing w:before="0" w:beforeAutospacing="0" w:after="0" w:afterAutospacing="0"/>
      </w:pPr>
    </w:p>
    <w:p w:rsidR="00833B44" w:rsidRPr="00CD4D72" w:rsidP="00CD4D72" w14:paraId="620CDBEB" w14:textId="22859B50">
      <w:pPr>
        <w:autoSpaceDE w:val="0"/>
        <w:autoSpaceDN w:val="0"/>
        <w:adjustRightInd w:val="0"/>
        <w:spacing w:after="0" w:line="240" w:lineRule="auto"/>
        <w:ind w:left="720"/>
        <w:rPr>
          <w:rFonts w:ascii="Times New Roman" w:hAnsi="Times New Roman" w:cs="Times New Roman"/>
          <w:color w:val="212121"/>
          <w:sz w:val="24"/>
          <w:szCs w:val="24"/>
        </w:rPr>
      </w:pPr>
      <w:r w:rsidRPr="00CD4D72">
        <w:rPr>
          <w:rFonts w:ascii="Times New Roman" w:hAnsi="Times New Roman" w:cs="Times New Roman"/>
          <w:color w:val="212121"/>
          <w:sz w:val="24"/>
          <w:szCs w:val="24"/>
        </w:rPr>
        <w:t>American Indian or Alaska Native</w:t>
      </w:r>
      <w:r w:rsidRPr="00CD4D72" w:rsidR="00905237">
        <w:rPr>
          <w:rFonts w:ascii="Times New Roman" w:hAnsi="Times New Roman" w:cs="Times New Roman"/>
          <w:color w:val="212121"/>
          <w:sz w:val="24"/>
          <w:szCs w:val="24"/>
        </w:rPr>
        <w:t>:</w:t>
      </w:r>
      <w:r w:rsidRPr="00CD4D72">
        <w:rPr>
          <w:rFonts w:ascii="Times New Roman" w:hAnsi="Times New Roman" w:cs="Times New Roman"/>
          <w:color w:val="212121"/>
          <w:sz w:val="24"/>
          <w:szCs w:val="24"/>
        </w:rPr>
        <w:t xml:space="preserve"> </w:t>
      </w:r>
      <w:bookmarkStart w:id="1" w:name="_Hlk164953914"/>
      <w:r w:rsidRPr="00CD4D72">
        <w:rPr>
          <w:rFonts w:ascii="Times New Roman" w:hAnsi="Times New Roman" w:cs="Times New Roman"/>
          <w:color w:val="212121"/>
          <w:sz w:val="24"/>
          <w:szCs w:val="24"/>
        </w:rPr>
        <w:t>a person having origins in</w:t>
      </w:r>
      <w:r w:rsidRPr="00CD4D72" w:rsidR="00DE61A3">
        <w:rPr>
          <w:rFonts w:ascii="Times New Roman" w:hAnsi="Times New Roman" w:cs="Times New Roman"/>
          <w:color w:val="212121"/>
          <w:sz w:val="24"/>
          <w:szCs w:val="24"/>
        </w:rPr>
        <w:t xml:space="preserve"> </w:t>
      </w:r>
      <w:r w:rsidRPr="00CD4D72">
        <w:rPr>
          <w:rFonts w:ascii="Times New Roman" w:hAnsi="Times New Roman" w:cs="Times New Roman"/>
          <w:color w:val="212121"/>
          <w:sz w:val="24"/>
          <w:szCs w:val="24"/>
        </w:rPr>
        <w:t>any of the original peoples of North</w:t>
      </w:r>
      <w:r w:rsidR="0006284C">
        <w:rPr>
          <w:rFonts w:ascii="Times New Roman" w:hAnsi="Times New Roman" w:cs="Times New Roman"/>
          <w:color w:val="212121"/>
          <w:sz w:val="24"/>
          <w:szCs w:val="24"/>
        </w:rPr>
        <w:t>,</w:t>
      </w:r>
      <w:r w:rsidRPr="00CD4D72">
        <w:rPr>
          <w:rFonts w:ascii="Times New Roman" w:hAnsi="Times New Roman" w:cs="Times New Roman"/>
          <w:color w:val="212121"/>
          <w:sz w:val="24"/>
          <w:szCs w:val="24"/>
        </w:rPr>
        <w:t xml:space="preserve"> </w:t>
      </w:r>
      <w:r w:rsidR="0006284C">
        <w:rPr>
          <w:rFonts w:ascii="Times New Roman" w:hAnsi="Times New Roman" w:cs="Times New Roman"/>
          <w:color w:val="212121"/>
          <w:sz w:val="24"/>
          <w:szCs w:val="24"/>
        </w:rPr>
        <w:t>Central, or South America</w:t>
      </w:r>
      <w:r w:rsidRPr="00CD4D72">
        <w:rPr>
          <w:rFonts w:ascii="Times New Roman" w:hAnsi="Times New Roman" w:cs="Times New Roman"/>
          <w:color w:val="212121"/>
          <w:sz w:val="24"/>
          <w:szCs w:val="24"/>
        </w:rPr>
        <w:t>.</w:t>
      </w:r>
      <w:r w:rsidR="00D13984">
        <w:rPr>
          <w:rFonts w:ascii="Times New Roman" w:hAnsi="Times New Roman" w:cs="Times New Roman"/>
          <w:color w:val="212121"/>
          <w:sz w:val="24"/>
          <w:szCs w:val="24"/>
        </w:rPr>
        <w:t xml:space="preserve"> </w:t>
      </w:r>
      <w:r w:rsidR="00235CD2">
        <w:rPr>
          <w:rFonts w:ascii="Times New Roman" w:hAnsi="Times New Roman" w:cs="Times New Roman"/>
          <w:color w:val="212121"/>
          <w:sz w:val="24"/>
          <w:szCs w:val="24"/>
        </w:rPr>
        <w:t>Including, f</w:t>
      </w:r>
      <w:r w:rsidR="00D13984">
        <w:rPr>
          <w:rFonts w:ascii="Times New Roman" w:hAnsi="Times New Roman" w:cs="Times New Roman"/>
          <w:color w:val="212121"/>
          <w:sz w:val="24"/>
          <w:szCs w:val="24"/>
        </w:rPr>
        <w:t>or example</w:t>
      </w:r>
      <w:r w:rsidR="00235CD2">
        <w:rPr>
          <w:rFonts w:ascii="Times New Roman" w:hAnsi="Times New Roman" w:cs="Times New Roman"/>
          <w:color w:val="212121"/>
          <w:sz w:val="24"/>
          <w:szCs w:val="24"/>
        </w:rPr>
        <w:t>,</w:t>
      </w:r>
      <w:r w:rsidR="00D13984">
        <w:rPr>
          <w:rFonts w:ascii="Times New Roman" w:hAnsi="Times New Roman" w:cs="Times New Roman"/>
          <w:color w:val="212121"/>
          <w:sz w:val="24"/>
          <w:szCs w:val="24"/>
        </w:rPr>
        <w:t xml:space="preserve"> Navajo Nation, Blackfeet Tribe</w:t>
      </w:r>
      <w:r w:rsidR="00035B43">
        <w:rPr>
          <w:rFonts w:ascii="Times New Roman" w:hAnsi="Times New Roman" w:cs="Times New Roman"/>
          <w:color w:val="212121"/>
          <w:sz w:val="24"/>
          <w:szCs w:val="24"/>
        </w:rPr>
        <w:t>, Native Village of the Barrow Inupiat Traditional Government, Nome Eskimo Community, Aztec, Maya</w:t>
      </w:r>
      <w:r w:rsidR="00164941">
        <w:rPr>
          <w:rFonts w:ascii="Times New Roman" w:hAnsi="Times New Roman" w:cs="Times New Roman"/>
          <w:color w:val="212121"/>
          <w:sz w:val="24"/>
          <w:szCs w:val="24"/>
        </w:rPr>
        <w:t>n</w:t>
      </w:r>
      <w:r w:rsidR="00035B43">
        <w:rPr>
          <w:rFonts w:ascii="Times New Roman" w:hAnsi="Times New Roman" w:cs="Times New Roman"/>
          <w:color w:val="212121"/>
          <w:sz w:val="24"/>
          <w:szCs w:val="24"/>
        </w:rPr>
        <w:t>, etc.</w:t>
      </w:r>
      <w:bookmarkEnd w:id="1"/>
    </w:p>
    <w:p w:rsidR="00833B44" w:rsidRPr="00CD4D72" w:rsidP="00CD4D72" w14:paraId="7F46D1F4" w14:textId="77777777">
      <w:pPr>
        <w:autoSpaceDE w:val="0"/>
        <w:autoSpaceDN w:val="0"/>
        <w:adjustRightInd w:val="0"/>
        <w:spacing w:after="0" w:line="240" w:lineRule="auto"/>
        <w:ind w:left="720"/>
        <w:rPr>
          <w:rFonts w:ascii="Times New Roman" w:hAnsi="Times New Roman" w:cs="Times New Roman"/>
          <w:color w:val="212121"/>
          <w:sz w:val="24"/>
          <w:szCs w:val="24"/>
        </w:rPr>
      </w:pPr>
    </w:p>
    <w:p w:rsidR="00833B44" w:rsidRPr="00CD4D72" w:rsidP="00CD4D72" w14:paraId="7E44089D" w14:textId="10618191">
      <w:pPr>
        <w:autoSpaceDE w:val="0"/>
        <w:autoSpaceDN w:val="0"/>
        <w:adjustRightInd w:val="0"/>
        <w:spacing w:after="0" w:line="240" w:lineRule="auto"/>
        <w:ind w:left="720"/>
        <w:rPr>
          <w:rFonts w:ascii="Times New Roman" w:hAnsi="Times New Roman" w:cs="Times New Roman"/>
          <w:color w:val="212121"/>
          <w:sz w:val="24"/>
          <w:szCs w:val="24"/>
        </w:rPr>
      </w:pPr>
      <w:r w:rsidRPr="00CD4D72">
        <w:rPr>
          <w:rFonts w:ascii="Times New Roman" w:hAnsi="Times New Roman" w:cs="Times New Roman"/>
          <w:color w:val="212121"/>
          <w:sz w:val="24"/>
          <w:szCs w:val="24"/>
        </w:rPr>
        <w:t>Asian</w:t>
      </w:r>
      <w:r w:rsidRPr="00CD4D72" w:rsidR="00905237">
        <w:rPr>
          <w:rFonts w:ascii="Times New Roman" w:hAnsi="Times New Roman" w:cs="Times New Roman"/>
          <w:color w:val="212121"/>
          <w:sz w:val="24"/>
          <w:szCs w:val="24"/>
        </w:rPr>
        <w:t xml:space="preserve">: </w:t>
      </w:r>
      <w:r w:rsidRPr="00CD4D72">
        <w:rPr>
          <w:rFonts w:ascii="Times New Roman" w:hAnsi="Times New Roman" w:cs="Times New Roman"/>
          <w:color w:val="212121"/>
          <w:sz w:val="24"/>
          <w:szCs w:val="24"/>
        </w:rPr>
        <w:t>a person having origins in any of the original peoples</w:t>
      </w:r>
      <w:r w:rsidRPr="00CD4D72" w:rsidR="00DE61A3">
        <w:rPr>
          <w:rFonts w:ascii="Times New Roman" w:hAnsi="Times New Roman" w:cs="Times New Roman"/>
          <w:color w:val="212121"/>
          <w:sz w:val="24"/>
          <w:szCs w:val="24"/>
        </w:rPr>
        <w:t xml:space="preserve"> </w:t>
      </w:r>
      <w:r w:rsidRPr="00CD4D72">
        <w:rPr>
          <w:rFonts w:ascii="Times New Roman" w:hAnsi="Times New Roman" w:cs="Times New Roman"/>
          <w:color w:val="212121"/>
          <w:sz w:val="24"/>
          <w:szCs w:val="24"/>
        </w:rPr>
        <w:t>of</w:t>
      </w:r>
      <w:r w:rsidRPr="00CD4D72" w:rsidR="0084155B">
        <w:rPr>
          <w:rFonts w:ascii="Times New Roman" w:hAnsi="Times New Roman" w:cs="Times New Roman"/>
          <w:color w:val="212121"/>
          <w:sz w:val="24"/>
          <w:szCs w:val="24"/>
        </w:rPr>
        <w:t xml:space="preserve"> </w:t>
      </w:r>
      <w:r w:rsidR="005D4D16">
        <w:rPr>
          <w:rFonts w:ascii="Times New Roman" w:hAnsi="Times New Roman" w:cs="Times New Roman"/>
          <w:color w:val="212121"/>
          <w:sz w:val="24"/>
          <w:szCs w:val="24"/>
        </w:rPr>
        <w:t xml:space="preserve">Central or </w:t>
      </w:r>
      <w:r w:rsidRPr="00CD4D72">
        <w:rPr>
          <w:rFonts w:ascii="Times New Roman" w:hAnsi="Times New Roman" w:cs="Times New Roman"/>
          <w:color w:val="212121"/>
          <w:sz w:val="24"/>
          <w:szCs w:val="24"/>
        </w:rPr>
        <w:t>East</w:t>
      </w:r>
      <w:r w:rsidRPr="00CD4D72" w:rsidR="0084155B">
        <w:rPr>
          <w:rFonts w:ascii="Times New Roman" w:hAnsi="Times New Roman" w:cs="Times New Roman"/>
          <w:color w:val="212121"/>
          <w:sz w:val="24"/>
          <w:szCs w:val="24"/>
        </w:rPr>
        <w:t xml:space="preserve"> Asia,</w:t>
      </w:r>
      <w:r w:rsidRPr="00CD4D72">
        <w:rPr>
          <w:rFonts w:ascii="Times New Roman" w:hAnsi="Times New Roman" w:cs="Times New Roman"/>
          <w:color w:val="212121"/>
          <w:sz w:val="24"/>
          <w:szCs w:val="24"/>
        </w:rPr>
        <w:t xml:space="preserve"> </w:t>
      </w:r>
      <w:r w:rsidR="00D13984">
        <w:rPr>
          <w:rFonts w:ascii="Times New Roman" w:hAnsi="Times New Roman" w:cs="Times New Roman"/>
          <w:color w:val="212121"/>
          <w:sz w:val="24"/>
          <w:szCs w:val="24"/>
        </w:rPr>
        <w:t xml:space="preserve">and </w:t>
      </w:r>
      <w:r w:rsidR="005D4D16">
        <w:rPr>
          <w:rFonts w:ascii="Times New Roman" w:hAnsi="Times New Roman" w:cs="Times New Roman"/>
          <w:color w:val="212121"/>
          <w:sz w:val="24"/>
          <w:szCs w:val="24"/>
        </w:rPr>
        <w:t>South Asia</w:t>
      </w:r>
      <w:r w:rsidR="00D13984">
        <w:rPr>
          <w:rFonts w:ascii="Times New Roman" w:hAnsi="Times New Roman" w:cs="Times New Roman"/>
          <w:color w:val="212121"/>
          <w:sz w:val="24"/>
          <w:szCs w:val="24"/>
        </w:rPr>
        <w:t xml:space="preserve">. </w:t>
      </w:r>
      <w:r w:rsidR="00235CD2">
        <w:rPr>
          <w:rFonts w:ascii="Times New Roman" w:hAnsi="Times New Roman" w:cs="Times New Roman"/>
          <w:color w:val="212121"/>
          <w:sz w:val="24"/>
          <w:szCs w:val="24"/>
        </w:rPr>
        <w:t xml:space="preserve">Including, for example, </w:t>
      </w:r>
      <w:r w:rsidR="00035B43">
        <w:rPr>
          <w:rFonts w:ascii="Times New Roman" w:hAnsi="Times New Roman" w:cs="Times New Roman"/>
          <w:color w:val="212121"/>
          <w:sz w:val="24"/>
          <w:szCs w:val="24"/>
        </w:rPr>
        <w:t>Chin</w:t>
      </w:r>
      <w:r w:rsidR="00971C52">
        <w:rPr>
          <w:rFonts w:ascii="Times New Roman" w:hAnsi="Times New Roman" w:cs="Times New Roman"/>
          <w:color w:val="212121"/>
          <w:sz w:val="24"/>
          <w:szCs w:val="24"/>
        </w:rPr>
        <w:t>ese</w:t>
      </w:r>
      <w:r w:rsidR="00035B43">
        <w:rPr>
          <w:rFonts w:ascii="Times New Roman" w:hAnsi="Times New Roman" w:cs="Times New Roman"/>
          <w:color w:val="212121"/>
          <w:sz w:val="24"/>
          <w:szCs w:val="24"/>
        </w:rPr>
        <w:t xml:space="preserve">, </w:t>
      </w:r>
      <w:r w:rsidR="00971C52">
        <w:rPr>
          <w:rFonts w:ascii="Times New Roman" w:hAnsi="Times New Roman" w:cs="Times New Roman"/>
          <w:color w:val="212121"/>
          <w:sz w:val="24"/>
          <w:szCs w:val="24"/>
        </w:rPr>
        <w:t xml:space="preserve">Asian </w:t>
      </w:r>
      <w:r w:rsidR="00035B43">
        <w:rPr>
          <w:rFonts w:ascii="Times New Roman" w:hAnsi="Times New Roman" w:cs="Times New Roman"/>
          <w:color w:val="212121"/>
          <w:sz w:val="24"/>
          <w:szCs w:val="24"/>
        </w:rPr>
        <w:t>India</w:t>
      </w:r>
      <w:r w:rsidR="00971C52">
        <w:rPr>
          <w:rFonts w:ascii="Times New Roman" w:hAnsi="Times New Roman" w:cs="Times New Roman"/>
          <w:color w:val="212121"/>
          <w:sz w:val="24"/>
          <w:szCs w:val="24"/>
        </w:rPr>
        <w:t>n</w:t>
      </w:r>
      <w:r w:rsidR="00035B43">
        <w:rPr>
          <w:rFonts w:ascii="Times New Roman" w:hAnsi="Times New Roman" w:cs="Times New Roman"/>
          <w:color w:val="212121"/>
          <w:sz w:val="24"/>
          <w:szCs w:val="24"/>
        </w:rPr>
        <w:t>, Japan</w:t>
      </w:r>
      <w:r w:rsidR="00971C52">
        <w:rPr>
          <w:rFonts w:ascii="Times New Roman" w:hAnsi="Times New Roman" w:cs="Times New Roman"/>
          <w:color w:val="212121"/>
          <w:sz w:val="24"/>
          <w:szCs w:val="24"/>
        </w:rPr>
        <w:t>ese</w:t>
      </w:r>
      <w:r w:rsidR="00035B43">
        <w:rPr>
          <w:rFonts w:ascii="Times New Roman" w:hAnsi="Times New Roman" w:cs="Times New Roman"/>
          <w:color w:val="212121"/>
          <w:sz w:val="24"/>
          <w:szCs w:val="24"/>
        </w:rPr>
        <w:t>, Korea</w:t>
      </w:r>
      <w:r w:rsidR="00971C52">
        <w:rPr>
          <w:rFonts w:ascii="Times New Roman" w:hAnsi="Times New Roman" w:cs="Times New Roman"/>
          <w:color w:val="212121"/>
          <w:sz w:val="24"/>
          <w:szCs w:val="24"/>
        </w:rPr>
        <w:t>n</w:t>
      </w:r>
      <w:r w:rsidR="00035B43">
        <w:rPr>
          <w:rFonts w:ascii="Times New Roman" w:hAnsi="Times New Roman" w:cs="Times New Roman"/>
          <w:color w:val="212121"/>
          <w:sz w:val="24"/>
          <w:szCs w:val="24"/>
        </w:rPr>
        <w:t xml:space="preserve">, </w:t>
      </w:r>
      <w:r w:rsidR="00971C52">
        <w:rPr>
          <w:rFonts w:ascii="Times New Roman" w:hAnsi="Times New Roman" w:cs="Times New Roman"/>
          <w:color w:val="212121"/>
          <w:sz w:val="24"/>
          <w:szCs w:val="24"/>
        </w:rPr>
        <w:t>Filipino</w:t>
      </w:r>
      <w:r w:rsidR="00035B43">
        <w:rPr>
          <w:rFonts w:ascii="Times New Roman" w:hAnsi="Times New Roman" w:cs="Times New Roman"/>
          <w:color w:val="212121"/>
          <w:sz w:val="24"/>
          <w:szCs w:val="24"/>
        </w:rPr>
        <w:t>, Vietnam</w:t>
      </w:r>
      <w:r w:rsidR="00971C52">
        <w:rPr>
          <w:rFonts w:ascii="Times New Roman" w:hAnsi="Times New Roman" w:cs="Times New Roman"/>
          <w:color w:val="212121"/>
          <w:sz w:val="24"/>
          <w:szCs w:val="24"/>
        </w:rPr>
        <w:t>ese</w:t>
      </w:r>
      <w:r w:rsidR="00035B43">
        <w:rPr>
          <w:rFonts w:ascii="Times New Roman" w:hAnsi="Times New Roman" w:cs="Times New Roman"/>
          <w:color w:val="212121"/>
          <w:sz w:val="24"/>
          <w:szCs w:val="24"/>
        </w:rPr>
        <w:t>, etc</w:t>
      </w:r>
      <w:r w:rsidRPr="00CD4D72">
        <w:rPr>
          <w:rFonts w:ascii="Times New Roman" w:hAnsi="Times New Roman" w:cs="Times New Roman"/>
          <w:color w:val="212121"/>
          <w:sz w:val="24"/>
          <w:szCs w:val="24"/>
        </w:rPr>
        <w:t>.</w:t>
      </w:r>
    </w:p>
    <w:p w:rsidR="00833B44" w:rsidRPr="00CD4D72" w:rsidP="00CD4D72" w14:paraId="7F166663" w14:textId="77777777">
      <w:pPr>
        <w:autoSpaceDE w:val="0"/>
        <w:autoSpaceDN w:val="0"/>
        <w:adjustRightInd w:val="0"/>
        <w:spacing w:after="0" w:line="240" w:lineRule="auto"/>
        <w:ind w:left="720"/>
        <w:rPr>
          <w:rFonts w:ascii="Times New Roman" w:hAnsi="Times New Roman" w:cs="Times New Roman"/>
          <w:color w:val="212121"/>
          <w:sz w:val="24"/>
          <w:szCs w:val="24"/>
        </w:rPr>
      </w:pPr>
    </w:p>
    <w:p w:rsidR="00833B44" w:rsidP="00CD4D72" w14:paraId="39F93A6C" w14:textId="0964820F">
      <w:pPr>
        <w:autoSpaceDE w:val="0"/>
        <w:autoSpaceDN w:val="0"/>
        <w:adjustRightInd w:val="0"/>
        <w:spacing w:after="0" w:line="240" w:lineRule="auto"/>
        <w:ind w:left="720"/>
        <w:rPr>
          <w:rFonts w:ascii="Times New Roman" w:hAnsi="Times New Roman" w:cs="Times New Roman"/>
          <w:color w:val="212121"/>
          <w:sz w:val="24"/>
          <w:szCs w:val="24"/>
        </w:rPr>
      </w:pPr>
      <w:r w:rsidRPr="00CD4D72">
        <w:rPr>
          <w:rFonts w:ascii="Times New Roman" w:hAnsi="Times New Roman" w:cs="Times New Roman"/>
          <w:color w:val="212121"/>
          <w:sz w:val="24"/>
          <w:szCs w:val="24"/>
        </w:rPr>
        <w:t>Black or African American</w:t>
      </w:r>
      <w:r w:rsidRPr="00CD4D72" w:rsidR="00905237">
        <w:rPr>
          <w:rFonts w:ascii="Times New Roman" w:hAnsi="Times New Roman" w:cs="Times New Roman"/>
          <w:color w:val="212121"/>
          <w:sz w:val="24"/>
          <w:szCs w:val="24"/>
        </w:rPr>
        <w:t>:</w:t>
      </w:r>
      <w:r w:rsidRPr="00CD4D72">
        <w:rPr>
          <w:rFonts w:ascii="Times New Roman" w:hAnsi="Times New Roman" w:cs="Times New Roman"/>
          <w:color w:val="212121"/>
          <w:sz w:val="24"/>
          <w:szCs w:val="24"/>
        </w:rPr>
        <w:t xml:space="preserve"> a person having origins in any of</w:t>
      </w:r>
      <w:r w:rsidRPr="00CD4D72" w:rsidR="00DE61A3">
        <w:rPr>
          <w:rFonts w:ascii="Times New Roman" w:hAnsi="Times New Roman" w:cs="Times New Roman"/>
          <w:color w:val="212121"/>
          <w:sz w:val="24"/>
          <w:szCs w:val="24"/>
        </w:rPr>
        <w:t xml:space="preserve"> </w:t>
      </w:r>
      <w:r w:rsidRPr="00CD4D72">
        <w:rPr>
          <w:rFonts w:ascii="Times New Roman" w:hAnsi="Times New Roman" w:cs="Times New Roman"/>
          <w:color w:val="212121"/>
          <w:sz w:val="24"/>
          <w:szCs w:val="24"/>
        </w:rPr>
        <w:t xml:space="preserve">the </w:t>
      </w:r>
      <w:r w:rsidRPr="00CD4D72" w:rsidR="00A95994">
        <w:rPr>
          <w:rFonts w:ascii="Times New Roman" w:hAnsi="Times New Roman" w:cs="Times New Roman"/>
          <w:color w:val="212121"/>
          <w:sz w:val="24"/>
          <w:szCs w:val="24"/>
        </w:rPr>
        <w:t>B</w:t>
      </w:r>
      <w:r w:rsidRPr="00CD4D72">
        <w:rPr>
          <w:rFonts w:ascii="Times New Roman" w:hAnsi="Times New Roman" w:cs="Times New Roman"/>
          <w:color w:val="212121"/>
          <w:sz w:val="24"/>
          <w:szCs w:val="24"/>
        </w:rPr>
        <w:t>lack racial groups of Africa.</w:t>
      </w:r>
      <w:r w:rsidR="00971C52">
        <w:rPr>
          <w:rFonts w:ascii="Times New Roman" w:hAnsi="Times New Roman" w:cs="Times New Roman"/>
          <w:color w:val="212121"/>
          <w:sz w:val="24"/>
          <w:szCs w:val="24"/>
        </w:rPr>
        <w:t xml:space="preserve"> </w:t>
      </w:r>
      <w:r w:rsidR="00235CD2">
        <w:rPr>
          <w:rFonts w:ascii="Times New Roman" w:hAnsi="Times New Roman" w:cs="Times New Roman"/>
          <w:color w:val="212121"/>
          <w:sz w:val="24"/>
          <w:szCs w:val="24"/>
        </w:rPr>
        <w:t xml:space="preserve">Including, for example, </w:t>
      </w:r>
      <w:r w:rsidR="00971C52">
        <w:rPr>
          <w:rFonts w:ascii="Times New Roman" w:hAnsi="Times New Roman" w:cs="Times New Roman"/>
          <w:color w:val="212121"/>
          <w:sz w:val="24"/>
          <w:szCs w:val="24"/>
        </w:rPr>
        <w:t>African American, Jamaican, Haitian, Nigerian, Ethiopian, Somali, etc.</w:t>
      </w:r>
    </w:p>
    <w:p w:rsidR="00971C52" w:rsidRPr="00CD4D72" w:rsidP="00CD4D72" w14:paraId="06B448FD" w14:textId="77777777">
      <w:pPr>
        <w:autoSpaceDE w:val="0"/>
        <w:autoSpaceDN w:val="0"/>
        <w:adjustRightInd w:val="0"/>
        <w:spacing w:after="0" w:line="240" w:lineRule="auto"/>
        <w:ind w:left="720"/>
        <w:rPr>
          <w:rFonts w:ascii="Times New Roman" w:hAnsi="Times New Roman" w:cs="Times New Roman"/>
          <w:color w:val="212121"/>
          <w:sz w:val="24"/>
          <w:szCs w:val="24"/>
        </w:rPr>
      </w:pPr>
    </w:p>
    <w:p w:rsidR="00971C52" w:rsidRPr="00BA6EFF" w:rsidP="00971C52" w14:paraId="4E2BAFB2" w14:textId="666DD439">
      <w:pPr>
        <w:pStyle w:val="BodyText"/>
        <w:ind w:left="720"/>
        <w:rPr>
          <w:sz w:val="24"/>
          <w:szCs w:val="24"/>
        </w:rPr>
      </w:pPr>
      <w:r w:rsidRPr="00BA6EFF">
        <w:rPr>
          <w:sz w:val="24"/>
          <w:szCs w:val="24"/>
          <w:highlight w:val="yellow"/>
        </w:rPr>
        <w:t>Hispanic/Latino(a):</w:t>
      </w:r>
      <w:r w:rsidRPr="00BA6EFF">
        <w:rPr>
          <w:sz w:val="24"/>
          <w:szCs w:val="24"/>
        </w:rPr>
        <w:t xml:space="preserve"> a </w:t>
      </w:r>
      <w:r w:rsidRPr="00BA6EFF">
        <w:rPr>
          <w:sz w:val="24"/>
          <w:szCs w:val="24"/>
          <w:shd w:val="clear" w:color="auto" w:fill="FFFFFF"/>
        </w:rPr>
        <w:t xml:space="preserve">person of Cuban, Mexican, Puerto Rican, South or Central American, or other Spanish culture or origin. </w:t>
      </w:r>
      <w:r w:rsidRPr="00BA6EFF" w:rsidR="00235CD2">
        <w:rPr>
          <w:sz w:val="24"/>
          <w:szCs w:val="24"/>
        </w:rPr>
        <w:t xml:space="preserve">Including, for example, </w:t>
      </w:r>
      <w:r w:rsidRPr="00BA6EFF">
        <w:rPr>
          <w:sz w:val="24"/>
          <w:szCs w:val="24"/>
          <w:shd w:val="clear" w:color="auto" w:fill="FFFFFF"/>
        </w:rPr>
        <w:t>Dominican, Guatemalan, Colombian, Honduran, Spaniard, Salvadoran, etc.</w:t>
      </w:r>
    </w:p>
    <w:p w:rsidR="00833B44" w:rsidRPr="00BA6EFF" w:rsidP="00CD4D72" w14:paraId="7E76DE5E" w14:textId="77777777">
      <w:pPr>
        <w:autoSpaceDE w:val="0"/>
        <w:autoSpaceDN w:val="0"/>
        <w:adjustRightInd w:val="0"/>
        <w:spacing w:after="0" w:line="240" w:lineRule="auto"/>
        <w:ind w:left="720"/>
        <w:rPr>
          <w:rFonts w:ascii="Times New Roman" w:hAnsi="Times New Roman" w:cs="Times New Roman"/>
          <w:sz w:val="24"/>
          <w:szCs w:val="24"/>
        </w:rPr>
      </w:pPr>
    </w:p>
    <w:p w:rsidR="00971C52" w:rsidRPr="00BA6EFF" w:rsidP="00971C52" w14:paraId="15EDE0E3" w14:textId="3D537368">
      <w:pPr>
        <w:autoSpaceDE w:val="0"/>
        <w:autoSpaceDN w:val="0"/>
        <w:adjustRightInd w:val="0"/>
        <w:spacing w:after="0" w:line="240" w:lineRule="auto"/>
        <w:ind w:left="720"/>
        <w:rPr>
          <w:rFonts w:ascii="Times New Roman" w:hAnsi="Times New Roman" w:cs="Times New Roman"/>
          <w:sz w:val="24"/>
          <w:szCs w:val="24"/>
        </w:rPr>
      </w:pPr>
      <w:r w:rsidRPr="00BA6EFF">
        <w:rPr>
          <w:rFonts w:ascii="Times New Roman" w:hAnsi="Times New Roman" w:cs="Times New Roman"/>
          <w:sz w:val="24"/>
          <w:szCs w:val="24"/>
          <w:highlight w:val="yellow"/>
        </w:rPr>
        <w:t>Middle Eastern or North African</w:t>
      </w:r>
      <w:r w:rsidRPr="00BA6EFF">
        <w:rPr>
          <w:rFonts w:ascii="Times New Roman" w:hAnsi="Times New Roman" w:cs="Times New Roman"/>
          <w:sz w:val="24"/>
          <w:szCs w:val="24"/>
        </w:rPr>
        <w:t xml:space="preserve">: a person having origins in any of the original peoples of the Middle East or North Africa. </w:t>
      </w:r>
      <w:r w:rsidRPr="00BA6EFF" w:rsidR="00235CD2">
        <w:rPr>
          <w:rFonts w:ascii="Times New Roman" w:hAnsi="Times New Roman" w:cs="Times New Roman"/>
          <w:sz w:val="24"/>
          <w:szCs w:val="24"/>
        </w:rPr>
        <w:t>Including, for example,</w:t>
      </w:r>
      <w:r w:rsidRPr="00BA6EFF">
        <w:rPr>
          <w:rFonts w:ascii="Times New Roman" w:hAnsi="Times New Roman" w:cs="Times New Roman"/>
          <w:sz w:val="24"/>
          <w:szCs w:val="24"/>
        </w:rPr>
        <w:t xml:space="preserve"> Egypt, Lebanon, Jordan, Syria, Morocco, Algeria, etc. </w:t>
      </w:r>
    </w:p>
    <w:p w:rsidR="00971C52" w:rsidRPr="00BA6EFF" w:rsidP="00971C52" w14:paraId="633E4A47" w14:textId="77777777">
      <w:pPr>
        <w:autoSpaceDE w:val="0"/>
        <w:autoSpaceDN w:val="0"/>
        <w:adjustRightInd w:val="0"/>
        <w:spacing w:after="0" w:line="240" w:lineRule="auto"/>
        <w:ind w:left="720"/>
        <w:rPr>
          <w:rFonts w:ascii="Times New Roman" w:hAnsi="Times New Roman" w:cs="Times New Roman"/>
          <w:sz w:val="24"/>
          <w:szCs w:val="24"/>
        </w:rPr>
      </w:pPr>
    </w:p>
    <w:p w:rsidR="00833B44" w:rsidRPr="00BA6EFF" w:rsidP="00CD4D72" w14:paraId="6E363407" w14:textId="78FA84CF">
      <w:pPr>
        <w:autoSpaceDE w:val="0"/>
        <w:autoSpaceDN w:val="0"/>
        <w:adjustRightInd w:val="0"/>
        <w:spacing w:after="0" w:line="240" w:lineRule="auto"/>
        <w:ind w:left="720"/>
        <w:rPr>
          <w:rFonts w:ascii="Times New Roman" w:hAnsi="Times New Roman" w:cs="Times New Roman"/>
          <w:sz w:val="24"/>
          <w:szCs w:val="24"/>
        </w:rPr>
      </w:pPr>
      <w:r w:rsidRPr="00BA6EFF">
        <w:rPr>
          <w:rFonts w:ascii="Times New Roman" w:hAnsi="Times New Roman" w:cs="Times New Roman"/>
          <w:sz w:val="24"/>
          <w:szCs w:val="24"/>
        </w:rPr>
        <w:t>Native Hawaiian or Pacific Islander</w:t>
      </w:r>
      <w:r w:rsidRPr="00BA6EFF" w:rsidR="00905237">
        <w:rPr>
          <w:rFonts w:ascii="Times New Roman" w:hAnsi="Times New Roman" w:cs="Times New Roman"/>
          <w:sz w:val="24"/>
          <w:szCs w:val="24"/>
        </w:rPr>
        <w:t>:</w:t>
      </w:r>
      <w:r w:rsidRPr="00BA6EFF">
        <w:rPr>
          <w:rFonts w:ascii="Times New Roman" w:hAnsi="Times New Roman" w:cs="Times New Roman"/>
          <w:sz w:val="24"/>
          <w:szCs w:val="24"/>
        </w:rPr>
        <w:t xml:space="preserve"> a person having</w:t>
      </w:r>
      <w:r w:rsidRPr="00BA6EFF" w:rsidR="00DE61A3">
        <w:rPr>
          <w:rFonts w:ascii="Times New Roman" w:hAnsi="Times New Roman" w:cs="Times New Roman"/>
          <w:sz w:val="24"/>
          <w:szCs w:val="24"/>
        </w:rPr>
        <w:t xml:space="preserve"> </w:t>
      </w:r>
      <w:r w:rsidRPr="00BA6EFF">
        <w:rPr>
          <w:rFonts w:ascii="Times New Roman" w:hAnsi="Times New Roman" w:cs="Times New Roman"/>
          <w:sz w:val="24"/>
          <w:szCs w:val="24"/>
        </w:rPr>
        <w:t xml:space="preserve">origins in any of the original peoples of Hawaii, Guam, </w:t>
      </w:r>
      <w:r w:rsidRPr="00BA6EFF" w:rsidR="00CD0EDC">
        <w:rPr>
          <w:rFonts w:ascii="Times New Roman" w:hAnsi="Times New Roman" w:cs="Times New Roman"/>
          <w:sz w:val="24"/>
          <w:szCs w:val="24"/>
        </w:rPr>
        <w:t>Samoa,</w:t>
      </w:r>
      <w:r w:rsidRPr="00BA6EFF">
        <w:rPr>
          <w:rFonts w:ascii="Times New Roman" w:hAnsi="Times New Roman" w:cs="Times New Roman"/>
          <w:sz w:val="24"/>
          <w:szCs w:val="24"/>
        </w:rPr>
        <w:t xml:space="preserve"> or</w:t>
      </w:r>
      <w:r w:rsidRPr="00BA6EFF" w:rsidR="00DE61A3">
        <w:rPr>
          <w:rFonts w:ascii="Times New Roman" w:hAnsi="Times New Roman" w:cs="Times New Roman"/>
          <w:sz w:val="24"/>
          <w:szCs w:val="24"/>
        </w:rPr>
        <w:t xml:space="preserve"> </w:t>
      </w:r>
      <w:r w:rsidRPr="00BA6EFF">
        <w:rPr>
          <w:rFonts w:ascii="Times New Roman" w:hAnsi="Times New Roman" w:cs="Times New Roman"/>
          <w:sz w:val="24"/>
          <w:szCs w:val="24"/>
        </w:rPr>
        <w:t>other Pacific islands.</w:t>
      </w:r>
      <w:r w:rsidRPr="00BA6EFF" w:rsidR="00971C52">
        <w:rPr>
          <w:rFonts w:ascii="Times New Roman" w:hAnsi="Times New Roman" w:cs="Times New Roman"/>
          <w:sz w:val="24"/>
          <w:szCs w:val="24"/>
        </w:rPr>
        <w:t xml:space="preserve"> </w:t>
      </w:r>
      <w:r w:rsidRPr="00BA6EFF" w:rsidR="00235CD2">
        <w:rPr>
          <w:rFonts w:ascii="Times New Roman" w:hAnsi="Times New Roman" w:cs="Times New Roman"/>
          <w:sz w:val="24"/>
          <w:szCs w:val="24"/>
        </w:rPr>
        <w:t xml:space="preserve">Including, for example, </w:t>
      </w:r>
      <w:r w:rsidRPr="00BA6EFF" w:rsidR="00971C52">
        <w:rPr>
          <w:rFonts w:ascii="Times New Roman" w:hAnsi="Times New Roman" w:cs="Times New Roman"/>
          <w:sz w:val="24"/>
          <w:szCs w:val="24"/>
        </w:rPr>
        <w:t>Native Hawaiian, Tongan, Fijian, Samoan, Chamorro, Marshallese, etc.</w:t>
      </w:r>
    </w:p>
    <w:p w:rsidR="00833B44" w:rsidRPr="00BA6EFF" w:rsidP="00CD4D72" w14:paraId="26A0CF57" w14:textId="77777777">
      <w:pPr>
        <w:autoSpaceDE w:val="0"/>
        <w:autoSpaceDN w:val="0"/>
        <w:adjustRightInd w:val="0"/>
        <w:spacing w:after="0" w:line="240" w:lineRule="auto"/>
        <w:ind w:left="720"/>
        <w:rPr>
          <w:rFonts w:ascii="Times New Roman" w:hAnsi="Times New Roman" w:cs="Times New Roman"/>
          <w:sz w:val="24"/>
          <w:szCs w:val="24"/>
        </w:rPr>
      </w:pPr>
    </w:p>
    <w:p w:rsidR="00833B44" w:rsidRPr="00BA6EFF" w:rsidP="00CD4D72" w14:paraId="6DFEF891" w14:textId="44AD101E">
      <w:pPr>
        <w:autoSpaceDE w:val="0"/>
        <w:autoSpaceDN w:val="0"/>
        <w:adjustRightInd w:val="0"/>
        <w:spacing w:after="0" w:line="240" w:lineRule="auto"/>
        <w:ind w:left="720"/>
        <w:rPr>
          <w:rFonts w:ascii="Times New Roman" w:hAnsi="Times New Roman" w:cs="Times New Roman"/>
          <w:sz w:val="24"/>
          <w:szCs w:val="24"/>
        </w:rPr>
      </w:pPr>
      <w:r w:rsidRPr="00BA6EFF">
        <w:rPr>
          <w:rFonts w:ascii="Times New Roman" w:hAnsi="Times New Roman" w:cs="Times New Roman"/>
          <w:sz w:val="24"/>
          <w:szCs w:val="24"/>
        </w:rPr>
        <w:t>White</w:t>
      </w:r>
      <w:r w:rsidRPr="00BA6EFF" w:rsidR="00466835">
        <w:rPr>
          <w:rFonts w:ascii="Times New Roman" w:hAnsi="Times New Roman" w:cs="Times New Roman"/>
          <w:sz w:val="24"/>
          <w:szCs w:val="24"/>
        </w:rPr>
        <w:t>:</w:t>
      </w:r>
      <w:r w:rsidRPr="00BA6EFF">
        <w:rPr>
          <w:rFonts w:ascii="Times New Roman" w:hAnsi="Times New Roman" w:cs="Times New Roman"/>
          <w:sz w:val="24"/>
          <w:szCs w:val="24"/>
        </w:rPr>
        <w:t xml:space="preserve"> a person having origins in any of the original peoples</w:t>
      </w:r>
      <w:r w:rsidRPr="00BA6EFF" w:rsidR="00E349E3">
        <w:rPr>
          <w:rFonts w:ascii="Times New Roman" w:hAnsi="Times New Roman" w:cs="Times New Roman"/>
          <w:sz w:val="24"/>
          <w:szCs w:val="24"/>
        </w:rPr>
        <w:t xml:space="preserve"> </w:t>
      </w:r>
      <w:r w:rsidRPr="00BA6EFF">
        <w:rPr>
          <w:rFonts w:ascii="Times New Roman" w:hAnsi="Times New Roman" w:cs="Times New Roman"/>
          <w:sz w:val="24"/>
          <w:szCs w:val="24"/>
        </w:rPr>
        <w:t>of Europe</w:t>
      </w:r>
      <w:r w:rsidRPr="00BA6EFF" w:rsidR="00235CD2">
        <w:rPr>
          <w:rFonts w:ascii="Times New Roman" w:hAnsi="Times New Roman" w:cs="Times New Roman"/>
          <w:sz w:val="24"/>
          <w:szCs w:val="24"/>
        </w:rPr>
        <w:t>.</w:t>
      </w:r>
      <w:r w:rsidRPr="00BA6EFF" w:rsidR="00514043">
        <w:rPr>
          <w:rFonts w:ascii="Times New Roman" w:hAnsi="Times New Roman" w:cs="Times New Roman"/>
          <w:sz w:val="24"/>
          <w:szCs w:val="24"/>
        </w:rPr>
        <w:t xml:space="preserve"> </w:t>
      </w:r>
      <w:r w:rsidRPr="00BA6EFF" w:rsidR="00235CD2">
        <w:rPr>
          <w:rFonts w:ascii="Times New Roman" w:hAnsi="Times New Roman" w:cs="Times New Roman"/>
          <w:sz w:val="24"/>
          <w:szCs w:val="24"/>
        </w:rPr>
        <w:t xml:space="preserve">Including, for example, </w:t>
      </w:r>
      <w:r w:rsidRPr="00BA6EFF" w:rsidR="00971C52">
        <w:rPr>
          <w:rFonts w:ascii="Times New Roman" w:hAnsi="Times New Roman" w:cs="Times New Roman"/>
          <w:sz w:val="24"/>
          <w:szCs w:val="24"/>
        </w:rPr>
        <w:t>Ireland, Poland, Germany, France, Italy, Sweden, etc</w:t>
      </w:r>
      <w:r w:rsidRPr="00BA6EFF" w:rsidR="0001375C">
        <w:rPr>
          <w:rFonts w:ascii="Times New Roman" w:hAnsi="Times New Roman" w:cs="Times New Roman"/>
          <w:sz w:val="24"/>
          <w:szCs w:val="24"/>
        </w:rPr>
        <w:t>.</w:t>
      </w:r>
    </w:p>
    <w:p w:rsidR="0084155B" w:rsidRPr="00BA6EFF" w:rsidP="00CD4D72" w14:paraId="3355EE9E" w14:textId="77777777">
      <w:pPr>
        <w:autoSpaceDE w:val="0"/>
        <w:autoSpaceDN w:val="0"/>
        <w:adjustRightInd w:val="0"/>
        <w:spacing w:after="0" w:line="240" w:lineRule="auto"/>
        <w:ind w:left="720"/>
        <w:rPr>
          <w:rFonts w:ascii="Times New Roman" w:hAnsi="Times New Roman" w:cs="Times New Roman"/>
          <w:sz w:val="24"/>
          <w:szCs w:val="24"/>
        </w:rPr>
      </w:pPr>
    </w:p>
    <w:p w:rsidR="00B4742E" w:rsidRPr="00BA6EFF" w:rsidP="00CD4D72" w14:paraId="1A5BF711" w14:textId="153F1F64">
      <w:pPr>
        <w:autoSpaceDE w:val="0"/>
        <w:autoSpaceDN w:val="0"/>
        <w:adjustRightInd w:val="0"/>
        <w:spacing w:after="0" w:line="240" w:lineRule="auto"/>
        <w:ind w:left="720"/>
        <w:rPr>
          <w:rFonts w:ascii="Times New Roman" w:hAnsi="Times New Roman" w:cs="Times New Roman"/>
          <w:sz w:val="24"/>
          <w:szCs w:val="24"/>
        </w:rPr>
      </w:pPr>
      <w:r w:rsidRPr="00BA6EFF">
        <w:rPr>
          <w:rFonts w:ascii="Times New Roman" w:hAnsi="Times New Roman" w:cs="Times New Roman"/>
          <w:sz w:val="24"/>
          <w:szCs w:val="24"/>
          <w:highlight w:val="green"/>
        </w:rPr>
        <w:t>Multiracial/Multiethnic</w:t>
      </w:r>
      <w:r w:rsidRPr="00BA6EFF" w:rsidR="00466835">
        <w:rPr>
          <w:rFonts w:ascii="Times New Roman" w:hAnsi="Times New Roman" w:cs="Times New Roman"/>
          <w:sz w:val="24"/>
          <w:szCs w:val="24"/>
        </w:rPr>
        <w:t>:</w:t>
      </w:r>
      <w:r w:rsidRPr="00BA6EFF" w:rsidR="000461C2">
        <w:rPr>
          <w:rFonts w:ascii="Times New Roman" w:hAnsi="Times New Roman" w:cs="Times New Roman"/>
          <w:sz w:val="24"/>
          <w:szCs w:val="24"/>
        </w:rPr>
        <w:t xml:space="preserve"> a person having </w:t>
      </w:r>
      <w:r w:rsidRPr="00BA6EFF" w:rsidR="00B3500E">
        <w:rPr>
          <w:rFonts w:ascii="Times New Roman" w:hAnsi="Times New Roman" w:cs="Times New Roman"/>
          <w:sz w:val="24"/>
          <w:szCs w:val="24"/>
        </w:rPr>
        <w:t xml:space="preserve">origins </w:t>
      </w:r>
      <w:r w:rsidRPr="00BA6EFF" w:rsidR="000461C2">
        <w:rPr>
          <w:rFonts w:ascii="Times New Roman" w:hAnsi="Times New Roman" w:cs="Times New Roman"/>
          <w:sz w:val="24"/>
          <w:szCs w:val="24"/>
        </w:rPr>
        <w:t xml:space="preserve">in any </w:t>
      </w:r>
      <w:r w:rsidRPr="00BA6EFF" w:rsidR="00CE2290">
        <w:rPr>
          <w:rFonts w:ascii="Times New Roman" w:hAnsi="Times New Roman" w:cs="Times New Roman"/>
          <w:sz w:val="24"/>
          <w:szCs w:val="24"/>
        </w:rPr>
        <w:t>of</w:t>
      </w:r>
      <w:r w:rsidRPr="00BA6EFF" w:rsidR="00164941">
        <w:rPr>
          <w:rFonts w:ascii="Times New Roman" w:hAnsi="Times New Roman" w:cs="Times New Roman"/>
          <w:sz w:val="24"/>
          <w:szCs w:val="24"/>
        </w:rPr>
        <w:t xml:space="preserve"> the</w:t>
      </w:r>
      <w:r w:rsidRPr="00BA6EFF" w:rsidR="00CE2290">
        <w:rPr>
          <w:rFonts w:ascii="Times New Roman" w:hAnsi="Times New Roman" w:cs="Times New Roman"/>
          <w:sz w:val="24"/>
          <w:szCs w:val="24"/>
        </w:rPr>
        <w:t xml:space="preserve"> different racia</w:t>
      </w:r>
      <w:r w:rsidRPr="00BA6EFF" w:rsidR="00164941">
        <w:rPr>
          <w:rFonts w:ascii="Times New Roman" w:hAnsi="Times New Roman" w:cs="Times New Roman"/>
          <w:sz w:val="24"/>
          <w:szCs w:val="24"/>
        </w:rPr>
        <w:t xml:space="preserve">l or ethnic </w:t>
      </w:r>
      <w:r w:rsidRPr="00BA6EFF" w:rsidR="00457466">
        <w:rPr>
          <w:rFonts w:ascii="Times New Roman" w:hAnsi="Times New Roman" w:cs="Times New Roman"/>
          <w:sz w:val="24"/>
          <w:szCs w:val="24"/>
        </w:rPr>
        <w:t>groups as defined in the preceding categories</w:t>
      </w:r>
      <w:r w:rsidRPr="00BA6EFF" w:rsidR="00164941">
        <w:rPr>
          <w:rFonts w:ascii="Times New Roman" w:hAnsi="Times New Roman" w:cs="Times New Roman"/>
          <w:sz w:val="24"/>
          <w:szCs w:val="24"/>
        </w:rPr>
        <w:t xml:space="preserve"> that are aggregated into this report category when respondents select or mark all that apply</w:t>
      </w:r>
      <w:r w:rsidRPr="00BA6EFF" w:rsidR="00457466">
        <w:rPr>
          <w:rFonts w:ascii="Times New Roman" w:hAnsi="Times New Roman" w:cs="Times New Roman"/>
          <w:sz w:val="24"/>
          <w:szCs w:val="24"/>
        </w:rPr>
        <w:t>.</w:t>
      </w:r>
    </w:p>
    <w:p w:rsidR="00235CD2" w:rsidRPr="00BA6EFF" w:rsidP="00CD4D72" w14:paraId="52140A31" w14:textId="77777777">
      <w:pPr>
        <w:autoSpaceDE w:val="0"/>
        <w:autoSpaceDN w:val="0"/>
        <w:adjustRightInd w:val="0"/>
        <w:spacing w:after="0" w:line="240" w:lineRule="auto"/>
        <w:ind w:left="720"/>
        <w:rPr>
          <w:rFonts w:ascii="Times New Roman" w:hAnsi="Times New Roman" w:cs="Times New Roman"/>
          <w:sz w:val="24"/>
          <w:szCs w:val="24"/>
        </w:rPr>
      </w:pPr>
    </w:p>
    <w:p w:rsidR="00235CD2" w:rsidRPr="00BA6EFF" w:rsidP="00CD4D72" w14:paraId="2748E4F0" w14:textId="541E78F0">
      <w:pPr>
        <w:autoSpaceDE w:val="0"/>
        <w:autoSpaceDN w:val="0"/>
        <w:adjustRightInd w:val="0"/>
        <w:spacing w:after="0" w:line="240" w:lineRule="auto"/>
        <w:ind w:left="720"/>
        <w:rPr>
          <w:rFonts w:ascii="Times New Roman" w:hAnsi="Times New Roman" w:cs="Times New Roman"/>
          <w:sz w:val="24"/>
          <w:szCs w:val="24"/>
        </w:rPr>
      </w:pPr>
      <w:r w:rsidRPr="00BA6EFF">
        <w:rPr>
          <w:rFonts w:ascii="Times New Roman" w:hAnsi="Times New Roman" w:cs="Times New Roman"/>
          <w:sz w:val="24"/>
          <w:szCs w:val="24"/>
        </w:rPr>
        <w:t>Information Not Available (INA)</w:t>
      </w:r>
      <w:r w:rsidRPr="00BA6EFF" w:rsidR="00E33D0C">
        <w:rPr>
          <w:rFonts w:ascii="Times New Roman" w:hAnsi="Times New Roman" w:cs="Times New Roman"/>
          <w:sz w:val="24"/>
          <w:szCs w:val="24"/>
        </w:rPr>
        <w:t>: Left blank, no answer provided.</w:t>
      </w:r>
    </w:p>
    <w:p w:rsidR="00B4742E" w:rsidRPr="00CD4D72" w:rsidP="00CD4D72" w14:paraId="4E262F3B" w14:textId="29EEC65F">
      <w:pPr>
        <w:autoSpaceDE w:val="0"/>
        <w:autoSpaceDN w:val="0"/>
        <w:adjustRightInd w:val="0"/>
        <w:spacing w:after="0" w:line="240" w:lineRule="auto"/>
        <w:ind w:left="720"/>
        <w:rPr>
          <w:rFonts w:ascii="Times New Roman" w:hAnsi="Times New Roman" w:cs="Times New Roman"/>
          <w:color w:val="212121"/>
          <w:sz w:val="24"/>
          <w:szCs w:val="24"/>
        </w:rPr>
      </w:pPr>
    </w:p>
    <w:p w:rsidR="001729A9" w:rsidP="002135AA" w14:paraId="7DE30404" w14:textId="6ADB9965">
      <w:pPr>
        <w:pStyle w:val="Default"/>
        <w:rPr>
          <w:color w:val="212121"/>
        </w:rPr>
      </w:pPr>
      <w:r w:rsidRPr="00CD4D72">
        <w:rPr>
          <w:b/>
          <w:bCs/>
          <w:i/>
          <w:iCs/>
          <w:color w:val="212121"/>
        </w:rPr>
        <w:t>Reasoning:</w:t>
      </w:r>
      <w:r w:rsidRPr="00CD4D72">
        <w:rPr>
          <w:color w:val="212121"/>
        </w:rPr>
        <w:t xml:space="preserve"> </w:t>
      </w:r>
      <w:r w:rsidRPr="00CD4D72" w:rsidR="00B3500E">
        <w:rPr>
          <w:color w:val="212121"/>
        </w:rPr>
        <w:t xml:space="preserve">These updates reflect the </w:t>
      </w:r>
      <w:r w:rsidR="0006284C">
        <w:rPr>
          <w:color w:val="212121"/>
        </w:rPr>
        <w:t xml:space="preserve">final guidance of </w:t>
      </w:r>
      <w:r w:rsidRPr="00CD4D72" w:rsidR="00B3500E">
        <w:rPr>
          <w:shd w:val="clear" w:color="auto" w:fill="FFFFFF"/>
        </w:rPr>
        <w:t>OMB</w:t>
      </w:r>
      <w:r w:rsidR="0006284C">
        <w:rPr>
          <w:shd w:val="clear" w:color="auto" w:fill="FFFFFF"/>
        </w:rPr>
        <w:t>’s</w:t>
      </w:r>
      <w:r w:rsidRPr="00CD4D72" w:rsidR="00B3500E">
        <w:rPr>
          <w:shd w:val="clear" w:color="auto" w:fill="FFFFFF"/>
        </w:rPr>
        <w:t xml:space="preserve"> </w:t>
      </w:r>
      <w:r w:rsidR="0006284C">
        <w:rPr>
          <w:shd w:val="clear" w:color="auto" w:fill="FFFFFF"/>
        </w:rPr>
        <w:t>SPD No. 15. by</w:t>
      </w:r>
      <w:r w:rsidRPr="00CD4D72" w:rsidR="00B3500E">
        <w:rPr>
          <w:shd w:val="clear" w:color="auto" w:fill="FFFFFF"/>
        </w:rPr>
        <w:t xml:space="preserve"> combining race and ethnicity into one question to decrease confusion of respondents and improve accuracy of</w:t>
      </w:r>
      <w:r w:rsidR="0006284C">
        <w:rPr>
          <w:shd w:val="clear" w:color="auto" w:fill="FFFFFF"/>
        </w:rPr>
        <w:t xml:space="preserve"> the data collected </w:t>
      </w:r>
      <w:r w:rsidR="002135AA">
        <w:rPr>
          <w:shd w:val="clear" w:color="auto" w:fill="FFFFFF"/>
        </w:rPr>
        <w:t>and reported</w:t>
      </w:r>
      <w:r w:rsidRPr="00CD4D72" w:rsidR="00B3500E">
        <w:rPr>
          <w:shd w:val="clear" w:color="auto" w:fill="FFFFFF"/>
        </w:rPr>
        <w:t xml:space="preserve">.  Also, </w:t>
      </w:r>
      <w:r w:rsidRPr="00CD4D72" w:rsidR="00B3500E">
        <w:rPr>
          <w:color w:val="212121"/>
        </w:rPr>
        <w:t>t</w:t>
      </w:r>
      <w:r w:rsidRPr="00CD4D72">
        <w:rPr>
          <w:color w:val="212121"/>
        </w:rPr>
        <w:t>he U.S. Census Bureau is studying/researching proposals to update how the decennial census and American Community Survey asks about race and ethnicity</w:t>
      </w:r>
      <w:r w:rsidR="002135AA">
        <w:rPr>
          <w:color w:val="212121"/>
        </w:rPr>
        <w:t xml:space="preserve"> to follow the most recent guidance from OMB.</w:t>
      </w:r>
    </w:p>
    <w:p w:rsidR="00CD4D72" w:rsidRPr="00CD4D72" w:rsidP="00CD4D72" w14:paraId="1619C1E5" w14:textId="77777777">
      <w:pPr>
        <w:autoSpaceDE w:val="0"/>
        <w:autoSpaceDN w:val="0"/>
        <w:adjustRightInd w:val="0"/>
        <w:spacing w:after="0" w:line="240" w:lineRule="auto"/>
        <w:ind w:left="720"/>
        <w:rPr>
          <w:rFonts w:ascii="Times New Roman" w:hAnsi="Times New Roman" w:cs="Times New Roman"/>
          <w:color w:val="212121"/>
          <w:sz w:val="24"/>
          <w:szCs w:val="24"/>
        </w:rPr>
      </w:pPr>
    </w:p>
    <w:p w:rsidR="00833B44" w:rsidRPr="00CD4D72" w:rsidP="00CD4D72" w14:paraId="0DB5DC24" w14:textId="65035204">
      <w:pPr>
        <w:pStyle w:val="Default"/>
        <w:rPr>
          <w:color w:val="auto"/>
        </w:rPr>
      </w:pPr>
      <w:r w:rsidRPr="00CD4D72">
        <w:rPr>
          <w:b/>
          <w:bCs/>
          <w:i/>
          <w:iCs/>
          <w:color w:val="auto"/>
        </w:rPr>
        <w:t xml:space="preserve">3. </w:t>
      </w:r>
      <w:r w:rsidRPr="00CD4D72">
        <w:rPr>
          <w:b/>
          <w:bCs/>
          <w:color w:val="auto"/>
          <w:u w:val="single"/>
        </w:rPr>
        <w:t>Age</w:t>
      </w:r>
      <w:r w:rsidRPr="00CD4D72">
        <w:rPr>
          <w:b/>
          <w:bCs/>
          <w:i/>
          <w:iCs/>
          <w:color w:val="auto"/>
        </w:rPr>
        <w:t>.</w:t>
      </w:r>
      <w:r w:rsidRPr="00CD4D72">
        <w:rPr>
          <w:color w:val="auto"/>
        </w:rPr>
        <w:t xml:space="preserve"> The number of weeks claimed for claimants in each age category will be reported</w:t>
      </w:r>
      <w:r w:rsidRPr="00CD4D72" w:rsidR="00CA7E6E">
        <w:rPr>
          <w:color w:val="auto"/>
        </w:rPr>
        <w:t xml:space="preserve"> and is based on date of birth</w:t>
      </w:r>
      <w:r w:rsidRPr="00CD4D72">
        <w:rPr>
          <w:color w:val="auto"/>
        </w:rPr>
        <w:t xml:space="preserve">. Age should only be recorded as INA when the agency is unable to obtain this information from the claimant. </w:t>
      </w:r>
    </w:p>
    <w:p w:rsidR="00833B44" w:rsidRPr="00CD4D72" w:rsidP="00CD4D72" w14:paraId="14CB012F" w14:textId="77777777">
      <w:pPr>
        <w:pStyle w:val="Default"/>
        <w:rPr>
          <w:color w:val="auto"/>
        </w:rPr>
      </w:pPr>
    </w:p>
    <w:p w:rsidR="00833B44" w:rsidRPr="00CD4D72" w:rsidP="00CD4D72" w14:paraId="4AF93314" w14:textId="77777777">
      <w:pPr>
        <w:pStyle w:val="Default"/>
        <w:rPr>
          <w:color w:val="auto"/>
        </w:rPr>
      </w:pPr>
      <w:r w:rsidRPr="00CD4D72">
        <w:rPr>
          <w:b/>
          <w:bCs/>
          <w:i/>
          <w:iCs/>
          <w:color w:val="auto"/>
        </w:rPr>
        <w:t xml:space="preserve">4. </w:t>
      </w:r>
      <w:r w:rsidRPr="00CD4D72">
        <w:rPr>
          <w:b/>
          <w:bCs/>
          <w:color w:val="auto"/>
          <w:u w:val="single"/>
        </w:rPr>
        <w:t>Industry</w:t>
      </w:r>
      <w:r w:rsidRPr="00CD4D72">
        <w:rPr>
          <w:b/>
          <w:bCs/>
          <w:i/>
          <w:iCs/>
          <w:color w:val="auto"/>
        </w:rPr>
        <w:t>.</w:t>
      </w:r>
      <w:r w:rsidRPr="00CD4D72">
        <w:rPr>
          <w:color w:val="auto"/>
        </w:rPr>
        <w:t xml:space="preserve"> The number of weeks claimed for claimants in each industry category will be reported. Classification by industry should be by major industry category as found in the most recent edition of the NAICS. This should be available from the employer master files and rarely assigned an INA code. </w:t>
      </w:r>
    </w:p>
    <w:p w:rsidR="00833B44" w:rsidRPr="00CD4D72" w:rsidP="00CD4D72" w14:paraId="55295949" w14:textId="77777777">
      <w:pPr>
        <w:pStyle w:val="Default"/>
        <w:rPr>
          <w:b/>
          <w:bCs/>
          <w:color w:val="auto"/>
        </w:rPr>
      </w:pPr>
    </w:p>
    <w:p w:rsidR="00833B44" w:rsidRPr="00CD4D72" w:rsidP="00CD4D72" w14:paraId="2E532940" w14:textId="77777777">
      <w:pPr>
        <w:pStyle w:val="Default"/>
        <w:rPr>
          <w:color w:val="auto"/>
        </w:rPr>
      </w:pPr>
      <w:r w:rsidRPr="00CD4D72">
        <w:rPr>
          <w:b/>
          <w:bCs/>
          <w:i/>
          <w:iCs/>
          <w:color w:val="auto"/>
        </w:rPr>
        <w:t xml:space="preserve">5. </w:t>
      </w:r>
      <w:r w:rsidRPr="00CD4D72">
        <w:rPr>
          <w:b/>
          <w:bCs/>
          <w:color w:val="auto"/>
          <w:u w:val="single"/>
        </w:rPr>
        <w:t>Occupation</w:t>
      </w:r>
      <w:r w:rsidRPr="00CD4D72">
        <w:rPr>
          <w:i/>
          <w:iCs/>
          <w:color w:val="auto"/>
        </w:rPr>
        <w:t>.</w:t>
      </w:r>
      <w:r w:rsidRPr="00CD4D72">
        <w:rPr>
          <w:color w:val="auto"/>
        </w:rPr>
        <w:t xml:space="preserve"> Classification by occupation should be made according to the most recent edition of the SOC. This should only be recorded as INA when unable to obtain this information from the claimant or other workforce development sources. </w:t>
      </w:r>
    </w:p>
    <w:p w:rsidR="00833B44" w:rsidRPr="00CD4D72" w:rsidP="00CD4D72" w14:paraId="47624D06" w14:textId="77777777">
      <w:pPr>
        <w:pStyle w:val="Default"/>
        <w:rPr>
          <w:b/>
          <w:bCs/>
        </w:rPr>
      </w:pPr>
    </w:p>
    <w:p w:rsidR="00FD29AE" w:rsidP="00CD4D72" w14:paraId="007C5819" w14:textId="77777777">
      <w:pPr>
        <w:spacing w:after="0" w:line="240" w:lineRule="auto"/>
        <w:rPr>
          <w:rFonts w:ascii="Times New Roman" w:hAnsi="Times New Roman" w:cs="Times New Roman"/>
          <w:b/>
          <w:bCs/>
          <w:sz w:val="24"/>
          <w:szCs w:val="24"/>
          <w:highlight w:val="yellow"/>
        </w:rPr>
      </w:pPr>
    </w:p>
    <w:p w:rsidR="00A422BD" w:rsidRPr="00CD4D72" w:rsidP="00CD4D72" w14:paraId="5BA802C2" w14:textId="77777777">
      <w:pPr>
        <w:spacing w:after="0" w:line="240" w:lineRule="auto"/>
        <w:rPr>
          <w:rFonts w:ascii="Times New Roman" w:hAnsi="Times New Roman" w:cs="Times New Roman"/>
          <w:b/>
          <w:bCs/>
          <w:sz w:val="24"/>
          <w:szCs w:val="24"/>
          <w:highlight w:val="yellow"/>
        </w:rPr>
      </w:pPr>
    </w:p>
    <w:p w:rsidR="005F12C2" w:rsidP="00CD4D72" w14:paraId="40A1CC7E" w14:textId="6FC7C325">
      <w:pPr>
        <w:spacing w:after="0" w:line="240" w:lineRule="auto"/>
        <w:rPr>
          <w:rFonts w:ascii="Times New Roman" w:hAnsi="Times New Roman" w:cs="Times New Roman"/>
          <w:sz w:val="24"/>
          <w:szCs w:val="24"/>
        </w:rPr>
      </w:pPr>
      <w:r w:rsidRPr="00FD29AE">
        <w:rPr>
          <w:rFonts w:ascii="Times New Roman" w:hAnsi="Times New Roman" w:cs="Times New Roman"/>
          <w:b/>
          <w:bCs/>
          <w:sz w:val="24"/>
          <w:szCs w:val="24"/>
          <w:highlight w:val="cyan"/>
        </w:rPr>
        <w:t xml:space="preserve">Proposed New </w:t>
      </w:r>
      <w:r w:rsidR="00932C43">
        <w:rPr>
          <w:rFonts w:ascii="Times New Roman" w:hAnsi="Times New Roman" w:cs="Times New Roman"/>
          <w:b/>
          <w:bCs/>
          <w:sz w:val="24"/>
          <w:szCs w:val="24"/>
          <w:highlight w:val="cyan"/>
        </w:rPr>
        <w:t xml:space="preserve">Sections of Demographic </w:t>
      </w:r>
      <w:r w:rsidRPr="00FD29AE">
        <w:rPr>
          <w:rFonts w:ascii="Times New Roman" w:hAnsi="Times New Roman" w:cs="Times New Roman"/>
          <w:b/>
          <w:bCs/>
          <w:sz w:val="24"/>
          <w:szCs w:val="24"/>
          <w:highlight w:val="cyan"/>
        </w:rPr>
        <w:t>Categories</w:t>
      </w:r>
      <w:r w:rsidR="00932C43">
        <w:rPr>
          <w:rFonts w:ascii="Times New Roman" w:hAnsi="Times New Roman" w:cs="Times New Roman"/>
          <w:b/>
          <w:bCs/>
          <w:sz w:val="24"/>
          <w:szCs w:val="24"/>
          <w:highlight w:val="cyan"/>
        </w:rPr>
        <w:t xml:space="preserve"> to add to ETA 203 Report</w:t>
      </w:r>
      <w:r w:rsidRPr="00FD29AE">
        <w:rPr>
          <w:rFonts w:ascii="Times New Roman" w:hAnsi="Times New Roman" w:cs="Times New Roman"/>
          <w:sz w:val="24"/>
          <w:szCs w:val="24"/>
          <w:highlight w:val="cyan"/>
        </w:rPr>
        <w:t>:</w:t>
      </w:r>
      <w:r w:rsidRPr="00CD4D72">
        <w:rPr>
          <w:rFonts w:ascii="Times New Roman" w:hAnsi="Times New Roman" w:cs="Times New Roman"/>
          <w:sz w:val="24"/>
          <w:szCs w:val="24"/>
        </w:rPr>
        <w:t xml:space="preserve"> </w:t>
      </w:r>
      <w:r w:rsidRPr="00CD4D72" w:rsidR="00FA7F36">
        <w:rPr>
          <w:rFonts w:ascii="Times New Roman" w:hAnsi="Times New Roman" w:cs="Times New Roman"/>
          <w:sz w:val="24"/>
          <w:szCs w:val="24"/>
        </w:rPr>
        <w:t xml:space="preserve">The following information is consistent with U.S. Census Bureau’s </w:t>
      </w:r>
      <w:r w:rsidRPr="00CD4D72" w:rsidR="008F7EB2">
        <w:rPr>
          <w:rFonts w:ascii="Times New Roman" w:hAnsi="Times New Roman" w:cs="Times New Roman"/>
          <w:sz w:val="24"/>
          <w:szCs w:val="24"/>
        </w:rPr>
        <w:t xml:space="preserve">data on most common primary languages and </w:t>
      </w:r>
      <w:r w:rsidRPr="00CD4D72" w:rsidR="00AD3BD0">
        <w:rPr>
          <w:rFonts w:ascii="Times New Roman" w:hAnsi="Times New Roman" w:cs="Times New Roman"/>
          <w:sz w:val="24"/>
          <w:szCs w:val="24"/>
        </w:rPr>
        <w:t>the delineation of categories for Level of Education</w:t>
      </w:r>
      <w:r w:rsidRPr="00CD4D72" w:rsidR="00B605F7">
        <w:rPr>
          <w:rFonts w:ascii="Times New Roman" w:hAnsi="Times New Roman" w:cs="Times New Roman"/>
          <w:sz w:val="24"/>
          <w:szCs w:val="24"/>
        </w:rPr>
        <w:t>al Attainment</w:t>
      </w:r>
      <w:r w:rsidRPr="00CD4D72" w:rsidR="00AD3BD0">
        <w:rPr>
          <w:rFonts w:ascii="Times New Roman" w:hAnsi="Times New Roman" w:cs="Times New Roman"/>
          <w:sz w:val="24"/>
          <w:szCs w:val="24"/>
        </w:rPr>
        <w:t xml:space="preserve"> and </w:t>
      </w:r>
      <w:r w:rsidR="002135AA">
        <w:rPr>
          <w:rFonts w:ascii="Times New Roman" w:hAnsi="Times New Roman" w:cs="Times New Roman"/>
          <w:sz w:val="24"/>
          <w:szCs w:val="24"/>
        </w:rPr>
        <w:t>Base Period Wages, which is provided to states by employers through wage records</w:t>
      </w:r>
      <w:r w:rsidR="007D5E8A">
        <w:rPr>
          <w:rFonts w:ascii="Times New Roman" w:hAnsi="Times New Roman" w:cs="Times New Roman"/>
          <w:sz w:val="24"/>
          <w:szCs w:val="24"/>
        </w:rPr>
        <w:t xml:space="preserve"> and used to determine monetary eligibility</w:t>
      </w:r>
      <w:r w:rsidR="002135AA">
        <w:rPr>
          <w:rFonts w:ascii="Times New Roman" w:hAnsi="Times New Roman" w:cs="Times New Roman"/>
          <w:sz w:val="24"/>
          <w:szCs w:val="24"/>
        </w:rPr>
        <w:t>.</w:t>
      </w:r>
      <w:r w:rsidRPr="00CD4D72" w:rsidR="00AD3BD0">
        <w:rPr>
          <w:rFonts w:ascii="Times New Roman" w:hAnsi="Times New Roman" w:cs="Times New Roman"/>
          <w:sz w:val="24"/>
          <w:szCs w:val="24"/>
        </w:rPr>
        <w:t xml:space="preserve"> </w:t>
      </w:r>
      <w:r w:rsidR="007D5E8A">
        <w:rPr>
          <w:rStyle w:val="cf01"/>
          <w:rFonts w:ascii="Times New Roman" w:hAnsi="Times New Roman" w:cs="Times New Roman"/>
          <w:sz w:val="24"/>
          <w:szCs w:val="24"/>
        </w:rPr>
        <w:t xml:space="preserve">Language, disability, and education </w:t>
      </w:r>
      <w:r w:rsidRPr="00CD4D72" w:rsidR="000A42BF">
        <w:rPr>
          <w:rStyle w:val="cf01"/>
          <w:rFonts w:ascii="Times New Roman" w:hAnsi="Times New Roman" w:cs="Times New Roman"/>
          <w:sz w:val="24"/>
          <w:szCs w:val="24"/>
        </w:rPr>
        <w:t>information is self-selected by the claimant on the initial claim application</w:t>
      </w:r>
      <w:r w:rsidRPr="00CD4D72">
        <w:rPr>
          <w:rStyle w:val="cf01"/>
          <w:rFonts w:ascii="Times New Roman" w:hAnsi="Times New Roman" w:cs="Times New Roman"/>
          <w:sz w:val="24"/>
          <w:szCs w:val="24"/>
        </w:rPr>
        <w:t xml:space="preserve"> and </w:t>
      </w:r>
      <w:r w:rsidRPr="00CD4D72">
        <w:rPr>
          <w:rStyle w:val="cf01"/>
          <w:rFonts w:ascii="Times New Roman" w:hAnsi="Times New Roman" w:cs="Times New Roman"/>
          <w:i/>
          <w:iCs/>
          <w:sz w:val="24"/>
          <w:szCs w:val="24"/>
        </w:rPr>
        <w:t xml:space="preserve">will not </w:t>
      </w:r>
      <w:r w:rsidRPr="00CD4D72">
        <w:rPr>
          <w:rFonts w:ascii="Times New Roman" w:hAnsi="Times New Roman" w:cs="Times New Roman"/>
          <w:sz w:val="24"/>
          <w:szCs w:val="24"/>
        </w:rPr>
        <w:t>impact the ability of a claimant to collect UI benefits to which they are entitled</w:t>
      </w:r>
      <w:r w:rsidRPr="00CD4D72" w:rsidR="003904C3">
        <w:rPr>
          <w:rFonts w:ascii="Times New Roman" w:hAnsi="Times New Roman" w:cs="Times New Roman"/>
          <w:sz w:val="24"/>
          <w:szCs w:val="24"/>
        </w:rPr>
        <w:t xml:space="preserve"> by law</w:t>
      </w:r>
      <w:r w:rsidRPr="00CD4D72">
        <w:rPr>
          <w:rFonts w:ascii="Times New Roman" w:hAnsi="Times New Roman" w:cs="Times New Roman"/>
          <w:sz w:val="24"/>
          <w:szCs w:val="24"/>
        </w:rPr>
        <w:t xml:space="preserve">. </w:t>
      </w:r>
      <w:r w:rsidR="007D5E8A">
        <w:rPr>
          <w:rFonts w:ascii="Times New Roman" w:hAnsi="Times New Roman" w:cs="Times New Roman"/>
          <w:sz w:val="24"/>
          <w:szCs w:val="24"/>
        </w:rPr>
        <w:t>Note that b</w:t>
      </w:r>
      <w:r w:rsidR="002135AA">
        <w:rPr>
          <w:rFonts w:ascii="Times New Roman" w:hAnsi="Times New Roman" w:cs="Times New Roman"/>
          <w:sz w:val="24"/>
          <w:szCs w:val="24"/>
        </w:rPr>
        <w:t>ase period wages are a data element that states already receive and will not b</w:t>
      </w:r>
      <w:r w:rsidR="007D5E8A">
        <w:rPr>
          <w:rFonts w:ascii="Times New Roman" w:hAnsi="Times New Roman" w:cs="Times New Roman"/>
          <w:sz w:val="24"/>
          <w:szCs w:val="24"/>
        </w:rPr>
        <w:t>e reported using self-attestation from claimants.</w:t>
      </w:r>
    </w:p>
    <w:p w:rsidR="003A4595" w:rsidP="00CD4D72" w14:paraId="4E63F766" w14:textId="77777777">
      <w:pPr>
        <w:spacing w:after="0" w:line="240" w:lineRule="auto"/>
        <w:rPr>
          <w:rFonts w:ascii="Times New Roman" w:hAnsi="Times New Roman" w:cs="Times New Roman"/>
          <w:sz w:val="24"/>
          <w:szCs w:val="24"/>
        </w:rPr>
      </w:pPr>
    </w:p>
    <w:p w:rsidR="00BA0C75" w:rsidP="00CD4D72" w14:paraId="3ECB810B" w14:textId="6AB87A75">
      <w:pPr>
        <w:spacing w:after="0" w:line="240" w:lineRule="auto"/>
        <w:rPr>
          <w:rFonts w:ascii="Times New Roman" w:hAnsi="Times New Roman" w:cs="Times New Roman"/>
          <w:sz w:val="24"/>
          <w:szCs w:val="24"/>
        </w:rPr>
      </w:pPr>
      <w:r w:rsidRPr="00CD4D72">
        <w:rPr>
          <w:rFonts w:ascii="Times New Roman" w:hAnsi="Times New Roman" w:cs="Times New Roman"/>
          <w:b/>
          <w:bCs/>
          <w:sz w:val="24"/>
          <w:szCs w:val="24"/>
        </w:rPr>
        <w:t>6</w:t>
      </w:r>
      <w:r w:rsidRPr="00CD4D72">
        <w:rPr>
          <w:rFonts w:ascii="Times New Roman" w:hAnsi="Times New Roman" w:cs="Times New Roman"/>
          <w:b/>
          <w:bCs/>
          <w:i/>
          <w:iCs/>
          <w:sz w:val="24"/>
          <w:szCs w:val="24"/>
        </w:rPr>
        <w:t xml:space="preserve">. </w:t>
      </w:r>
      <w:r w:rsidRPr="00CD4D72">
        <w:rPr>
          <w:rFonts w:ascii="Times New Roman" w:hAnsi="Times New Roman" w:cs="Times New Roman"/>
          <w:b/>
          <w:bCs/>
          <w:sz w:val="24"/>
          <w:szCs w:val="24"/>
          <w:u w:val="single"/>
        </w:rPr>
        <w:t>Primary Language</w:t>
      </w:r>
      <w:r w:rsidRPr="00CD4D72" w:rsidR="003339E6">
        <w:rPr>
          <w:rFonts w:ascii="Times New Roman" w:hAnsi="Times New Roman" w:cs="Times New Roman"/>
          <w:b/>
          <w:bCs/>
          <w:i/>
          <w:iCs/>
          <w:sz w:val="24"/>
          <w:szCs w:val="24"/>
        </w:rPr>
        <w:t>.</w:t>
      </w:r>
      <w:r w:rsidRPr="00CD4D72" w:rsidR="003339E6">
        <w:rPr>
          <w:rFonts w:ascii="Times New Roman" w:hAnsi="Times New Roman" w:cs="Times New Roman"/>
          <w:b/>
          <w:bCs/>
          <w:sz w:val="24"/>
          <w:szCs w:val="24"/>
        </w:rPr>
        <w:t xml:space="preserve"> </w:t>
      </w:r>
      <w:r w:rsidRPr="00CD4D72" w:rsidR="00DB64D4">
        <w:rPr>
          <w:rFonts w:ascii="Times New Roman" w:hAnsi="Times New Roman" w:cs="Times New Roman"/>
          <w:b/>
          <w:bCs/>
          <w:sz w:val="24"/>
          <w:szCs w:val="24"/>
        </w:rPr>
        <w:t xml:space="preserve"> </w:t>
      </w:r>
      <w:r w:rsidRPr="00CD4D72" w:rsidR="00DB64D4">
        <w:rPr>
          <w:rFonts w:ascii="Times New Roman" w:hAnsi="Times New Roman" w:cs="Times New Roman"/>
          <w:sz w:val="24"/>
          <w:szCs w:val="24"/>
        </w:rPr>
        <w:t>The</w:t>
      </w:r>
      <w:r w:rsidRPr="00CD4D72" w:rsidR="000F39A3">
        <w:rPr>
          <w:rFonts w:ascii="Times New Roman" w:hAnsi="Times New Roman" w:cs="Times New Roman"/>
          <w:sz w:val="24"/>
          <w:szCs w:val="24"/>
        </w:rPr>
        <w:t xml:space="preserve"> number of weeks claimed for claimants</w:t>
      </w:r>
      <w:r w:rsidRPr="00CD4D72" w:rsidR="00B117EE">
        <w:rPr>
          <w:rFonts w:ascii="Times New Roman" w:hAnsi="Times New Roman" w:cs="Times New Roman"/>
          <w:sz w:val="24"/>
          <w:szCs w:val="24"/>
        </w:rPr>
        <w:t xml:space="preserve"> w</w:t>
      </w:r>
      <w:r w:rsidRPr="00CD4D72" w:rsidR="004760A4">
        <w:rPr>
          <w:rFonts w:ascii="Times New Roman" w:hAnsi="Times New Roman" w:cs="Times New Roman"/>
          <w:sz w:val="24"/>
          <w:szCs w:val="24"/>
        </w:rPr>
        <w:t xml:space="preserve">ho </w:t>
      </w:r>
      <w:r w:rsidRPr="00CD4D72" w:rsidR="00DE5BB5">
        <w:rPr>
          <w:rFonts w:ascii="Times New Roman" w:hAnsi="Times New Roman" w:cs="Times New Roman"/>
          <w:sz w:val="24"/>
          <w:szCs w:val="24"/>
        </w:rPr>
        <w:t>indicate</w:t>
      </w:r>
      <w:r w:rsidRPr="00CD4D72" w:rsidR="00287513">
        <w:rPr>
          <w:rFonts w:ascii="Times New Roman" w:hAnsi="Times New Roman" w:cs="Times New Roman"/>
          <w:sz w:val="24"/>
          <w:szCs w:val="24"/>
        </w:rPr>
        <w:t xml:space="preserve"> a</w:t>
      </w:r>
      <w:r w:rsidRPr="00CD4D72" w:rsidR="00DA6C37">
        <w:rPr>
          <w:rFonts w:ascii="Times New Roman" w:hAnsi="Times New Roman" w:cs="Times New Roman"/>
          <w:sz w:val="24"/>
          <w:szCs w:val="24"/>
        </w:rPr>
        <w:t xml:space="preserve"> primary language</w:t>
      </w:r>
      <w:r w:rsidRPr="00CD4D72" w:rsidR="00287513">
        <w:rPr>
          <w:rFonts w:ascii="Times New Roman" w:hAnsi="Times New Roman" w:cs="Times New Roman"/>
          <w:sz w:val="24"/>
          <w:szCs w:val="24"/>
        </w:rPr>
        <w:t xml:space="preserve"> preference for </w:t>
      </w:r>
      <w:r w:rsidRPr="00CD4D72" w:rsidR="003319C5">
        <w:rPr>
          <w:rFonts w:ascii="Times New Roman" w:hAnsi="Times New Roman" w:cs="Times New Roman"/>
          <w:sz w:val="24"/>
          <w:szCs w:val="24"/>
        </w:rPr>
        <w:t xml:space="preserve">the </w:t>
      </w:r>
      <w:r w:rsidRPr="00CD4D72" w:rsidR="00287513">
        <w:rPr>
          <w:rFonts w:ascii="Times New Roman" w:hAnsi="Times New Roman" w:cs="Times New Roman"/>
          <w:sz w:val="24"/>
          <w:szCs w:val="24"/>
        </w:rPr>
        <w:t xml:space="preserve">purposes of communications </w:t>
      </w:r>
      <w:r w:rsidRPr="00CD4D72" w:rsidR="00885654">
        <w:rPr>
          <w:rFonts w:ascii="Times New Roman" w:hAnsi="Times New Roman" w:cs="Times New Roman"/>
          <w:sz w:val="24"/>
          <w:szCs w:val="24"/>
        </w:rPr>
        <w:t xml:space="preserve">on </w:t>
      </w:r>
      <w:r w:rsidRPr="00CD4D72" w:rsidR="003319C5">
        <w:rPr>
          <w:rFonts w:ascii="Times New Roman" w:hAnsi="Times New Roman" w:cs="Times New Roman"/>
          <w:sz w:val="24"/>
          <w:szCs w:val="24"/>
        </w:rPr>
        <w:t xml:space="preserve">the </w:t>
      </w:r>
      <w:r w:rsidRPr="00CD4D72" w:rsidR="00885654">
        <w:rPr>
          <w:rFonts w:ascii="Times New Roman" w:hAnsi="Times New Roman" w:cs="Times New Roman"/>
          <w:sz w:val="24"/>
          <w:szCs w:val="24"/>
        </w:rPr>
        <w:t xml:space="preserve">UI benefits eligibility process </w:t>
      </w:r>
      <w:r w:rsidRPr="00CD4D72" w:rsidR="00297C7D">
        <w:rPr>
          <w:rFonts w:ascii="Times New Roman" w:hAnsi="Times New Roman" w:cs="Times New Roman"/>
          <w:sz w:val="24"/>
          <w:szCs w:val="24"/>
        </w:rPr>
        <w:t xml:space="preserve">in one of the following languages: </w:t>
      </w:r>
      <w:r w:rsidRPr="00CD4D72" w:rsidR="00903FFC">
        <w:rPr>
          <w:rFonts w:ascii="Times New Roman" w:hAnsi="Times New Roman" w:cs="Times New Roman"/>
          <w:sz w:val="24"/>
          <w:szCs w:val="24"/>
        </w:rPr>
        <w:t xml:space="preserve"> </w:t>
      </w:r>
      <w:r w:rsidRPr="00CD4D72" w:rsidR="00297C7D">
        <w:rPr>
          <w:rFonts w:ascii="Times New Roman" w:hAnsi="Times New Roman" w:cs="Times New Roman"/>
          <w:sz w:val="24"/>
          <w:szCs w:val="24"/>
        </w:rPr>
        <w:t xml:space="preserve">English, Spanish, </w:t>
      </w:r>
      <w:r w:rsidRPr="00CD4D72" w:rsidR="0063259F">
        <w:rPr>
          <w:rFonts w:ascii="Times New Roman" w:hAnsi="Times New Roman" w:cs="Times New Roman"/>
          <w:sz w:val="24"/>
          <w:szCs w:val="24"/>
        </w:rPr>
        <w:t xml:space="preserve">Chinese, Vietnamese, Korean, Japanese, </w:t>
      </w:r>
      <w:r w:rsidRPr="00CD4D72" w:rsidR="0063259F">
        <w:rPr>
          <w:rFonts w:ascii="Times New Roman" w:hAnsi="Times New Roman" w:cs="Times New Roman"/>
          <w:sz w:val="24"/>
          <w:szCs w:val="24"/>
        </w:rPr>
        <w:t>Tagalog</w:t>
      </w:r>
      <w:r w:rsidRPr="00CD4D72" w:rsidR="00C77B8D">
        <w:rPr>
          <w:rFonts w:ascii="Times New Roman" w:hAnsi="Times New Roman" w:cs="Times New Roman"/>
          <w:sz w:val="24"/>
          <w:szCs w:val="24"/>
        </w:rPr>
        <w:t>, Arabic, Russian, Polish, French, German, Portuguese,</w:t>
      </w:r>
      <w:r w:rsidRPr="00CD4D72" w:rsidR="003956A4">
        <w:rPr>
          <w:rFonts w:ascii="Times New Roman" w:hAnsi="Times New Roman" w:cs="Times New Roman"/>
          <w:sz w:val="24"/>
          <w:szCs w:val="24"/>
        </w:rPr>
        <w:t xml:space="preserve"> </w:t>
      </w:r>
      <w:r w:rsidRPr="00CD4D72" w:rsidR="00C77B8D">
        <w:rPr>
          <w:rFonts w:ascii="Times New Roman" w:hAnsi="Times New Roman" w:cs="Times New Roman"/>
          <w:sz w:val="24"/>
          <w:szCs w:val="24"/>
        </w:rPr>
        <w:t>Hait</w:t>
      </w:r>
      <w:r w:rsidRPr="00CD4D72" w:rsidR="003956A4">
        <w:rPr>
          <w:rFonts w:ascii="Times New Roman" w:hAnsi="Times New Roman" w:cs="Times New Roman"/>
          <w:sz w:val="24"/>
          <w:szCs w:val="24"/>
        </w:rPr>
        <w:t>i</w:t>
      </w:r>
      <w:r w:rsidRPr="00CD4D72" w:rsidR="00C77B8D">
        <w:rPr>
          <w:rFonts w:ascii="Times New Roman" w:hAnsi="Times New Roman" w:cs="Times New Roman"/>
          <w:sz w:val="24"/>
          <w:szCs w:val="24"/>
        </w:rPr>
        <w:t xml:space="preserve">an/Creole, </w:t>
      </w:r>
      <w:r w:rsidRPr="00CD4D72" w:rsidR="001A6B03">
        <w:rPr>
          <w:rFonts w:ascii="Times New Roman" w:hAnsi="Times New Roman" w:cs="Times New Roman"/>
          <w:sz w:val="24"/>
          <w:szCs w:val="24"/>
        </w:rPr>
        <w:t xml:space="preserve">American Sign Language, or </w:t>
      </w:r>
      <w:r w:rsidRPr="00CD4D72" w:rsidR="008B4776">
        <w:rPr>
          <w:rFonts w:ascii="Times New Roman" w:hAnsi="Times New Roman" w:cs="Times New Roman"/>
          <w:sz w:val="24"/>
          <w:szCs w:val="24"/>
        </w:rPr>
        <w:t xml:space="preserve">Another Language Not Listed. </w:t>
      </w:r>
      <w:r>
        <w:rPr>
          <w:rStyle w:val="FootnoteReference"/>
          <w:rFonts w:ascii="Times New Roman" w:hAnsi="Times New Roman" w:cs="Times New Roman"/>
          <w:sz w:val="24"/>
          <w:szCs w:val="24"/>
        </w:rPr>
        <w:footnoteReference w:id="5"/>
      </w:r>
    </w:p>
    <w:p w:rsidR="007D5E8A" w:rsidP="00CD4D72" w14:paraId="286C725B" w14:textId="77777777">
      <w:pPr>
        <w:spacing w:after="0" w:line="240" w:lineRule="auto"/>
        <w:rPr>
          <w:rFonts w:ascii="Times New Roman" w:hAnsi="Times New Roman" w:cs="Times New Roman"/>
          <w:sz w:val="24"/>
          <w:szCs w:val="24"/>
        </w:rPr>
      </w:pPr>
    </w:p>
    <w:p w:rsidR="00473F3F" w:rsidRPr="00CD4D72" w:rsidP="00CD4D72" w14:paraId="7AC48D8D" w14:textId="14604DA4">
      <w:pPr>
        <w:spacing w:after="0" w:line="240" w:lineRule="auto"/>
        <w:ind w:right="986"/>
        <w:rPr>
          <w:rFonts w:ascii="Times New Roman" w:hAnsi="Times New Roman" w:cs="Times New Roman"/>
          <w:sz w:val="24"/>
          <w:szCs w:val="24"/>
        </w:rPr>
      </w:pPr>
      <w:r w:rsidRPr="00CD4D72">
        <w:rPr>
          <w:rFonts w:ascii="Times New Roman" w:hAnsi="Times New Roman" w:cs="Times New Roman"/>
          <w:b/>
          <w:bCs/>
          <w:i/>
          <w:iCs/>
          <w:sz w:val="24"/>
          <w:szCs w:val="24"/>
        </w:rPr>
        <w:t xml:space="preserve">Recommendation: </w:t>
      </w:r>
      <w:r w:rsidRPr="00CD4D72">
        <w:rPr>
          <w:rFonts w:ascii="Times New Roman" w:hAnsi="Times New Roman" w:cs="Times New Roman"/>
          <w:sz w:val="24"/>
          <w:szCs w:val="24"/>
        </w:rPr>
        <w:t xml:space="preserve">This change will allow states to effectively use data to ensure individuals with limited English proficiency or translation needs are provided meaningful assistance to government programs and information about unemployment benefits.  </w:t>
      </w:r>
    </w:p>
    <w:p w:rsidR="00CD4D72" w:rsidRPr="00CD4D72" w:rsidP="00CD4D72" w14:paraId="7A6FCC3C" w14:textId="77777777">
      <w:pPr>
        <w:pStyle w:val="ListParagraph"/>
        <w:tabs>
          <w:tab w:val="left" w:pos="1281"/>
        </w:tabs>
        <w:spacing w:after="0" w:line="240" w:lineRule="auto"/>
        <w:ind w:left="1350" w:right="986"/>
        <w:rPr>
          <w:rFonts w:ascii="Times New Roman" w:hAnsi="Times New Roman" w:cs="Times New Roman"/>
          <w:sz w:val="24"/>
          <w:szCs w:val="24"/>
        </w:rPr>
      </w:pPr>
    </w:p>
    <w:p w:rsidR="00BA0C75" w:rsidP="00CD4D72" w14:paraId="68772B27" w14:textId="71682AC6">
      <w:pPr>
        <w:spacing w:after="0" w:line="240" w:lineRule="auto"/>
        <w:rPr>
          <w:rFonts w:ascii="Times New Roman" w:hAnsi="Times New Roman" w:cs="Times New Roman"/>
          <w:sz w:val="24"/>
          <w:szCs w:val="24"/>
        </w:rPr>
      </w:pPr>
      <w:r w:rsidRPr="00CD4D72">
        <w:rPr>
          <w:rFonts w:ascii="Times New Roman" w:hAnsi="Times New Roman" w:cs="Times New Roman"/>
          <w:b/>
          <w:bCs/>
          <w:sz w:val="24"/>
          <w:szCs w:val="24"/>
        </w:rPr>
        <w:t>7</w:t>
      </w:r>
      <w:r w:rsidRPr="00CD4D72">
        <w:rPr>
          <w:rFonts w:ascii="Times New Roman" w:hAnsi="Times New Roman" w:cs="Times New Roman"/>
          <w:b/>
          <w:bCs/>
          <w:i/>
          <w:iCs/>
          <w:sz w:val="24"/>
          <w:szCs w:val="24"/>
        </w:rPr>
        <w:t xml:space="preserve">. </w:t>
      </w:r>
      <w:r w:rsidRPr="00CD4D72">
        <w:rPr>
          <w:rFonts w:ascii="Times New Roman" w:hAnsi="Times New Roman" w:cs="Times New Roman"/>
          <w:b/>
          <w:bCs/>
          <w:sz w:val="24"/>
          <w:szCs w:val="24"/>
          <w:u w:val="single"/>
        </w:rPr>
        <w:t>Disability Status</w:t>
      </w:r>
      <w:r w:rsidRPr="00CD4D72" w:rsidR="00245275">
        <w:rPr>
          <w:rFonts w:ascii="Times New Roman" w:hAnsi="Times New Roman" w:cs="Times New Roman"/>
          <w:b/>
          <w:bCs/>
          <w:sz w:val="24"/>
          <w:szCs w:val="24"/>
        </w:rPr>
        <w:t>.</w:t>
      </w:r>
      <w:r w:rsidRPr="00CD4D72" w:rsidR="006F6152">
        <w:rPr>
          <w:rFonts w:ascii="Times New Roman" w:hAnsi="Times New Roman" w:cs="Times New Roman"/>
          <w:sz w:val="24"/>
          <w:szCs w:val="24"/>
        </w:rPr>
        <w:t xml:space="preserve"> The</w:t>
      </w:r>
      <w:r w:rsidRPr="00CD4D72" w:rsidR="000F39A3">
        <w:rPr>
          <w:rFonts w:ascii="Times New Roman" w:hAnsi="Times New Roman" w:cs="Times New Roman"/>
          <w:sz w:val="24"/>
          <w:szCs w:val="24"/>
        </w:rPr>
        <w:t xml:space="preserve"> </w:t>
      </w:r>
      <w:r w:rsidRPr="00CD4D72" w:rsidR="00B117EE">
        <w:rPr>
          <w:rFonts w:ascii="Times New Roman" w:hAnsi="Times New Roman" w:cs="Times New Roman"/>
          <w:sz w:val="24"/>
          <w:szCs w:val="24"/>
        </w:rPr>
        <w:t xml:space="preserve">number of weeks claimed for claimants </w:t>
      </w:r>
      <w:r w:rsidRPr="00CD4D72" w:rsidR="006F6152">
        <w:rPr>
          <w:rFonts w:ascii="Times New Roman" w:hAnsi="Times New Roman" w:cs="Times New Roman"/>
          <w:sz w:val="24"/>
          <w:szCs w:val="24"/>
        </w:rPr>
        <w:t xml:space="preserve">that </w:t>
      </w:r>
      <w:r w:rsidRPr="00CD4D72" w:rsidR="002A7374">
        <w:rPr>
          <w:rFonts w:ascii="Times New Roman" w:hAnsi="Times New Roman" w:cs="Times New Roman"/>
          <w:sz w:val="24"/>
          <w:szCs w:val="24"/>
        </w:rPr>
        <w:t>self-selected</w:t>
      </w:r>
      <w:r w:rsidRPr="00CD4D72" w:rsidR="006F6152">
        <w:rPr>
          <w:rFonts w:ascii="Times New Roman" w:hAnsi="Times New Roman" w:cs="Times New Roman"/>
          <w:sz w:val="24"/>
          <w:szCs w:val="24"/>
        </w:rPr>
        <w:t xml:space="preserve"> a physical, mental, or emotional condition</w:t>
      </w:r>
      <w:r w:rsidRPr="00CD4D72" w:rsidR="001D71F2">
        <w:rPr>
          <w:rFonts w:ascii="Times New Roman" w:hAnsi="Times New Roman" w:cs="Times New Roman"/>
          <w:sz w:val="24"/>
          <w:szCs w:val="24"/>
        </w:rPr>
        <w:t xml:space="preserve"> that can impact a person’s ability to </w:t>
      </w:r>
      <w:r w:rsidRPr="00CD4D72" w:rsidR="000C2036">
        <w:rPr>
          <w:rFonts w:ascii="Times New Roman" w:hAnsi="Times New Roman" w:cs="Times New Roman"/>
          <w:sz w:val="24"/>
          <w:szCs w:val="24"/>
        </w:rPr>
        <w:t xml:space="preserve">concentrate, communicate, </w:t>
      </w:r>
      <w:r w:rsidRPr="00CD4D72" w:rsidR="00C53FF2">
        <w:rPr>
          <w:rFonts w:ascii="Times New Roman" w:hAnsi="Times New Roman" w:cs="Times New Roman"/>
          <w:sz w:val="24"/>
          <w:szCs w:val="24"/>
        </w:rPr>
        <w:t xml:space="preserve">and care for themselves. </w:t>
      </w:r>
    </w:p>
    <w:p w:rsidR="00CD4D72" w:rsidRPr="00CD4D72" w:rsidP="00CD4D72" w14:paraId="485A040D" w14:textId="77777777">
      <w:pPr>
        <w:spacing w:after="0" w:line="240" w:lineRule="auto"/>
        <w:rPr>
          <w:rFonts w:ascii="Times New Roman" w:hAnsi="Times New Roman" w:cs="Times New Roman"/>
          <w:sz w:val="24"/>
          <w:szCs w:val="24"/>
        </w:rPr>
      </w:pPr>
    </w:p>
    <w:p w:rsidR="00797492" w:rsidRPr="00CD4D72" w:rsidP="00CD4D72" w14:paraId="21295394" w14:textId="77777777">
      <w:pPr>
        <w:pStyle w:val="Default"/>
        <w:ind w:firstLine="720"/>
        <w:rPr>
          <w:color w:val="auto"/>
          <w:shd w:val="clear" w:color="auto" w:fill="FFFFFF"/>
        </w:rPr>
      </w:pPr>
      <w:r w:rsidRPr="00CD4D72">
        <w:t xml:space="preserve"> </w:t>
      </w:r>
      <w:r w:rsidRPr="00CD4D72">
        <w:rPr>
          <w:color w:val="auto"/>
        </w:rPr>
        <w:t>“</w:t>
      </w:r>
      <w:r w:rsidRPr="00CD4D72">
        <w:rPr>
          <w:color w:val="auto"/>
          <w:shd w:val="clear" w:color="auto" w:fill="FFFFFF"/>
        </w:rPr>
        <w:t>Are you an individual with a disability?” </w:t>
      </w:r>
      <w:r w:rsidRPr="00CD4D72" w:rsidR="00DB2879">
        <w:rPr>
          <w:color w:val="auto"/>
          <w:shd w:val="clear" w:color="auto" w:fill="FFFFFF"/>
        </w:rPr>
        <w:t xml:space="preserve">  </w:t>
      </w:r>
    </w:p>
    <w:p w:rsidR="00797492" w:rsidRPr="00CD4D72" w:rsidP="00CD4D72" w14:paraId="21B7EC75" w14:textId="77777777">
      <w:pPr>
        <w:pStyle w:val="Default"/>
        <w:ind w:firstLine="720"/>
        <w:rPr>
          <w:color w:val="auto"/>
          <w:shd w:val="clear" w:color="auto" w:fill="FFFFFF"/>
        </w:rPr>
      </w:pPr>
    </w:p>
    <w:p w:rsidR="003A4595" w:rsidP="00CD4D72" w14:paraId="42ECBBA4" w14:textId="77777777">
      <w:pPr>
        <w:pStyle w:val="Default"/>
        <w:ind w:left="900"/>
        <w:rPr>
          <w:color w:val="auto"/>
          <w:shd w:val="clear" w:color="auto" w:fill="FFFFFF"/>
        </w:rPr>
      </w:pPr>
      <w:r w:rsidRPr="00CD4D72">
        <w:rPr>
          <w:color w:val="auto"/>
          <w:shd w:val="clear" w:color="auto" w:fill="FFFFFF"/>
        </w:rPr>
        <w:t>Yes</w:t>
      </w:r>
      <w:r w:rsidRPr="00CD4D72" w:rsidR="007863AF">
        <w:rPr>
          <w:color w:val="auto"/>
          <w:shd w:val="clear" w:color="auto" w:fill="FFFFFF"/>
        </w:rPr>
        <w:t xml:space="preserve">; </w:t>
      </w:r>
    </w:p>
    <w:p w:rsidR="003A4595" w:rsidP="00CD4D72" w14:paraId="2051A393" w14:textId="77777777">
      <w:pPr>
        <w:pStyle w:val="Default"/>
        <w:ind w:left="900"/>
        <w:rPr>
          <w:color w:val="auto"/>
          <w:shd w:val="clear" w:color="auto" w:fill="FFFFFF"/>
        </w:rPr>
      </w:pPr>
    </w:p>
    <w:p w:rsidR="003A4595" w:rsidP="00CD4D72" w14:paraId="5D5B4055" w14:textId="77777777">
      <w:pPr>
        <w:pStyle w:val="Default"/>
        <w:ind w:left="900"/>
        <w:rPr>
          <w:color w:val="auto"/>
          <w:shd w:val="clear" w:color="auto" w:fill="FFFFFF"/>
        </w:rPr>
      </w:pPr>
      <w:r w:rsidRPr="00CD4D72">
        <w:rPr>
          <w:color w:val="auto"/>
          <w:shd w:val="clear" w:color="auto" w:fill="FFFFFF"/>
        </w:rPr>
        <w:t>No</w:t>
      </w:r>
      <w:r w:rsidRPr="00CD4D72" w:rsidR="007863AF">
        <w:rPr>
          <w:color w:val="auto"/>
          <w:shd w:val="clear" w:color="auto" w:fill="FFFFFF"/>
        </w:rPr>
        <w:t xml:space="preserve">; </w:t>
      </w:r>
    </w:p>
    <w:p w:rsidR="003A4595" w:rsidP="00CD4D72" w14:paraId="63E0337E" w14:textId="77777777">
      <w:pPr>
        <w:pStyle w:val="Default"/>
        <w:ind w:left="900"/>
        <w:rPr>
          <w:color w:val="auto"/>
          <w:shd w:val="clear" w:color="auto" w:fill="FFFFFF"/>
        </w:rPr>
      </w:pPr>
    </w:p>
    <w:p w:rsidR="003A4595" w:rsidP="00CD4D72" w14:paraId="2F65AB6D" w14:textId="77777777">
      <w:pPr>
        <w:pStyle w:val="Default"/>
        <w:ind w:left="900"/>
        <w:rPr>
          <w:color w:val="auto"/>
          <w:shd w:val="clear" w:color="auto" w:fill="FFFFFF"/>
        </w:rPr>
      </w:pPr>
      <w:r w:rsidRPr="00CD4D72">
        <w:rPr>
          <w:color w:val="auto"/>
          <w:shd w:val="clear" w:color="auto" w:fill="FFFFFF"/>
        </w:rPr>
        <w:t>Prefer Not to Disclose</w:t>
      </w:r>
      <w:r w:rsidRPr="00CD4D72" w:rsidR="007863AF">
        <w:rPr>
          <w:color w:val="auto"/>
          <w:shd w:val="clear" w:color="auto" w:fill="FFFFFF"/>
        </w:rPr>
        <w:t xml:space="preserve">; </w:t>
      </w:r>
    </w:p>
    <w:p w:rsidR="003A4595" w:rsidP="00CD4D72" w14:paraId="290553BE" w14:textId="77777777">
      <w:pPr>
        <w:pStyle w:val="Default"/>
        <w:ind w:left="900"/>
        <w:rPr>
          <w:color w:val="auto"/>
          <w:shd w:val="clear" w:color="auto" w:fill="FFFFFF"/>
        </w:rPr>
      </w:pPr>
    </w:p>
    <w:p w:rsidR="009974F0" w:rsidRPr="00CD4D72" w:rsidP="00CD4D72" w14:paraId="67FD18EA" w14:textId="10BFF6A4">
      <w:pPr>
        <w:pStyle w:val="Default"/>
        <w:ind w:left="900"/>
        <w:rPr>
          <w:color w:val="auto"/>
          <w:shd w:val="clear" w:color="auto" w:fill="FFFFFF"/>
        </w:rPr>
      </w:pPr>
      <w:r w:rsidRPr="00CD4D72">
        <w:rPr>
          <w:color w:val="auto"/>
          <w:shd w:val="clear" w:color="auto" w:fill="FFFFFF"/>
        </w:rPr>
        <w:t>INA</w:t>
      </w:r>
    </w:p>
    <w:p w:rsidR="00CD4D72" w:rsidP="00CD4D72" w14:paraId="63F548C1" w14:textId="77777777">
      <w:pPr>
        <w:spacing w:after="0" w:line="240" w:lineRule="auto"/>
        <w:rPr>
          <w:rFonts w:ascii="Times New Roman" w:hAnsi="Times New Roman" w:cs="Times New Roman"/>
          <w:b/>
          <w:bCs/>
          <w:i/>
          <w:iCs/>
          <w:sz w:val="24"/>
          <w:szCs w:val="24"/>
        </w:rPr>
      </w:pPr>
    </w:p>
    <w:p w:rsidR="00473F3F" w:rsidRPr="00CD4D72" w:rsidP="00CD4D72" w14:paraId="1B67A038" w14:textId="405A517F">
      <w:pPr>
        <w:spacing w:after="0" w:line="240" w:lineRule="auto"/>
        <w:rPr>
          <w:rFonts w:ascii="Times New Roman" w:hAnsi="Times New Roman" w:cs="Times New Roman"/>
          <w:sz w:val="24"/>
          <w:szCs w:val="24"/>
        </w:rPr>
      </w:pPr>
      <w:r w:rsidRPr="00CD4D72">
        <w:rPr>
          <w:rFonts w:ascii="Times New Roman" w:hAnsi="Times New Roman" w:cs="Times New Roman"/>
          <w:b/>
          <w:bCs/>
          <w:i/>
          <w:iCs/>
          <w:sz w:val="24"/>
          <w:szCs w:val="24"/>
        </w:rPr>
        <w:t xml:space="preserve">Recommendation: </w:t>
      </w:r>
      <w:r w:rsidRPr="00CD4D72">
        <w:rPr>
          <w:rFonts w:ascii="Times New Roman" w:hAnsi="Times New Roman" w:cs="Times New Roman"/>
          <w:sz w:val="24"/>
          <w:szCs w:val="24"/>
        </w:rPr>
        <w:t>This change will allow states to effectively use data to ensure individuals with disabilities are provided meaningful and equitable access to government programs without undue burdens or barriers, as required by the Section 188 of the Workforce Investment Opportunity Act (WIOA) and its implementing regulations set forth at 29 CFR part 38. See generally Unemployment Insurance Program Letter (UIPL) No. 02-16 and UIPL No. 02- 16, Change 1.</w:t>
      </w:r>
    </w:p>
    <w:p w:rsidR="00CD4D72" w:rsidRPr="00CD4D72" w:rsidP="00CD4D72" w14:paraId="147A8B40" w14:textId="77777777">
      <w:pPr>
        <w:spacing w:after="0" w:line="240" w:lineRule="auto"/>
        <w:rPr>
          <w:rFonts w:ascii="Times New Roman" w:hAnsi="Times New Roman" w:cs="Times New Roman"/>
          <w:b/>
          <w:bCs/>
          <w:i/>
          <w:iCs/>
          <w:sz w:val="24"/>
          <w:szCs w:val="24"/>
        </w:rPr>
      </w:pPr>
    </w:p>
    <w:p w:rsidR="0001375C" w:rsidP="00CD4D72" w14:paraId="14738CA8" w14:textId="04BD9B81">
      <w:pPr>
        <w:spacing w:after="0" w:line="240" w:lineRule="auto"/>
        <w:rPr>
          <w:rFonts w:ascii="Times New Roman" w:hAnsi="Times New Roman" w:cs="Times New Roman"/>
          <w:sz w:val="24"/>
          <w:szCs w:val="24"/>
        </w:rPr>
      </w:pPr>
      <w:r w:rsidRPr="006058A0">
        <w:rPr>
          <w:rFonts w:ascii="Times New Roman" w:hAnsi="Times New Roman" w:cs="Times New Roman"/>
          <w:b/>
          <w:bCs/>
          <w:sz w:val="24"/>
          <w:szCs w:val="24"/>
        </w:rPr>
        <w:t>8</w:t>
      </w:r>
      <w:r w:rsidRPr="00CD4D72" w:rsidR="00BA0C75">
        <w:rPr>
          <w:rFonts w:ascii="Times New Roman" w:hAnsi="Times New Roman" w:cs="Times New Roman"/>
          <w:b/>
          <w:bCs/>
          <w:i/>
          <w:iCs/>
          <w:sz w:val="24"/>
          <w:szCs w:val="24"/>
        </w:rPr>
        <w:t xml:space="preserve">. </w:t>
      </w:r>
      <w:r w:rsidRPr="006058A0" w:rsidR="00BA0C75">
        <w:rPr>
          <w:rFonts w:ascii="Times New Roman" w:hAnsi="Times New Roman" w:cs="Times New Roman"/>
          <w:b/>
          <w:bCs/>
          <w:sz w:val="24"/>
          <w:szCs w:val="24"/>
          <w:u w:val="single"/>
        </w:rPr>
        <w:t>Level of Education</w:t>
      </w:r>
      <w:r w:rsidRPr="006058A0" w:rsidR="000A42BF">
        <w:rPr>
          <w:rFonts w:ascii="Times New Roman" w:hAnsi="Times New Roman" w:cs="Times New Roman"/>
          <w:b/>
          <w:bCs/>
          <w:sz w:val="24"/>
          <w:szCs w:val="24"/>
          <w:u w:val="single"/>
        </w:rPr>
        <w:t>al</w:t>
      </w:r>
      <w:r w:rsidRPr="006058A0" w:rsidR="00BA0C75">
        <w:rPr>
          <w:rFonts w:ascii="Times New Roman" w:hAnsi="Times New Roman" w:cs="Times New Roman"/>
          <w:b/>
          <w:bCs/>
          <w:sz w:val="24"/>
          <w:szCs w:val="24"/>
          <w:u w:val="single"/>
        </w:rPr>
        <w:t xml:space="preserve"> A</w:t>
      </w:r>
      <w:r w:rsidRPr="006058A0" w:rsidR="006B19BE">
        <w:rPr>
          <w:rFonts w:ascii="Times New Roman" w:hAnsi="Times New Roman" w:cs="Times New Roman"/>
          <w:b/>
          <w:bCs/>
          <w:sz w:val="24"/>
          <w:szCs w:val="24"/>
          <w:u w:val="single"/>
        </w:rPr>
        <w:t>ttain</w:t>
      </w:r>
      <w:r w:rsidRPr="006058A0" w:rsidR="00B605F7">
        <w:rPr>
          <w:rFonts w:ascii="Times New Roman" w:hAnsi="Times New Roman" w:cs="Times New Roman"/>
          <w:b/>
          <w:bCs/>
          <w:sz w:val="24"/>
          <w:szCs w:val="24"/>
          <w:u w:val="single"/>
        </w:rPr>
        <w:t>ment</w:t>
      </w:r>
      <w:r w:rsidRPr="00CD4D72" w:rsidR="00C53FF2">
        <w:rPr>
          <w:rFonts w:ascii="Times New Roman" w:hAnsi="Times New Roman" w:cs="Times New Roman"/>
          <w:sz w:val="24"/>
          <w:szCs w:val="24"/>
        </w:rPr>
        <w:t xml:space="preserve">. The </w:t>
      </w:r>
      <w:r w:rsidRPr="00CD4D72" w:rsidR="000F39A3">
        <w:rPr>
          <w:rFonts w:ascii="Times New Roman" w:hAnsi="Times New Roman" w:cs="Times New Roman"/>
          <w:sz w:val="24"/>
          <w:szCs w:val="24"/>
        </w:rPr>
        <w:t xml:space="preserve">number of weeks claimed for claimants </w:t>
      </w:r>
      <w:r w:rsidRPr="00CD4D72" w:rsidR="00C53FF2">
        <w:rPr>
          <w:rFonts w:ascii="Times New Roman" w:hAnsi="Times New Roman" w:cs="Times New Roman"/>
          <w:sz w:val="24"/>
          <w:szCs w:val="24"/>
        </w:rPr>
        <w:t xml:space="preserve">who indicated </w:t>
      </w:r>
      <w:r w:rsidRPr="00CD4D72" w:rsidR="00DB4743">
        <w:rPr>
          <w:rFonts w:ascii="Times New Roman" w:hAnsi="Times New Roman" w:cs="Times New Roman"/>
          <w:sz w:val="24"/>
          <w:szCs w:val="24"/>
        </w:rPr>
        <w:t>the</w:t>
      </w:r>
      <w:r w:rsidRPr="00CD4D72" w:rsidR="00C4181B">
        <w:rPr>
          <w:rFonts w:ascii="Times New Roman" w:hAnsi="Times New Roman" w:cs="Times New Roman"/>
          <w:sz w:val="24"/>
          <w:szCs w:val="24"/>
        </w:rPr>
        <w:t>ir</w:t>
      </w:r>
      <w:r w:rsidRPr="00CD4D72" w:rsidR="00DB4743">
        <w:rPr>
          <w:rFonts w:ascii="Times New Roman" w:hAnsi="Times New Roman" w:cs="Times New Roman"/>
          <w:sz w:val="24"/>
          <w:szCs w:val="24"/>
        </w:rPr>
        <w:t xml:space="preserve"> highest</w:t>
      </w:r>
      <w:r w:rsidRPr="00CD4D72" w:rsidR="00C53FF2">
        <w:rPr>
          <w:rFonts w:ascii="Times New Roman" w:hAnsi="Times New Roman" w:cs="Times New Roman"/>
          <w:sz w:val="24"/>
          <w:szCs w:val="24"/>
        </w:rPr>
        <w:t xml:space="preserve"> level of </w:t>
      </w:r>
      <w:r w:rsidRPr="00CD4D72" w:rsidR="008F703B">
        <w:rPr>
          <w:rFonts w:ascii="Times New Roman" w:hAnsi="Times New Roman" w:cs="Times New Roman"/>
          <w:sz w:val="24"/>
          <w:szCs w:val="24"/>
        </w:rPr>
        <w:t>educational a</w:t>
      </w:r>
      <w:r w:rsidRPr="00CD4D72" w:rsidR="006B19BE">
        <w:rPr>
          <w:rFonts w:ascii="Times New Roman" w:hAnsi="Times New Roman" w:cs="Times New Roman"/>
          <w:sz w:val="24"/>
          <w:szCs w:val="24"/>
        </w:rPr>
        <w:t>ttain</w:t>
      </w:r>
      <w:r w:rsidRPr="00CD4D72" w:rsidR="008F703B">
        <w:rPr>
          <w:rFonts w:ascii="Times New Roman" w:hAnsi="Times New Roman" w:cs="Times New Roman"/>
          <w:sz w:val="24"/>
          <w:szCs w:val="24"/>
        </w:rPr>
        <w:t>ment</w:t>
      </w:r>
      <w:r w:rsidRPr="00CD4D72">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p>
    <w:p w:rsidR="003972DC" w:rsidRPr="00CD4D72" w:rsidP="00CD4D72" w14:paraId="6FDE0928" w14:textId="77777777">
      <w:pPr>
        <w:spacing w:after="0" w:line="240" w:lineRule="auto"/>
        <w:rPr>
          <w:rFonts w:ascii="Times New Roman" w:hAnsi="Times New Roman" w:cs="Times New Roman"/>
          <w:sz w:val="24"/>
          <w:szCs w:val="24"/>
        </w:rPr>
      </w:pPr>
    </w:p>
    <w:p w:rsidR="00DB4743" w:rsidP="00CD4D72" w14:paraId="5E2EB082" w14:textId="70309FE8">
      <w:pPr>
        <w:spacing w:after="0" w:line="240" w:lineRule="auto"/>
        <w:rPr>
          <w:rFonts w:ascii="Times New Roman" w:hAnsi="Times New Roman" w:cs="Times New Roman"/>
          <w:sz w:val="24"/>
          <w:szCs w:val="24"/>
        </w:rPr>
      </w:pPr>
      <w:r w:rsidRPr="00CD4D72">
        <w:rPr>
          <w:rFonts w:ascii="Times New Roman" w:hAnsi="Times New Roman" w:cs="Times New Roman"/>
          <w:sz w:val="24"/>
          <w:szCs w:val="24"/>
        </w:rPr>
        <w:tab/>
        <w:t>Some high school, no diploma or the equivalent</w:t>
      </w:r>
    </w:p>
    <w:p w:rsidR="003972DC" w:rsidRPr="00CD4D72" w:rsidP="00CD4D72" w14:paraId="39D78AFA" w14:textId="77777777">
      <w:pPr>
        <w:spacing w:after="0" w:line="240" w:lineRule="auto"/>
        <w:rPr>
          <w:rFonts w:ascii="Times New Roman" w:hAnsi="Times New Roman" w:cs="Times New Roman"/>
          <w:sz w:val="24"/>
          <w:szCs w:val="24"/>
        </w:rPr>
      </w:pPr>
    </w:p>
    <w:p w:rsidR="00DB4743" w:rsidRPr="00CD4D72" w:rsidP="00CD4D72" w14:paraId="358F9A3F" w14:textId="4BBD833B">
      <w:pPr>
        <w:spacing w:after="0" w:line="240" w:lineRule="auto"/>
        <w:rPr>
          <w:rFonts w:ascii="Times New Roman" w:hAnsi="Times New Roman" w:cs="Times New Roman"/>
          <w:sz w:val="24"/>
          <w:szCs w:val="24"/>
        </w:rPr>
      </w:pPr>
      <w:r w:rsidRPr="00CD4D72">
        <w:rPr>
          <w:rFonts w:ascii="Times New Roman" w:hAnsi="Times New Roman" w:cs="Times New Roman"/>
          <w:sz w:val="24"/>
          <w:szCs w:val="24"/>
        </w:rPr>
        <w:tab/>
        <w:t>High School Diploma/GED</w:t>
      </w:r>
    </w:p>
    <w:p w:rsidR="00F91F3D" w:rsidRPr="00CD4D72" w:rsidP="00CD4D72" w14:paraId="40604760" w14:textId="77777777">
      <w:pPr>
        <w:spacing w:after="0" w:line="240" w:lineRule="auto"/>
        <w:rPr>
          <w:rFonts w:ascii="Times New Roman" w:hAnsi="Times New Roman" w:cs="Times New Roman"/>
          <w:sz w:val="24"/>
          <w:szCs w:val="24"/>
        </w:rPr>
      </w:pPr>
    </w:p>
    <w:p w:rsidR="00CD1CDB" w:rsidRPr="00CD4D72" w:rsidP="00CD4D72" w14:paraId="5353EC5E" w14:textId="61089621">
      <w:pPr>
        <w:spacing w:after="0" w:line="240" w:lineRule="auto"/>
        <w:rPr>
          <w:rFonts w:ascii="Times New Roman" w:hAnsi="Times New Roman" w:cs="Times New Roman"/>
          <w:sz w:val="24"/>
          <w:szCs w:val="24"/>
        </w:rPr>
      </w:pPr>
      <w:r w:rsidRPr="00CD4D72">
        <w:rPr>
          <w:rFonts w:ascii="Times New Roman" w:hAnsi="Times New Roman" w:cs="Times New Roman"/>
          <w:sz w:val="24"/>
          <w:szCs w:val="24"/>
        </w:rPr>
        <w:tab/>
        <w:t>Trade/Technical/</w:t>
      </w:r>
      <w:r w:rsidRPr="00CD4D72" w:rsidR="008139E1">
        <w:rPr>
          <w:rFonts w:ascii="Times New Roman" w:hAnsi="Times New Roman" w:cs="Times New Roman"/>
          <w:sz w:val="24"/>
          <w:szCs w:val="24"/>
        </w:rPr>
        <w:t>Vocational</w:t>
      </w:r>
      <w:r w:rsidRPr="00CD4D72">
        <w:rPr>
          <w:rFonts w:ascii="Times New Roman" w:hAnsi="Times New Roman" w:cs="Times New Roman"/>
          <w:sz w:val="24"/>
          <w:szCs w:val="24"/>
        </w:rPr>
        <w:t xml:space="preserve"> School or Certification: Occupational or vocational program</w:t>
      </w:r>
    </w:p>
    <w:p w:rsidR="00DA3230" w:rsidRPr="00CD4D72" w:rsidP="00CD4D72" w14:paraId="217464CE" w14:textId="77777777">
      <w:pPr>
        <w:spacing w:after="0" w:line="240" w:lineRule="auto"/>
        <w:rPr>
          <w:rFonts w:ascii="Times New Roman" w:hAnsi="Times New Roman" w:cs="Times New Roman"/>
          <w:sz w:val="24"/>
          <w:szCs w:val="24"/>
        </w:rPr>
      </w:pPr>
    </w:p>
    <w:p w:rsidR="00E10E00" w:rsidRPr="00CD4D72" w:rsidP="00CD4D72" w14:paraId="735706E2" w14:textId="61606F92">
      <w:pPr>
        <w:pStyle w:val="Default"/>
        <w:ind w:firstLine="720"/>
      </w:pPr>
      <w:r w:rsidRPr="00CD4D72">
        <w:t>S</w:t>
      </w:r>
      <w:r w:rsidRPr="00CD4D72">
        <w:t xml:space="preserve">ome college but no degree </w:t>
      </w:r>
    </w:p>
    <w:p w:rsidR="008139E1" w:rsidRPr="00CD4D72" w:rsidP="00CD4D72" w14:paraId="4BA5196B" w14:textId="17CCEE7F">
      <w:pPr>
        <w:pStyle w:val="Default"/>
        <w:ind w:firstLine="720"/>
      </w:pPr>
    </w:p>
    <w:p w:rsidR="008139E1" w:rsidRPr="00CD4D72" w:rsidP="00CD4D72" w14:paraId="2BE642B3" w14:textId="790AD499">
      <w:pPr>
        <w:pStyle w:val="Default"/>
        <w:ind w:firstLine="720"/>
      </w:pPr>
      <w:r w:rsidRPr="00CD4D72">
        <w:t>Associate</w:t>
      </w:r>
      <w:r w:rsidR="00CD4D72">
        <w:t>’s</w:t>
      </w:r>
      <w:r w:rsidRPr="00CD4D72">
        <w:t xml:space="preserve"> degree </w:t>
      </w:r>
      <w:r w:rsidRPr="00CD4D72" w:rsidR="00C755E5">
        <w:t xml:space="preserve">– </w:t>
      </w:r>
      <w:r w:rsidRPr="00CD4D72" w:rsidR="002C10A7">
        <w:t>A</w:t>
      </w:r>
      <w:r w:rsidRPr="00CD4D72" w:rsidR="00C755E5">
        <w:t>cademic program in college</w:t>
      </w:r>
    </w:p>
    <w:p w:rsidR="008139E1" w:rsidRPr="00CD4D72" w:rsidP="00CD4D72" w14:paraId="3C3A40E9" w14:textId="77777777">
      <w:pPr>
        <w:pStyle w:val="Default"/>
        <w:ind w:firstLine="720"/>
      </w:pPr>
    </w:p>
    <w:p w:rsidR="008139E1" w:rsidRPr="00CD4D72" w:rsidP="00CD4D72" w14:paraId="4A72F42A" w14:textId="4188B4C9">
      <w:pPr>
        <w:pStyle w:val="Default"/>
        <w:ind w:firstLine="720"/>
      </w:pPr>
      <w:r w:rsidRPr="00CD4D72">
        <w:t xml:space="preserve">Bachelor’s degree – </w:t>
      </w:r>
      <w:r w:rsidRPr="00CD4D72" w:rsidR="00EF797E">
        <w:t>Four-year</w:t>
      </w:r>
      <w:r w:rsidRPr="00CD4D72" w:rsidR="00C755E5">
        <w:t xml:space="preserve"> degree</w:t>
      </w:r>
      <w:r w:rsidRPr="00CD4D72" w:rsidR="00C25C20">
        <w:t xml:space="preserve"> (</w:t>
      </w:r>
      <w:r w:rsidRPr="00CD4D72" w:rsidR="00C755E5">
        <w:t>F</w:t>
      </w:r>
      <w:r w:rsidRPr="00CD4D72">
        <w:t>or example</w:t>
      </w:r>
      <w:r w:rsidRPr="00CD4D72" w:rsidR="00C25C20">
        <w:t>:</w:t>
      </w:r>
      <w:r w:rsidRPr="00CD4D72">
        <w:t xml:space="preserve"> BA, BS</w:t>
      </w:r>
      <w:r w:rsidRPr="00CD4D72" w:rsidR="00C25C20">
        <w:t>)</w:t>
      </w:r>
    </w:p>
    <w:p w:rsidR="00DA3230" w:rsidRPr="00CD4D72" w:rsidP="00CD4D72" w14:paraId="238EE14D" w14:textId="77777777">
      <w:pPr>
        <w:pStyle w:val="Default"/>
        <w:ind w:firstLine="720"/>
      </w:pPr>
    </w:p>
    <w:p w:rsidR="00E10E00" w:rsidRPr="00CD4D72" w:rsidP="00CD4D72" w14:paraId="7A53E3BD" w14:textId="5FCADCB4">
      <w:pPr>
        <w:pStyle w:val="Default"/>
        <w:ind w:firstLine="720"/>
      </w:pPr>
      <w:r w:rsidRPr="00CD4D72">
        <w:t xml:space="preserve">Master's degree (For example: MA, MS, MSW, MBA) </w:t>
      </w:r>
    </w:p>
    <w:p w:rsidR="00DA3230" w:rsidRPr="00CD4D72" w:rsidP="00CD4D72" w14:paraId="1EB5925B" w14:textId="77777777">
      <w:pPr>
        <w:spacing w:after="0" w:line="240" w:lineRule="auto"/>
        <w:ind w:firstLine="720"/>
        <w:rPr>
          <w:rFonts w:ascii="Times New Roman" w:hAnsi="Times New Roman" w:cs="Times New Roman"/>
          <w:sz w:val="24"/>
          <w:szCs w:val="24"/>
        </w:rPr>
      </w:pPr>
    </w:p>
    <w:p w:rsidR="00E10E00" w:rsidP="00CD4D72" w14:paraId="1BDD90F4" w14:textId="2F3BA855">
      <w:pPr>
        <w:spacing w:after="0" w:line="240" w:lineRule="auto"/>
        <w:ind w:firstLine="720"/>
        <w:rPr>
          <w:rFonts w:ascii="Times New Roman" w:hAnsi="Times New Roman" w:cs="Times New Roman"/>
          <w:sz w:val="24"/>
          <w:szCs w:val="24"/>
        </w:rPr>
      </w:pPr>
      <w:r w:rsidRPr="00CD4D72">
        <w:rPr>
          <w:rFonts w:ascii="Times New Roman" w:hAnsi="Times New Roman" w:cs="Times New Roman"/>
          <w:sz w:val="24"/>
          <w:szCs w:val="24"/>
        </w:rPr>
        <w:t>Doctorate</w:t>
      </w:r>
      <w:r w:rsidRPr="00CD4D72" w:rsidR="00931C32">
        <w:rPr>
          <w:rFonts w:ascii="Times New Roman" w:hAnsi="Times New Roman" w:cs="Times New Roman"/>
          <w:sz w:val="24"/>
          <w:szCs w:val="24"/>
        </w:rPr>
        <w:t>/Advanced</w:t>
      </w:r>
      <w:r w:rsidRPr="00CD4D72">
        <w:rPr>
          <w:rFonts w:ascii="Times New Roman" w:hAnsi="Times New Roman" w:cs="Times New Roman"/>
          <w:sz w:val="24"/>
          <w:szCs w:val="24"/>
        </w:rPr>
        <w:t xml:space="preserve"> degree (For example: PhD, </w:t>
      </w:r>
      <w:r w:rsidRPr="00CD4D72" w:rsidR="00931C32">
        <w:rPr>
          <w:rFonts w:ascii="Times New Roman" w:hAnsi="Times New Roman" w:cs="Times New Roman"/>
          <w:sz w:val="24"/>
          <w:szCs w:val="24"/>
        </w:rPr>
        <w:t>MD, DDS, JD</w:t>
      </w:r>
      <w:r w:rsidRPr="00CD4D72">
        <w:rPr>
          <w:rFonts w:ascii="Times New Roman" w:hAnsi="Times New Roman" w:cs="Times New Roman"/>
          <w:sz w:val="24"/>
          <w:szCs w:val="24"/>
        </w:rPr>
        <w:t>)</w:t>
      </w:r>
    </w:p>
    <w:p w:rsidR="003A4595" w:rsidRPr="00CD4D72" w:rsidP="00CD4D72" w14:paraId="2AF1AF0C" w14:textId="77777777">
      <w:pPr>
        <w:spacing w:after="0" w:line="240" w:lineRule="auto"/>
        <w:ind w:firstLine="720"/>
        <w:rPr>
          <w:rFonts w:ascii="Times New Roman" w:hAnsi="Times New Roman" w:cs="Times New Roman"/>
          <w:sz w:val="24"/>
          <w:szCs w:val="24"/>
        </w:rPr>
      </w:pPr>
    </w:p>
    <w:p w:rsidR="003D5867" w:rsidRPr="00CD4D72" w:rsidP="006058A0" w14:paraId="50E7E818" w14:textId="5A82D62A">
      <w:pPr>
        <w:tabs>
          <w:tab w:val="left" w:pos="1281"/>
        </w:tabs>
        <w:spacing w:after="0" w:line="240" w:lineRule="auto"/>
        <w:ind w:right="986"/>
        <w:rPr>
          <w:rFonts w:ascii="Times New Roman" w:hAnsi="Times New Roman" w:cs="Times New Roman"/>
          <w:sz w:val="24"/>
          <w:szCs w:val="24"/>
        </w:rPr>
      </w:pPr>
      <w:r w:rsidRPr="00CD4D72">
        <w:rPr>
          <w:rFonts w:ascii="Times New Roman" w:hAnsi="Times New Roman" w:cs="Times New Roman"/>
          <w:b/>
          <w:bCs/>
          <w:i/>
          <w:iCs/>
          <w:sz w:val="24"/>
          <w:szCs w:val="24"/>
        </w:rPr>
        <w:t xml:space="preserve">Recommendation: </w:t>
      </w:r>
      <w:r w:rsidRPr="00CD4D72">
        <w:rPr>
          <w:rFonts w:ascii="Times New Roman" w:hAnsi="Times New Roman" w:cs="Times New Roman"/>
          <w:sz w:val="24"/>
          <w:szCs w:val="24"/>
        </w:rPr>
        <w:t>This change will allow states to effectively determine if it is sufficiently using plain language in all its written communication material and correspondence.  States should ensure that all communications are written to accommodate different literacy levels. According to the Department of Education, the average American adult reads at the 7th to 8th grade level. See Plain Writing Act of 2010; UIPL No. 02-16</w:t>
      </w:r>
      <w:r w:rsidR="002135AA">
        <w:rPr>
          <w:rFonts w:ascii="Times New Roman" w:hAnsi="Times New Roman" w:cs="Times New Roman"/>
          <w:sz w:val="24"/>
          <w:szCs w:val="24"/>
        </w:rPr>
        <w:t xml:space="preserve"> and No. 1-24. </w:t>
      </w:r>
    </w:p>
    <w:p w:rsidR="00473F3F" w:rsidRPr="00CD4D72" w:rsidP="00CD4D72" w14:paraId="20E52C0F" w14:textId="77777777">
      <w:pPr>
        <w:spacing w:after="0" w:line="240" w:lineRule="auto"/>
        <w:ind w:firstLine="720"/>
        <w:rPr>
          <w:rFonts w:ascii="Times New Roman" w:hAnsi="Times New Roman" w:cs="Times New Roman"/>
          <w:sz w:val="24"/>
          <w:szCs w:val="24"/>
        </w:rPr>
      </w:pPr>
    </w:p>
    <w:p w:rsidR="00A60CF0" w:rsidP="00CD4D72" w14:paraId="7560EB48" w14:textId="31F06DC0">
      <w:pPr>
        <w:tabs>
          <w:tab w:val="left" w:pos="1281"/>
        </w:tabs>
        <w:spacing w:after="0" w:line="240" w:lineRule="auto"/>
        <w:ind w:right="834"/>
        <w:rPr>
          <w:rFonts w:ascii="Times New Roman" w:hAnsi="Times New Roman" w:cs="Times New Roman"/>
          <w:sz w:val="24"/>
          <w:szCs w:val="24"/>
        </w:rPr>
      </w:pPr>
      <w:r w:rsidRPr="006058A0">
        <w:rPr>
          <w:rFonts w:ascii="Times New Roman" w:hAnsi="Times New Roman" w:cs="Times New Roman"/>
          <w:b/>
          <w:bCs/>
          <w:sz w:val="24"/>
          <w:szCs w:val="24"/>
        </w:rPr>
        <w:t>9</w:t>
      </w:r>
      <w:r w:rsidRPr="00CD4D72" w:rsidR="00BA0C75">
        <w:rPr>
          <w:rFonts w:ascii="Times New Roman" w:hAnsi="Times New Roman" w:cs="Times New Roman"/>
          <w:b/>
          <w:bCs/>
          <w:i/>
          <w:iCs/>
          <w:sz w:val="24"/>
          <w:szCs w:val="24"/>
        </w:rPr>
        <w:t xml:space="preserve">. </w:t>
      </w:r>
      <w:r w:rsidRPr="006058A0" w:rsidR="00903FFC">
        <w:rPr>
          <w:rFonts w:ascii="Times New Roman" w:hAnsi="Times New Roman" w:cs="Times New Roman"/>
          <w:b/>
          <w:bCs/>
          <w:sz w:val="24"/>
          <w:szCs w:val="24"/>
          <w:u w:val="single"/>
        </w:rPr>
        <w:t>Base Period Wages</w:t>
      </w:r>
      <w:r w:rsidRPr="00CD4D72" w:rsidR="00903FFC">
        <w:rPr>
          <w:rFonts w:ascii="Times New Roman" w:hAnsi="Times New Roman" w:cs="Times New Roman"/>
          <w:b/>
          <w:bCs/>
          <w:i/>
          <w:iCs/>
          <w:sz w:val="24"/>
          <w:szCs w:val="24"/>
        </w:rPr>
        <w:t>.</w:t>
      </w:r>
      <w:r w:rsidRPr="00CD4D72" w:rsidR="00AC71B3">
        <w:rPr>
          <w:rFonts w:ascii="Times New Roman" w:hAnsi="Times New Roman" w:cs="Times New Roman"/>
          <w:b/>
          <w:bCs/>
          <w:sz w:val="24"/>
          <w:szCs w:val="24"/>
        </w:rPr>
        <w:t xml:space="preserve"> </w:t>
      </w:r>
      <w:r w:rsidRPr="00CD4D72">
        <w:rPr>
          <w:rFonts w:ascii="Times New Roman" w:hAnsi="Times New Roman" w:cs="Times New Roman"/>
          <w:sz w:val="24"/>
          <w:szCs w:val="24"/>
        </w:rPr>
        <w:t xml:space="preserve">The number of weeks claimed for claimants who indicated wage amount earned over a </w:t>
      </w:r>
      <w:r w:rsidRPr="00CD4D72" w:rsidR="00CD4D72">
        <w:rPr>
          <w:rFonts w:ascii="Times New Roman" w:hAnsi="Times New Roman" w:cs="Times New Roman"/>
          <w:sz w:val="24"/>
          <w:szCs w:val="24"/>
        </w:rPr>
        <w:t xml:space="preserve">period of time, usually one year (also known as a </w:t>
      </w:r>
      <w:r w:rsidRPr="00CD4D72">
        <w:rPr>
          <w:rFonts w:ascii="Times New Roman" w:hAnsi="Times New Roman" w:cs="Times New Roman"/>
          <w:sz w:val="24"/>
          <w:szCs w:val="24"/>
        </w:rPr>
        <w:t>base period</w:t>
      </w:r>
      <w:r w:rsidRPr="00CD4D72" w:rsidR="00CD4D72">
        <w:rPr>
          <w:rFonts w:ascii="Times New Roman" w:hAnsi="Times New Roman" w:cs="Times New Roman"/>
          <w:sz w:val="24"/>
          <w:szCs w:val="24"/>
        </w:rPr>
        <w:t>)</w:t>
      </w:r>
      <w:r w:rsidRPr="00CD4D72">
        <w:rPr>
          <w:rFonts w:ascii="Times New Roman" w:hAnsi="Times New Roman" w:cs="Times New Roman"/>
          <w:sz w:val="24"/>
          <w:szCs w:val="24"/>
        </w:rPr>
        <w:t xml:space="preserve">.  The claimant does not need provide this information as state is likely able to report data in this category using employer records or a monetary determination. </w:t>
      </w:r>
    </w:p>
    <w:p w:rsidR="00CD4D72" w:rsidRPr="00CD4D72" w:rsidP="00CD4D72" w14:paraId="0144F3F1" w14:textId="77777777">
      <w:pPr>
        <w:tabs>
          <w:tab w:val="left" w:pos="1281"/>
        </w:tabs>
        <w:spacing w:after="0" w:line="240" w:lineRule="auto"/>
        <w:ind w:right="834"/>
        <w:rPr>
          <w:rFonts w:ascii="Times New Roman" w:hAnsi="Times New Roman" w:cs="Times New Roman"/>
          <w:sz w:val="24"/>
          <w:szCs w:val="24"/>
        </w:rPr>
      </w:pPr>
    </w:p>
    <w:p w:rsidR="00953D10" w:rsidRPr="00CD4D72" w:rsidP="00CD4D72" w14:paraId="08B26912" w14:textId="261DB7DE">
      <w:pPr>
        <w:spacing w:after="0" w:line="240" w:lineRule="auto"/>
        <w:rPr>
          <w:rFonts w:ascii="Times New Roman" w:hAnsi="Times New Roman" w:cs="Times New Roman"/>
          <w:sz w:val="24"/>
          <w:szCs w:val="24"/>
        </w:rPr>
      </w:pPr>
      <w:r w:rsidRPr="00CD4D72">
        <w:rPr>
          <w:rFonts w:ascii="Times New Roman" w:hAnsi="Times New Roman" w:cs="Times New Roman"/>
          <w:sz w:val="24"/>
          <w:szCs w:val="24"/>
        </w:rPr>
        <w:tab/>
        <w:t>Less than $15,000</w:t>
      </w:r>
    </w:p>
    <w:p w:rsidR="00953D10" w:rsidRPr="00CD4D72" w:rsidP="00CD4D72" w14:paraId="5D238D93" w14:textId="37E10BF8">
      <w:pPr>
        <w:spacing w:after="0" w:line="240" w:lineRule="auto"/>
        <w:rPr>
          <w:rFonts w:ascii="Times New Roman" w:hAnsi="Times New Roman" w:cs="Times New Roman"/>
          <w:sz w:val="24"/>
          <w:szCs w:val="24"/>
        </w:rPr>
      </w:pPr>
      <w:r w:rsidRPr="00CD4D72">
        <w:rPr>
          <w:rFonts w:ascii="Times New Roman" w:hAnsi="Times New Roman" w:cs="Times New Roman"/>
          <w:sz w:val="24"/>
          <w:szCs w:val="24"/>
        </w:rPr>
        <w:tab/>
        <w:t>$15,000-24,999</w:t>
      </w:r>
    </w:p>
    <w:p w:rsidR="00953D10" w:rsidRPr="00CD4D72" w:rsidP="00CD4D72" w14:paraId="4F94F598" w14:textId="13751BBD">
      <w:pPr>
        <w:spacing w:after="0" w:line="240" w:lineRule="auto"/>
        <w:rPr>
          <w:rFonts w:ascii="Times New Roman" w:hAnsi="Times New Roman" w:cs="Times New Roman"/>
          <w:sz w:val="24"/>
          <w:szCs w:val="24"/>
        </w:rPr>
      </w:pPr>
      <w:r w:rsidRPr="00CD4D72">
        <w:rPr>
          <w:rFonts w:ascii="Times New Roman" w:hAnsi="Times New Roman" w:cs="Times New Roman"/>
          <w:sz w:val="24"/>
          <w:szCs w:val="24"/>
        </w:rPr>
        <w:tab/>
        <w:t>$25,000-34,999</w:t>
      </w:r>
    </w:p>
    <w:p w:rsidR="00953D10" w:rsidRPr="00CD4D72" w:rsidP="00CD4D72" w14:paraId="0EB5DF7B" w14:textId="620BCA6A">
      <w:pPr>
        <w:spacing w:after="0" w:line="240" w:lineRule="auto"/>
        <w:rPr>
          <w:rFonts w:ascii="Times New Roman" w:hAnsi="Times New Roman" w:cs="Times New Roman"/>
          <w:sz w:val="24"/>
          <w:szCs w:val="24"/>
        </w:rPr>
      </w:pPr>
      <w:r w:rsidRPr="00CD4D72">
        <w:rPr>
          <w:rFonts w:ascii="Times New Roman" w:hAnsi="Times New Roman" w:cs="Times New Roman"/>
          <w:sz w:val="24"/>
          <w:szCs w:val="24"/>
        </w:rPr>
        <w:tab/>
        <w:t>$25,000-</w:t>
      </w:r>
      <w:r w:rsidRPr="00CD4D72" w:rsidR="00677F4A">
        <w:rPr>
          <w:rFonts w:ascii="Times New Roman" w:hAnsi="Times New Roman" w:cs="Times New Roman"/>
          <w:sz w:val="24"/>
          <w:szCs w:val="24"/>
        </w:rPr>
        <w:t>49,999</w:t>
      </w:r>
    </w:p>
    <w:p w:rsidR="00677F4A" w:rsidRPr="00CD4D72" w:rsidP="00CD4D72" w14:paraId="79613EF0" w14:textId="60B388C9">
      <w:pPr>
        <w:spacing w:after="0" w:line="240" w:lineRule="auto"/>
        <w:ind w:firstLine="720"/>
        <w:rPr>
          <w:rFonts w:ascii="Times New Roman" w:hAnsi="Times New Roman" w:cs="Times New Roman"/>
          <w:sz w:val="24"/>
          <w:szCs w:val="24"/>
        </w:rPr>
      </w:pPr>
      <w:r w:rsidRPr="00CD4D72">
        <w:rPr>
          <w:rFonts w:ascii="Times New Roman" w:hAnsi="Times New Roman" w:cs="Times New Roman"/>
          <w:sz w:val="24"/>
          <w:szCs w:val="24"/>
        </w:rPr>
        <w:t>$</w:t>
      </w:r>
      <w:r w:rsidRPr="00CD4D72">
        <w:rPr>
          <w:rFonts w:ascii="Times New Roman" w:hAnsi="Times New Roman" w:cs="Times New Roman"/>
          <w:sz w:val="24"/>
          <w:szCs w:val="24"/>
        </w:rPr>
        <w:t>50,000-74,999</w:t>
      </w:r>
    </w:p>
    <w:p w:rsidR="00677F4A" w:rsidRPr="00CD4D72" w:rsidP="00CD4D72" w14:paraId="5EB42B76" w14:textId="6293632E">
      <w:pPr>
        <w:spacing w:after="0" w:line="240" w:lineRule="auto"/>
        <w:ind w:firstLine="720"/>
        <w:rPr>
          <w:rFonts w:ascii="Times New Roman" w:hAnsi="Times New Roman" w:cs="Times New Roman"/>
          <w:sz w:val="24"/>
          <w:szCs w:val="24"/>
        </w:rPr>
      </w:pPr>
      <w:r w:rsidRPr="00CD4D72">
        <w:rPr>
          <w:rFonts w:ascii="Times New Roman" w:hAnsi="Times New Roman" w:cs="Times New Roman"/>
          <w:sz w:val="24"/>
          <w:szCs w:val="24"/>
        </w:rPr>
        <w:t>$</w:t>
      </w:r>
      <w:r w:rsidRPr="00CD4D72">
        <w:rPr>
          <w:rFonts w:ascii="Times New Roman" w:hAnsi="Times New Roman" w:cs="Times New Roman"/>
          <w:sz w:val="24"/>
          <w:szCs w:val="24"/>
        </w:rPr>
        <w:t>100,000-149,999</w:t>
      </w:r>
    </w:p>
    <w:p w:rsidR="00677F4A" w:rsidRPr="00CD4D72" w:rsidP="00CD4D72" w14:paraId="1498FDC9" w14:textId="4B50D10C">
      <w:pPr>
        <w:spacing w:after="0" w:line="240" w:lineRule="auto"/>
        <w:ind w:firstLine="720"/>
        <w:rPr>
          <w:rFonts w:ascii="Times New Roman" w:hAnsi="Times New Roman" w:cs="Times New Roman"/>
          <w:sz w:val="24"/>
          <w:szCs w:val="24"/>
        </w:rPr>
      </w:pPr>
      <w:r w:rsidRPr="00CD4D72">
        <w:rPr>
          <w:rFonts w:ascii="Times New Roman" w:hAnsi="Times New Roman" w:cs="Times New Roman"/>
          <w:sz w:val="24"/>
          <w:szCs w:val="24"/>
        </w:rPr>
        <w:t>$</w:t>
      </w:r>
      <w:r w:rsidRPr="00CD4D72">
        <w:rPr>
          <w:rFonts w:ascii="Times New Roman" w:hAnsi="Times New Roman" w:cs="Times New Roman"/>
          <w:sz w:val="24"/>
          <w:szCs w:val="24"/>
        </w:rPr>
        <w:t>150,000-199,999</w:t>
      </w:r>
    </w:p>
    <w:p w:rsidR="00677F4A" w:rsidP="00CD4D72" w14:paraId="5813EEBD" w14:textId="0BDE9A5C">
      <w:pPr>
        <w:spacing w:after="0" w:line="240" w:lineRule="auto"/>
        <w:ind w:firstLine="720"/>
        <w:rPr>
          <w:rFonts w:ascii="Times New Roman" w:hAnsi="Times New Roman" w:cs="Times New Roman"/>
          <w:sz w:val="24"/>
          <w:szCs w:val="24"/>
        </w:rPr>
      </w:pPr>
      <w:r w:rsidRPr="00CD4D72">
        <w:rPr>
          <w:rFonts w:ascii="Times New Roman" w:hAnsi="Times New Roman" w:cs="Times New Roman"/>
          <w:sz w:val="24"/>
          <w:szCs w:val="24"/>
        </w:rPr>
        <w:t>$200,000 or more</w:t>
      </w:r>
    </w:p>
    <w:p w:rsidR="00CD4D72" w:rsidP="00CD4D72" w14:paraId="50DFE8A2" w14:textId="77777777">
      <w:pPr>
        <w:tabs>
          <w:tab w:val="left" w:pos="1281"/>
        </w:tabs>
        <w:spacing w:after="0" w:line="240" w:lineRule="auto"/>
        <w:ind w:right="986"/>
        <w:rPr>
          <w:rFonts w:ascii="Times New Roman" w:hAnsi="Times New Roman" w:cs="Times New Roman"/>
          <w:sz w:val="24"/>
          <w:szCs w:val="24"/>
        </w:rPr>
      </w:pPr>
    </w:p>
    <w:p w:rsidR="009D087C" w:rsidP="00CD4D72" w14:paraId="4F1D673A" w14:textId="48B7DE81">
      <w:pPr>
        <w:tabs>
          <w:tab w:val="left" w:pos="1281"/>
        </w:tabs>
        <w:spacing w:after="0" w:line="240" w:lineRule="auto"/>
        <w:ind w:right="986"/>
        <w:rPr>
          <w:rFonts w:ascii="Times New Roman" w:hAnsi="Times New Roman" w:cs="Times New Roman"/>
          <w:sz w:val="24"/>
          <w:szCs w:val="24"/>
        </w:rPr>
      </w:pPr>
      <w:r w:rsidRPr="00CD4D72">
        <w:rPr>
          <w:rFonts w:ascii="Times New Roman" w:hAnsi="Times New Roman" w:cs="Times New Roman"/>
          <w:b/>
          <w:bCs/>
          <w:i/>
          <w:iCs/>
          <w:sz w:val="24"/>
          <w:szCs w:val="24"/>
        </w:rPr>
        <w:t xml:space="preserve">Recommendation: </w:t>
      </w:r>
      <w:r w:rsidRPr="00CD4D72">
        <w:rPr>
          <w:rFonts w:ascii="Times New Roman" w:hAnsi="Times New Roman" w:cs="Times New Roman"/>
          <w:sz w:val="24"/>
          <w:szCs w:val="24"/>
        </w:rPr>
        <w:t>This change will allow states to ensure its current program does not limit prevent or limit access to information, resources, and activities based on a claimant’s socio-economic status or background.</w:t>
      </w:r>
    </w:p>
    <w:p w:rsidR="00CD4D72" w:rsidP="00CD4D72" w14:paraId="6111791E" w14:textId="77777777">
      <w:pPr>
        <w:tabs>
          <w:tab w:val="left" w:pos="1281"/>
        </w:tabs>
        <w:spacing w:after="0" w:line="240" w:lineRule="auto"/>
        <w:ind w:right="986"/>
        <w:rPr>
          <w:rFonts w:ascii="Times New Roman" w:hAnsi="Times New Roman" w:cs="Times New Roman"/>
          <w:sz w:val="24"/>
          <w:szCs w:val="24"/>
        </w:rPr>
      </w:pPr>
    </w:p>
    <w:p w:rsidR="00A422BD" w:rsidRPr="00CD4D72" w:rsidP="00CD4D72" w14:paraId="30748676" w14:textId="77777777">
      <w:pPr>
        <w:tabs>
          <w:tab w:val="left" w:pos="1281"/>
        </w:tabs>
        <w:spacing w:after="0" w:line="240" w:lineRule="auto"/>
        <w:ind w:right="986"/>
        <w:rPr>
          <w:rFonts w:ascii="Times New Roman" w:hAnsi="Times New Roman" w:cs="Times New Roman"/>
          <w:sz w:val="24"/>
          <w:szCs w:val="24"/>
        </w:rPr>
      </w:pPr>
    </w:p>
    <w:p w:rsidR="0067659B" w:rsidP="00CD4D72" w14:paraId="5E13DD99" w14:textId="2BC4B8C9">
      <w:pPr>
        <w:pStyle w:val="pf0"/>
        <w:spacing w:before="0" w:beforeAutospacing="0" w:after="0" w:afterAutospacing="0"/>
      </w:pPr>
      <w:r w:rsidRPr="00CD4D72">
        <w:rPr>
          <w:b/>
          <w:bCs/>
          <w:i/>
          <w:iCs/>
        </w:rPr>
        <w:t xml:space="preserve">Overall </w:t>
      </w:r>
      <w:r w:rsidRPr="00CD4D72" w:rsidR="003500B4">
        <w:rPr>
          <w:b/>
          <w:bCs/>
          <w:i/>
          <w:iCs/>
        </w:rPr>
        <w:t>Reasoning:</w:t>
      </w:r>
      <w:r w:rsidRPr="00CD4D72" w:rsidR="003500B4">
        <w:t xml:space="preserve"> State </w:t>
      </w:r>
      <w:r w:rsidRPr="00CD4D72" w:rsidR="009245CB">
        <w:t>should revise initial claim application to add a</w:t>
      </w:r>
      <w:r w:rsidRPr="00CD4D72" w:rsidR="003500B4">
        <w:t xml:space="preserve"> </w:t>
      </w:r>
      <w:r w:rsidRPr="00CD4D72">
        <w:t>drop-down</w:t>
      </w:r>
      <w:r w:rsidRPr="00CD4D72" w:rsidR="003500B4">
        <w:t xml:space="preserve"> menu </w:t>
      </w:r>
      <w:r w:rsidRPr="00CD4D72" w:rsidR="009245CB">
        <w:t xml:space="preserve">of the primary languages </w:t>
      </w:r>
      <w:r w:rsidRPr="00CD4D72">
        <w:t xml:space="preserve">listed in the ETA 203 report </w:t>
      </w:r>
      <w:r w:rsidRPr="00CD4D72" w:rsidR="003500B4">
        <w:t>or text box for claimant to enter language on their own.</w:t>
      </w:r>
      <w:r w:rsidRPr="00CD4D72" w:rsidR="00DE54AA">
        <w:t xml:space="preserve"> This information is useful </w:t>
      </w:r>
      <w:r w:rsidRPr="00CD4D72" w:rsidR="00A823D5">
        <w:t>for the provision of</w:t>
      </w:r>
      <w:r w:rsidRPr="00CD4D72" w:rsidR="00DE54AA">
        <w:t xml:space="preserve"> translation services</w:t>
      </w:r>
      <w:r w:rsidRPr="00CD4D72" w:rsidR="00A823D5">
        <w:t xml:space="preserve">.  Through </w:t>
      </w:r>
      <w:r w:rsidRPr="00CD4D72" w:rsidR="0042046D">
        <w:t xml:space="preserve">recent engagements with 36 state UI agencies (as described in UIPL No. </w:t>
      </w:r>
      <w:r w:rsidRPr="00CD4D72" w:rsidR="006C0060">
        <w:t>22</w:t>
      </w:r>
      <w:r w:rsidRPr="00CD4D72" w:rsidR="0042046D">
        <w:t>-21)</w:t>
      </w:r>
      <w:r w:rsidRPr="00CD4D72" w:rsidR="00A823D5">
        <w:t xml:space="preserve">, it was discovered that most states already ask a form of the question on a claimant’s </w:t>
      </w:r>
      <w:r w:rsidRPr="00CD4D72" w:rsidR="00C2435A">
        <w:t xml:space="preserve">disability status. Adding this category to the </w:t>
      </w:r>
      <w:r w:rsidRPr="00CD4D72" w:rsidR="0001375C">
        <w:t xml:space="preserve">ETA 203 </w:t>
      </w:r>
      <w:r w:rsidRPr="00CD4D72" w:rsidR="00C2435A">
        <w:t xml:space="preserve">allows states </w:t>
      </w:r>
      <w:r w:rsidRPr="00CD4D72" w:rsidR="0001375C">
        <w:t>a</w:t>
      </w:r>
      <w:r w:rsidRPr="00CD4D72" w:rsidR="00C2435A">
        <w:t xml:space="preserve"> mechanism to report this information. </w:t>
      </w:r>
      <w:r w:rsidRPr="00CD4D72" w:rsidR="000C5B84">
        <w:t xml:space="preserve">Educational attainment and </w:t>
      </w:r>
      <w:r w:rsidR="00FD29AE">
        <w:t>wage</w:t>
      </w:r>
      <w:r w:rsidRPr="00CD4D72" w:rsidR="000C5B84">
        <w:t xml:space="preserve"> information </w:t>
      </w:r>
      <w:r w:rsidRPr="00CD4D72" w:rsidR="00BA3B25">
        <w:t xml:space="preserve">provides insight into </w:t>
      </w:r>
      <w:r w:rsidRPr="00CD4D72" w:rsidR="00A04A1F">
        <w:t xml:space="preserve">a claimant’s </w:t>
      </w:r>
      <w:r w:rsidRPr="00CD4D72" w:rsidR="00BA3B25">
        <w:t xml:space="preserve">socio-economic background </w:t>
      </w:r>
      <w:r w:rsidRPr="00CD4D72" w:rsidR="0042046D">
        <w:t>to</w:t>
      </w:r>
      <w:r w:rsidRPr="00CD4D72" w:rsidR="009D4085">
        <w:t xml:space="preserve"> identify </w:t>
      </w:r>
      <w:r w:rsidRPr="00CD4D72" w:rsidR="00A04A1F">
        <w:t>those</w:t>
      </w:r>
      <w:r w:rsidRPr="00CD4D72" w:rsidR="00C90F78">
        <w:t xml:space="preserve"> experiencing poverty. Overall</w:t>
      </w:r>
      <w:r w:rsidRPr="00CD4D72" w:rsidR="002E6D53">
        <w:t>,</w:t>
      </w:r>
      <w:r w:rsidRPr="00CD4D72" w:rsidR="00C90F78">
        <w:t xml:space="preserve"> the addition of these demographic categories</w:t>
      </w:r>
      <w:r w:rsidRPr="00CD4D72" w:rsidR="00E542B7">
        <w:t xml:space="preserve"> will assist</w:t>
      </w:r>
      <w:r w:rsidRPr="00CD4D72" w:rsidR="00B209BC">
        <w:t xml:space="preserve"> ETA</w:t>
      </w:r>
      <w:r w:rsidRPr="00CD4D72" w:rsidR="00E542B7">
        <w:t xml:space="preserve"> in </w:t>
      </w:r>
      <w:r w:rsidRPr="00CD4D72" w:rsidR="00A21F90">
        <w:t xml:space="preserve">mitigating </w:t>
      </w:r>
      <w:r w:rsidRPr="00CD4D72" w:rsidR="00E542B7">
        <w:t>potential barriers to access</w:t>
      </w:r>
      <w:r w:rsidRPr="00CD4D72" w:rsidR="00B209BC">
        <w:t>ing UI</w:t>
      </w:r>
      <w:r w:rsidRPr="00CD4D72" w:rsidR="00E542B7">
        <w:t xml:space="preserve"> </w:t>
      </w:r>
      <w:r w:rsidRPr="00CD4D72" w:rsidR="00FA202D">
        <w:t xml:space="preserve">and </w:t>
      </w:r>
      <w:r w:rsidRPr="00CD4D72" w:rsidR="000B6F9C">
        <w:t>allow for</w:t>
      </w:r>
      <w:r w:rsidRPr="00CD4D72" w:rsidR="00FA202D">
        <w:t xml:space="preserve"> data analysis </w:t>
      </w:r>
      <w:r w:rsidRPr="00CD4D72" w:rsidR="000B6F9C">
        <w:t>to</w:t>
      </w:r>
      <w:r w:rsidRPr="00CD4D72" w:rsidR="00FA202D">
        <w:t xml:space="preserve"> </w:t>
      </w:r>
      <w:r w:rsidRPr="00CD4D72" w:rsidR="00C8486B">
        <w:t xml:space="preserve">further </w:t>
      </w:r>
      <w:r w:rsidRPr="00CD4D72" w:rsidR="00FA202D">
        <w:t>demonstrat</w:t>
      </w:r>
      <w:r w:rsidRPr="00CD4D72" w:rsidR="000B6F9C">
        <w:t>e</w:t>
      </w:r>
      <w:r w:rsidRPr="00CD4D72" w:rsidR="00FA202D">
        <w:t xml:space="preserve"> the stabilizing</w:t>
      </w:r>
      <w:r w:rsidRPr="00CD4D72" w:rsidR="00D8467F">
        <w:t xml:space="preserve"> effects of UI benefits on the economy</w:t>
      </w:r>
      <w:r w:rsidRPr="00CD4D72" w:rsidR="00C8486B">
        <w:t>, including the replacement rate</w:t>
      </w:r>
      <w:r w:rsidRPr="00CD4D72" w:rsidR="00014B96">
        <w:t xml:space="preserve"> of benefits to wages. </w:t>
      </w:r>
    </w:p>
    <w:p w:rsidR="00CD4D72" w:rsidRPr="00CD4D72" w:rsidP="00CD4D72" w14:paraId="694529CD" w14:textId="77777777">
      <w:pPr>
        <w:pStyle w:val="pf0"/>
        <w:spacing w:before="0" w:beforeAutospacing="0" w:after="0" w:afterAutospacing="0"/>
      </w:pPr>
    </w:p>
    <w:p w:rsidR="004A1687" w:rsidRPr="00CD4D72" w:rsidP="00CD4D72" w14:paraId="68834034" w14:textId="79B6A154">
      <w:pPr>
        <w:pStyle w:val="Default"/>
        <w:rPr>
          <w:color w:val="auto"/>
        </w:rPr>
      </w:pPr>
      <w:r w:rsidRPr="00CD4D72">
        <w:rPr>
          <w:b/>
          <w:bCs/>
          <w:color w:val="auto"/>
        </w:rPr>
        <w:t xml:space="preserve">10. </w:t>
      </w:r>
      <w:r w:rsidRPr="006058A0">
        <w:rPr>
          <w:b/>
          <w:bCs/>
          <w:color w:val="auto"/>
          <w:u w:val="single"/>
        </w:rPr>
        <w:t>Comments</w:t>
      </w:r>
      <w:r w:rsidRPr="00CD4D72">
        <w:rPr>
          <w:color w:val="auto"/>
        </w:rPr>
        <w:t xml:space="preserve">. Enter in comments any information which explains the data such as legal or procedural changes. If any category contains more than 5 percent information not available, please explain the reason for this. </w:t>
      </w:r>
    </w:p>
    <w:sectPr w:rsidSect="000B1E46">
      <w:pgSz w:w="12240" w:h="163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E5C03" w:rsidP="00004D91" w14:paraId="3618D178" w14:textId="77777777">
      <w:pPr>
        <w:spacing w:after="0" w:line="240" w:lineRule="auto"/>
      </w:pPr>
      <w:r>
        <w:separator/>
      </w:r>
    </w:p>
  </w:footnote>
  <w:footnote w:type="continuationSeparator" w:id="1">
    <w:p w:rsidR="00FE5C03" w:rsidP="00004D91" w14:paraId="43563265" w14:textId="77777777">
      <w:pPr>
        <w:spacing w:after="0" w:line="240" w:lineRule="auto"/>
      </w:pPr>
      <w:r>
        <w:continuationSeparator/>
      </w:r>
    </w:p>
  </w:footnote>
  <w:footnote w:id="2">
    <w:p w:rsidR="00D13E16" w14:paraId="36DF2EEB" w14:textId="04C6C3AE">
      <w:pPr>
        <w:pStyle w:val="FootnoteText"/>
      </w:pPr>
      <w:r>
        <w:rPr>
          <w:rStyle w:val="FootnoteReference"/>
        </w:rPr>
        <w:footnoteRef/>
      </w:r>
      <w:r>
        <w:t xml:space="preserve"> </w:t>
      </w:r>
      <w:hyperlink r:id="rId1" w:anchor="sex" w:history="1">
        <w:r>
          <w:rPr>
            <w:rStyle w:val="cf01"/>
            <w:color w:val="0000FF"/>
            <w:u w:val="single"/>
          </w:rPr>
          <w:t>https://www.nih.gov/nih-style-guide/sex-gender-sexuality#sex</w:t>
        </w:r>
      </w:hyperlink>
    </w:p>
  </w:footnote>
  <w:footnote w:id="3">
    <w:p w:rsidR="00FB315C" w:rsidP="00FB315C" w14:paraId="587C605E" w14:textId="77777777">
      <w:pPr>
        <w:pStyle w:val="FootnoteText"/>
      </w:pPr>
      <w:r>
        <w:rPr>
          <w:rStyle w:val="FootnoteReference"/>
        </w:rPr>
        <w:footnoteRef/>
      </w:r>
      <w:r>
        <w:t xml:space="preserve"> </w:t>
      </w:r>
      <w:hyperlink r:id="rId2" w:history="1">
        <w:r w:rsidRPr="003C63C6">
          <w:rPr>
            <w:rStyle w:val="Hyperlink"/>
          </w:rPr>
          <w:t>https://www.census.gov/topics/population/hispanic-origin.html</w:t>
        </w:r>
      </w:hyperlink>
    </w:p>
  </w:footnote>
  <w:footnote w:id="4">
    <w:p w:rsidR="0006284C" w14:paraId="48FF99EC" w14:textId="21AA2A74">
      <w:pPr>
        <w:pStyle w:val="FootnoteText"/>
      </w:pPr>
      <w:r>
        <w:rPr>
          <w:rStyle w:val="FootnoteReference"/>
        </w:rPr>
        <w:footnoteRef/>
      </w:r>
      <w:r>
        <w:t xml:space="preserve"> </w:t>
      </w:r>
      <w:hyperlink r:id="rId3" w:history="1">
        <w:r w:rsidRPr="00D762EF">
          <w:rPr>
            <w:rStyle w:val="Hyperlink"/>
          </w:rPr>
          <w:t>https://www.govinfo.gov/content/pkg/FR-2024-03-29/pdf/2024-06469.pdf</w:t>
        </w:r>
      </w:hyperlink>
    </w:p>
  </w:footnote>
  <w:footnote w:id="5">
    <w:p w:rsidR="000B3FF2" w14:paraId="2E6551B0" w14:textId="211BFF40">
      <w:pPr>
        <w:pStyle w:val="FootnoteText"/>
      </w:pPr>
      <w:r>
        <w:rPr>
          <w:rStyle w:val="FootnoteReference"/>
        </w:rPr>
        <w:footnoteRef/>
      </w:r>
      <w:r>
        <w:t xml:space="preserve"> </w:t>
      </w:r>
      <w:hyperlink r:id="rId4" w:history="1">
        <w:r w:rsidRPr="003C63C6">
          <w:rPr>
            <w:rStyle w:val="Hyperlink"/>
          </w:rPr>
          <w:t>https://www.census.gov/topics/population/language-use.html</w:t>
        </w:r>
      </w:hyperlink>
    </w:p>
  </w:footnote>
  <w:footnote w:id="6">
    <w:p w:rsidR="006B19BE" w14:paraId="3C385B0A" w14:textId="3AC87F56">
      <w:pPr>
        <w:pStyle w:val="FootnoteText"/>
      </w:pPr>
      <w:r>
        <w:rPr>
          <w:rStyle w:val="FootnoteReference"/>
        </w:rPr>
        <w:footnoteRef/>
      </w:r>
      <w:r>
        <w:t xml:space="preserve"> </w:t>
      </w:r>
      <w:hyperlink r:id="rId5" w:history="1">
        <w:r w:rsidRPr="003C63C6">
          <w:rPr>
            <w:rStyle w:val="Hyperlink"/>
          </w:rPr>
          <w:t>https://www.census.gov/topics/education/educational-attainment.html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2651539"/>
    <w:multiLevelType w:val="hybridMultilevel"/>
    <w:tmpl w:val="B112B2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8111C64"/>
    <w:multiLevelType w:val="hybridMultilevel"/>
    <w:tmpl w:val="B378819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AD87943"/>
    <w:multiLevelType w:val="hybridMultilevel"/>
    <w:tmpl w:val="B21206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85487752">
    <w:abstractNumId w:val="2"/>
  </w:num>
  <w:num w:numId="2" w16cid:durableId="1297180110">
    <w:abstractNumId w:val="1"/>
  </w:num>
  <w:num w:numId="3" w16cid:durableId="100119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B44"/>
    <w:rsid w:val="0000167B"/>
    <w:rsid w:val="00004D91"/>
    <w:rsid w:val="0001110B"/>
    <w:rsid w:val="0001375C"/>
    <w:rsid w:val="00014B96"/>
    <w:rsid w:val="00016A98"/>
    <w:rsid w:val="00022AFC"/>
    <w:rsid w:val="00035B43"/>
    <w:rsid w:val="000415B0"/>
    <w:rsid w:val="00041D5A"/>
    <w:rsid w:val="000461C2"/>
    <w:rsid w:val="0004780F"/>
    <w:rsid w:val="00052AD0"/>
    <w:rsid w:val="0006284C"/>
    <w:rsid w:val="00092999"/>
    <w:rsid w:val="00097E05"/>
    <w:rsid w:val="000A42BF"/>
    <w:rsid w:val="000A6691"/>
    <w:rsid w:val="000B0D29"/>
    <w:rsid w:val="000B1E46"/>
    <w:rsid w:val="000B3FF2"/>
    <w:rsid w:val="000B5D6D"/>
    <w:rsid w:val="000B6F9C"/>
    <w:rsid w:val="000C2036"/>
    <w:rsid w:val="000C5B84"/>
    <w:rsid w:val="000C7908"/>
    <w:rsid w:val="000D038D"/>
    <w:rsid w:val="000F39A3"/>
    <w:rsid w:val="00114645"/>
    <w:rsid w:val="001442BB"/>
    <w:rsid w:val="00152E54"/>
    <w:rsid w:val="001612A5"/>
    <w:rsid w:val="00164941"/>
    <w:rsid w:val="0016569A"/>
    <w:rsid w:val="001729A9"/>
    <w:rsid w:val="00182011"/>
    <w:rsid w:val="001A6B03"/>
    <w:rsid w:val="001C127A"/>
    <w:rsid w:val="001C3BF2"/>
    <w:rsid w:val="001D71F2"/>
    <w:rsid w:val="001E08D1"/>
    <w:rsid w:val="001F2833"/>
    <w:rsid w:val="001F366C"/>
    <w:rsid w:val="002135AA"/>
    <w:rsid w:val="00235CD2"/>
    <w:rsid w:val="00245275"/>
    <w:rsid w:val="002655A0"/>
    <w:rsid w:val="0026760C"/>
    <w:rsid w:val="00287513"/>
    <w:rsid w:val="00297C7D"/>
    <w:rsid w:val="002A3072"/>
    <w:rsid w:val="002A7374"/>
    <w:rsid w:val="002B5AB9"/>
    <w:rsid w:val="002C10A7"/>
    <w:rsid w:val="002E6D53"/>
    <w:rsid w:val="002F2214"/>
    <w:rsid w:val="0031473F"/>
    <w:rsid w:val="003319C5"/>
    <w:rsid w:val="003339E6"/>
    <w:rsid w:val="003401E0"/>
    <w:rsid w:val="003446F8"/>
    <w:rsid w:val="00346838"/>
    <w:rsid w:val="003500B4"/>
    <w:rsid w:val="00350568"/>
    <w:rsid w:val="00351B1D"/>
    <w:rsid w:val="00365826"/>
    <w:rsid w:val="00372F8E"/>
    <w:rsid w:val="00381606"/>
    <w:rsid w:val="003904C3"/>
    <w:rsid w:val="003956A4"/>
    <w:rsid w:val="003972DC"/>
    <w:rsid w:val="003A3E9C"/>
    <w:rsid w:val="003A4595"/>
    <w:rsid w:val="003B5FBF"/>
    <w:rsid w:val="003C358F"/>
    <w:rsid w:val="003C63C6"/>
    <w:rsid w:val="003D52C9"/>
    <w:rsid w:val="003D5867"/>
    <w:rsid w:val="003F123C"/>
    <w:rsid w:val="003F1766"/>
    <w:rsid w:val="0042046D"/>
    <w:rsid w:val="00424C66"/>
    <w:rsid w:val="00457466"/>
    <w:rsid w:val="00460BBA"/>
    <w:rsid w:val="0046325F"/>
    <w:rsid w:val="00466835"/>
    <w:rsid w:val="0046727B"/>
    <w:rsid w:val="004672A4"/>
    <w:rsid w:val="00473F3F"/>
    <w:rsid w:val="00474916"/>
    <w:rsid w:val="004760A4"/>
    <w:rsid w:val="00492EA9"/>
    <w:rsid w:val="00497111"/>
    <w:rsid w:val="004A1687"/>
    <w:rsid w:val="004A2C06"/>
    <w:rsid w:val="004A6EDD"/>
    <w:rsid w:val="004C75D9"/>
    <w:rsid w:val="004D2F11"/>
    <w:rsid w:val="004E469C"/>
    <w:rsid w:val="004E4F39"/>
    <w:rsid w:val="00514043"/>
    <w:rsid w:val="00523C40"/>
    <w:rsid w:val="00541EA6"/>
    <w:rsid w:val="00547B17"/>
    <w:rsid w:val="00560BE1"/>
    <w:rsid w:val="00585214"/>
    <w:rsid w:val="00585F3A"/>
    <w:rsid w:val="005946E0"/>
    <w:rsid w:val="005A11BE"/>
    <w:rsid w:val="005A5789"/>
    <w:rsid w:val="005B3D80"/>
    <w:rsid w:val="005D11DA"/>
    <w:rsid w:val="005D4D16"/>
    <w:rsid w:val="005E397C"/>
    <w:rsid w:val="005F12C2"/>
    <w:rsid w:val="006058A0"/>
    <w:rsid w:val="006200E1"/>
    <w:rsid w:val="0063259F"/>
    <w:rsid w:val="006453CC"/>
    <w:rsid w:val="0065437B"/>
    <w:rsid w:val="0065649D"/>
    <w:rsid w:val="006569AB"/>
    <w:rsid w:val="00657337"/>
    <w:rsid w:val="006573F8"/>
    <w:rsid w:val="00675A84"/>
    <w:rsid w:val="0067659B"/>
    <w:rsid w:val="00676E5B"/>
    <w:rsid w:val="00677B32"/>
    <w:rsid w:val="00677F4A"/>
    <w:rsid w:val="006900AD"/>
    <w:rsid w:val="00697443"/>
    <w:rsid w:val="006A0A6B"/>
    <w:rsid w:val="006A2260"/>
    <w:rsid w:val="006A7CFE"/>
    <w:rsid w:val="006B19BE"/>
    <w:rsid w:val="006B4A09"/>
    <w:rsid w:val="006C0060"/>
    <w:rsid w:val="006D7370"/>
    <w:rsid w:val="006F6152"/>
    <w:rsid w:val="006F6C56"/>
    <w:rsid w:val="007023AA"/>
    <w:rsid w:val="007155FA"/>
    <w:rsid w:val="00716973"/>
    <w:rsid w:val="00735C15"/>
    <w:rsid w:val="00753ED3"/>
    <w:rsid w:val="00765E47"/>
    <w:rsid w:val="0077438B"/>
    <w:rsid w:val="007863AF"/>
    <w:rsid w:val="00787A29"/>
    <w:rsid w:val="00787FA7"/>
    <w:rsid w:val="00790BDB"/>
    <w:rsid w:val="00797492"/>
    <w:rsid w:val="007A0A3B"/>
    <w:rsid w:val="007A1314"/>
    <w:rsid w:val="007B5C47"/>
    <w:rsid w:val="007D5E8A"/>
    <w:rsid w:val="00801A77"/>
    <w:rsid w:val="00806F26"/>
    <w:rsid w:val="00810ACC"/>
    <w:rsid w:val="008139E1"/>
    <w:rsid w:val="00833B44"/>
    <w:rsid w:val="0084155B"/>
    <w:rsid w:val="0084554F"/>
    <w:rsid w:val="00852F2F"/>
    <w:rsid w:val="00855995"/>
    <w:rsid w:val="00857D19"/>
    <w:rsid w:val="008636F5"/>
    <w:rsid w:val="00866594"/>
    <w:rsid w:val="0086692A"/>
    <w:rsid w:val="008821C5"/>
    <w:rsid w:val="00882848"/>
    <w:rsid w:val="00883786"/>
    <w:rsid w:val="00885654"/>
    <w:rsid w:val="00892EE2"/>
    <w:rsid w:val="008951CB"/>
    <w:rsid w:val="008A12C2"/>
    <w:rsid w:val="008A2077"/>
    <w:rsid w:val="008A28DE"/>
    <w:rsid w:val="008B33B1"/>
    <w:rsid w:val="008B4776"/>
    <w:rsid w:val="008C41CC"/>
    <w:rsid w:val="008D1917"/>
    <w:rsid w:val="008D1B90"/>
    <w:rsid w:val="008E60D1"/>
    <w:rsid w:val="008E72D0"/>
    <w:rsid w:val="008F2625"/>
    <w:rsid w:val="008F703B"/>
    <w:rsid w:val="008F7EB2"/>
    <w:rsid w:val="00901286"/>
    <w:rsid w:val="00902018"/>
    <w:rsid w:val="00903685"/>
    <w:rsid w:val="00903D7C"/>
    <w:rsid w:val="00903FFC"/>
    <w:rsid w:val="00905237"/>
    <w:rsid w:val="009142B6"/>
    <w:rsid w:val="00915D17"/>
    <w:rsid w:val="00916036"/>
    <w:rsid w:val="00922E23"/>
    <w:rsid w:val="00923693"/>
    <w:rsid w:val="009245CB"/>
    <w:rsid w:val="00926522"/>
    <w:rsid w:val="00931C32"/>
    <w:rsid w:val="00932C43"/>
    <w:rsid w:val="0093416A"/>
    <w:rsid w:val="009428CC"/>
    <w:rsid w:val="009528C1"/>
    <w:rsid w:val="00953D10"/>
    <w:rsid w:val="009546FE"/>
    <w:rsid w:val="00971C52"/>
    <w:rsid w:val="00980207"/>
    <w:rsid w:val="00991ACD"/>
    <w:rsid w:val="00993A3D"/>
    <w:rsid w:val="009974F0"/>
    <w:rsid w:val="009B1AA6"/>
    <w:rsid w:val="009C6CA4"/>
    <w:rsid w:val="009D087C"/>
    <w:rsid w:val="009D4085"/>
    <w:rsid w:val="009F5B4D"/>
    <w:rsid w:val="00A04A1F"/>
    <w:rsid w:val="00A04C74"/>
    <w:rsid w:val="00A12A94"/>
    <w:rsid w:val="00A14C93"/>
    <w:rsid w:val="00A21F90"/>
    <w:rsid w:val="00A35D2F"/>
    <w:rsid w:val="00A422BD"/>
    <w:rsid w:val="00A4270A"/>
    <w:rsid w:val="00A530A8"/>
    <w:rsid w:val="00A574A2"/>
    <w:rsid w:val="00A60CF0"/>
    <w:rsid w:val="00A811FB"/>
    <w:rsid w:val="00A823D5"/>
    <w:rsid w:val="00A95994"/>
    <w:rsid w:val="00A966F9"/>
    <w:rsid w:val="00AB7BC9"/>
    <w:rsid w:val="00AC71B3"/>
    <w:rsid w:val="00AD330B"/>
    <w:rsid w:val="00AD3411"/>
    <w:rsid w:val="00AD3BD0"/>
    <w:rsid w:val="00AD55FD"/>
    <w:rsid w:val="00AE0E90"/>
    <w:rsid w:val="00AE326F"/>
    <w:rsid w:val="00B02CED"/>
    <w:rsid w:val="00B030AA"/>
    <w:rsid w:val="00B05EBB"/>
    <w:rsid w:val="00B06453"/>
    <w:rsid w:val="00B0686F"/>
    <w:rsid w:val="00B06CBB"/>
    <w:rsid w:val="00B117EE"/>
    <w:rsid w:val="00B209BC"/>
    <w:rsid w:val="00B31EF8"/>
    <w:rsid w:val="00B33030"/>
    <w:rsid w:val="00B3500E"/>
    <w:rsid w:val="00B41EB2"/>
    <w:rsid w:val="00B4742E"/>
    <w:rsid w:val="00B605F7"/>
    <w:rsid w:val="00B71BAA"/>
    <w:rsid w:val="00B9157D"/>
    <w:rsid w:val="00B91932"/>
    <w:rsid w:val="00B92E86"/>
    <w:rsid w:val="00BA0C75"/>
    <w:rsid w:val="00BA3B25"/>
    <w:rsid w:val="00BA6866"/>
    <w:rsid w:val="00BA6EFF"/>
    <w:rsid w:val="00BC5A93"/>
    <w:rsid w:val="00BD3F5A"/>
    <w:rsid w:val="00BD61A8"/>
    <w:rsid w:val="00BE1A8B"/>
    <w:rsid w:val="00BF0988"/>
    <w:rsid w:val="00C0051D"/>
    <w:rsid w:val="00C06A4F"/>
    <w:rsid w:val="00C2435A"/>
    <w:rsid w:val="00C248E3"/>
    <w:rsid w:val="00C25C20"/>
    <w:rsid w:val="00C33C6F"/>
    <w:rsid w:val="00C4181B"/>
    <w:rsid w:val="00C46AC8"/>
    <w:rsid w:val="00C522E4"/>
    <w:rsid w:val="00C53FF2"/>
    <w:rsid w:val="00C549B8"/>
    <w:rsid w:val="00C60481"/>
    <w:rsid w:val="00C755E5"/>
    <w:rsid w:val="00C76638"/>
    <w:rsid w:val="00C77B8D"/>
    <w:rsid w:val="00C8486B"/>
    <w:rsid w:val="00C90F78"/>
    <w:rsid w:val="00C97285"/>
    <w:rsid w:val="00CA3EFE"/>
    <w:rsid w:val="00CA58AA"/>
    <w:rsid w:val="00CA7E6E"/>
    <w:rsid w:val="00CD0EDC"/>
    <w:rsid w:val="00CD1CDB"/>
    <w:rsid w:val="00CD4D72"/>
    <w:rsid w:val="00CE2290"/>
    <w:rsid w:val="00CF283E"/>
    <w:rsid w:val="00D0577B"/>
    <w:rsid w:val="00D13984"/>
    <w:rsid w:val="00D13E16"/>
    <w:rsid w:val="00D26158"/>
    <w:rsid w:val="00D50E44"/>
    <w:rsid w:val="00D57EB2"/>
    <w:rsid w:val="00D75036"/>
    <w:rsid w:val="00D762EF"/>
    <w:rsid w:val="00D83FCE"/>
    <w:rsid w:val="00D8467F"/>
    <w:rsid w:val="00DA3230"/>
    <w:rsid w:val="00DA6C37"/>
    <w:rsid w:val="00DB0ABD"/>
    <w:rsid w:val="00DB0FFD"/>
    <w:rsid w:val="00DB2879"/>
    <w:rsid w:val="00DB4743"/>
    <w:rsid w:val="00DB64D4"/>
    <w:rsid w:val="00DC7B8C"/>
    <w:rsid w:val="00DD09F3"/>
    <w:rsid w:val="00DE18BA"/>
    <w:rsid w:val="00DE54AA"/>
    <w:rsid w:val="00DE5BB5"/>
    <w:rsid w:val="00DE5C0D"/>
    <w:rsid w:val="00DE61A3"/>
    <w:rsid w:val="00DE78DB"/>
    <w:rsid w:val="00DF0998"/>
    <w:rsid w:val="00DF2FDA"/>
    <w:rsid w:val="00DF5249"/>
    <w:rsid w:val="00E02C8E"/>
    <w:rsid w:val="00E044E2"/>
    <w:rsid w:val="00E10E00"/>
    <w:rsid w:val="00E1393D"/>
    <w:rsid w:val="00E21970"/>
    <w:rsid w:val="00E22562"/>
    <w:rsid w:val="00E268E8"/>
    <w:rsid w:val="00E33D0C"/>
    <w:rsid w:val="00E349E3"/>
    <w:rsid w:val="00E542B7"/>
    <w:rsid w:val="00E5744C"/>
    <w:rsid w:val="00E62757"/>
    <w:rsid w:val="00E66DA1"/>
    <w:rsid w:val="00E759E2"/>
    <w:rsid w:val="00E810EC"/>
    <w:rsid w:val="00E81BCB"/>
    <w:rsid w:val="00E87BBB"/>
    <w:rsid w:val="00EB6A5C"/>
    <w:rsid w:val="00EC3C29"/>
    <w:rsid w:val="00ED4BAC"/>
    <w:rsid w:val="00ED676C"/>
    <w:rsid w:val="00EE03BC"/>
    <w:rsid w:val="00EF11B0"/>
    <w:rsid w:val="00EF7723"/>
    <w:rsid w:val="00EF797E"/>
    <w:rsid w:val="00F03495"/>
    <w:rsid w:val="00F1480B"/>
    <w:rsid w:val="00F20A30"/>
    <w:rsid w:val="00F20EFB"/>
    <w:rsid w:val="00F317FF"/>
    <w:rsid w:val="00F32CD6"/>
    <w:rsid w:val="00F34AA8"/>
    <w:rsid w:val="00F403A8"/>
    <w:rsid w:val="00F80C8F"/>
    <w:rsid w:val="00F81531"/>
    <w:rsid w:val="00F91F3D"/>
    <w:rsid w:val="00FA202D"/>
    <w:rsid w:val="00FA4119"/>
    <w:rsid w:val="00FA5599"/>
    <w:rsid w:val="00FA7F36"/>
    <w:rsid w:val="00FB315C"/>
    <w:rsid w:val="00FD023B"/>
    <w:rsid w:val="00FD0F74"/>
    <w:rsid w:val="00FD1C1B"/>
    <w:rsid w:val="00FD29AE"/>
    <w:rsid w:val="00FE2AC0"/>
    <w:rsid w:val="00FE31C0"/>
    <w:rsid w:val="00FE5C03"/>
    <w:rsid w:val="00FF1C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631D5F"/>
  <w15:chartTrackingRefBased/>
  <w15:docId w15:val="{88252142-1C31-4B1B-93A1-B4A4D176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3B4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BF0988"/>
    <w:pPr>
      <w:ind w:left="720"/>
      <w:contextualSpacing/>
    </w:pPr>
  </w:style>
  <w:style w:type="paragraph" w:styleId="FootnoteText">
    <w:name w:val="footnote text"/>
    <w:basedOn w:val="Normal"/>
    <w:link w:val="FootnoteTextChar"/>
    <w:uiPriority w:val="99"/>
    <w:semiHidden/>
    <w:unhideWhenUsed/>
    <w:rsid w:val="00004D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4D91"/>
    <w:rPr>
      <w:sz w:val="20"/>
      <w:szCs w:val="20"/>
    </w:rPr>
  </w:style>
  <w:style w:type="character" w:styleId="FootnoteReference">
    <w:name w:val="footnote reference"/>
    <w:basedOn w:val="DefaultParagraphFont"/>
    <w:uiPriority w:val="99"/>
    <w:semiHidden/>
    <w:unhideWhenUsed/>
    <w:rsid w:val="00004D91"/>
    <w:rPr>
      <w:vertAlign w:val="superscript"/>
    </w:rPr>
  </w:style>
  <w:style w:type="character" w:styleId="CommentReference">
    <w:name w:val="annotation reference"/>
    <w:basedOn w:val="DefaultParagraphFont"/>
    <w:uiPriority w:val="99"/>
    <w:semiHidden/>
    <w:unhideWhenUsed/>
    <w:rsid w:val="00DB0FFD"/>
    <w:rPr>
      <w:sz w:val="16"/>
      <w:szCs w:val="16"/>
    </w:rPr>
  </w:style>
  <w:style w:type="paragraph" w:styleId="CommentText">
    <w:name w:val="annotation text"/>
    <w:basedOn w:val="Normal"/>
    <w:link w:val="CommentTextChar"/>
    <w:uiPriority w:val="99"/>
    <w:unhideWhenUsed/>
    <w:rsid w:val="00DB0FFD"/>
    <w:pPr>
      <w:spacing w:line="240" w:lineRule="auto"/>
    </w:pPr>
    <w:rPr>
      <w:sz w:val="20"/>
      <w:szCs w:val="20"/>
    </w:rPr>
  </w:style>
  <w:style w:type="character" w:customStyle="1" w:styleId="CommentTextChar">
    <w:name w:val="Comment Text Char"/>
    <w:basedOn w:val="DefaultParagraphFont"/>
    <w:link w:val="CommentText"/>
    <w:uiPriority w:val="99"/>
    <w:rsid w:val="00DB0FFD"/>
    <w:rPr>
      <w:sz w:val="20"/>
      <w:szCs w:val="20"/>
    </w:rPr>
  </w:style>
  <w:style w:type="paragraph" w:styleId="CommentSubject">
    <w:name w:val="annotation subject"/>
    <w:basedOn w:val="CommentText"/>
    <w:next w:val="CommentText"/>
    <w:link w:val="CommentSubjectChar"/>
    <w:uiPriority w:val="99"/>
    <w:semiHidden/>
    <w:unhideWhenUsed/>
    <w:rsid w:val="00DB0FFD"/>
    <w:rPr>
      <w:b/>
      <w:bCs/>
    </w:rPr>
  </w:style>
  <w:style w:type="character" w:customStyle="1" w:styleId="CommentSubjectChar">
    <w:name w:val="Comment Subject Char"/>
    <w:basedOn w:val="CommentTextChar"/>
    <w:link w:val="CommentSubject"/>
    <w:uiPriority w:val="99"/>
    <w:semiHidden/>
    <w:rsid w:val="00DB0FFD"/>
    <w:rPr>
      <w:b/>
      <w:bCs/>
      <w:sz w:val="20"/>
      <w:szCs w:val="20"/>
    </w:rPr>
  </w:style>
  <w:style w:type="character" w:styleId="Hyperlink">
    <w:name w:val="Hyperlink"/>
    <w:basedOn w:val="DefaultParagraphFont"/>
    <w:uiPriority w:val="99"/>
    <w:unhideWhenUsed/>
    <w:rsid w:val="00F20A30"/>
    <w:rPr>
      <w:color w:val="0563C1" w:themeColor="hyperlink"/>
      <w:u w:val="single"/>
    </w:rPr>
  </w:style>
  <w:style w:type="character" w:styleId="UnresolvedMention">
    <w:name w:val="Unresolved Mention"/>
    <w:basedOn w:val="DefaultParagraphFont"/>
    <w:uiPriority w:val="99"/>
    <w:semiHidden/>
    <w:unhideWhenUsed/>
    <w:rsid w:val="00F20A30"/>
    <w:rPr>
      <w:color w:val="605E5C"/>
      <w:shd w:val="clear" w:color="auto" w:fill="E1DFDD"/>
    </w:rPr>
  </w:style>
  <w:style w:type="paragraph" w:styleId="Revision">
    <w:name w:val="Revision"/>
    <w:hidden/>
    <w:uiPriority w:val="99"/>
    <w:semiHidden/>
    <w:rsid w:val="00E810EC"/>
    <w:pPr>
      <w:spacing w:after="0" w:line="240" w:lineRule="auto"/>
    </w:pPr>
  </w:style>
  <w:style w:type="paragraph" w:customStyle="1" w:styleId="pf0">
    <w:name w:val="pf0"/>
    <w:basedOn w:val="Normal"/>
    <w:rsid w:val="00D13E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13E16"/>
    <w:rPr>
      <w:rFonts w:ascii="Segoe UI" w:hAnsi="Segoe UI" w:cs="Segoe UI" w:hint="default"/>
      <w:sz w:val="18"/>
      <w:szCs w:val="18"/>
    </w:rPr>
  </w:style>
  <w:style w:type="character" w:styleId="FollowedHyperlink">
    <w:name w:val="FollowedHyperlink"/>
    <w:basedOn w:val="DefaultParagraphFont"/>
    <w:uiPriority w:val="99"/>
    <w:semiHidden/>
    <w:unhideWhenUsed/>
    <w:rsid w:val="0004780F"/>
    <w:rPr>
      <w:color w:val="954F72" w:themeColor="followedHyperlink"/>
      <w:u w:val="single"/>
    </w:rPr>
  </w:style>
  <w:style w:type="paragraph" w:styleId="BodyText">
    <w:name w:val="Body Text"/>
    <w:basedOn w:val="Normal"/>
    <w:link w:val="BodyTextChar"/>
    <w:uiPriority w:val="1"/>
    <w:qFormat/>
    <w:rsid w:val="0084155B"/>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84155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nih.gov/nih-style-guide/sex-gender-sexuality" TargetMode="External" /><Relationship Id="rId2" Type="http://schemas.openxmlformats.org/officeDocument/2006/relationships/hyperlink" Target="https://www.census.gov/topics/population/hispanic-origin.html" TargetMode="External" /><Relationship Id="rId3" Type="http://schemas.openxmlformats.org/officeDocument/2006/relationships/hyperlink" Target="https://www.govinfo.gov/content/pkg/FR-2024-03-29/pdf/2024-06469.pdf" TargetMode="External" /><Relationship Id="rId4" Type="http://schemas.openxmlformats.org/officeDocument/2006/relationships/hyperlink" Target="https://www.census.gov/topics/population/language-use.html" TargetMode="External" /><Relationship Id="rId5" Type="http://schemas.openxmlformats.org/officeDocument/2006/relationships/hyperlink" Target="https://www.census.gov/topics/education/educational-attainmen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EE695-DB76-4F5E-A83B-0DC389989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1818</Words>
  <Characters>10367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Beistel, Rachel - ETA</dc:creator>
  <cp:lastModifiedBy>Gibson, Patrice A - ETA</cp:lastModifiedBy>
  <cp:revision>43</cp:revision>
  <dcterms:created xsi:type="dcterms:W3CDTF">2024-01-23T20:43:00Z</dcterms:created>
  <dcterms:modified xsi:type="dcterms:W3CDTF">2024-07-31T13:40:00Z</dcterms:modified>
</cp:coreProperties>
</file>