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761C" w:rsidR="00F34DED" w:rsidP="00F34DED" w:rsidRDefault="00F34DED" w14:paraId="7D7A25F1" w14:textId="77777777">
      <w:pPr>
        <w:tabs>
          <w:tab w:val="center" w:pos="4680"/>
        </w:tabs>
        <w:rPr>
          <w:sz w:val="22"/>
        </w:rPr>
      </w:pPr>
      <w:r w:rsidRPr="005A761C">
        <w:rPr>
          <w:b/>
          <w:bCs/>
          <w:sz w:val="22"/>
        </w:rPr>
        <w:t xml:space="preserve">Justification for No Material or </w:t>
      </w:r>
      <w:proofErr w:type="spellStart"/>
      <w:r w:rsidRPr="005A761C">
        <w:rPr>
          <w:b/>
          <w:bCs/>
          <w:sz w:val="22"/>
        </w:rPr>
        <w:t>Nonsubstantive</w:t>
      </w:r>
      <w:proofErr w:type="spellEnd"/>
      <w:r w:rsidRPr="005A761C">
        <w:rPr>
          <w:b/>
          <w:bCs/>
          <w:sz w:val="22"/>
        </w:rPr>
        <w:t xml:space="preserve"> Change to </w:t>
      </w:r>
      <w:proofErr w:type="gramStart"/>
      <w:r w:rsidRPr="005A761C">
        <w:rPr>
          <w:b/>
          <w:bCs/>
          <w:sz w:val="22"/>
        </w:rPr>
        <w:t>Currently-Approved</w:t>
      </w:r>
      <w:proofErr w:type="gramEnd"/>
      <w:r w:rsidRPr="005A761C">
        <w:rPr>
          <w:b/>
          <w:bCs/>
          <w:sz w:val="22"/>
        </w:rPr>
        <w:t xml:space="preserve"> Collection</w:t>
      </w:r>
    </w:p>
    <w:p w:rsidRPr="005A761C" w:rsidR="00F34DED" w:rsidP="00F34DED" w:rsidRDefault="00F34DED" w14:paraId="520E8DDA" w14:textId="77777777">
      <w:pPr>
        <w:rPr>
          <w:sz w:val="22"/>
        </w:rPr>
      </w:pPr>
    </w:p>
    <w:p w:rsidRPr="005A761C" w:rsidR="00F34DED" w:rsidP="00F34DED" w:rsidRDefault="00F34DED" w14:paraId="1364D56A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Pr="005A761C" w:rsidR="00F34DED" w:rsidP="00F34DED" w:rsidRDefault="00F34DED" w14:paraId="1E5C0898" w14:textId="77777777">
      <w:pPr>
        <w:rPr>
          <w:sz w:val="22"/>
        </w:rPr>
      </w:pPr>
    </w:p>
    <w:p w:rsidRPr="005A761C" w:rsidR="00F34DED" w:rsidP="00F34DED" w:rsidRDefault="00F34DED" w14:paraId="4BC274D4" w14:textId="70C49249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</w:r>
      <w:r w:rsidR="00024CBE">
        <w:rPr>
          <w:sz w:val="22"/>
        </w:rPr>
        <w:t>Missing Participants</w:t>
      </w:r>
    </w:p>
    <w:p w:rsidRPr="005A761C" w:rsidR="00F34DED" w:rsidP="00F34DED" w:rsidRDefault="00F34DED" w14:paraId="7E08B909" w14:textId="77777777">
      <w:pPr>
        <w:rPr>
          <w:sz w:val="22"/>
        </w:rPr>
      </w:pPr>
    </w:p>
    <w:p w:rsidRPr="005A761C" w:rsidR="00F34DED" w:rsidP="00F34DED" w:rsidRDefault="00F34DED" w14:paraId="2FAF8E2C" w14:textId="05584A86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>00</w:t>
      </w:r>
      <w:r w:rsidR="00024CBE">
        <w:rPr>
          <w:sz w:val="22"/>
        </w:rPr>
        <w:t>6</w:t>
      </w:r>
      <w:r w:rsidR="00CB6D5C">
        <w:rPr>
          <w:sz w:val="22"/>
        </w:rPr>
        <w:t>9</w:t>
      </w:r>
      <w:r w:rsidRPr="005A761C">
        <w:rPr>
          <w:sz w:val="22"/>
        </w:rPr>
        <w:t>; expires</w:t>
      </w:r>
      <w:r w:rsidR="00CB6D5C">
        <w:rPr>
          <w:sz w:val="22"/>
        </w:rPr>
        <w:t xml:space="preserve"> January</w:t>
      </w:r>
      <w:r w:rsidR="00024CBE">
        <w:rPr>
          <w:sz w:val="22"/>
        </w:rPr>
        <w:t xml:space="preserve"> 31</w:t>
      </w:r>
      <w:r w:rsidR="002856E3">
        <w:rPr>
          <w:sz w:val="22"/>
        </w:rPr>
        <w:t>, 202</w:t>
      </w:r>
      <w:r w:rsidR="00024CBE">
        <w:rPr>
          <w:sz w:val="22"/>
        </w:rPr>
        <w:t>1</w:t>
      </w:r>
    </w:p>
    <w:p w:rsidRPr="005A761C" w:rsidR="00F34DED" w:rsidP="00F34DED" w:rsidRDefault="00F34DED" w14:paraId="7CEE0A38" w14:textId="77777777">
      <w:pPr>
        <w:rPr>
          <w:sz w:val="22"/>
        </w:rPr>
      </w:pPr>
    </w:p>
    <w:p w:rsidRPr="005A761C" w:rsidR="00F34DED" w:rsidP="00F34DED" w:rsidRDefault="00F34DED" w14:paraId="530AF72F" w14:textId="3ABD704C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2856E3">
        <w:rPr>
          <w:sz w:val="22"/>
        </w:rPr>
        <w:t>Stephanie Cibinic</w:t>
      </w:r>
      <w:r w:rsidRPr="005A761C">
        <w:rPr>
          <w:sz w:val="22"/>
        </w:rPr>
        <w:t xml:space="preserve"> (202-</w:t>
      </w:r>
      <w:r w:rsidR="002856E3">
        <w:rPr>
          <w:sz w:val="22"/>
        </w:rPr>
        <w:t>229-6352</w:t>
      </w:r>
      <w:r w:rsidRPr="005A761C">
        <w:rPr>
          <w:sz w:val="22"/>
        </w:rPr>
        <w:t>)</w:t>
      </w:r>
    </w:p>
    <w:p w:rsidRPr="005A761C" w:rsidR="00F34DED" w:rsidP="00F34DED" w:rsidRDefault="00F34DED" w14:paraId="66B9B531" w14:textId="77777777">
      <w:pPr>
        <w:rPr>
          <w:sz w:val="22"/>
        </w:rPr>
      </w:pPr>
    </w:p>
    <w:p w:rsidR="001E7EDF" w:rsidP="001E7EDF" w:rsidRDefault="00DC1DEA" w14:paraId="46CF6E90" w14:textId="174E9258">
      <w:pPr>
        <w:rPr>
          <w:rFonts w:cs="Times New Roman"/>
          <w:sz w:val="22"/>
        </w:rPr>
      </w:pPr>
      <w:r w:rsidRPr="00DC1DEA">
        <w:rPr>
          <w:rFonts w:cs="Times New Roman"/>
          <w:sz w:val="22"/>
        </w:rPr>
        <w:t>The Pension Benefit Guaranty Corporation (PBGC) is making a change to</w:t>
      </w:r>
      <w:r w:rsidR="00280C33">
        <w:rPr>
          <w:rFonts w:cs="Times New Roman"/>
          <w:sz w:val="22"/>
        </w:rPr>
        <w:t xml:space="preserve"> the </w:t>
      </w:r>
      <w:proofErr w:type="gramStart"/>
      <w:r w:rsidR="006C6BAF">
        <w:rPr>
          <w:rFonts w:cs="Times New Roman"/>
          <w:sz w:val="22"/>
        </w:rPr>
        <w:t>currently-approved</w:t>
      </w:r>
      <w:proofErr w:type="gramEnd"/>
      <w:r w:rsidR="006C6BAF">
        <w:rPr>
          <w:rFonts w:cs="Times New Roman"/>
          <w:sz w:val="22"/>
        </w:rPr>
        <w:t xml:space="preserve"> </w:t>
      </w:r>
      <w:r w:rsidRPr="00DC1DEA">
        <w:rPr>
          <w:rFonts w:cs="Times New Roman"/>
          <w:sz w:val="22"/>
        </w:rPr>
        <w:t xml:space="preserve">instructions </w:t>
      </w:r>
      <w:r w:rsidR="006B48D1">
        <w:rPr>
          <w:rFonts w:cs="Times New Roman"/>
          <w:sz w:val="22"/>
        </w:rPr>
        <w:t xml:space="preserve">for </w:t>
      </w:r>
      <w:r>
        <w:rPr>
          <w:rFonts w:cs="Times New Roman"/>
          <w:sz w:val="22"/>
        </w:rPr>
        <w:t xml:space="preserve">one </w:t>
      </w:r>
      <w:r w:rsidRPr="00DC1DEA">
        <w:rPr>
          <w:rFonts w:cs="Times New Roman"/>
          <w:sz w:val="22"/>
        </w:rPr>
        <w:t xml:space="preserve">of its forms in this </w:t>
      </w:r>
      <w:r>
        <w:rPr>
          <w:rFonts w:cs="Times New Roman"/>
          <w:sz w:val="22"/>
        </w:rPr>
        <w:t>information collection</w:t>
      </w:r>
      <w:r w:rsidR="006C6BAF">
        <w:rPr>
          <w:rFonts w:cs="Times New Roman"/>
          <w:sz w:val="22"/>
        </w:rPr>
        <w:t xml:space="preserve"> (ICR)</w:t>
      </w:r>
      <w:r w:rsidR="00CE1072">
        <w:rPr>
          <w:rFonts w:cs="Times New Roman"/>
          <w:sz w:val="22"/>
        </w:rPr>
        <w:t xml:space="preserve">.  </w:t>
      </w:r>
      <w:r w:rsidR="001E7EDF">
        <w:rPr>
          <w:rFonts w:cs="Times New Roman"/>
          <w:sz w:val="22"/>
        </w:rPr>
        <w:t xml:space="preserve">The Missing Participants </w:t>
      </w:r>
      <w:r w:rsidR="006C6BAF">
        <w:rPr>
          <w:rFonts w:cs="Times New Roman"/>
          <w:sz w:val="22"/>
        </w:rPr>
        <w:t>ICR</w:t>
      </w:r>
      <w:r w:rsidR="001E7EDF">
        <w:rPr>
          <w:rFonts w:cs="Times New Roman"/>
          <w:sz w:val="22"/>
        </w:rPr>
        <w:t xml:space="preserve"> consists of four sets of forms and instructions </w:t>
      </w:r>
      <w:r w:rsidR="001E13A9">
        <w:rPr>
          <w:rFonts w:cs="Times New Roman"/>
          <w:sz w:val="22"/>
        </w:rPr>
        <w:t>used to send</w:t>
      </w:r>
      <w:r w:rsidR="001E7EDF">
        <w:rPr>
          <w:rFonts w:cs="Times New Roman"/>
          <w:sz w:val="22"/>
        </w:rPr>
        <w:t xml:space="preserve"> missing participant information </w:t>
      </w:r>
      <w:r w:rsidR="00466A22">
        <w:rPr>
          <w:rFonts w:cs="Times New Roman"/>
          <w:sz w:val="22"/>
        </w:rPr>
        <w:t xml:space="preserve">to PBGC </w:t>
      </w:r>
      <w:r w:rsidR="001E7EDF">
        <w:rPr>
          <w:rFonts w:cs="Times New Roman"/>
          <w:sz w:val="22"/>
        </w:rPr>
        <w:t xml:space="preserve">from the four types of plans that are eligible to participate in </w:t>
      </w:r>
      <w:r w:rsidR="00345A41">
        <w:rPr>
          <w:rFonts w:cs="Times New Roman"/>
          <w:sz w:val="22"/>
        </w:rPr>
        <w:t>PBGC’s</w:t>
      </w:r>
      <w:r w:rsidR="001E7EDF">
        <w:rPr>
          <w:rFonts w:cs="Times New Roman"/>
          <w:sz w:val="22"/>
        </w:rPr>
        <w:t xml:space="preserve"> Missing Participants Program.</w:t>
      </w:r>
    </w:p>
    <w:p w:rsidR="001E7EDF" w:rsidP="001E7EDF" w:rsidRDefault="001E7EDF" w14:paraId="63D088C2" w14:textId="77777777">
      <w:pPr>
        <w:rPr>
          <w:rFonts w:cs="Times New Roman"/>
          <w:sz w:val="22"/>
        </w:rPr>
      </w:pPr>
    </w:p>
    <w:p w:rsidR="00353DFE" w:rsidP="00353DFE" w:rsidRDefault="00CB5B21" w14:paraId="366EF977" w14:textId="1A303C95">
      <w:pPr>
        <w:rPr>
          <w:rFonts w:cs="Times New Roman"/>
          <w:sz w:val="22"/>
        </w:rPr>
      </w:pPr>
      <w:r>
        <w:rPr>
          <w:rFonts w:cs="Times New Roman"/>
          <w:sz w:val="22"/>
        </w:rPr>
        <w:t>PBGC is</w:t>
      </w:r>
      <w:r w:rsidR="00F63DF7">
        <w:rPr>
          <w:rFonts w:cs="Times New Roman"/>
          <w:sz w:val="22"/>
        </w:rPr>
        <w:t xml:space="preserve"> updating</w:t>
      </w:r>
      <w:r>
        <w:rPr>
          <w:rFonts w:cs="Times New Roman"/>
          <w:sz w:val="22"/>
        </w:rPr>
        <w:t xml:space="preserve"> t</w:t>
      </w:r>
      <w:r w:rsidRPr="009D5532" w:rsidR="0052791C">
        <w:rPr>
          <w:rFonts w:cs="Times New Roman"/>
          <w:sz w:val="22"/>
        </w:rPr>
        <w:t xml:space="preserve">he </w:t>
      </w:r>
      <w:r w:rsidR="001E7EDF">
        <w:rPr>
          <w:rFonts w:cs="Times New Roman"/>
          <w:sz w:val="22"/>
        </w:rPr>
        <w:t>instructions</w:t>
      </w:r>
      <w:r w:rsidR="00A54978">
        <w:rPr>
          <w:rFonts w:cs="Times New Roman"/>
          <w:sz w:val="22"/>
        </w:rPr>
        <w:t xml:space="preserve"> to </w:t>
      </w:r>
      <w:r w:rsidR="00024CBE">
        <w:rPr>
          <w:rFonts w:cs="Times New Roman"/>
          <w:sz w:val="22"/>
        </w:rPr>
        <w:t>the Form MP-100</w:t>
      </w:r>
      <w:r>
        <w:rPr>
          <w:rFonts w:cs="Times New Roman"/>
          <w:sz w:val="22"/>
        </w:rPr>
        <w:t xml:space="preserve">, </w:t>
      </w:r>
      <w:r w:rsidRPr="00CB5B21">
        <w:rPr>
          <w:rFonts w:cs="Times New Roman"/>
          <w:sz w:val="22"/>
        </w:rPr>
        <w:t>Missing Participants Program Filing Instructions for PBGC-insured Single-Employer Defined Benefit Plans</w:t>
      </w:r>
      <w:r w:rsidR="00F63DF7">
        <w:rPr>
          <w:rFonts w:cs="Times New Roman"/>
          <w:sz w:val="22"/>
        </w:rPr>
        <w:t>,</w:t>
      </w:r>
      <w:r w:rsidR="00B445AE">
        <w:rPr>
          <w:rFonts w:cs="Times New Roman"/>
          <w:sz w:val="22"/>
        </w:rPr>
        <w:t xml:space="preserve"> </w:t>
      </w:r>
      <w:r w:rsidRPr="009D5532" w:rsidR="00C4796E">
        <w:rPr>
          <w:rFonts w:cs="Times New Roman"/>
          <w:sz w:val="22"/>
        </w:rPr>
        <w:t>to</w:t>
      </w:r>
      <w:r w:rsidR="00024CBE">
        <w:rPr>
          <w:rFonts w:cs="Times New Roman"/>
          <w:sz w:val="22"/>
        </w:rPr>
        <w:t xml:space="preserve"> </w:t>
      </w:r>
      <w:r w:rsidR="00B445AE">
        <w:rPr>
          <w:rFonts w:cs="Times New Roman"/>
          <w:sz w:val="22"/>
        </w:rPr>
        <w:t>revise a description of the</w:t>
      </w:r>
      <w:r w:rsidR="00024CBE">
        <w:rPr>
          <w:rFonts w:cs="Times New Roman"/>
          <w:sz w:val="22"/>
        </w:rPr>
        <w:t xml:space="preserve"> due date for the post-distribution certification for standard terminations pursuant to</w:t>
      </w:r>
      <w:r w:rsidR="00B274CF">
        <w:rPr>
          <w:rFonts w:cs="Times New Roman"/>
          <w:sz w:val="22"/>
        </w:rPr>
        <w:t xml:space="preserve"> </w:t>
      </w:r>
      <w:r w:rsidR="00024CBE">
        <w:rPr>
          <w:rFonts w:cs="Times New Roman"/>
          <w:sz w:val="22"/>
        </w:rPr>
        <w:t>29 CFR 4041.29</w:t>
      </w:r>
      <w:r w:rsidR="001E7EDF">
        <w:rPr>
          <w:rFonts w:cs="Times New Roman"/>
          <w:sz w:val="22"/>
        </w:rPr>
        <w:t>.  Tha</w:t>
      </w:r>
      <w:r w:rsidR="000C3A85">
        <w:rPr>
          <w:rFonts w:cs="Times New Roman"/>
          <w:sz w:val="22"/>
        </w:rPr>
        <w:t>t</w:t>
      </w:r>
      <w:r w:rsidR="001E7EDF">
        <w:rPr>
          <w:rFonts w:cs="Times New Roman"/>
          <w:sz w:val="22"/>
        </w:rPr>
        <w:t xml:space="preserve"> </w:t>
      </w:r>
      <w:r w:rsidR="00382A9A">
        <w:rPr>
          <w:rFonts w:cs="Times New Roman"/>
          <w:sz w:val="22"/>
        </w:rPr>
        <w:t>amendment</w:t>
      </w:r>
      <w:r w:rsidR="001E7EDF">
        <w:rPr>
          <w:rFonts w:cs="Times New Roman"/>
          <w:sz w:val="22"/>
        </w:rPr>
        <w:t xml:space="preserve"> </w:t>
      </w:r>
      <w:r w:rsidR="000C3A85">
        <w:rPr>
          <w:rFonts w:cs="Times New Roman"/>
          <w:sz w:val="22"/>
        </w:rPr>
        <w:t xml:space="preserve">to PBGC’s standard termination rules </w:t>
      </w:r>
      <w:r w:rsidR="00382A9A">
        <w:rPr>
          <w:rFonts w:cs="Times New Roman"/>
          <w:sz w:val="22"/>
        </w:rPr>
        <w:t xml:space="preserve">included in </w:t>
      </w:r>
      <w:r w:rsidR="001E7EDF">
        <w:rPr>
          <w:rFonts w:cs="Times New Roman"/>
          <w:sz w:val="22"/>
        </w:rPr>
        <w:t xml:space="preserve">the Miscellaneous Corrections, Clarifications and Improvements final rule published on </w:t>
      </w:r>
      <w:r w:rsidR="00382A9A">
        <w:rPr>
          <w:rFonts w:cs="Times New Roman"/>
          <w:sz w:val="22"/>
        </w:rPr>
        <w:t>February 4, 2020</w:t>
      </w:r>
      <w:bookmarkStart w:name="_GoBack" w:id="0"/>
      <w:bookmarkEnd w:id="0"/>
      <w:r w:rsidR="001E7EDF">
        <w:rPr>
          <w:rFonts w:cs="Times New Roman"/>
          <w:sz w:val="22"/>
        </w:rPr>
        <w:t>.</w:t>
      </w:r>
    </w:p>
    <w:p w:rsidR="00353DFE" w:rsidP="00353DFE" w:rsidRDefault="00353DFE" w14:paraId="769B4765" w14:textId="77777777">
      <w:pPr>
        <w:rPr>
          <w:rFonts w:cs="Times New Roman"/>
          <w:sz w:val="22"/>
        </w:rPr>
      </w:pPr>
    </w:p>
    <w:p w:rsidRPr="00353DFE" w:rsidR="004327E7" w:rsidP="00353DFE" w:rsidRDefault="00EB4631" w14:paraId="4F7F3D37" w14:textId="55A06FD2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Below is </w:t>
      </w:r>
      <w:r w:rsidR="008C4DC1">
        <w:rPr>
          <w:rFonts w:cs="Times New Roman"/>
          <w:sz w:val="22"/>
        </w:rPr>
        <w:t xml:space="preserve">the change in </w:t>
      </w:r>
      <w:r w:rsidR="007B2F1C">
        <w:rPr>
          <w:sz w:val="22"/>
        </w:rPr>
        <w:t>the “Wh</w:t>
      </w:r>
      <w:r w:rsidR="00024CBE">
        <w:rPr>
          <w:sz w:val="22"/>
        </w:rPr>
        <w:t>en to File</w:t>
      </w:r>
      <w:r w:rsidR="007B2F1C">
        <w:rPr>
          <w:sz w:val="22"/>
        </w:rPr>
        <w:t xml:space="preserve">” section </w:t>
      </w:r>
      <w:r w:rsidR="00024CBE">
        <w:rPr>
          <w:sz w:val="22"/>
        </w:rPr>
        <w:t>of the MP-100 instructions on page</w:t>
      </w:r>
      <w:r w:rsidR="007B2F1C">
        <w:rPr>
          <w:sz w:val="22"/>
        </w:rPr>
        <w:t xml:space="preserve"> </w:t>
      </w:r>
      <w:r w:rsidR="00024CBE">
        <w:rPr>
          <w:sz w:val="22"/>
        </w:rPr>
        <w:t>5:</w:t>
      </w:r>
    </w:p>
    <w:p w:rsidR="00024CBE" w:rsidP="00024CBE" w:rsidRDefault="00024CBE" w14:paraId="7F175AB3" w14:textId="3DFF817C">
      <w:pPr>
        <w:ind w:left="720"/>
        <w:rPr>
          <w:sz w:val="22"/>
        </w:rPr>
      </w:pPr>
    </w:p>
    <w:p w:rsidR="00024CBE" w:rsidP="00024CBE" w:rsidRDefault="00024CBE" w14:paraId="1ABF4E92" w14:textId="77777777">
      <w:pPr>
        <w:pStyle w:val="Heading1"/>
        <w:spacing w:before="1"/>
        <w:ind w:left="111"/>
      </w:pPr>
      <w:r>
        <w:t>When to file</w:t>
      </w:r>
    </w:p>
    <w:p w:rsidR="00731B21" w:rsidP="00731B21" w:rsidRDefault="00024CBE" w14:paraId="68041CFD" w14:textId="33766383">
      <w:pPr>
        <w:pStyle w:val="BodyText"/>
        <w:spacing w:before="103" w:line="237" w:lineRule="auto"/>
        <w:ind w:left="111" w:right="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21D4634A" wp14:anchorId="0B356084">
                <wp:simplePos x="0" y="0"/>
                <wp:positionH relativeFrom="page">
                  <wp:posOffset>5050790</wp:posOffset>
                </wp:positionH>
                <wp:positionV relativeFrom="paragraph">
                  <wp:posOffset>354965</wp:posOffset>
                </wp:positionV>
                <wp:extent cx="71120" cy="14605"/>
                <wp:effectExtent l="254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BE" w:rsidP="00024CBE" w:rsidRDefault="00024CBE" w14:paraId="19C45B35" w14:textId="77777777">
                            <w:pPr>
                              <w:spacing w:line="23" w:lineRule="exact"/>
                              <w:rPr>
                                <w:rFonts w:ascii="Cambria"/>
                                <w:sz w:val="2"/>
                              </w:rPr>
                            </w:pPr>
                            <w:r>
                              <w:rPr>
                                <w:rFonts w:ascii="Cambria"/>
                                <w:sz w:val="2"/>
                              </w:rPr>
                              <w:t>P3F             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356084">
                <v:stroke joinstyle="miter"/>
                <v:path gradientshapeok="t" o:connecttype="rect"/>
              </v:shapetype>
              <v:shape id="Text Box 1" style="position:absolute;left:0;text-align:left;margin-left:397.7pt;margin-top:27.95pt;width:5.6pt;height: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">
                <v:textbox inset="0,0,0,0">
                  <w:txbxContent>
                    <w:p w:rsidR="00024CBE" w:rsidP="00024CBE" w:rsidRDefault="00024CBE" w14:paraId="19C45B35" w14:textId="77777777">
                      <w:pPr>
                        <w:spacing w:line="23" w:lineRule="exact"/>
                        <w:rPr>
                          <w:rFonts w:ascii="Cambria"/>
                          <w:sz w:val="2"/>
                        </w:rPr>
                      </w:pPr>
                      <w:r>
                        <w:rPr>
                          <w:rFonts w:ascii="Cambria"/>
                          <w:sz w:val="2"/>
                        </w:rPr>
                        <w:t>P3F             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 date for submitting a Missing Participants Filing, and for payment of any monies owed to PBGC, is generally the same as the date for filing the Post-Distribution Certification</w:t>
      </w:r>
      <w:r>
        <w:rPr>
          <w:position w:val="8"/>
          <w:sz w:val="14"/>
        </w:rPr>
        <w:t xml:space="preserve">4 </w:t>
      </w:r>
      <w:r>
        <w:t xml:space="preserve">as part of a standard or distress termination (i.e., </w:t>
      </w:r>
      <w:r>
        <w:rPr>
          <w:color w:val="FF0000"/>
        </w:rPr>
        <w:t>for a standard termination,</w:t>
      </w:r>
      <w:r>
        <w:t xml:space="preserve"> within 30 days after the last distribution date for any affected party </w:t>
      </w:r>
      <w:r>
        <w:rPr>
          <w:color w:val="FF0000"/>
        </w:rPr>
        <w:t>or within 60 if a timely email certification was sent</w:t>
      </w:r>
      <w:r>
        <w:t>).</w:t>
      </w:r>
    </w:p>
    <w:p w:rsidR="00216504" w:rsidP="00216504" w:rsidRDefault="00216504" w14:paraId="71AA34FD" w14:textId="77777777">
      <w:pPr>
        <w:pStyle w:val="BodyText"/>
        <w:spacing w:before="103" w:line="237" w:lineRule="auto"/>
        <w:ind w:right="517"/>
      </w:pPr>
    </w:p>
    <w:p w:rsidRPr="00216504" w:rsidR="00216504" w:rsidP="00216504" w:rsidRDefault="00B92B08" w14:paraId="3AB849DF" w14:textId="6412333A">
      <w:pPr>
        <w:pStyle w:val="BodyText"/>
        <w:spacing w:before="103" w:line="237" w:lineRule="auto"/>
        <w:ind w:right="5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revised MP-100 instructions have been submitted with this request.</w:t>
      </w:r>
    </w:p>
    <w:sectPr w:rsidRPr="00216504" w:rsidR="00216504" w:rsidSect="0098471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B160B"/>
    <w:multiLevelType w:val="hybridMultilevel"/>
    <w:tmpl w:val="B8A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644C"/>
    <w:rsid w:val="00014968"/>
    <w:rsid w:val="00024CBE"/>
    <w:rsid w:val="00062B89"/>
    <w:rsid w:val="00070EB7"/>
    <w:rsid w:val="000C3A85"/>
    <w:rsid w:val="000D761D"/>
    <w:rsid w:val="00105C0B"/>
    <w:rsid w:val="00116CF6"/>
    <w:rsid w:val="00186539"/>
    <w:rsid w:val="001B15C8"/>
    <w:rsid w:val="001B3AEB"/>
    <w:rsid w:val="001E13A9"/>
    <w:rsid w:val="001E7EDF"/>
    <w:rsid w:val="002008D1"/>
    <w:rsid w:val="002139B3"/>
    <w:rsid w:val="00216504"/>
    <w:rsid w:val="00217516"/>
    <w:rsid w:val="0022452C"/>
    <w:rsid w:val="00280C33"/>
    <w:rsid w:val="002856E3"/>
    <w:rsid w:val="002B25D0"/>
    <w:rsid w:val="002B324E"/>
    <w:rsid w:val="002C1D2C"/>
    <w:rsid w:val="002F1F45"/>
    <w:rsid w:val="00300CA5"/>
    <w:rsid w:val="00305E7E"/>
    <w:rsid w:val="0032311D"/>
    <w:rsid w:val="0033116A"/>
    <w:rsid w:val="00345A41"/>
    <w:rsid w:val="00353DFE"/>
    <w:rsid w:val="00365209"/>
    <w:rsid w:val="003740F3"/>
    <w:rsid w:val="00382A9A"/>
    <w:rsid w:val="003D3F59"/>
    <w:rsid w:val="003D7AC1"/>
    <w:rsid w:val="00412E43"/>
    <w:rsid w:val="00422D40"/>
    <w:rsid w:val="004324B3"/>
    <w:rsid w:val="004327E7"/>
    <w:rsid w:val="00466A22"/>
    <w:rsid w:val="004826A3"/>
    <w:rsid w:val="004E0277"/>
    <w:rsid w:val="004E08A5"/>
    <w:rsid w:val="0050556A"/>
    <w:rsid w:val="0052791C"/>
    <w:rsid w:val="0055164B"/>
    <w:rsid w:val="00555CC1"/>
    <w:rsid w:val="005562EB"/>
    <w:rsid w:val="0057401E"/>
    <w:rsid w:val="005A761C"/>
    <w:rsid w:val="005B5696"/>
    <w:rsid w:val="005D53C3"/>
    <w:rsid w:val="005E2E26"/>
    <w:rsid w:val="00691A71"/>
    <w:rsid w:val="006B48D1"/>
    <w:rsid w:val="006C6BAF"/>
    <w:rsid w:val="006E2AAF"/>
    <w:rsid w:val="006E537F"/>
    <w:rsid w:val="00710FDD"/>
    <w:rsid w:val="00711ACD"/>
    <w:rsid w:val="007209FC"/>
    <w:rsid w:val="00722427"/>
    <w:rsid w:val="00725AA5"/>
    <w:rsid w:val="00731B21"/>
    <w:rsid w:val="00744C5D"/>
    <w:rsid w:val="00764966"/>
    <w:rsid w:val="007811C8"/>
    <w:rsid w:val="007812E9"/>
    <w:rsid w:val="00784D2A"/>
    <w:rsid w:val="00791687"/>
    <w:rsid w:val="007B2F1C"/>
    <w:rsid w:val="007E1873"/>
    <w:rsid w:val="007E2D43"/>
    <w:rsid w:val="00806AF9"/>
    <w:rsid w:val="0081673F"/>
    <w:rsid w:val="00824481"/>
    <w:rsid w:val="00865269"/>
    <w:rsid w:val="008C4DC1"/>
    <w:rsid w:val="008E5CD3"/>
    <w:rsid w:val="00905F3E"/>
    <w:rsid w:val="009313C2"/>
    <w:rsid w:val="00961934"/>
    <w:rsid w:val="0096265C"/>
    <w:rsid w:val="009637D1"/>
    <w:rsid w:val="00974129"/>
    <w:rsid w:val="00984710"/>
    <w:rsid w:val="009B1C08"/>
    <w:rsid w:val="009D5532"/>
    <w:rsid w:val="009E1BE6"/>
    <w:rsid w:val="009E7D50"/>
    <w:rsid w:val="00A11B93"/>
    <w:rsid w:val="00A21448"/>
    <w:rsid w:val="00A235DE"/>
    <w:rsid w:val="00A32A56"/>
    <w:rsid w:val="00A34878"/>
    <w:rsid w:val="00A54978"/>
    <w:rsid w:val="00A755FC"/>
    <w:rsid w:val="00AB0814"/>
    <w:rsid w:val="00AB1D3E"/>
    <w:rsid w:val="00AE6EC4"/>
    <w:rsid w:val="00B002FE"/>
    <w:rsid w:val="00B00DE1"/>
    <w:rsid w:val="00B274CF"/>
    <w:rsid w:val="00B445AE"/>
    <w:rsid w:val="00B918FE"/>
    <w:rsid w:val="00B92B08"/>
    <w:rsid w:val="00B95808"/>
    <w:rsid w:val="00B96A39"/>
    <w:rsid w:val="00BD1603"/>
    <w:rsid w:val="00BD4E25"/>
    <w:rsid w:val="00BD556E"/>
    <w:rsid w:val="00C1280B"/>
    <w:rsid w:val="00C345CD"/>
    <w:rsid w:val="00C4796E"/>
    <w:rsid w:val="00C50770"/>
    <w:rsid w:val="00CA71D7"/>
    <w:rsid w:val="00CB5B21"/>
    <w:rsid w:val="00CB6D5C"/>
    <w:rsid w:val="00CD7372"/>
    <w:rsid w:val="00CE1072"/>
    <w:rsid w:val="00D0308B"/>
    <w:rsid w:val="00D1439E"/>
    <w:rsid w:val="00D31452"/>
    <w:rsid w:val="00D53368"/>
    <w:rsid w:val="00D57850"/>
    <w:rsid w:val="00D64749"/>
    <w:rsid w:val="00D71646"/>
    <w:rsid w:val="00D97846"/>
    <w:rsid w:val="00DA4CAC"/>
    <w:rsid w:val="00DB369B"/>
    <w:rsid w:val="00DB672F"/>
    <w:rsid w:val="00DB7057"/>
    <w:rsid w:val="00DC1DEA"/>
    <w:rsid w:val="00DE76FE"/>
    <w:rsid w:val="00E04FAB"/>
    <w:rsid w:val="00E27396"/>
    <w:rsid w:val="00EA5AB8"/>
    <w:rsid w:val="00EB4631"/>
    <w:rsid w:val="00EB6C1D"/>
    <w:rsid w:val="00EF34AD"/>
    <w:rsid w:val="00EF6DA4"/>
    <w:rsid w:val="00F34DED"/>
    <w:rsid w:val="00F51987"/>
    <w:rsid w:val="00F543B6"/>
    <w:rsid w:val="00F63DF7"/>
    <w:rsid w:val="00F8283C"/>
    <w:rsid w:val="00F844F0"/>
    <w:rsid w:val="00FB31C0"/>
    <w:rsid w:val="00FC5A25"/>
    <w:rsid w:val="00FD35CD"/>
    <w:rsid w:val="00FE5F7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11DD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4CBE"/>
    <w:pPr>
      <w:widowControl w:val="0"/>
      <w:autoSpaceDE w:val="0"/>
      <w:autoSpaceDN w:val="0"/>
      <w:ind w:left="110"/>
      <w:outlineLvl w:val="0"/>
    </w:pPr>
    <w:rPr>
      <w:rFonts w:ascii="Calibri" w:eastAsia="Calibri" w:hAnsi="Calibri" w:cs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CBE"/>
    <w:rPr>
      <w:rFonts w:ascii="Calibri" w:eastAsia="Calibri" w:hAnsi="Calibri" w:cs="Calibri"/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024CB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24CBE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CUIFalsePositive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Props1.xml><?xml version="1.0" encoding="utf-8"?>
<ds:datastoreItem xmlns:ds="http://schemas.openxmlformats.org/officeDocument/2006/customXml" ds:itemID="{15A8274C-AA47-4B4C-9482-63DEFCA28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47FAE-3239-4F18-BC97-38D8708A9C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E31C7-8C24-47F0-82B0-87EBC2548BB9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Deborah</dc:creator>
  <cp:keywords/>
  <dc:description/>
  <cp:lastModifiedBy>Cibinic Stephanie</cp:lastModifiedBy>
  <cp:revision>2</cp:revision>
  <dcterms:created xsi:type="dcterms:W3CDTF">2020-02-03T16:08:00Z</dcterms:created>
  <dcterms:modified xsi:type="dcterms:W3CDTF">2020-02-03T16:08:00Z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rder">
    <vt:r8>100</vt:r8>
  </property>
  <property fmtid="{D5CDD505-2E9C-101B-9397-08002B2CF9AE}" pid="4" name="Source Library">
    <vt:lpwstr/>
  </property>
  <property fmtid="{D5CDD505-2E9C-101B-9397-08002B2CF9AE}" pid="5" name="Source Type">
    <vt:lpwstr>File share</vt:lpwstr>
  </property>
  <property fmtid="{D5CDD505-2E9C-101B-9397-08002B2CF9AE}" pid="6" name="OGC Document Status">
    <vt:lpwstr>6;#Draft|4e9a4bc7-9032-4d66-87ab-b16dbcbcd63b</vt:lpwstr>
  </property>
</Properties>
</file>