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4DED" w:rsidRPr="00D54BEB" w:rsidP="00F34DED" w14:paraId="7D7A25F1" w14:textId="77777777">
      <w:pPr>
        <w:tabs>
          <w:tab w:val="center" w:pos="4680"/>
        </w:tabs>
        <w:rPr>
          <w:szCs w:val="24"/>
        </w:rPr>
      </w:pPr>
      <w:r w:rsidRPr="00D54BEB">
        <w:rPr>
          <w:b/>
          <w:bCs/>
          <w:szCs w:val="24"/>
        </w:rPr>
        <w:t xml:space="preserve">Justification for No Material or </w:t>
      </w:r>
      <w:r w:rsidRPr="00D54BEB">
        <w:rPr>
          <w:b/>
          <w:bCs/>
          <w:szCs w:val="24"/>
        </w:rPr>
        <w:t>Nonsubstantive</w:t>
      </w:r>
      <w:r w:rsidRPr="00D54BEB">
        <w:rPr>
          <w:b/>
          <w:bCs/>
          <w:szCs w:val="24"/>
        </w:rPr>
        <w:t xml:space="preserve"> Change to </w:t>
      </w:r>
      <w:r w:rsidRPr="00D54BEB">
        <w:rPr>
          <w:b/>
          <w:bCs/>
          <w:szCs w:val="24"/>
        </w:rPr>
        <w:t>Currently-Approved</w:t>
      </w:r>
      <w:r w:rsidRPr="00D54BEB">
        <w:rPr>
          <w:b/>
          <w:bCs/>
          <w:szCs w:val="24"/>
        </w:rPr>
        <w:t xml:space="preserve"> Collection</w:t>
      </w:r>
    </w:p>
    <w:p w:rsidR="00F34DED" w:rsidRPr="00D54BEB" w:rsidP="00F34DED" w14:paraId="520E8DDA" w14:textId="77777777">
      <w:pPr>
        <w:rPr>
          <w:szCs w:val="24"/>
        </w:rPr>
      </w:pPr>
    </w:p>
    <w:p w:rsidR="00F34DED" w:rsidRPr="00D54BEB" w:rsidP="00F34DED" w14:paraId="1364D56A" w14:textId="77777777">
      <w:pPr>
        <w:rPr>
          <w:szCs w:val="24"/>
        </w:rPr>
      </w:pPr>
      <w:r w:rsidRPr="00D54BEB">
        <w:rPr>
          <w:b/>
          <w:bCs/>
          <w:szCs w:val="24"/>
        </w:rPr>
        <w:t>AGENCY:</w:t>
      </w:r>
      <w:r w:rsidRPr="00D54BEB">
        <w:rPr>
          <w:szCs w:val="24"/>
        </w:rPr>
        <w:tab/>
        <w:t>Pension Benefit Guaranty Corporation (PBGC)</w:t>
      </w:r>
    </w:p>
    <w:p w:rsidR="00F34DED" w:rsidRPr="00D54BEB" w:rsidP="00F34DED" w14:paraId="1E5C0898" w14:textId="77777777">
      <w:pPr>
        <w:rPr>
          <w:szCs w:val="24"/>
        </w:rPr>
      </w:pPr>
    </w:p>
    <w:p w:rsidR="00F34DED" w:rsidRPr="00D54BEB" w:rsidP="00F34DED" w14:paraId="4BC274D4" w14:textId="70C49249">
      <w:pPr>
        <w:tabs>
          <w:tab w:val="left" w:pos="-1440"/>
        </w:tabs>
        <w:ind w:left="1440" w:hanging="1440"/>
        <w:rPr>
          <w:szCs w:val="24"/>
        </w:rPr>
      </w:pPr>
      <w:r w:rsidRPr="00D54BEB">
        <w:rPr>
          <w:b/>
          <w:bCs/>
          <w:szCs w:val="24"/>
        </w:rPr>
        <w:t>TITLE:</w:t>
      </w:r>
      <w:r w:rsidRPr="00D54BEB">
        <w:rPr>
          <w:szCs w:val="24"/>
        </w:rPr>
        <w:tab/>
      </w:r>
      <w:r w:rsidRPr="00D54BEB" w:rsidR="00024CBE">
        <w:rPr>
          <w:szCs w:val="24"/>
        </w:rPr>
        <w:t>Missing Participants</w:t>
      </w:r>
    </w:p>
    <w:p w:rsidR="00F34DED" w:rsidRPr="00D54BEB" w:rsidP="00F34DED" w14:paraId="7E08B909" w14:textId="77777777">
      <w:pPr>
        <w:rPr>
          <w:szCs w:val="24"/>
        </w:rPr>
      </w:pPr>
    </w:p>
    <w:p w:rsidR="00F34DED" w:rsidRPr="00D54BEB" w:rsidP="00F34DED" w14:paraId="2FAF8E2C" w14:textId="7D55FF61">
      <w:pPr>
        <w:rPr>
          <w:szCs w:val="24"/>
        </w:rPr>
      </w:pPr>
      <w:r w:rsidRPr="00D54BEB">
        <w:rPr>
          <w:b/>
          <w:bCs/>
          <w:szCs w:val="24"/>
        </w:rPr>
        <w:t>STATUS:</w:t>
      </w:r>
      <w:r w:rsidRPr="00D54BEB">
        <w:rPr>
          <w:szCs w:val="24"/>
        </w:rPr>
        <w:tab/>
        <w:t>OMB control number 1212</w:t>
      </w:r>
      <w:r w:rsidRPr="00D54BEB">
        <w:rPr>
          <w:szCs w:val="24"/>
        </w:rPr>
        <w:noBreakHyphen/>
        <w:t>00</w:t>
      </w:r>
      <w:r w:rsidRPr="00D54BEB" w:rsidR="00024CBE">
        <w:rPr>
          <w:szCs w:val="24"/>
        </w:rPr>
        <w:t>6</w:t>
      </w:r>
      <w:r w:rsidRPr="00D54BEB" w:rsidR="00CB6D5C">
        <w:rPr>
          <w:szCs w:val="24"/>
        </w:rPr>
        <w:t>9</w:t>
      </w:r>
      <w:r w:rsidRPr="00D54BEB">
        <w:rPr>
          <w:szCs w:val="24"/>
        </w:rPr>
        <w:t>; expires</w:t>
      </w:r>
      <w:r w:rsidRPr="00D54BEB" w:rsidR="00CB6D5C">
        <w:rPr>
          <w:szCs w:val="24"/>
        </w:rPr>
        <w:t xml:space="preserve"> January</w:t>
      </w:r>
      <w:r w:rsidRPr="00D54BEB" w:rsidR="00024CBE">
        <w:rPr>
          <w:szCs w:val="24"/>
        </w:rPr>
        <w:t xml:space="preserve"> 31</w:t>
      </w:r>
      <w:r w:rsidRPr="00D54BEB" w:rsidR="002856E3">
        <w:rPr>
          <w:szCs w:val="24"/>
        </w:rPr>
        <w:t>, 20</w:t>
      </w:r>
      <w:r w:rsidRPr="00D54BEB" w:rsidR="00BD5CFE">
        <w:rPr>
          <w:szCs w:val="24"/>
        </w:rPr>
        <w:t>24</w:t>
      </w:r>
    </w:p>
    <w:p w:rsidR="00F34DED" w:rsidRPr="00D54BEB" w:rsidP="00F34DED" w14:paraId="7CEE0A38" w14:textId="77777777">
      <w:pPr>
        <w:rPr>
          <w:szCs w:val="24"/>
        </w:rPr>
      </w:pPr>
    </w:p>
    <w:p w:rsidR="00F34DED" w:rsidRPr="00D54BEB" w:rsidP="00F34DED" w14:paraId="530AF72F" w14:textId="3ABD704C">
      <w:pPr>
        <w:tabs>
          <w:tab w:val="left" w:pos="-1440"/>
        </w:tabs>
        <w:ind w:left="1440" w:hanging="1440"/>
        <w:rPr>
          <w:szCs w:val="24"/>
        </w:rPr>
      </w:pPr>
      <w:r w:rsidRPr="00D54BEB">
        <w:rPr>
          <w:b/>
          <w:bCs/>
          <w:szCs w:val="24"/>
        </w:rPr>
        <w:t>CONTACT:</w:t>
      </w:r>
      <w:r w:rsidRPr="00D54BEB">
        <w:rPr>
          <w:szCs w:val="24"/>
        </w:rPr>
        <w:tab/>
      </w:r>
      <w:r w:rsidRPr="00D54BEB" w:rsidR="002856E3">
        <w:rPr>
          <w:szCs w:val="24"/>
        </w:rPr>
        <w:t>Stephanie Cibinic</w:t>
      </w:r>
      <w:r w:rsidRPr="00D54BEB">
        <w:rPr>
          <w:szCs w:val="24"/>
        </w:rPr>
        <w:t xml:space="preserve"> (202-</w:t>
      </w:r>
      <w:r w:rsidRPr="00D54BEB" w:rsidR="002856E3">
        <w:rPr>
          <w:szCs w:val="24"/>
        </w:rPr>
        <w:t>229-6352</w:t>
      </w:r>
      <w:r w:rsidRPr="00D54BEB">
        <w:rPr>
          <w:szCs w:val="24"/>
        </w:rPr>
        <w:t>)</w:t>
      </w:r>
    </w:p>
    <w:p w:rsidR="00F34DED" w:rsidRPr="00D54BEB" w:rsidP="00F34DED" w14:paraId="66B9B531" w14:textId="77777777">
      <w:pPr>
        <w:rPr>
          <w:szCs w:val="24"/>
        </w:rPr>
      </w:pPr>
    </w:p>
    <w:p w:rsidR="009812CE" w:rsidP="001E7EDF" w14:paraId="4FCB18AF" w14:textId="46657A8B">
      <w:pPr>
        <w:rPr>
          <w:rFonts w:cs="Times New Roman"/>
          <w:szCs w:val="24"/>
        </w:rPr>
      </w:pPr>
      <w:r w:rsidRPr="00D54BEB">
        <w:rPr>
          <w:rFonts w:cs="Times New Roman"/>
          <w:szCs w:val="24"/>
        </w:rPr>
        <w:t>The Pension Benefit Guaranty Corporation (PBGC) is making a change to</w:t>
      </w:r>
      <w:r w:rsidRPr="00D54BEB" w:rsidR="00280C33">
        <w:rPr>
          <w:rFonts w:cs="Times New Roman"/>
          <w:szCs w:val="24"/>
        </w:rPr>
        <w:t xml:space="preserve"> the </w:t>
      </w:r>
      <w:r w:rsidRPr="00D54BEB" w:rsidR="006C6BAF">
        <w:rPr>
          <w:rFonts w:cs="Times New Roman"/>
          <w:szCs w:val="24"/>
        </w:rPr>
        <w:t>currently</w:t>
      </w:r>
      <w:r w:rsidR="002B710A">
        <w:rPr>
          <w:rFonts w:cs="Times New Roman"/>
          <w:szCs w:val="24"/>
        </w:rPr>
        <w:t>-</w:t>
      </w:r>
      <w:r w:rsidRPr="00D54BEB" w:rsidR="006C6BAF">
        <w:rPr>
          <w:rFonts w:cs="Times New Roman"/>
          <w:szCs w:val="24"/>
        </w:rPr>
        <w:t>approved</w:t>
      </w:r>
      <w:r w:rsidRPr="00D54BEB" w:rsidR="006C6BAF">
        <w:rPr>
          <w:rFonts w:cs="Times New Roman"/>
          <w:szCs w:val="24"/>
        </w:rPr>
        <w:t xml:space="preserve"> </w:t>
      </w:r>
      <w:r w:rsidRPr="00D54BEB">
        <w:rPr>
          <w:rFonts w:cs="Times New Roman"/>
          <w:szCs w:val="24"/>
        </w:rPr>
        <w:t xml:space="preserve">instructions </w:t>
      </w:r>
      <w:r w:rsidRPr="00D54BEB" w:rsidR="006B48D1">
        <w:rPr>
          <w:rFonts w:cs="Times New Roman"/>
          <w:szCs w:val="24"/>
        </w:rPr>
        <w:t xml:space="preserve">for </w:t>
      </w:r>
      <w:r w:rsidRPr="00D54BEB">
        <w:rPr>
          <w:rFonts w:cs="Times New Roman"/>
          <w:szCs w:val="24"/>
        </w:rPr>
        <w:t>one of its forms in this information collection</w:t>
      </w:r>
      <w:r w:rsidRPr="00D54BEB" w:rsidR="006C6BAF">
        <w:rPr>
          <w:rFonts w:cs="Times New Roman"/>
          <w:szCs w:val="24"/>
        </w:rPr>
        <w:t xml:space="preserve"> (ICR)</w:t>
      </w:r>
      <w:r w:rsidRPr="00D54BEB" w:rsidR="00CE1072">
        <w:rPr>
          <w:rFonts w:cs="Times New Roman"/>
          <w:szCs w:val="24"/>
        </w:rPr>
        <w:t xml:space="preserve">.  </w:t>
      </w:r>
      <w:r w:rsidRPr="00D54BEB" w:rsidR="001E7EDF">
        <w:rPr>
          <w:rFonts w:cs="Times New Roman"/>
          <w:szCs w:val="24"/>
        </w:rPr>
        <w:t xml:space="preserve">The Missing Participants </w:t>
      </w:r>
      <w:r w:rsidRPr="00D54BEB" w:rsidR="006C6BAF">
        <w:rPr>
          <w:rFonts w:cs="Times New Roman"/>
          <w:szCs w:val="24"/>
        </w:rPr>
        <w:t>ICR</w:t>
      </w:r>
      <w:r w:rsidRPr="00D54BEB" w:rsidR="001E7EDF">
        <w:rPr>
          <w:rFonts w:cs="Times New Roman"/>
          <w:szCs w:val="24"/>
        </w:rPr>
        <w:t xml:space="preserve"> consists of forms and instructions </w:t>
      </w:r>
      <w:r w:rsidRPr="00D54BEB" w:rsidR="001E13A9">
        <w:rPr>
          <w:rFonts w:cs="Times New Roman"/>
          <w:szCs w:val="24"/>
        </w:rPr>
        <w:t xml:space="preserve">used </w:t>
      </w:r>
      <w:r w:rsidRPr="00D54BEB" w:rsidR="00BD5CFE">
        <w:rPr>
          <w:rFonts w:cs="Times New Roman"/>
          <w:szCs w:val="24"/>
        </w:rPr>
        <w:t>by</w:t>
      </w:r>
      <w:r w:rsidRPr="00D54BEB" w:rsidR="00F00B0B">
        <w:rPr>
          <w:rFonts w:cs="Times New Roman"/>
          <w:szCs w:val="24"/>
        </w:rPr>
        <w:t xml:space="preserve"> th</w:t>
      </w:r>
      <w:r w:rsidRPr="00D54BEB" w:rsidR="001E7EDF">
        <w:rPr>
          <w:rFonts w:cs="Times New Roman"/>
          <w:szCs w:val="24"/>
        </w:rPr>
        <w:t xml:space="preserve">e four types of plans that are eligible to participate in </w:t>
      </w:r>
      <w:r w:rsidRPr="00D54BEB" w:rsidR="00345A41">
        <w:rPr>
          <w:rFonts w:cs="Times New Roman"/>
          <w:szCs w:val="24"/>
        </w:rPr>
        <w:t>PBGC’s</w:t>
      </w:r>
      <w:r w:rsidRPr="00D54BEB" w:rsidR="001E7EDF">
        <w:rPr>
          <w:rFonts w:cs="Times New Roman"/>
          <w:szCs w:val="24"/>
        </w:rPr>
        <w:t xml:space="preserve"> Missing Participants Program.</w:t>
      </w:r>
      <w:r w:rsidRPr="00D54BEB" w:rsidR="00DA1EB6">
        <w:rPr>
          <w:rFonts w:cs="Times New Roman"/>
          <w:szCs w:val="24"/>
        </w:rPr>
        <w:t xml:space="preserve">  </w:t>
      </w:r>
      <w:r w:rsidRPr="00A76D38" w:rsidR="00A76D38">
        <w:rPr>
          <w:rFonts w:cs="Times New Roman"/>
          <w:szCs w:val="24"/>
        </w:rPr>
        <w:t xml:space="preserve">Title IV of </w:t>
      </w:r>
      <w:r w:rsidR="00A76D38">
        <w:rPr>
          <w:rFonts w:cs="Times New Roman"/>
          <w:szCs w:val="24"/>
        </w:rPr>
        <w:t>the Employee Retirement Income Security Act (</w:t>
      </w:r>
      <w:r w:rsidRPr="00A76D38" w:rsidR="00A76D38">
        <w:rPr>
          <w:rFonts w:cs="Times New Roman"/>
          <w:szCs w:val="24"/>
        </w:rPr>
        <w:t>ERISA</w:t>
      </w:r>
      <w:r w:rsidR="00A76D38">
        <w:rPr>
          <w:rFonts w:cs="Times New Roman"/>
          <w:szCs w:val="24"/>
        </w:rPr>
        <w:t>)</w:t>
      </w:r>
      <w:r w:rsidRPr="00A76D38" w:rsidR="00A76D38">
        <w:rPr>
          <w:rFonts w:cs="Times New Roman"/>
          <w:szCs w:val="24"/>
        </w:rPr>
        <w:t xml:space="preserve"> includes a provision (section 4050 of ERISA) under which PBGC holds retirement benefits for missing participants and beneficiaries in terminated pension plans and seeks to reunite those participants and beneficiaries with the benefits being held for them.</w:t>
      </w:r>
      <w:r w:rsidR="000F7BD8">
        <w:rPr>
          <w:rFonts w:cs="Times New Roman"/>
          <w:szCs w:val="24"/>
        </w:rPr>
        <w:t xml:space="preserve">  </w:t>
      </w:r>
    </w:p>
    <w:p w:rsidR="009812CE" w:rsidP="001E7EDF" w14:paraId="427FA800" w14:textId="77777777">
      <w:pPr>
        <w:rPr>
          <w:rFonts w:cs="Times New Roman"/>
          <w:szCs w:val="24"/>
        </w:rPr>
      </w:pPr>
    </w:p>
    <w:p w:rsidR="001E7EDF" w:rsidRPr="00D54BEB" w:rsidP="001E7EDF" w14:paraId="46CF6E90" w14:textId="18A7FDFC">
      <w:pPr>
        <w:rPr>
          <w:rFonts w:cs="Times New Roman"/>
          <w:szCs w:val="24"/>
        </w:rPr>
      </w:pPr>
      <w:r w:rsidRPr="00D54BEB">
        <w:rPr>
          <w:rFonts w:cs="Times New Roman"/>
          <w:szCs w:val="24"/>
        </w:rPr>
        <w:t>PBGC</w:t>
      </w:r>
      <w:r w:rsidR="009B337B">
        <w:rPr>
          <w:rFonts w:cs="Times New Roman"/>
          <w:szCs w:val="24"/>
        </w:rPr>
        <w:t xml:space="preserve">’s regulations at 29 CFR </w:t>
      </w:r>
      <w:r w:rsidR="000F7BD8">
        <w:rPr>
          <w:rFonts w:cs="Times New Roman"/>
          <w:szCs w:val="24"/>
        </w:rPr>
        <w:t xml:space="preserve">part </w:t>
      </w:r>
      <w:r w:rsidR="009B337B">
        <w:rPr>
          <w:rFonts w:cs="Times New Roman"/>
          <w:szCs w:val="24"/>
        </w:rPr>
        <w:t>4050 provide th</w:t>
      </w:r>
      <w:r w:rsidR="001E3B4D">
        <w:rPr>
          <w:rFonts w:cs="Times New Roman"/>
          <w:szCs w:val="24"/>
        </w:rPr>
        <w:t xml:space="preserve">at plans must file with PBGC the information </w:t>
      </w:r>
      <w:r w:rsidR="009812CE">
        <w:rPr>
          <w:rFonts w:cs="Times New Roman"/>
          <w:szCs w:val="24"/>
        </w:rPr>
        <w:t>specified</w:t>
      </w:r>
      <w:r w:rsidR="001E3B4D">
        <w:rPr>
          <w:rFonts w:cs="Times New Roman"/>
          <w:szCs w:val="24"/>
        </w:rPr>
        <w:t xml:space="preserve"> in the forms and instructions.</w:t>
      </w:r>
      <w:r w:rsidR="009812CE">
        <w:rPr>
          <w:rFonts w:cs="Times New Roman"/>
          <w:szCs w:val="24"/>
        </w:rPr>
        <w:t xml:space="preserve">  </w:t>
      </w:r>
      <w:r w:rsidR="006A1716">
        <w:rPr>
          <w:rFonts w:cs="Times New Roman"/>
          <w:szCs w:val="24"/>
        </w:rPr>
        <w:t>PBGC</w:t>
      </w:r>
      <w:r w:rsidRPr="00D54BEB">
        <w:rPr>
          <w:rFonts w:cs="Times New Roman"/>
          <w:szCs w:val="24"/>
        </w:rPr>
        <w:t xml:space="preserve"> needs </w:t>
      </w:r>
      <w:r w:rsidR="00067AA0">
        <w:rPr>
          <w:rFonts w:cs="Times New Roman"/>
          <w:szCs w:val="24"/>
        </w:rPr>
        <w:t xml:space="preserve">this </w:t>
      </w:r>
      <w:r w:rsidRPr="00D54BEB">
        <w:rPr>
          <w:rFonts w:cs="Times New Roman"/>
          <w:szCs w:val="24"/>
        </w:rPr>
        <w:t xml:space="preserve">information to identify the plans and the missing participants and beneficiaries, to search for missing participants and beneficiaries, </w:t>
      </w:r>
      <w:r w:rsidR="002D394C">
        <w:rPr>
          <w:rFonts w:cs="Times New Roman"/>
          <w:szCs w:val="24"/>
        </w:rPr>
        <w:t xml:space="preserve">and </w:t>
      </w:r>
      <w:r w:rsidRPr="00D54BEB">
        <w:rPr>
          <w:rFonts w:cs="Times New Roman"/>
          <w:szCs w:val="24"/>
        </w:rPr>
        <w:t>to determine the persons entitled to benefits that the plans transfer to PBGC and the form and</w:t>
      </w:r>
      <w:r w:rsidR="002B1432">
        <w:rPr>
          <w:rFonts w:cs="Times New Roman"/>
          <w:szCs w:val="24"/>
        </w:rPr>
        <w:t xml:space="preserve"> </w:t>
      </w:r>
      <w:r w:rsidRPr="00D54BEB">
        <w:rPr>
          <w:rFonts w:cs="Times New Roman"/>
          <w:szCs w:val="24"/>
        </w:rPr>
        <w:t>amount of benefits payable</w:t>
      </w:r>
      <w:r w:rsidR="00E15348">
        <w:rPr>
          <w:rFonts w:cs="Times New Roman"/>
          <w:szCs w:val="24"/>
        </w:rPr>
        <w:t xml:space="preserve"> to them</w:t>
      </w:r>
      <w:r w:rsidRPr="00D54BEB">
        <w:rPr>
          <w:rFonts w:cs="Times New Roman"/>
          <w:szCs w:val="24"/>
        </w:rPr>
        <w:t>.</w:t>
      </w:r>
    </w:p>
    <w:p w:rsidR="001E7EDF" w:rsidRPr="00D54BEB" w:rsidP="001E7EDF" w14:paraId="63D088C2" w14:textId="77777777">
      <w:pPr>
        <w:rPr>
          <w:rFonts w:cs="Times New Roman"/>
          <w:szCs w:val="24"/>
        </w:rPr>
      </w:pPr>
    </w:p>
    <w:p w:rsidR="00353DFE" w:rsidRPr="00D54BEB" w:rsidP="00353DFE" w14:paraId="366EF977" w14:textId="36DACFFA">
      <w:pPr>
        <w:rPr>
          <w:rFonts w:cs="Times New Roman"/>
          <w:szCs w:val="24"/>
        </w:rPr>
      </w:pPr>
      <w:r w:rsidRPr="00D54BEB">
        <w:rPr>
          <w:rFonts w:cs="Times New Roman"/>
          <w:szCs w:val="24"/>
        </w:rPr>
        <w:t>PBGC is</w:t>
      </w:r>
      <w:r w:rsidRPr="00D54BEB" w:rsidR="00F63DF7">
        <w:rPr>
          <w:rFonts w:cs="Times New Roman"/>
          <w:szCs w:val="24"/>
        </w:rPr>
        <w:t xml:space="preserve"> </w:t>
      </w:r>
      <w:r w:rsidRPr="00D54BEB" w:rsidR="00F00B0B">
        <w:rPr>
          <w:rFonts w:cs="Times New Roman"/>
          <w:szCs w:val="24"/>
        </w:rPr>
        <w:t>modifying</w:t>
      </w:r>
      <w:r w:rsidRPr="00D54BEB">
        <w:rPr>
          <w:rFonts w:cs="Times New Roman"/>
          <w:szCs w:val="24"/>
        </w:rPr>
        <w:t xml:space="preserve"> t</w:t>
      </w:r>
      <w:r w:rsidRPr="00D54BEB" w:rsidR="0052791C">
        <w:rPr>
          <w:rFonts w:cs="Times New Roman"/>
          <w:szCs w:val="24"/>
        </w:rPr>
        <w:t xml:space="preserve">he </w:t>
      </w:r>
      <w:r w:rsidRPr="00D54BEB" w:rsidR="001E7EDF">
        <w:rPr>
          <w:rFonts w:cs="Times New Roman"/>
          <w:szCs w:val="24"/>
        </w:rPr>
        <w:t>instructions</w:t>
      </w:r>
      <w:r w:rsidRPr="00D54BEB" w:rsidR="00A54978">
        <w:rPr>
          <w:rFonts w:cs="Times New Roman"/>
          <w:szCs w:val="24"/>
        </w:rPr>
        <w:t xml:space="preserve"> to </w:t>
      </w:r>
      <w:r w:rsidRPr="00D54BEB" w:rsidR="00024CBE">
        <w:rPr>
          <w:rFonts w:cs="Times New Roman"/>
          <w:szCs w:val="24"/>
        </w:rPr>
        <w:t>the Form MP-</w:t>
      </w:r>
      <w:r w:rsidRPr="00D54BEB" w:rsidR="00F00B0B">
        <w:rPr>
          <w:rFonts w:cs="Times New Roman"/>
          <w:szCs w:val="24"/>
        </w:rPr>
        <w:t>2</w:t>
      </w:r>
      <w:r w:rsidRPr="00D54BEB" w:rsidR="00024CBE">
        <w:rPr>
          <w:rFonts w:cs="Times New Roman"/>
          <w:szCs w:val="24"/>
        </w:rPr>
        <w:t>00</w:t>
      </w:r>
      <w:r w:rsidRPr="00D54BEB">
        <w:rPr>
          <w:rFonts w:cs="Times New Roman"/>
          <w:szCs w:val="24"/>
        </w:rPr>
        <w:t xml:space="preserve">, Missing Participants Program Filing Instructions for Defined </w:t>
      </w:r>
      <w:r w:rsidRPr="00D54BEB" w:rsidR="00F00B0B">
        <w:rPr>
          <w:rFonts w:cs="Times New Roman"/>
          <w:szCs w:val="24"/>
        </w:rPr>
        <w:t>Contribution</w:t>
      </w:r>
      <w:r w:rsidRPr="00D54BEB">
        <w:rPr>
          <w:rFonts w:cs="Times New Roman"/>
          <w:szCs w:val="24"/>
        </w:rPr>
        <w:t xml:space="preserve"> Plans</w:t>
      </w:r>
      <w:r w:rsidR="004D0AFF">
        <w:rPr>
          <w:rFonts w:cs="Times New Roman"/>
          <w:szCs w:val="24"/>
        </w:rPr>
        <w:t xml:space="preserve"> for clarity.  </w:t>
      </w:r>
      <w:r w:rsidR="00430AB7">
        <w:rPr>
          <w:rFonts w:cs="Times New Roman"/>
          <w:szCs w:val="24"/>
        </w:rPr>
        <w:t>On page</w:t>
      </w:r>
      <w:r w:rsidR="002D335E">
        <w:rPr>
          <w:rFonts w:cs="Times New Roman"/>
          <w:szCs w:val="24"/>
        </w:rPr>
        <w:t>s</w:t>
      </w:r>
      <w:r w:rsidR="00430AB7">
        <w:rPr>
          <w:rFonts w:cs="Times New Roman"/>
          <w:szCs w:val="24"/>
        </w:rPr>
        <w:t xml:space="preserve"> 2</w:t>
      </w:r>
      <w:r w:rsidR="00C6768B">
        <w:rPr>
          <w:rFonts w:cs="Times New Roman"/>
          <w:szCs w:val="24"/>
        </w:rPr>
        <w:t xml:space="preserve"> and 11</w:t>
      </w:r>
      <w:r w:rsidR="00430AB7">
        <w:rPr>
          <w:rFonts w:cs="Times New Roman"/>
          <w:szCs w:val="24"/>
        </w:rPr>
        <w:t>, w</w:t>
      </w:r>
      <w:r w:rsidR="004D0AFF">
        <w:rPr>
          <w:rFonts w:cs="Times New Roman"/>
          <w:szCs w:val="24"/>
        </w:rPr>
        <w:t xml:space="preserve">e are including </w:t>
      </w:r>
      <w:r w:rsidR="004B1725">
        <w:rPr>
          <w:rFonts w:cs="Times New Roman"/>
          <w:szCs w:val="24"/>
        </w:rPr>
        <w:t xml:space="preserve">clarifying </w:t>
      </w:r>
      <w:r w:rsidR="004D0AFF">
        <w:rPr>
          <w:rFonts w:cs="Times New Roman"/>
          <w:szCs w:val="24"/>
        </w:rPr>
        <w:t xml:space="preserve">language </w:t>
      </w:r>
      <w:r w:rsidR="005A1EB3">
        <w:rPr>
          <w:rFonts w:cs="Times New Roman"/>
          <w:szCs w:val="24"/>
        </w:rPr>
        <w:t>similar to</w:t>
      </w:r>
      <w:r w:rsidR="005A1EB3">
        <w:rPr>
          <w:rFonts w:cs="Times New Roman"/>
          <w:szCs w:val="24"/>
        </w:rPr>
        <w:t xml:space="preserve"> that in</w:t>
      </w:r>
      <w:r w:rsidR="004D0AFF">
        <w:rPr>
          <w:rFonts w:cs="Times New Roman"/>
          <w:szCs w:val="24"/>
        </w:rPr>
        <w:t xml:space="preserve"> the preamble of the </w:t>
      </w:r>
      <w:r w:rsidR="00A55C55">
        <w:rPr>
          <w:rFonts w:cs="Times New Roman"/>
          <w:szCs w:val="24"/>
        </w:rPr>
        <w:t xml:space="preserve">December 2017 </w:t>
      </w:r>
      <w:r w:rsidR="004D0AFF">
        <w:rPr>
          <w:rFonts w:cs="Times New Roman"/>
          <w:szCs w:val="24"/>
        </w:rPr>
        <w:t>final rule</w:t>
      </w:r>
      <w:r w:rsidR="007E227C">
        <w:rPr>
          <w:rFonts w:cs="Times New Roman"/>
          <w:szCs w:val="24"/>
        </w:rPr>
        <w:t xml:space="preserve"> (82 FR 6</w:t>
      </w:r>
      <w:r w:rsidR="00355D01">
        <w:rPr>
          <w:rFonts w:cs="Times New Roman"/>
          <w:szCs w:val="24"/>
        </w:rPr>
        <w:t>0</w:t>
      </w:r>
      <w:r w:rsidR="007E227C">
        <w:rPr>
          <w:rFonts w:cs="Times New Roman"/>
          <w:szCs w:val="24"/>
        </w:rPr>
        <w:t>800)</w:t>
      </w:r>
      <w:r w:rsidR="004D0AFF">
        <w:rPr>
          <w:rFonts w:cs="Times New Roman"/>
          <w:szCs w:val="24"/>
        </w:rPr>
        <w:t xml:space="preserve"> </w:t>
      </w:r>
      <w:r w:rsidR="004B1725">
        <w:rPr>
          <w:rFonts w:cs="Times New Roman"/>
          <w:szCs w:val="24"/>
        </w:rPr>
        <w:t xml:space="preserve">regarding </w:t>
      </w:r>
      <w:r w:rsidR="004D0AFF">
        <w:rPr>
          <w:rFonts w:cs="Times New Roman"/>
          <w:szCs w:val="24"/>
        </w:rPr>
        <w:t xml:space="preserve">the amount to transfer </w:t>
      </w:r>
      <w:r w:rsidR="00430AB7">
        <w:rPr>
          <w:rFonts w:cs="Times New Roman"/>
          <w:szCs w:val="24"/>
        </w:rPr>
        <w:t xml:space="preserve">in the case of an uncashed </w:t>
      </w:r>
      <w:r w:rsidR="00481AFD">
        <w:rPr>
          <w:rFonts w:cs="Times New Roman"/>
          <w:szCs w:val="24"/>
        </w:rPr>
        <w:t xml:space="preserve">distribution </w:t>
      </w:r>
      <w:r w:rsidR="00430AB7">
        <w:rPr>
          <w:rFonts w:cs="Times New Roman"/>
          <w:szCs w:val="24"/>
        </w:rPr>
        <w:t>check.  On page 11, we are clarifying that</w:t>
      </w:r>
      <w:r w:rsidR="001C7508">
        <w:rPr>
          <w:rFonts w:cs="Times New Roman"/>
          <w:szCs w:val="24"/>
        </w:rPr>
        <w:t xml:space="preserve"> the portion of the missing participant’s benefit attributable to</w:t>
      </w:r>
      <w:r w:rsidR="00430AB7">
        <w:rPr>
          <w:rFonts w:cs="Times New Roman"/>
          <w:szCs w:val="24"/>
        </w:rPr>
        <w:t xml:space="preserve"> </w:t>
      </w:r>
      <w:r w:rsidR="008B3AA6">
        <w:rPr>
          <w:rFonts w:cs="Times New Roman"/>
          <w:szCs w:val="24"/>
        </w:rPr>
        <w:t>“pre-tax contributions” includes employer and employee contributions</w:t>
      </w:r>
      <w:r w:rsidR="001C7508">
        <w:rPr>
          <w:rFonts w:cs="Times New Roman"/>
          <w:szCs w:val="24"/>
        </w:rPr>
        <w:t>, and that</w:t>
      </w:r>
      <w:r w:rsidR="008B0ADA">
        <w:rPr>
          <w:rFonts w:cs="Times New Roman"/>
          <w:szCs w:val="24"/>
        </w:rPr>
        <w:t xml:space="preserve"> the portion attributable to “post-tax contributions”</w:t>
      </w:r>
      <w:r w:rsidR="004E5661">
        <w:rPr>
          <w:rFonts w:cs="Times New Roman"/>
          <w:szCs w:val="24"/>
        </w:rPr>
        <w:t xml:space="preserve"> that are Roth con</w:t>
      </w:r>
      <w:r w:rsidR="004928A5">
        <w:rPr>
          <w:rFonts w:cs="Times New Roman"/>
          <w:szCs w:val="24"/>
        </w:rPr>
        <w:t>tributions include investment earnings on those contributions.</w:t>
      </w:r>
    </w:p>
    <w:p w:rsidR="00353DFE" w:rsidRPr="00D54BEB" w:rsidP="00353DFE" w14:paraId="769B4765" w14:textId="77777777">
      <w:pPr>
        <w:rPr>
          <w:rFonts w:cs="Times New Roman"/>
          <w:szCs w:val="24"/>
        </w:rPr>
      </w:pPr>
    </w:p>
    <w:p w:rsidR="00F35317" w:rsidRPr="004D4FEB" w:rsidP="004D4FEB" w14:paraId="72C457A8" w14:textId="477BE41D">
      <w:pPr>
        <w:pStyle w:val="ListParagraph"/>
        <w:numPr>
          <w:ilvl w:val="0"/>
          <w:numId w:val="3"/>
        </w:numPr>
        <w:rPr>
          <w:rFonts w:cs="Times New Roman"/>
          <w:b/>
          <w:bCs/>
          <w:szCs w:val="24"/>
        </w:rPr>
      </w:pPr>
      <w:r w:rsidRPr="004D4FEB">
        <w:rPr>
          <w:rFonts w:cs="Times New Roman"/>
          <w:b/>
          <w:bCs/>
          <w:szCs w:val="24"/>
        </w:rPr>
        <w:t>Change to Instruction to Form MP-200 (page</w:t>
      </w:r>
      <w:r w:rsidRPr="004D4FEB">
        <w:rPr>
          <w:rFonts w:cs="Times New Roman"/>
          <w:b/>
          <w:bCs/>
          <w:szCs w:val="24"/>
        </w:rPr>
        <w:t xml:space="preserve"> 2</w:t>
      </w:r>
      <w:r w:rsidRPr="004D4FEB" w:rsidR="001229FA">
        <w:rPr>
          <w:rFonts w:cs="Times New Roman"/>
          <w:b/>
          <w:bCs/>
          <w:szCs w:val="24"/>
        </w:rPr>
        <w:t>):</w:t>
      </w:r>
    </w:p>
    <w:p w:rsidR="00F35317" w:rsidRPr="00F35317" w:rsidP="00F35317" w14:paraId="1E04CCE4" w14:textId="77777777">
      <w:pPr>
        <w:widowControl w:val="0"/>
        <w:autoSpaceDE w:val="0"/>
        <w:autoSpaceDN w:val="0"/>
        <w:ind w:left="109"/>
        <w:outlineLvl w:val="0"/>
        <w:rPr>
          <w:rFonts w:ascii="Calibri" w:eastAsia="Calibri" w:hAnsi="Calibri" w:cs="Calibri"/>
          <w:b/>
          <w:bCs/>
          <w:sz w:val="22"/>
        </w:rPr>
      </w:pPr>
      <w:r w:rsidRPr="00F35317">
        <w:rPr>
          <w:rFonts w:ascii="Calibri" w:eastAsia="Calibri" w:hAnsi="Calibri" w:cs="Calibri"/>
          <w:b/>
          <w:bCs/>
          <w:sz w:val="22"/>
        </w:rPr>
        <w:t>Unaccepted</w:t>
      </w:r>
      <w:r w:rsidRPr="00F35317">
        <w:rPr>
          <w:rFonts w:ascii="Calibri" w:eastAsia="Calibri" w:hAnsi="Calibri" w:cs="Calibri"/>
          <w:b/>
          <w:bCs/>
          <w:spacing w:val="-10"/>
          <w:sz w:val="22"/>
        </w:rPr>
        <w:t xml:space="preserve"> </w:t>
      </w:r>
      <w:r w:rsidRPr="00F35317">
        <w:rPr>
          <w:rFonts w:ascii="Calibri" w:eastAsia="Calibri" w:hAnsi="Calibri" w:cs="Calibri"/>
          <w:b/>
          <w:bCs/>
          <w:sz w:val="22"/>
        </w:rPr>
        <w:t>lump</w:t>
      </w:r>
      <w:r w:rsidRPr="00F35317">
        <w:rPr>
          <w:rFonts w:ascii="Calibri" w:eastAsia="Calibri" w:hAnsi="Calibri" w:cs="Calibri"/>
          <w:b/>
          <w:bCs/>
          <w:spacing w:val="-9"/>
          <w:sz w:val="22"/>
        </w:rPr>
        <w:t xml:space="preserve"> </w:t>
      </w:r>
      <w:r w:rsidRPr="00F35317">
        <w:rPr>
          <w:rFonts w:ascii="Calibri" w:eastAsia="Calibri" w:hAnsi="Calibri" w:cs="Calibri"/>
          <w:b/>
          <w:bCs/>
          <w:sz w:val="22"/>
        </w:rPr>
        <w:t>sum</w:t>
      </w:r>
      <w:r w:rsidRPr="00F35317">
        <w:rPr>
          <w:rFonts w:ascii="Calibri" w:eastAsia="Calibri" w:hAnsi="Calibri" w:cs="Calibri"/>
          <w:b/>
          <w:bCs/>
          <w:spacing w:val="-8"/>
          <w:sz w:val="22"/>
        </w:rPr>
        <w:t xml:space="preserve"> </w:t>
      </w:r>
      <w:r w:rsidRPr="00F35317">
        <w:rPr>
          <w:rFonts w:ascii="Calibri" w:eastAsia="Calibri" w:hAnsi="Calibri" w:cs="Calibri"/>
          <w:b/>
          <w:bCs/>
          <w:spacing w:val="-2"/>
          <w:sz w:val="22"/>
        </w:rPr>
        <w:t>payments</w:t>
      </w:r>
    </w:p>
    <w:p w:rsidR="00F35317" w:rsidRPr="00F35317" w:rsidP="00F35317" w14:paraId="39351A13" w14:textId="77777777">
      <w:pPr>
        <w:spacing w:after="120"/>
        <w:ind w:left="109"/>
        <w:rPr>
          <w:rFonts w:ascii="Calibri" w:eastAsia="Calibri" w:hAnsi="Calibri" w:cs="Calibri"/>
          <w:sz w:val="22"/>
        </w:rPr>
      </w:pPr>
      <w:r w:rsidRPr="00F35317">
        <w:rPr>
          <w:rFonts w:ascii="Calibri" w:eastAsia="Calibri" w:hAnsi="Calibri" w:cs="Calibri"/>
          <w:sz w:val="22"/>
        </w:rPr>
        <w:t>If</w:t>
      </w:r>
      <w:r w:rsidRPr="00F35317">
        <w:rPr>
          <w:rFonts w:ascii="Calibri" w:eastAsia="Calibri" w:hAnsi="Calibri" w:cs="Calibri"/>
          <w:spacing w:val="-2"/>
          <w:sz w:val="22"/>
        </w:rPr>
        <w:t xml:space="preserve"> </w:t>
      </w:r>
      <w:r w:rsidRPr="00F35317">
        <w:rPr>
          <w:rFonts w:ascii="Calibri" w:eastAsia="Calibri" w:hAnsi="Calibri" w:cs="Calibri"/>
          <w:sz w:val="22"/>
        </w:rPr>
        <w:t>a</w:t>
      </w:r>
      <w:r w:rsidRPr="00F35317">
        <w:rPr>
          <w:rFonts w:ascii="Calibri" w:eastAsia="Calibri" w:hAnsi="Calibri" w:cs="Calibri"/>
          <w:spacing w:val="-2"/>
          <w:sz w:val="22"/>
        </w:rPr>
        <w:t xml:space="preserve"> </w:t>
      </w:r>
      <w:r w:rsidRPr="00F35317">
        <w:rPr>
          <w:rFonts w:ascii="Calibri" w:eastAsia="Calibri" w:hAnsi="Calibri" w:cs="Calibri"/>
          <w:sz w:val="22"/>
        </w:rPr>
        <w:t>check</w:t>
      </w:r>
      <w:r w:rsidRPr="00F35317">
        <w:rPr>
          <w:rFonts w:ascii="Calibri" w:eastAsia="Calibri" w:hAnsi="Calibri" w:cs="Calibri"/>
          <w:spacing w:val="-2"/>
          <w:sz w:val="22"/>
        </w:rPr>
        <w:t xml:space="preserve"> </w:t>
      </w:r>
      <w:r w:rsidRPr="00F35317">
        <w:rPr>
          <w:rFonts w:ascii="Calibri" w:eastAsia="Calibri" w:hAnsi="Calibri" w:cs="Calibri"/>
          <w:sz w:val="22"/>
        </w:rPr>
        <w:t>issued</w:t>
      </w:r>
      <w:r w:rsidRPr="00F35317">
        <w:rPr>
          <w:rFonts w:ascii="Calibri" w:eastAsia="Calibri" w:hAnsi="Calibri" w:cs="Calibri"/>
          <w:spacing w:val="-2"/>
          <w:sz w:val="22"/>
        </w:rPr>
        <w:t xml:space="preserve"> </w:t>
      </w:r>
      <w:r w:rsidRPr="00F35317">
        <w:rPr>
          <w:rFonts w:ascii="Calibri" w:eastAsia="Calibri" w:hAnsi="Calibri" w:cs="Calibri"/>
          <w:sz w:val="22"/>
        </w:rPr>
        <w:t>to a</w:t>
      </w:r>
      <w:r w:rsidRPr="00F35317">
        <w:rPr>
          <w:rFonts w:ascii="Calibri" w:eastAsia="Calibri" w:hAnsi="Calibri" w:cs="Calibri"/>
          <w:spacing w:val="-2"/>
          <w:sz w:val="22"/>
        </w:rPr>
        <w:t xml:space="preserve"> </w:t>
      </w:r>
      <w:r w:rsidRPr="00F35317">
        <w:rPr>
          <w:rFonts w:ascii="Calibri" w:eastAsia="Calibri" w:hAnsi="Calibri" w:cs="Calibri"/>
          <w:sz w:val="22"/>
        </w:rPr>
        <w:t>distributee</w:t>
      </w:r>
      <w:r w:rsidRPr="00F35317">
        <w:rPr>
          <w:rFonts w:ascii="Calibri" w:eastAsia="Calibri" w:hAnsi="Calibri" w:cs="Calibri"/>
          <w:spacing w:val="-1"/>
          <w:sz w:val="22"/>
        </w:rPr>
        <w:t xml:space="preserve"> </w:t>
      </w:r>
      <w:r w:rsidRPr="00F35317">
        <w:rPr>
          <w:rFonts w:ascii="Calibri" w:eastAsia="Calibri" w:hAnsi="Calibri" w:cs="Calibri"/>
          <w:sz w:val="22"/>
        </w:rPr>
        <w:t>by</w:t>
      </w:r>
      <w:r w:rsidRPr="00F35317">
        <w:rPr>
          <w:rFonts w:ascii="Calibri" w:eastAsia="Calibri" w:hAnsi="Calibri" w:cs="Calibri"/>
          <w:spacing w:val="-1"/>
          <w:sz w:val="22"/>
        </w:rPr>
        <w:t xml:space="preserve"> </w:t>
      </w:r>
      <w:r w:rsidRPr="00F35317">
        <w:rPr>
          <w:rFonts w:ascii="Calibri" w:eastAsia="Calibri" w:hAnsi="Calibri" w:cs="Calibri"/>
          <w:sz w:val="22"/>
        </w:rPr>
        <w:t>the</w:t>
      </w:r>
      <w:r w:rsidRPr="00F35317">
        <w:rPr>
          <w:rFonts w:ascii="Calibri" w:eastAsia="Calibri" w:hAnsi="Calibri" w:cs="Calibri"/>
          <w:spacing w:val="-1"/>
          <w:sz w:val="22"/>
        </w:rPr>
        <w:t xml:space="preserve"> </w:t>
      </w:r>
      <w:r w:rsidRPr="00F35317">
        <w:rPr>
          <w:rFonts w:ascii="Calibri" w:eastAsia="Calibri" w:hAnsi="Calibri" w:cs="Calibri"/>
          <w:sz w:val="22"/>
        </w:rPr>
        <w:t>plan</w:t>
      </w:r>
      <w:r w:rsidRPr="00F35317">
        <w:rPr>
          <w:rFonts w:ascii="Calibri" w:eastAsia="Calibri" w:hAnsi="Calibri" w:cs="Calibri"/>
          <w:spacing w:val="-2"/>
          <w:sz w:val="22"/>
        </w:rPr>
        <w:t xml:space="preserve"> </w:t>
      </w:r>
      <w:r w:rsidRPr="00F35317">
        <w:rPr>
          <w:rFonts w:ascii="Calibri" w:eastAsia="Calibri" w:hAnsi="Calibri" w:cs="Calibri"/>
          <w:sz w:val="22"/>
        </w:rPr>
        <w:t>remains uncashed</w:t>
      </w:r>
      <w:r w:rsidRPr="00F35317">
        <w:rPr>
          <w:rFonts w:ascii="Calibri" w:eastAsia="Calibri" w:hAnsi="Calibri" w:cs="Calibri"/>
          <w:spacing w:val="-2"/>
          <w:sz w:val="22"/>
        </w:rPr>
        <w:t xml:space="preserve"> </w:t>
      </w:r>
      <w:r w:rsidRPr="00F35317">
        <w:rPr>
          <w:rFonts w:ascii="Calibri" w:eastAsia="Calibri" w:hAnsi="Calibri" w:cs="Calibri"/>
          <w:sz w:val="22"/>
        </w:rPr>
        <w:t>by the</w:t>
      </w:r>
      <w:r w:rsidRPr="00F35317">
        <w:rPr>
          <w:rFonts w:ascii="Calibri" w:eastAsia="Calibri" w:hAnsi="Calibri" w:cs="Calibri"/>
          <w:spacing w:val="-2"/>
          <w:sz w:val="22"/>
        </w:rPr>
        <w:t xml:space="preserve"> </w:t>
      </w:r>
      <w:r w:rsidRPr="00F35317">
        <w:rPr>
          <w:rFonts w:ascii="Calibri" w:eastAsia="Calibri" w:hAnsi="Calibri" w:cs="Calibri"/>
          <w:sz w:val="22"/>
        </w:rPr>
        <w:t>“cash-by” date</w:t>
      </w:r>
      <w:r w:rsidRPr="00F35317">
        <w:rPr>
          <w:rFonts w:ascii="Calibri" w:eastAsia="Calibri" w:hAnsi="Calibri" w:cs="Calibri"/>
          <w:spacing w:val="-1"/>
          <w:sz w:val="22"/>
        </w:rPr>
        <w:t xml:space="preserve"> </w:t>
      </w:r>
      <w:r w:rsidRPr="00F35317">
        <w:rPr>
          <w:rFonts w:ascii="Calibri" w:eastAsia="Calibri" w:hAnsi="Calibri" w:cs="Calibri"/>
          <w:sz w:val="22"/>
        </w:rPr>
        <w:t>on</w:t>
      </w:r>
      <w:r w:rsidRPr="00F35317">
        <w:rPr>
          <w:rFonts w:ascii="Calibri" w:eastAsia="Calibri" w:hAnsi="Calibri" w:cs="Calibri"/>
          <w:spacing w:val="-2"/>
          <w:sz w:val="22"/>
        </w:rPr>
        <w:t xml:space="preserve"> </w:t>
      </w:r>
      <w:r w:rsidRPr="00F35317">
        <w:rPr>
          <w:rFonts w:ascii="Calibri" w:eastAsia="Calibri" w:hAnsi="Calibri" w:cs="Calibri"/>
          <w:sz w:val="22"/>
        </w:rPr>
        <w:t>the</w:t>
      </w:r>
      <w:r w:rsidRPr="00F35317">
        <w:rPr>
          <w:rFonts w:ascii="Calibri" w:eastAsia="Calibri" w:hAnsi="Calibri" w:cs="Calibri"/>
          <w:spacing w:val="-1"/>
          <w:sz w:val="22"/>
        </w:rPr>
        <w:t xml:space="preserve"> </w:t>
      </w:r>
      <w:r w:rsidRPr="00F35317">
        <w:rPr>
          <w:rFonts w:ascii="Calibri" w:eastAsia="Calibri" w:hAnsi="Calibri" w:cs="Calibri"/>
          <w:sz w:val="22"/>
        </w:rPr>
        <w:t>check</w:t>
      </w:r>
      <w:r w:rsidRPr="00F35317">
        <w:rPr>
          <w:rFonts w:ascii="Calibri" w:eastAsia="Calibri" w:hAnsi="Calibri" w:cs="Calibri"/>
          <w:spacing w:val="-1"/>
          <w:sz w:val="22"/>
        </w:rPr>
        <w:t xml:space="preserve"> </w:t>
      </w:r>
      <w:r w:rsidRPr="00F35317">
        <w:rPr>
          <w:rFonts w:ascii="Calibri" w:eastAsia="Calibri" w:hAnsi="Calibri" w:cs="Calibri"/>
          <w:sz w:val="22"/>
        </w:rPr>
        <w:t>or</w:t>
      </w:r>
      <w:r w:rsidRPr="00F35317">
        <w:rPr>
          <w:rFonts w:ascii="Calibri" w:eastAsia="Calibri" w:hAnsi="Calibri" w:cs="Calibri"/>
          <w:spacing w:val="-2"/>
          <w:sz w:val="22"/>
        </w:rPr>
        <w:t xml:space="preserve"> </w:t>
      </w:r>
      <w:r w:rsidRPr="00F35317">
        <w:rPr>
          <w:rFonts w:ascii="Calibri" w:eastAsia="Calibri" w:hAnsi="Calibri" w:cs="Calibri"/>
          <w:sz w:val="22"/>
        </w:rPr>
        <w:t>in</w:t>
      </w:r>
      <w:r w:rsidRPr="00F35317">
        <w:rPr>
          <w:rFonts w:ascii="Calibri" w:eastAsia="Calibri" w:hAnsi="Calibri" w:cs="Calibri"/>
          <w:spacing w:val="-1"/>
          <w:sz w:val="22"/>
        </w:rPr>
        <w:t xml:space="preserve"> </w:t>
      </w:r>
      <w:r w:rsidRPr="00F35317">
        <w:rPr>
          <w:rFonts w:ascii="Calibri" w:eastAsia="Calibri" w:hAnsi="Calibri" w:cs="Calibri"/>
          <w:sz w:val="22"/>
        </w:rPr>
        <w:t>an accompanying</w:t>
      </w:r>
      <w:r w:rsidRPr="00F35317">
        <w:rPr>
          <w:rFonts w:ascii="Calibri" w:eastAsia="Calibri" w:hAnsi="Calibri" w:cs="Calibri"/>
          <w:spacing w:val="-3"/>
          <w:sz w:val="22"/>
        </w:rPr>
        <w:t xml:space="preserve"> </w:t>
      </w:r>
      <w:r w:rsidRPr="00F35317">
        <w:rPr>
          <w:rFonts w:ascii="Calibri" w:eastAsia="Calibri" w:hAnsi="Calibri" w:cs="Calibri"/>
          <w:sz w:val="22"/>
        </w:rPr>
        <w:t>notice,</w:t>
      </w:r>
      <w:r w:rsidRPr="00F35317">
        <w:rPr>
          <w:rFonts w:ascii="Calibri" w:eastAsia="Calibri" w:hAnsi="Calibri" w:cs="Calibri"/>
          <w:spacing w:val="-3"/>
          <w:sz w:val="22"/>
        </w:rPr>
        <w:t xml:space="preserve"> </w:t>
      </w:r>
      <w:r w:rsidRPr="00F35317">
        <w:rPr>
          <w:rFonts w:ascii="Calibri" w:eastAsia="Calibri" w:hAnsi="Calibri" w:cs="Calibri"/>
          <w:sz w:val="22"/>
        </w:rPr>
        <w:t>e.g.,</w:t>
      </w:r>
      <w:r w:rsidRPr="00F35317">
        <w:rPr>
          <w:rFonts w:ascii="Calibri" w:eastAsia="Calibri" w:hAnsi="Calibri" w:cs="Calibri"/>
          <w:spacing w:val="-1"/>
          <w:sz w:val="22"/>
        </w:rPr>
        <w:t xml:space="preserve"> </w:t>
      </w:r>
      <w:r w:rsidRPr="00F35317">
        <w:rPr>
          <w:rFonts w:ascii="Calibri" w:eastAsia="Calibri" w:hAnsi="Calibri" w:cs="Calibri"/>
          <w:sz w:val="22"/>
        </w:rPr>
        <w:t>a</w:t>
      </w:r>
      <w:r w:rsidRPr="00F35317">
        <w:rPr>
          <w:rFonts w:ascii="Calibri" w:eastAsia="Calibri" w:hAnsi="Calibri" w:cs="Calibri"/>
          <w:spacing w:val="-3"/>
          <w:sz w:val="22"/>
        </w:rPr>
        <w:t xml:space="preserve"> </w:t>
      </w:r>
      <w:r w:rsidRPr="00F35317">
        <w:rPr>
          <w:rFonts w:ascii="Calibri" w:eastAsia="Calibri" w:hAnsi="Calibri" w:cs="Calibri"/>
          <w:sz w:val="22"/>
        </w:rPr>
        <w:t>date</w:t>
      </w:r>
      <w:r w:rsidRPr="00F35317">
        <w:rPr>
          <w:rFonts w:ascii="Calibri" w:eastAsia="Calibri" w:hAnsi="Calibri" w:cs="Calibri"/>
          <w:spacing w:val="-2"/>
          <w:sz w:val="22"/>
        </w:rPr>
        <w:t xml:space="preserve"> </w:t>
      </w:r>
      <w:r w:rsidRPr="00F35317">
        <w:rPr>
          <w:rFonts w:ascii="Calibri" w:eastAsia="Calibri" w:hAnsi="Calibri" w:cs="Calibri"/>
          <w:sz w:val="22"/>
        </w:rPr>
        <w:t>prescribed</w:t>
      </w:r>
      <w:r w:rsidRPr="00F35317">
        <w:rPr>
          <w:rFonts w:ascii="Calibri" w:eastAsia="Calibri" w:hAnsi="Calibri" w:cs="Calibri"/>
          <w:spacing w:val="-2"/>
          <w:sz w:val="22"/>
        </w:rPr>
        <w:t xml:space="preserve"> </w:t>
      </w:r>
      <w:r w:rsidRPr="00F35317">
        <w:rPr>
          <w:rFonts w:ascii="Calibri" w:eastAsia="Calibri" w:hAnsi="Calibri" w:cs="Calibri"/>
          <w:sz w:val="22"/>
        </w:rPr>
        <w:t>by</w:t>
      </w:r>
      <w:r w:rsidRPr="00F35317">
        <w:rPr>
          <w:rFonts w:ascii="Calibri" w:eastAsia="Calibri" w:hAnsi="Calibri" w:cs="Calibri"/>
          <w:spacing w:val="-2"/>
          <w:sz w:val="22"/>
        </w:rPr>
        <w:t xml:space="preserve"> </w:t>
      </w:r>
      <w:r w:rsidRPr="00F35317">
        <w:rPr>
          <w:rFonts w:ascii="Calibri" w:eastAsia="Calibri" w:hAnsi="Calibri" w:cs="Calibri"/>
          <w:sz w:val="22"/>
        </w:rPr>
        <w:t>the</w:t>
      </w:r>
      <w:r w:rsidRPr="00F35317">
        <w:rPr>
          <w:rFonts w:ascii="Calibri" w:eastAsia="Calibri" w:hAnsi="Calibri" w:cs="Calibri"/>
          <w:spacing w:val="-2"/>
          <w:sz w:val="22"/>
        </w:rPr>
        <w:t xml:space="preserve"> </w:t>
      </w:r>
      <w:r w:rsidRPr="00F35317">
        <w:rPr>
          <w:rFonts w:ascii="Calibri" w:eastAsia="Calibri" w:hAnsi="Calibri" w:cs="Calibri"/>
          <w:sz w:val="22"/>
        </w:rPr>
        <w:t>bank</w:t>
      </w:r>
      <w:r w:rsidRPr="00F35317">
        <w:rPr>
          <w:rFonts w:ascii="Calibri" w:eastAsia="Calibri" w:hAnsi="Calibri" w:cs="Calibri"/>
          <w:spacing w:val="-3"/>
          <w:sz w:val="22"/>
        </w:rPr>
        <w:t xml:space="preserve"> </w:t>
      </w:r>
      <w:r w:rsidRPr="00F35317">
        <w:rPr>
          <w:rFonts w:ascii="Calibri" w:eastAsia="Calibri" w:hAnsi="Calibri" w:cs="Calibri"/>
          <w:sz w:val="22"/>
        </w:rPr>
        <w:t>or</w:t>
      </w:r>
      <w:r w:rsidRPr="00F35317">
        <w:rPr>
          <w:rFonts w:ascii="Calibri" w:eastAsia="Calibri" w:hAnsi="Calibri" w:cs="Calibri"/>
          <w:spacing w:val="-3"/>
          <w:sz w:val="22"/>
        </w:rPr>
        <w:t xml:space="preserve"> </w:t>
      </w:r>
      <w:r w:rsidRPr="00F35317">
        <w:rPr>
          <w:rFonts w:ascii="Calibri" w:eastAsia="Calibri" w:hAnsi="Calibri" w:cs="Calibri"/>
          <w:sz w:val="22"/>
        </w:rPr>
        <w:t>the</w:t>
      </w:r>
      <w:r w:rsidRPr="00F35317">
        <w:rPr>
          <w:rFonts w:ascii="Calibri" w:eastAsia="Calibri" w:hAnsi="Calibri" w:cs="Calibri"/>
          <w:spacing w:val="-2"/>
          <w:sz w:val="22"/>
        </w:rPr>
        <w:t xml:space="preserve"> </w:t>
      </w:r>
      <w:r w:rsidRPr="00F35317">
        <w:rPr>
          <w:rFonts w:ascii="Calibri" w:eastAsia="Calibri" w:hAnsi="Calibri" w:cs="Calibri"/>
          <w:sz w:val="22"/>
        </w:rPr>
        <w:t>plan,</w:t>
      </w:r>
      <w:r w:rsidRPr="00F35317">
        <w:rPr>
          <w:rFonts w:ascii="Calibri" w:eastAsia="Calibri" w:hAnsi="Calibri" w:cs="Calibri"/>
          <w:spacing w:val="-3"/>
          <w:sz w:val="22"/>
        </w:rPr>
        <w:t xml:space="preserve"> </w:t>
      </w:r>
      <w:r w:rsidRPr="00F35317">
        <w:rPr>
          <w:rFonts w:ascii="Calibri" w:eastAsia="Calibri" w:hAnsi="Calibri" w:cs="Calibri"/>
          <w:sz w:val="22"/>
        </w:rPr>
        <w:t>the</w:t>
      </w:r>
      <w:r w:rsidRPr="00F35317">
        <w:rPr>
          <w:rFonts w:ascii="Calibri" w:eastAsia="Calibri" w:hAnsi="Calibri" w:cs="Calibri"/>
          <w:spacing w:val="-2"/>
          <w:sz w:val="22"/>
        </w:rPr>
        <w:t xml:space="preserve"> </w:t>
      </w:r>
      <w:r w:rsidRPr="00F35317">
        <w:rPr>
          <w:rFonts w:ascii="Calibri" w:eastAsia="Calibri" w:hAnsi="Calibri" w:cs="Calibri"/>
          <w:sz w:val="22"/>
        </w:rPr>
        <w:t>lump</w:t>
      </w:r>
      <w:r w:rsidRPr="00F35317">
        <w:rPr>
          <w:rFonts w:ascii="Calibri" w:eastAsia="Calibri" w:hAnsi="Calibri" w:cs="Calibri"/>
          <w:spacing w:val="-2"/>
          <w:sz w:val="22"/>
        </w:rPr>
        <w:t xml:space="preserve"> </w:t>
      </w:r>
      <w:r w:rsidRPr="00F35317">
        <w:rPr>
          <w:rFonts w:ascii="Calibri" w:eastAsia="Calibri" w:hAnsi="Calibri" w:cs="Calibri"/>
          <w:sz w:val="22"/>
        </w:rPr>
        <w:t>sum</w:t>
      </w:r>
      <w:r w:rsidRPr="00F35317">
        <w:rPr>
          <w:rFonts w:ascii="Calibri" w:eastAsia="Calibri" w:hAnsi="Calibri" w:cs="Calibri"/>
          <w:spacing w:val="-3"/>
          <w:sz w:val="22"/>
        </w:rPr>
        <w:t xml:space="preserve"> </w:t>
      </w:r>
      <w:r w:rsidRPr="00F35317">
        <w:rPr>
          <w:rFonts w:ascii="Calibri" w:eastAsia="Calibri" w:hAnsi="Calibri" w:cs="Calibri"/>
          <w:sz w:val="22"/>
        </w:rPr>
        <w:t>payment</w:t>
      </w:r>
      <w:r w:rsidRPr="00F35317">
        <w:rPr>
          <w:rFonts w:ascii="Calibri" w:eastAsia="Calibri" w:hAnsi="Calibri" w:cs="Calibri"/>
          <w:spacing w:val="-2"/>
          <w:sz w:val="22"/>
        </w:rPr>
        <w:t xml:space="preserve"> </w:t>
      </w:r>
      <w:r w:rsidRPr="00F35317">
        <w:rPr>
          <w:rFonts w:ascii="Calibri" w:eastAsia="Calibri" w:hAnsi="Calibri" w:cs="Calibri"/>
          <w:sz w:val="22"/>
        </w:rPr>
        <w:t>is</w:t>
      </w:r>
      <w:r w:rsidRPr="00F35317">
        <w:rPr>
          <w:rFonts w:ascii="Calibri" w:eastAsia="Calibri" w:hAnsi="Calibri" w:cs="Calibri"/>
          <w:spacing w:val="-2"/>
          <w:sz w:val="22"/>
        </w:rPr>
        <w:t xml:space="preserve"> </w:t>
      </w:r>
      <w:r w:rsidRPr="00F35317">
        <w:rPr>
          <w:rFonts w:ascii="Calibri" w:eastAsia="Calibri" w:hAnsi="Calibri" w:cs="Calibri"/>
          <w:sz w:val="22"/>
        </w:rPr>
        <w:t>considered unaccepted if the check is not cashed by that date.</w:t>
      </w:r>
      <w:r w:rsidRPr="00F35317">
        <w:rPr>
          <w:rFonts w:ascii="Calibri" w:eastAsia="Calibri" w:hAnsi="Calibri" w:cs="Calibri"/>
          <w:spacing w:val="40"/>
          <w:sz w:val="22"/>
        </w:rPr>
        <w:t xml:space="preserve"> </w:t>
      </w:r>
      <w:r w:rsidRPr="00F35317">
        <w:rPr>
          <w:rFonts w:ascii="Calibri" w:eastAsia="Calibri" w:hAnsi="Calibri" w:cs="Calibri"/>
          <w:sz w:val="22"/>
        </w:rPr>
        <w:t>This “cash-by” date must be at least 45 days after the check is issued.</w:t>
      </w:r>
      <w:r w:rsidRPr="00F35317">
        <w:rPr>
          <w:rFonts w:ascii="Calibri" w:eastAsia="Calibri" w:hAnsi="Calibri" w:cs="Calibri"/>
          <w:spacing w:val="40"/>
          <w:sz w:val="22"/>
        </w:rPr>
        <w:t xml:space="preserve"> </w:t>
      </w:r>
      <w:r w:rsidRPr="00F35317">
        <w:rPr>
          <w:rFonts w:ascii="Calibri" w:eastAsia="Calibri" w:hAnsi="Calibri" w:cs="Calibri"/>
          <w:sz w:val="22"/>
        </w:rPr>
        <w:t>If there is no prescribed “cash-by” date, then the lump sum is considered unaccepted if it is not cashed by the check’s stale date.</w:t>
      </w:r>
      <w:hyperlink w:anchor="_bookmark2" w:history="1">
        <w:r w:rsidRPr="00F35317">
          <w:rPr>
            <w:rFonts w:ascii="Calibri" w:eastAsia="Calibri" w:hAnsi="Calibri" w:cs="Calibri"/>
            <w:sz w:val="22"/>
            <w:vertAlign w:val="superscript"/>
          </w:rPr>
          <w:t>2</w:t>
        </w:r>
      </w:hyperlink>
      <w:r w:rsidRPr="00F35317">
        <w:rPr>
          <w:rFonts w:ascii="Calibri" w:eastAsia="Calibri" w:hAnsi="Calibri" w:cs="Calibri"/>
          <w:color w:val="FF0000"/>
          <w:szCs w:val="24"/>
        </w:rPr>
        <w:t xml:space="preserve">  </w:t>
      </w:r>
      <w:r w:rsidRPr="009B2772">
        <w:rPr>
          <w:rFonts w:ascii="Calibri" w:eastAsia="Calibri" w:hAnsi="Calibri" w:cs="Calibri"/>
          <w:color w:val="FF0000"/>
          <w:sz w:val="22"/>
        </w:rPr>
        <w:t>In these situations, the transfer amount must reflect the total value of the benefit without any reduction for tax withholding.</w:t>
      </w:r>
      <w:r w:rsidRPr="00F35317">
        <w:rPr>
          <w:rFonts w:ascii="Calibri" w:eastAsia="Calibri" w:hAnsi="Calibri" w:cs="Calibri"/>
          <w:color w:val="FF0000"/>
          <w:szCs w:val="24"/>
          <w:vertAlign w:val="superscript"/>
        </w:rPr>
        <w:t>3</w:t>
      </w:r>
    </w:p>
    <w:p w:rsidR="00F35317" w:rsidRPr="00F35317" w:rsidP="00F35317" w14:paraId="45361D2C" w14:textId="77777777">
      <w:pPr>
        <w:widowControl w:val="0"/>
        <w:autoSpaceDE w:val="0"/>
        <w:autoSpaceDN w:val="0"/>
        <w:spacing w:before="100"/>
        <w:ind w:left="109" w:right="142"/>
        <w:rPr>
          <w:rFonts w:ascii="Calibri" w:eastAsia="Calibri" w:hAnsi="Calibri" w:cs="Calibri"/>
          <w:sz w:val="22"/>
        </w:rPr>
      </w:pPr>
    </w:p>
    <w:p w:rsidR="00F35317" w:rsidRPr="00F35317" w:rsidP="00F35317" w14:paraId="1BFADB8D" w14:textId="77777777">
      <w:pPr>
        <w:widowControl w:val="0"/>
        <w:autoSpaceDE w:val="0"/>
        <w:autoSpaceDN w:val="0"/>
        <w:ind w:left="297" w:hanging="188"/>
        <w:rPr>
          <w:rFonts w:ascii="Calibri" w:eastAsia="Calibri" w:hAnsi="Calibri" w:cs="Calibri"/>
          <w:spacing w:val="40"/>
          <w:sz w:val="20"/>
          <w:szCs w:val="20"/>
        </w:rPr>
      </w:pPr>
      <w:bookmarkStart w:id="0" w:name="_bookmark3"/>
      <w:bookmarkEnd w:id="0"/>
      <w:r w:rsidRPr="00F35317">
        <w:rPr>
          <w:rFonts w:ascii="Calibri" w:eastAsia="Calibri" w:hAnsi="Calibri" w:cs="Calibri"/>
          <w:sz w:val="20"/>
          <w:vertAlign w:val="superscript"/>
        </w:rPr>
        <w:t>3</w:t>
      </w:r>
      <w:r w:rsidRPr="00F35317">
        <w:rPr>
          <w:rFonts w:ascii="Calibri" w:eastAsia="Calibri" w:hAnsi="Calibri" w:cs="Calibri"/>
          <w:spacing w:val="40"/>
          <w:sz w:val="20"/>
        </w:rPr>
        <w:t xml:space="preserve"> </w:t>
      </w:r>
      <w:r w:rsidRPr="00F35317">
        <w:rPr>
          <w:rFonts w:ascii="Calibri" w:eastAsia="Calibri" w:hAnsi="Calibri" w:cs="Calibri"/>
          <w:color w:val="FF0000"/>
          <w:sz w:val="20"/>
          <w:szCs w:val="20"/>
        </w:rPr>
        <w:t>In some situations, such as where there is a qualified termination administrator (QTA) of an abandoned DC plan (as defined under Department of Labor regulations at 29 CFR 2578.1), it may not be practical to reflect the total value of the benefit in the amount transferred, and if so,</w:t>
      </w:r>
      <w:r w:rsidRPr="00F35317">
        <w:rPr>
          <w:rFonts w:ascii="Calibri" w:eastAsia="Calibri" w:hAnsi="Calibri" w:cs="Calibri"/>
          <w:color w:val="00B050"/>
          <w:sz w:val="20"/>
          <w:szCs w:val="20"/>
        </w:rPr>
        <w:t xml:space="preserve"> </w:t>
      </w:r>
      <w:r w:rsidRPr="00F35317">
        <w:rPr>
          <w:rFonts w:ascii="Calibri" w:eastAsia="Calibri" w:hAnsi="Calibri" w:cs="Calibri"/>
          <w:color w:val="FF0000"/>
          <w:sz w:val="20"/>
          <w:szCs w:val="20"/>
        </w:rPr>
        <w:t>it would be permissible for a QTA to transfer to PBGC the net amount of the uncashed check.  QTAs in this situation should contact PBGC before submitting the filing.</w:t>
      </w:r>
    </w:p>
    <w:p w:rsidR="00F35317" w:rsidP="00216504" w14:paraId="360C2CE3" w14:textId="77777777">
      <w:pPr>
        <w:pStyle w:val="BodyText"/>
        <w:spacing w:before="103" w:line="237" w:lineRule="auto"/>
        <w:ind w:right="517"/>
        <w:rPr>
          <w:rFonts w:ascii="Times New Roman" w:hAnsi="Times New Roman" w:cs="Times New Roman"/>
          <w:sz w:val="24"/>
          <w:szCs w:val="24"/>
        </w:rPr>
      </w:pPr>
    </w:p>
    <w:p w:rsidR="004D4FEB" w:rsidP="004D4FEB" w14:paraId="245F3707" w14:textId="1061DCD4">
      <w:pPr>
        <w:rPr>
          <w:rFonts w:cs="Times New Roman"/>
          <w:szCs w:val="24"/>
        </w:rPr>
      </w:pPr>
      <w:r>
        <w:rPr>
          <w:rFonts w:cs="Times New Roman"/>
          <w:szCs w:val="24"/>
        </w:rPr>
        <w:t xml:space="preserve">The </w:t>
      </w:r>
      <w:r w:rsidR="00160599">
        <w:rPr>
          <w:rFonts w:cs="Times New Roman"/>
          <w:szCs w:val="24"/>
        </w:rPr>
        <w:t xml:space="preserve">following is the </w:t>
      </w:r>
      <w:r>
        <w:rPr>
          <w:rFonts w:cs="Times New Roman"/>
          <w:szCs w:val="24"/>
        </w:rPr>
        <w:t xml:space="preserve">relevant preamble language for the change on page 2 </w:t>
      </w:r>
      <w:r w:rsidR="00A86D81">
        <w:rPr>
          <w:rFonts w:cs="Times New Roman"/>
          <w:szCs w:val="24"/>
        </w:rPr>
        <w:t>(</w:t>
      </w:r>
      <w:r>
        <w:rPr>
          <w:rFonts w:cs="Times New Roman"/>
          <w:szCs w:val="24"/>
        </w:rPr>
        <w:t xml:space="preserve">and </w:t>
      </w:r>
      <w:r w:rsidR="00160599">
        <w:rPr>
          <w:rFonts w:cs="Times New Roman"/>
          <w:szCs w:val="24"/>
        </w:rPr>
        <w:t xml:space="preserve">first clarification on </w:t>
      </w:r>
      <w:r w:rsidR="00131D6C">
        <w:rPr>
          <w:rFonts w:cs="Times New Roman"/>
          <w:szCs w:val="24"/>
        </w:rPr>
        <w:t xml:space="preserve">page </w:t>
      </w:r>
      <w:r>
        <w:rPr>
          <w:rFonts w:cs="Times New Roman"/>
          <w:szCs w:val="24"/>
        </w:rPr>
        <w:t>11</w:t>
      </w:r>
      <w:r w:rsidR="00160599">
        <w:rPr>
          <w:rFonts w:cs="Times New Roman"/>
          <w:szCs w:val="24"/>
        </w:rPr>
        <w:t xml:space="preserve"> shown below)</w:t>
      </w:r>
      <w:r>
        <w:rPr>
          <w:rFonts w:cs="Times New Roman"/>
          <w:szCs w:val="24"/>
        </w:rPr>
        <w:t xml:space="preserve"> of the instructions (see 82 FR 6</w:t>
      </w:r>
      <w:r w:rsidR="005652DC">
        <w:rPr>
          <w:rFonts w:cs="Times New Roman"/>
          <w:szCs w:val="24"/>
        </w:rPr>
        <w:t>0</w:t>
      </w:r>
      <w:r>
        <w:rPr>
          <w:rFonts w:cs="Times New Roman"/>
          <w:szCs w:val="24"/>
        </w:rPr>
        <w:t>800, 60805):</w:t>
      </w:r>
    </w:p>
    <w:p w:rsidR="004D4FEB" w:rsidP="004D4FEB" w14:paraId="73CED65D" w14:textId="77777777">
      <w:pPr>
        <w:rPr>
          <w:rFonts w:cs="Times New Roman"/>
          <w:szCs w:val="24"/>
        </w:rPr>
      </w:pPr>
    </w:p>
    <w:p w:rsidR="004D4FEB" w:rsidRPr="009202D6" w:rsidP="004D4FEB" w14:paraId="6102B148" w14:textId="77777777">
      <w:pPr>
        <w:ind w:left="720"/>
        <w:rPr>
          <w:rFonts w:cs="Times New Roman"/>
          <w:szCs w:val="24"/>
        </w:rPr>
      </w:pPr>
      <w:r w:rsidRPr="009202D6">
        <w:rPr>
          <w:rFonts w:cs="Times New Roman"/>
          <w:szCs w:val="24"/>
        </w:rPr>
        <w:t>The benefit transfer amount for a missing distributee who does not cash a distribution check is to be determined in the same way as for any other missing distributee. The distributee’s benefit transfer amount must reflect the total value of the benefit without any reduction for tax withholding</w:t>
      </w:r>
      <w:r>
        <w:rPr>
          <w:rFonts w:cs="Times New Roman"/>
          <w:szCs w:val="24"/>
        </w:rPr>
        <w:t>.</w:t>
      </w:r>
      <w:r w:rsidRPr="009202D6">
        <w:rPr>
          <w:rFonts w:cs="Times New Roman"/>
          <w:szCs w:val="24"/>
        </w:rPr>
        <w:t xml:space="preserve"> </w:t>
      </w:r>
      <w:r>
        <w:rPr>
          <w:rFonts w:cs="Times New Roman"/>
          <w:szCs w:val="24"/>
        </w:rPr>
        <w:t xml:space="preserve"> </w:t>
      </w:r>
      <w:r w:rsidRPr="009202D6">
        <w:rPr>
          <w:rFonts w:cs="Times New Roman"/>
          <w:szCs w:val="24"/>
        </w:rPr>
        <w:t>PBGC will withhold taxes as appropriate when a missing distributee is found and paid. However</w:t>
      </w:r>
      <w:r w:rsidRPr="009202D6">
        <w:rPr>
          <w:rFonts w:cs="Times New Roman"/>
          <w:b/>
          <w:bCs/>
          <w:szCs w:val="24"/>
        </w:rPr>
        <w:t xml:space="preserve">, </w:t>
      </w:r>
      <w:r w:rsidRPr="009202D6">
        <w:rPr>
          <w:rFonts w:cs="Times New Roman"/>
          <w:szCs w:val="24"/>
        </w:rPr>
        <w:t>PBGC believes that there is room for flexibility in how the benefit is paid to PBGC in circumstances where it may not be practical to reflect the total value of the benefit in the amount transferred. For example, it would be permissible for the qualified termination administrator (QTA) of an abandoned DC plan (as defined under Department of Labor regulations at 29 CFR 2578.1) to transfer to PBGC the net amount of the uncashed check. PBGC believes that the final rule’s provision allowing discretion to promote the purposes of the missing participants program provides PBGC with the necessary flexibility to accommodate such situations.</w:t>
      </w:r>
    </w:p>
    <w:p w:rsidR="004D4FEB" w:rsidP="00216504" w14:paraId="453BDB77" w14:textId="77777777">
      <w:pPr>
        <w:pStyle w:val="BodyText"/>
        <w:spacing w:before="103" w:line="237" w:lineRule="auto"/>
        <w:ind w:right="517"/>
        <w:rPr>
          <w:rFonts w:ascii="Times New Roman" w:hAnsi="Times New Roman" w:cs="Times New Roman"/>
          <w:sz w:val="24"/>
          <w:szCs w:val="24"/>
        </w:rPr>
      </w:pPr>
    </w:p>
    <w:p w:rsidR="001229FA" w:rsidRPr="004D4FEB" w:rsidP="004D4FEB" w14:paraId="686A5C2C" w14:textId="21C8BF6E">
      <w:pPr>
        <w:pStyle w:val="ListParagraph"/>
        <w:numPr>
          <w:ilvl w:val="0"/>
          <w:numId w:val="3"/>
        </w:numPr>
        <w:rPr>
          <w:rFonts w:cs="Times New Roman"/>
          <w:b/>
          <w:bCs/>
          <w:szCs w:val="24"/>
        </w:rPr>
      </w:pPr>
      <w:r w:rsidRPr="004D4FEB">
        <w:rPr>
          <w:rFonts w:cs="Times New Roman"/>
          <w:b/>
          <w:bCs/>
          <w:szCs w:val="24"/>
        </w:rPr>
        <w:t>Change to Instruction to Form MP-200 (page 11):</w:t>
      </w:r>
    </w:p>
    <w:p w:rsidR="002C6AF4" w:rsidRPr="002C6AF4" w:rsidP="002C6AF4" w14:paraId="5EFD63A6" w14:textId="77777777">
      <w:pPr>
        <w:spacing w:after="120"/>
        <w:rPr>
          <w:rFonts w:ascii="Calibri" w:eastAsia="Calibri" w:hAnsi="Calibri" w:cs="Calibri"/>
          <w:sz w:val="22"/>
        </w:rPr>
      </w:pPr>
      <w:r w:rsidRPr="002C6AF4">
        <w:rPr>
          <w:rFonts w:ascii="Calibri" w:eastAsia="Calibri" w:hAnsi="Calibri" w:cs="Calibri"/>
          <w:b/>
          <w:bCs/>
          <w:sz w:val="22"/>
        </w:rPr>
        <w:t xml:space="preserve">Part III — Transfer Amount (enter amounts in dollars and cents) </w:t>
      </w:r>
    </w:p>
    <w:p w:rsidR="002C6AF4" w:rsidRPr="002C6AF4" w:rsidP="002C6AF4" w14:paraId="39E4BDE2" w14:textId="77777777">
      <w:pPr>
        <w:spacing w:after="120"/>
        <w:rPr>
          <w:rFonts w:ascii="Calibri" w:eastAsia="Calibri" w:hAnsi="Calibri" w:cs="Calibri"/>
          <w:sz w:val="22"/>
        </w:rPr>
      </w:pPr>
      <w:r w:rsidRPr="002C6AF4">
        <w:rPr>
          <w:rFonts w:ascii="Calibri" w:eastAsia="Calibri" w:hAnsi="Calibri" w:cs="Calibri"/>
          <w:sz w:val="22"/>
        </w:rPr>
        <w:t xml:space="preserve">With respect to the individual reported in item 2a, enter account balance information as of the Benefit Transfer Date.  If a PBGC administrative fee is owed on behalf of this individual (i.e., if the amount being transferred exceeds $250), and the plan chooses to deduct the fee from the individual’s account, enter amounts net of the fee. </w:t>
      </w:r>
      <w:r w:rsidRPr="002C6AF4">
        <w:rPr>
          <w:rFonts w:ascii="Calibri" w:eastAsia="Calibri" w:hAnsi="Calibri" w:cs="Calibri"/>
          <w:color w:val="FF0000"/>
          <w:sz w:val="22"/>
        </w:rPr>
        <w:t>If the individual did not cash a distribution check, enter the total account balance without any reduction for tax withholding.</w:t>
      </w:r>
      <w:r w:rsidRPr="002C6AF4">
        <w:rPr>
          <w:rFonts w:ascii="Calibri" w:eastAsia="Calibri" w:hAnsi="Calibri" w:cs="Calibri"/>
          <w:color w:val="FF0000"/>
          <w:sz w:val="22"/>
          <w:vertAlign w:val="superscript"/>
        </w:rPr>
        <w:t xml:space="preserve">   </w:t>
      </w:r>
    </w:p>
    <w:p w:rsidR="002C6AF4" w:rsidRPr="002C6AF4" w:rsidP="002C6AF4" w14:paraId="17555421" w14:textId="77777777">
      <w:pPr>
        <w:spacing w:after="120"/>
        <w:ind w:left="270" w:hanging="270"/>
        <w:rPr>
          <w:rFonts w:ascii="Calibri" w:eastAsia="Calibri" w:hAnsi="Calibri" w:cs="Calibri"/>
          <w:sz w:val="22"/>
        </w:rPr>
      </w:pPr>
      <w:r w:rsidRPr="002C6AF4">
        <w:rPr>
          <w:rFonts w:ascii="Calibri" w:eastAsia="Calibri" w:hAnsi="Calibri" w:cs="Calibri"/>
          <w:sz w:val="22"/>
        </w:rPr>
        <w:t xml:space="preserve">3   Portion attributable to pre-tax contributions </w:t>
      </w:r>
      <w:r w:rsidRPr="002C6AF4">
        <w:rPr>
          <w:rFonts w:ascii="Calibri" w:eastAsia="Calibri" w:hAnsi="Calibri" w:cs="Calibri"/>
          <w:color w:val="FF0000"/>
          <w:sz w:val="22"/>
        </w:rPr>
        <w:t>(employer or employee)</w:t>
      </w:r>
      <w:r w:rsidRPr="002C6AF4">
        <w:rPr>
          <w:rFonts w:ascii="Calibri" w:eastAsia="Calibri" w:hAnsi="Calibri" w:cs="Calibri"/>
          <w:sz w:val="22"/>
        </w:rPr>
        <w:t xml:space="preserve">.  Report </w:t>
      </w:r>
      <w:r w:rsidRPr="004D4FEB">
        <w:rPr>
          <w:rFonts w:ascii="Calibri" w:eastAsia="Calibri" w:hAnsi="Calibri" w:cs="Calibri"/>
          <w:strike/>
          <w:color w:val="FF0000"/>
          <w:sz w:val="22"/>
        </w:rPr>
        <w:t>only</w:t>
      </w:r>
      <w:r w:rsidRPr="002C6AF4">
        <w:rPr>
          <w:rFonts w:ascii="Calibri" w:eastAsia="Calibri" w:hAnsi="Calibri" w:cs="Calibri"/>
          <w:sz w:val="22"/>
        </w:rPr>
        <w:t xml:space="preserve"> the total balance. </w:t>
      </w:r>
      <w:r w:rsidRPr="00284FEE">
        <w:rPr>
          <w:rFonts w:ascii="Calibri" w:eastAsia="Calibri" w:hAnsi="Calibri" w:cs="Calibri"/>
          <w:i/>
          <w:iCs/>
          <w:sz w:val="22"/>
        </w:rPr>
        <w:t xml:space="preserve">If any portion of the account balance is attributable to post-tax contributions, complete item 4. Otherwise, skip to item 5. </w:t>
      </w:r>
    </w:p>
    <w:p w:rsidR="00E7275E" w:rsidP="002C6AF4" w14:paraId="2BD306C0" w14:textId="77777777">
      <w:pPr>
        <w:spacing w:after="120"/>
        <w:ind w:left="270" w:hanging="270"/>
        <w:rPr>
          <w:rFonts w:ascii="Calibri" w:eastAsia="Calibri" w:hAnsi="Calibri" w:cs="Calibri"/>
          <w:sz w:val="22"/>
        </w:rPr>
      </w:pPr>
      <w:r w:rsidRPr="002C6AF4">
        <w:rPr>
          <w:rFonts w:ascii="Calibri" w:eastAsia="Calibri" w:hAnsi="Calibri" w:cs="Calibri"/>
          <w:sz w:val="22"/>
        </w:rPr>
        <w:t xml:space="preserve">4   Portion attributable to post-tax contributions. </w:t>
      </w:r>
      <w:r w:rsidRPr="002C6AF4">
        <w:rPr>
          <w:rFonts w:ascii="Calibri" w:eastAsia="Calibri" w:hAnsi="Calibri" w:cs="Calibri"/>
          <w:strike/>
          <w:color w:val="FF0000"/>
          <w:sz w:val="22"/>
        </w:rPr>
        <w:t>Contributions</w:t>
      </w:r>
      <w:r w:rsidRPr="002C6AF4">
        <w:rPr>
          <w:rFonts w:ascii="Calibri" w:eastAsia="Calibri" w:hAnsi="Calibri" w:cs="Calibri"/>
          <w:color w:val="FF0000"/>
          <w:sz w:val="22"/>
        </w:rPr>
        <w:t xml:space="preserve"> Amounts</w:t>
      </w:r>
      <w:r w:rsidRPr="002C6AF4">
        <w:rPr>
          <w:rFonts w:ascii="Calibri" w:eastAsia="Calibri" w:hAnsi="Calibri" w:cs="Calibri"/>
          <w:color w:val="00B050"/>
          <w:sz w:val="22"/>
        </w:rPr>
        <w:t xml:space="preserve"> </w:t>
      </w:r>
      <w:r w:rsidRPr="002C6AF4">
        <w:rPr>
          <w:rFonts w:ascii="Calibri" w:eastAsia="Calibri" w:hAnsi="Calibri" w:cs="Calibri"/>
          <w:sz w:val="22"/>
        </w:rPr>
        <w:t xml:space="preserve">in this category usually relate to Roth contributions </w:t>
      </w:r>
      <w:r w:rsidRPr="002C6AF4">
        <w:rPr>
          <w:rFonts w:ascii="Calibri" w:eastAsia="Calibri" w:hAnsi="Calibri" w:cs="Calibri"/>
          <w:color w:val="FF0000"/>
          <w:sz w:val="22"/>
        </w:rPr>
        <w:t>and investment earnings on those contributions</w:t>
      </w:r>
      <w:r w:rsidRPr="002C6AF4">
        <w:rPr>
          <w:rFonts w:ascii="Calibri" w:eastAsia="Calibri" w:hAnsi="Calibri" w:cs="Calibri"/>
          <w:sz w:val="22"/>
        </w:rPr>
        <w:t xml:space="preserve">, but may relate to other employee contributions that were contributed on a post-tax basis. Post-tax contributions other than Roth contributions are entered on line 4c. </w:t>
      </w:r>
    </w:p>
    <w:p w:rsidR="00FF55C2" w:rsidP="00E7275E" w14:paraId="7A06BA73" w14:textId="77777777">
      <w:pPr>
        <w:spacing w:after="120"/>
        <w:ind w:left="270"/>
        <w:rPr>
          <w:rFonts w:ascii="Calibri" w:eastAsia="Calibri" w:hAnsi="Calibri" w:cs="Calibri"/>
          <w:sz w:val="22"/>
        </w:rPr>
      </w:pPr>
      <w:r w:rsidRPr="002C6AF4">
        <w:rPr>
          <w:rFonts w:ascii="Calibri" w:eastAsia="Calibri" w:hAnsi="Calibri" w:cs="Calibri"/>
          <w:sz w:val="22"/>
        </w:rPr>
        <w:t xml:space="preserve">For withholding purposes, a breakdown between contributions and investment earnings is needed unless the balance constitutes a Qualified Roth Transfer. </w:t>
      </w:r>
    </w:p>
    <w:p w:rsidR="002C6AF4" w:rsidRPr="002C6AF4" w:rsidP="00E7275E" w14:paraId="3F894556" w14:textId="3FD56EC1">
      <w:pPr>
        <w:spacing w:after="120"/>
        <w:ind w:left="270"/>
        <w:rPr>
          <w:rFonts w:ascii="Calibri" w:eastAsia="Calibri" w:hAnsi="Calibri" w:cs="Calibri"/>
          <w:sz w:val="22"/>
        </w:rPr>
      </w:pPr>
      <w:r w:rsidRPr="002C6AF4">
        <w:rPr>
          <w:rFonts w:ascii="Calibri" w:eastAsia="Calibri" w:hAnsi="Calibri" w:cs="Calibri"/>
          <w:sz w:val="22"/>
        </w:rPr>
        <w:t xml:space="preserve">If any portion of the account balance is attributable to post-tax contributions that constitute a </w:t>
      </w:r>
      <w:r w:rsidRPr="002C6AF4">
        <w:rPr>
          <w:rFonts w:ascii="Calibri" w:eastAsia="Calibri" w:hAnsi="Calibri" w:cs="Calibri"/>
          <w:sz w:val="22"/>
        </w:rPr>
        <w:t>NonQualified</w:t>
      </w:r>
      <w:r w:rsidRPr="002C6AF4">
        <w:rPr>
          <w:rFonts w:ascii="Calibri" w:eastAsia="Calibri" w:hAnsi="Calibri" w:cs="Calibri"/>
          <w:sz w:val="22"/>
        </w:rPr>
        <w:t xml:space="preserve"> Roth Transfer, be sure to complete item 7.</w:t>
      </w:r>
    </w:p>
    <w:p w:rsidR="00F35317" w:rsidP="00216504" w14:paraId="3179845C" w14:textId="77777777">
      <w:pPr>
        <w:pStyle w:val="BodyText"/>
        <w:spacing w:before="103" w:line="237" w:lineRule="auto"/>
        <w:ind w:right="517"/>
        <w:rPr>
          <w:rFonts w:ascii="Times New Roman" w:hAnsi="Times New Roman" w:cs="Times New Roman"/>
          <w:sz w:val="24"/>
          <w:szCs w:val="24"/>
        </w:rPr>
      </w:pPr>
    </w:p>
    <w:p w:rsidR="00216504" w:rsidRPr="00D54BEB" w:rsidP="00216504" w14:paraId="3AB849DF" w14:textId="0C22E360">
      <w:pPr>
        <w:pStyle w:val="BodyText"/>
        <w:spacing w:before="103" w:line="237" w:lineRule="auto"/>
        <w:ind w:right="517"/>
        <w:rPr>
          <w:rFonts w:ascii="Times New Roman" w:hAnsi="Times New Roman" w:cs="Times New Roman"/>
          <w:sz w:val="24"/>
          <w:szCs w:val="24"/>
        </w:rPr>
      </w:pPr>
      <w:r w:rsidRPr="00D54BEB">
        <w:rPr>
          <w:rFonts w:ascii="Times New Roman" w:hAnsi="Times New Roman" w:cs="Times New Roman"/>
          <w:sz w:val="24"/>
          <w:szCs w:val="24"/>
        </w:rPr>
        <w:t>The revised MP-</w:t>
      </w:r>
      <w:r w:rsidRPr="00D54BEB" w:rsidR="0069343F">
        <w:rPr>
          <w:rFonts w:ascii="Times New Roman" w:hAnsi="Times New Roman" w:cs="Times New Roman"/>
          <w:sz w:val="24"/>
          <w:szCs w:val="24"/>
        </w:rPr>
        <w:t>2</w:t>
      </w:r>
      <w:r w:rsidRPr="00D54BEB">
        <w:rPr>
          <w:rFonts w:ascii="Times New Roman" w:hAnsi="Times New Roman" w:cs="Times New Roman"/>
          <w:sz w:val="24"/>
          <w:szCs w:val="24"/>
        </w:rPr>
        <w:t>00 instructions have been submitted with this request.</w:t>
      </w:r>
    </w:p>
    <w:sectPr w:rsidSect="006F10EE">
      <w:footerReference w:type="first" r:id="rId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92229048"/>
      <w:docPartObj>
        <w:docPartGallery w:val="Page Numbers (Bottom of Page)"/>
        <w:docPartUnique/>
      </w:docPartObj>
    </w:sdtPr>
    <w:sdtEndPr>
      <w:rPr>
        <w:noProof/>
      </w:rPr>
    </w:sdtEndPr>
    <w:sdtContent>
      <w:p w:rsidR="006F10EE" w14:paraId="6794BF8F" w14:textId="6C79F4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F10EE" w14:paraId="3E4491A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586A31"/>
    <w:multiLevelType w:val="hybridMultilevel"/>
    <w:tmpl w:val="460A7244"/>
    <w:lvl w:ilvl="0">
      <w:start w:val="0"/>
      <w:numFmt w:val="bullet"/>
      <w:lvlText w:val=""/>
      <w:lvlJc w:val="left"/>
      <w:pPr>
        <w:ind w:left="470" w:hanging="36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410" w:hanging="360"/>
      </w:pPr>
      <w:rPr>
        <w:rFonts w:hint="default"/>
        <w:lang w:val="en-US" w:eastAsia="en-US" w:bidi="ar-SA"/>
      </w:rPr>
    </w:lvl>
    <w:lvl w:ilvl="2">
      <w:start w:val="0"/>
      <w:numFmt w:val="bullet"/>
      <w:lvlText w:val="•"/>
      <w:lvlJc w:val="left"/>
      <w:pPr>
        <w:ind w:left="2340" w:hanging="360"/>
      </w:pPr>
      <w:rPr>
        <w:rFonts w:hint="default"/>
        <w:lang w:val="en-US" w:eastAsia="en-US" w:bidi="ar-SA"/>
      </w:rPr>
    </w:lvl>
    <w:lvl w:ilvl="3">
      <w:start w:val="0"/>
      <w:numFmt w:val="bullet"/>
      <w:lvlText w:val="•"/>
      <w:lvlJc w:val="left"/>
      <w:pPr>
        <w:ind w:left="3270" w:hanging="360"/>
      </w:pPr>
      <w:rPr>
        <w:rFonts w:hint="default"/>
        <w:lang w:val="en-US" w:eastAsia="en-US" w:bidi="ar-SA"/>
      </w:rPr>
    </w:lvl>
    <w:lvl w:ilvl="4">
      <w:start w:val="0"/>
      <w:numFmt w:val="bullet"/>
      <w:lvlText w:val="•"/>
      <w:lvlJc w:val="left"/>
      <w:pPr>
        <w:ind w:left="4200" w:hanging="360"/>
      </w:pPr>
      <w:rPr>
        <w:rFonts w:hint="default"/>
        <w:lang w:val="en-US" w:eastAsia="en-US" w:bidi="ar-SA"/>
      </w:rPr>
    </w:lvl>
    <w:lvl w:ilvl="5">
      <w:start w:val="0"/>
      <w:numFmt w:val="bullet"/>
      <w:lvlText w:val="•"/>
      <w:lvlJc w:val="left"/>
      <w:pPr>
        <w:ind w:left="5130" w:hanging="360"/>
      </w:pPr>
      <w:rPr>
        <w:rFonts w:hint="default"/>
        <w:lang w:val="en-US" w:eastAsia="en-US" w:bidi="ar-SA"/>
      </w:rPr>
    </w:lvl>
    <w:lvl w:ilvl="6">
      <w:start w:val="0"/>
      <w:numFmt w:val="bullet"/>
      <w:lvlText w:val="•"/>
      <w:lvlJc w:val="left"/>
      <w:pPr>
        <w:ind w:left="6060" w:hanging="360"/>
      </w:pPr>
      <w:rPr>
        <w:rFonts w:hint="default"/>
        <w:lang w:val="en-US" w:eastAsia="en-US" w:bidi="ar-SA"/>
      </w:rPr>
    </w:lvl>
    <w:lvl w:ilvl="7">
      <w:start w:val="0"/>
      <w:numFmt w:val="bullet"/>
      <w:lvlText w:val="•"/>
      <w:lvlJc w:val="left"/>
      <w:pPr>
        <w:ind w:left="699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1">
    <w:nsid w:val="39135A0F"/>
    <w:multiLevelType w:val="hybridMultilevel"/>
    <w:tmpl w:val="C9682A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CEB160B"/>
    <w:multiLevelType w:val="hybridMultilevel"/>
    <w:tmpl w:val="B8AE96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02430537">
    <w:abstractNumId w:val="2"/>
  </w:num>
  <w:num w:numId="2" w16cid:durableId="1111630478">
    <w:abstractNumId w:val="0"/>
  </w:num>
  <w:num w:numId="3" w16cid:durableId="321011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FE"/>
    <w:rsid w:val="0000209F"/>
    <w:rsid w:val="0000644C"/>
    <w:rsid w:val="00014968"/>
    <w:rsid w:val="00024CBE"/>
    <w:rsid w:val="00045619"/>
    <w:rsid w:val="00062B89"/>
    <w:rsid w:val="00067AA0"/>
    <w:rsid w:val="00070EB7"/>
    <w:rsid w:val="000C3A85"/>
    <w:rsid w:val="000D761D"/>
    <w:rsid w:val="000F7BD8"/>
    <w:rsid w:val="00101386"/>
    <w:rsid w:val="00105C0B"/>
    <w:rsid w:val="00116CF6"/>
    <w:rsid w:val="001229FA"/>
    <w:rsid w:val="00131D6C"/>
    <w:rsid w:val="00160599"/>
    <w:rsid w:val="00186539"/>
    <w:rsid w:val="001B15C8"/>
    <w:rsid w:val="001B3AEB"/>
    <w:rsid w:val="001C7508"/>
    <w:rsid w:val="001E13A9"/>
    <w:rsid w:val="001E3B4D"/>
    <w:rsid w:val="001E7EDF"/>
    <w:rsid w:val="002008D1"/>
    <w:rsid w:val="002139B3"/>
    <w:rsid w:val="00216504"/>
    <w:rsid w:val="00217516"/>
    <w:rsid w:val="0022452C"/>
    <w:rsid w:val="002401BE"/>
    <w:rsid w:val="00280C33"/>
    <w:rsid w:val="00284FEE"/>
    <w:rsid w:val="002856E3"/>
    <w:rsid w:val="002B1432"/>
    <w:rsid w:val="002B25D0"/>
    <w:rsid w:val="002B324E"/>
    <w:rsid w:val="002B710A"/>
    <w:rsid w:val="002C1D2C"/>
    <w:rsid w:val="002C6AF4"/>
    <w:rsid w:val="002D335E"/>
    <w:rsid w:val="002D394C"/>
    <w:rsid w:val="002F1F45"/>
    <w:rsid w:val="00300CA5"/>
    <w:rsid w:val="00305E7E"/>
    <w:rsid w:val="0032311D"/>
    <w:rsid w:val="0033116A"/>
    <w:rsid w:val="00345A41"/>
    <w:rsid w:val="00353DFE"/>
    <w:rsid w:val="00355D01"/>
    <w:rsid w:val="00365209"/>
    <w:rsid w:val="003740F3"/>
    <w:rsid w:val="00382A9A"/>
    <w:rsid w:val="003D3F59"/>
    <w:rsid w:val="003D7AC1"/>
    <w:rsid w:val="0040137D"/>
    <w:rsid w:val="00412E43"/>
    <w:rsid w:val="00422D40"/>
    <w:rsid w:val="00424923"/>
    <w:rsid w:val="00430AB7"/>
    <w:rsid w:val="004324B3"/>
    <w:rsid w:val="004327E7"/>
    <w:rsid w:val="00466A22"/>
    <w:rsid w:val="00481AFD"/>
    <w:rsid w:val="004826A3"/>
    <w:rsid w:val="004928A5"/>
    <w:rsid w:val="004B1725"/>
    <w:rsid w:val="004D0AFF"/>
    <w:rsid w:val="004D4FEB"/>
    <w:rsid w:val="004E0277"/>
    <w:rsid w:val="004E08A5"/>
    <w:rsid w:val="004E5661"/>
    <w:rsid w:val="0050556A"/>
    <w:rsid w:val="0052791C"/>
    <w:rsid w:val="0055164B"/>
    <w:rsid w:val="00555CC1"/>
    <w:rsid w:val="005562EB"/>
    <w:rsid w:val="005652DC"/>
    <w:rsid w:val="0057401E"/>
    <w:rsid w:val="0057675B"/>
    <w:rsid w:val="005A1EB3"/>
    <w:rsid w:val="005A761C"/>
    <w:rsid w:val="005B5696"/>
    <w:rsid w:val="005D53C3"/>
    <w:rsid w:val="005E2E26"/>
    <w:rsid w:val="0060524B"/>
    <w:rsid w:val="00691A71"/>
    <w:rsid w:val="0069343F"/>
    <w:rsid w:val="006A1716"/>
    <w:rsid w:val="006B48D1"/>
    <w:rsid w:val="006C6BAF"/>
    <w:rsid w:val="006D3CAA"/>
    <w:rsid w:val="006E2AAF"/>
    <w:rsid w:val="006E537F"/>
    <w:rsid w:val="006F10EE"/>
    <w:rsid w:val="00710FDD"/>
    <w:rsid w:val="00711ACD"/>
    <w:rsid w:val="007209FC"/>
    <w:rsid w:val="00722427"/>
    <w:rsid w:val="00725AA5"/>
    <w:rsid w:val="00731B21"/>
    <w:rsid w:val="00732D32"/>
    <w:rsid w:val="00744C5D"/>
    <w:rsid w:val="00764966"/>
    <w:rsid w:val="007811C8"/>
    <w:rsid w:val="007812E9"/>
    <w:rsid w:val="00784D2A"/>
    <w:rsid w:val="00791687"/>
    <w:rsid w:val="007B2F1C"/>
    <w:rsid w:val="007E1873"/>
    <w:rsid w:val="007E227C"/>
    <w:rsid w:val="007E2D43"/>
    <w:rsid w:val="00806AF9"/>
    <w:rsid w:val="0081673F"/>
    <w:rsid w:val="00824481"/>
    <w:rsid w:val="00865269"/>
    <w:rsid w:val="008B0ADA"/>
    <w:rsid w:val="008B3AA6"/>
    <w:rsid w:val="008C4DC1"/>
    <w:rsid w:val="008E5CD3"/>
    <w:rsid w:val="00905F3E"/>
    <w:rsid w:val="009202D6"/>
    <w:rsid w:val="009313C2"/>
    <w:rsid w:val="00961934"/>
    <w:rsid w:val="0096265C"/>
    <w:rsid w:val="009637D1"/>
    <w:rsid w:val="00974129"/>
    <w:rsid w:val="009812CE"/>
    <w:rsid w:val="00984710"/>
    <w:rsid w:val="009B1C08"/>
    <w:rsid w:val="009B2772"/>
    <w:rsid w:val="009B337B"/>
    <w:rsid w:val="009D5532"/>
    <w:rsid w:val="009E1BE6"/>
    <w:rsid w:val="009E3248"/>
    <w:rsid w:val="009E7D50"/>
    <w:rsid w:val="00A11B93"/>
    <w:rsid w:val="00A21448"/>
    <w:rsid w:val="00A235DE"/>
    <w:rsid w:val="00A32A56"/>
    <w:rsid w:val="00A34878"/>
    <w:rsid w:val="00A54978"/>
    <w:rsid w:val="00A55C55"/>
    <w:rsid w:val="00A755FC"/>
    <w:rsid w:val="00A76D38"/>
    <w:rsid w:val="00A86D81"/>
    <w:rsid w:val="00AB0814"/>
    <w:rsid w:val="00AB1D3E"/>
    <w:rsid w:val="00AE6EC4"/>
    <w:rsid w:val="00B002FE"/>
    <w:rsid w:val="00B00DE1"/>
    <w:rsid w:val="00B11DC3"/>
    <w:rsid w:val="00B274CF"/>
    <w:rsid w:val="00B445AE"/>
    <w:rsid w:val="00B918FE"/>
    <w:rsid w:val="00B92B08"/>
    <w:rsid w:val="00B95808"/>
    <w:rsid w:val="00B96A39"/>
    <w:rsid w:val="00BD1603"/>
    <w:rsid w:val="00BD4E25"/>
    <w:rsid w:val="00BD556E"/>
    <w:rsid w:val="00BD5CFE"/>
    <w:rsid w:val="00C1280B"/>
    <w:rsid w:val="00C1394A"/>
    <w:rsid w:val="00C345CD"/>
    <w:rsid w:val="00C4796E"/>
    <w:rsid w:val="00C50770"/>
    <w:rsid w:val="00C6768B"/>
    <w:rsid w:val="00CA71D7"/>
    <w:rsid w:val="00CB5B21"/>
    <w:rsid w:val="00CB6D5C"/>
    <w:rsid w:val="00CD7372"/>
    <w:rsid w:val="00CE1072"/>
    <w:rsid w:val="00D0308B"/>
    <w:rsid w:val="00D1439E"/>
    <w:rsid w:val="00D16438"/>
    <w:rsid w:val="00D31452"/>
    <w:rsid w:val="00D430BA"/>
    <w:rsid w:val="00D53368"/>
    <w:rsid w:val="00D54BEB"/>
    <w:rsid w:val="00D57850"/>
    <w:rsid w:val="00D64749"/>
    <w:rsid w:val="00D71646"/>
    <w:rsid w:val="00D97846"/>
    <w:rsid w:val="00DA1EB6"/>
    <w:rsid w:val="00DA4CAC"/>
    <w:rsid w:val="00DB369B"/>
    <w:rsid w:val="00DB672F"/>
    <w:rsid w:val="00DB7057"/>
    <w:rsid w:val="00DC1DEA"/>
    <w:rsid w:val="00DE76FE"/>
    <w:rsid w:val="00E04FAB"/>
    <w:rsid w:val="00E15348"/>
    <w:rsid w:val="00E27396"/>
    <w:rsid w:val="00E7275E"/>
    <w:rsid w:val="00EA5AB8"/>
    <w:rsid w:val="00EB4631"/>
    <w:rsid w:val="00EB6C1D"/>
    <w:rsid w:val="00EF34AD"/>
    <w:rsid w:val="00EF6DA4"/>
    <w:rsid w:val="00F00B0B"/>
    <w:rsid w:val="00F34DED"/>
    <w:rsid w:val="00F35317"/>
    <w:rsid w:val="00F51987"/>
    <w:rsid w:val="00F543B6"/>
    <w:rsid w:val="00F63DF7"/>
    <w:rsid w:val="00F8283C"/>
    <w:rsid w:val="00F844F0"/>
    <w:rsid w:val="00FB31C0"/>
    <w:rsid w:val="00FC5A25"/>
    <w:rsid w:val="00FD35CD"/>
    <w:rsid w:val="00FE5F79"/>
    <w:rsid w:val="00FF55C2"/>
    <w:rsid w:val="00FF65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6A11DD"/>
  <w15:chartTrackingRefBased/>
  <w15:docId w15:val="{30B7F4F1-C9C7-4664-BCC6-32744D2D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24CBE"/>
    <w:pPr>
      <w:widowControl w:val="0"/>
      <w:autoSpaceDE w:val="0"/>
      <w:autoSpaceDN w:val="0"/>
      <w:ind w:left="110"/>
      <w:outlineLvl w:val="0"/>
    </w:pPr>
    <w:rPr>
      <w:rFonts w:ascii="Calibri" w:eastAsia="Calibri" w:hAnsi="Calibri" w:cs="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532"/>
    <w:rPr>
      <w:rFonts w:ascii="Segoe UI" w:hAnsi="Segoe UI" w:cs="Segoe UI"/>
      <w:sz w:val="18"/>
      <w:szCs w:val="18"/>
    </w:rPr>
  </w:style>
  <w:style w:type="character" w:customStyle="1" w:styleId="Heading1Char">
    <w:name w:val="Heading 1 Char"/>
    <w:basedOn w:val="DefaultParagraphFont"/>
    <w:link w:val="Heading1"/>
    <w:uiPriority w:val="9"/>
    <w:rsid w:val="00024CBE"/>
    <w:rPr>
      <w:rFonts w:ascii="Calibri" w:eastAsia="Calibri" w:hAnsi="Calibri" w:cs="Calibri"/>
      <w:b/>
      <w:bCs/>
      <w:sz w:val="22"/>
    </w:rPr>
  </w:style>
  <w:style w:type="paragraph" w:styleId="BodyText">
    <w:name w:val="Body Text"/>
    <w:basedOn w:val="Normal"/>
    <w:link w:val="BodyTextChar"/>
    <w:uiPriority w:val="1"/>
    <w:qFormat/>
    <w:rsid w:val="00024CBE"/>
    <w:pPr>
      <w:widowControl w:val="0"/>
      <w:autoSpaceDE w:val="0"/>
      <w:autoSpaceDN w:val="0"/>
    </w:pPr>
    <w:rPr>
      <w:rFonts w:ascii="Calibri" w:eastAsia="Calibri" w:hAnsi="Calibri" w:cs="Calibri"/>
      <w:sz w:val="22"/>
    </w:rPr>
  </w:style>
  <w:style w:type="character" w:customStyle="1" w:styleId="BodyTextChar">
    <w:name w:val="Body Text Char"/>
    <w:basedOn w:val="DefaultParagraphFont"/>
    <w:link w:val="BodyText"/>
    <w:uiPriority w:val="1"/>
    <w:rsid w:val="00024CBE"/>
    <w:rPr>
      <w:rFonts w:ascii="Calibri" w:eastAsia="Calibri" w:hAnsi="Calibri" w:cs="Calibri"/>
      <w:sz w:val="22"/>
    </w:rPr>
  </w:style>
  <w:style w:type="paragraph" w:styleId="ListParagraph">
    <w:name w:val="List Paragraph"/>
    <w:basedOn w:val="Normal"/>
    <w:uiPriority w:val="34"/>
    <w:qFormat/>
    <w:rsid w:val="004D4FEB"/>
    <w:pPr>
      <w:ind w:left="720"/>
      <w:contextualSpacing/>
    </w:pPr>
  </w:style>
  <w:style w:type="paragraph" w:styleId="Header">
    <w:name w:val="header"/>
    <w:basedOn w:val="Normal"/>
    <w:link w:val="HeaderChar"/>
    <w:uiPriority w:val="99"/>
    <w:unhideWhenUsed/>
    <w:rsid w:val="006F10EE"/>
    <w:pPr>
      <w:tabs>
        <w:tab w:val="center" w:pos="4680"/>
        <w:tab w:val="right" w:pos="9360"/>
      </w:tabs>
    </w:pPr>
  </w:style>
  <w:style w:type="character" w:customStyle="1" w:styleId="HeaderChar">
    <w:name w:val="Header Char"/>
    <w:basedOn w:val="DefaultParagraphFont"/>
    <w:link w:val="Header"/>
    <w:uiPriority w:val="99"/>
    <w:rsid w:val="006F10EE"/>
  </w:style>
  <w:style w:type="paragraph" w:styleId="Footer">
    <w:name w:val="footer"/>
    <w:basedOn w:val="Normal"/>
    <w:link w:val="FooterChar"/>
    <w:uiPriority w:val="99"/>
    <w:unhideWhenUsed/>
    <w:rsid w:val="006F10EE"/>
    <w:pPr>
      <w:tabs>
        <w:tab w:val="center" w:pos="4680"/>
        <w:tab w:val="right" w:pos="9360"/>
      </w:tabs>
    </w:pPr>
  </w:style>
  <w:style w:type="character" w:customStyle="1" w:styleId="FooterChar">
    <w:name w:val="Footer Char"/>
    <w:basedOn w:val="DefaultParagraphFont"/>
    <w:link w:val="Footer"/>
    <w:uiPriority w:val="99"/>
    <w:rsid w:val="006F10EE"/>
  </w:style>
  <w:style w:type="paragraph" w:styleId="Revision">
    <w:name w:val="Revision"/>
    <w:hidden/>
    <w:uiPriority w:val="99"/>
    <w:semiHidden/>
    <w:rsid w:val="00C13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04b9a93-b54f-4549-9b70-040003075d6a" ContentTypeId="0x010100E09C6A4FD85CD94DB99934580C23925719" PreviousValue="false"/>
</file>

<file path=customXml/item3.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CUIReviewer xmlns="42a8a83a-5e27-410c-a1fc-7c5ac4e503f4">
      <UserInfo>
        <DisplayName/>
        <AccountId xsi:nil="true"/>
        <AccountType/>
      </UserInfo>
    </CUIReviewer>
    <CUIFalsePositive xmlns="42a8a83a-5e27-410c-a1fc-7c5ac4e503f4" xsi:nil="true"/>
    <PBGCCUI xmlns="42a8a83a-5e27-410c-a1fc-7c5ac4e503f4" xsi:nil="true"/>
    <Marking xmlns="42a8a83a-5e27-410c-a1fc-7c5ac4e503f4" xsi:nil="true"/>
    <CUIReviewTimestamp xmlns="42a8a83a-5e27-410c-a1fc-7c5ac4e503f4" xsi:nil="true"/>
    <CUIReviewedBy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Props1.xml><?xml version="1.0" encoding="utf-8"?>
<ds:datastoreItem xmlns:ds="http://schemas.openxmlformats.org/officeDocument/2006/customXml" ds:itemID="{9C890B16-A781-4190-9642-88BA393C486D}">
  <ds:schemaRefs>
    <ds:schemaRef ds:uri="http://schemas.microsoft.com/sharepoint/v3/contenttype/forms"/>
  </ds:schemaRefs>
</ds:datastoreItem>
</file>

<file path=customXml/itemProps2.xml><?xml version="1.0" encoding="utf-8"?>
<ds:datastoreItem xmlns:ds="http://schemas.openxmlformats.org/officeDocument/2006/customXml" ds:itemID="{1D147FAE-3239-4F18-BC97-38D8708A9C95}">
  <ds:schemaRefs>
    <ds:schemaRef ds:uri="Microsoft.SharePoint.Taxonomy.ContentTypeSync"/>
  </ds:schemaRefs>
</ds:datastoreItem>
</file>

<file path=customXml/itemProps3.xml><?xml version="1.0" encoding="utf-8"?>
<ds:datastoreItem xmlns:ds="http://schemas.openxmlformats.org/officeDocument/2006/customXml" ds:itemID="{15A8274C-AA47-4B4C-9482-63DEFCA28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E31C7-8C24-47F0-82B0-87EBC2548BB9}">
  <ds:schemaRefs>
    <ds:schemaRef ds:uri="http://schemas.microsoft.com/office/2006/metadata/properties"/>
    <ds:schemaRef ds:uri="http://schemas.microsoft.com/office/infopath/2007/PartnerControls"/>
    <ds:schemaRef ds:uri="42a8a83a-5e27-410c-a1fc-7c5ac4e503f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Deborah</dc:creator>
  <cp:lastModifiedBy>Cibinic Stephanie</cp:lastModifiedBy>
  <cp:revision>5</cp:revision>
  <dcterms:created xsi:type="dcterms:W3CDTF">2022-12-07T22:34:00Z</dcterms:created>
  <dcterms:modified xsi:type="dcterms:W3CDTF">2022-12-07T22:37:00Z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GC Document Status">
    <vt:lpwstr>6;#Draft|4e9a4bc7-9032-4d66-87ab-b16dbcbcd63b</vt:lpwstr>
  </property>
  <property fmtid="{D5CDD505-2E9C-101B-9397-08002B2CF9AE}" pid="4" name="Order">
    <vt:r8>100</vt:r8>
  </property>
  <property fmtid="{D5CDD505-2E9C-101B-9397-08002B2CF9AE}" pid="5" name="Source Library">
    <vt:lpwstr/>
  </property>
  <property fmtid="{D5CDD505-2E9C-101B-9397-08002B2CF9AE}" pid="6" name="Source Type">
    <vt:lpwstr>File share</vt:lpwstr>
  </property>
</Properties>
</file>