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5D4" w:rsidP="001105B9" w14:paraId="50797003" w14:textId="77777777">
      <w:pPr>
        <w:tabs>
          <w:tab w:val="center" w:pos="4680"/>
        </w:tabs>
        <w:jc w:val="center"/>
        <w:rPr>
          <w:b/>
          <w:bCs/>
          <w:sz w:val="22"/>
        </w:rPr>
      </w:pPr>
    </w:p>
    <w:p w:rsidR="00F34DED" w:rsidRPr="005A761C" w:rsidP="001105B9" w14:paraId="2204382D" w14:textId="23D91BF1">
      <w:pPr>
        <w:tabs>
          <w:tab w:val="center" w:pos="4680"/>
        </w:tabs>
        <w:jc w:val="center"/>
        <w:rPr>
          <w:sz w:val="22"/>
        </w:rPr>
      </w:pPr>
      <w:r w:rsidRPr="005A761C">
        <w:rPr>
          <w:b/>
          <w:bCs/>
          <w:sz w:val="22"/>
        </w:rPr>
        <w:t>Justification for No Material or Nonsubstantive Change to Approved Collection</w:t>
      </w:r>
    </w:p>
    <w:p w:rsidR="00F34DED" w:rsidP="00F34DED" w14:paraId="16EBD691" w14:textId="77777777">
      <w:pPr>
        <w:rPr>
          <w:sz w:val="22"/>
        </w:rPr>
      </w:pPr>
    </w:p>
    <w:p w:rsidR="000245D4" w:rsidRPr="005A761C" w:rsidP="00F34DED" w14:paraId="4E42148C" w14:textId="77777777">
      <w:pPr>
        <w:rPr>
          <w:sz w:val="22"/>
        </w:rPr>
      </w:pPr>
    </w:p>
    <w:p w:rsidR="00F34DED" w:rsidRPr="005A761C" w:rsidP="00F34DED" w14:paraId="70932AD6" w14:textId="483F2E2E">
      <w:pPr>
        <w:rPr>
          <w:sz w:val="22"/>
        </w:rPr>
      </w:pPr>
      <w:r w:rsidRPr="005A761C">
        <w:rPr>
          <w:b/>
          <w:bCs/>
          <w:sz w:val="22"/>
        </w:rPr>
        <w:t>AGENCY:</w:t>
      </w:r>
      <w:r w:rsidRPr="005A761C">
        <w:rPr>
          <w:sz w:val="22"/>
        </w:rPr>
        <w:tab/>
        <w:t>Pension Benefit Guaranty Corporation (PBGC)</w:t>
      </w:r>
    </w:p>
    <w:p w:rsidR="00F34DED" w:rsidRPr="005A761C" w:rsidP="00F34DED" w14:paraId="58DF581A" w14:textId="77777777">
      <w:pPr>
        <w:rPr>
          <w:sz w:val="22"/>
        </w:rPr>
      </w:pPr>
    </w:p>
    <w:p w:rsidR="00F34DED" w:rsidRPr="005A761C" w:rsidP="00F34DED" w14:paraId="0B43C586" w14:textId="645EBBAF">
      <w:pPr>
        <w:tabs>
          <w:tab w:val="left" w:pos="-1440"/>
        </w:tabs>
        <w:ind w:left="1440" w:hanging="1440"/>
        <w:rPr>
          <w:sz w:val="22"/>
        </w:rPr>
      </w:pPr>
      <w:r w:rsidRPr="005A761C">
        <w:rPr>
          <w:b/>
          <w:bCs/>
          <w:sz w:val="22"/>
        </w:rPr>
        <w:t>TITLE:</w:t>
      </w:r>
      <w:r w:rsidRPr="005A761C">
        <w:rPr>
          <w:sz w:val="22"/>
        </w:rPr>
        <w:tab/>
      </w:r>
      <w:r w:rsidR="005A2FE1">
        <w:rPr>
          <w:sz w:val="22"/>
        </w:rPr>
        <w:t>Missing Participants</w:t>
      </w:r>
      <w:r w:rsidRPr="007907C4" w:rsidR="007907C4">
        <w:rPr>
          <w:sz w:val="22"/>
        </w:rPr>
        <w:t xml:space="preserve"> </w:t>
      </w:r>
      <w:r w:rsidR="006925E4">
        <w:rPr>
          <w:sz w:val="22"/>
        </w:rPr>
        <w:t>(2</w:t>
      </w:r>
      <w:r w:rsidRPr="006925E4" w:rsidR="006925E4">
        <w:rPr>
          <w:sz w:val="22"/>
        </w:rPr>
        <w:t>9 CFR part 4</w:t>
      </w:r>
      <w:r w:rsidR="00692E9E">
        <w:rPr>
          <w:sz w:val="22"/>
        </w:rPr>
        <w:t>0</w:t>
      </w:r>
      <w:r w:rsidR="005A2FE1">
        <w:rPr>
          <w:sz w:val="22"/>
        </w:rPr>
        <w:t>5</w:t>
      </w:r>
      <w:r w:rsidR="00692E9E">
        <w:rPr>
          <w:sz w:val="22"/>
        </w:rPr>
        <w:t>0</w:t>
      </w:r>
      <w:r w:rsidR="006925E4">
        <w:rPr>
          <w:sz w:val="22"/>
        </w:rPr>
        <w:t>)</w:t>
      </w:r>
    </w:p>
    <w:p w:rsidR="00F34DED" w:rsidRPr="005A761C" w:rsidP="00F34DED" w14:paraId="41FD649F" w14:textId="77777777">
      <w:pPr>
        <w:rPr>
          <w:sz w:val="22"/>
        </w:rPr>
      </w:pPr>
    </w:p>
    <w:p w:rsidR="00F34DED" w:rsidRPr="005A761C" w:rsidP="00F34DED" w14:paraId="3109F16B" w14:textId="4C92CC03">
      <w:pPr>
        <w:rPr>
          <w:sz w:val="22"/>
        </w:rPr>
      </w:pPr>
      <w:r w:rsidRPr="005A761C">
        <w:rPr>
          <w:b/>
          <w:bCs/>
          <w:sz w:val="22"/>
        </w:rPr>
        <w:t>STATUS:</w:t>
      </w:r>
      <w:r w:rsidRPr="005A761C">
        <w:rPr>
          <w:sz w:val="22"/>
        </w:rPr>
        <w:tab/>
        <w:t>OMB control number 1212</w:t>
      </w:r>
      <w:r w:rsidRPr="005A761C">
        <w:rPr>
          <w:sz w:val="22"/>
        </w:rPr>
        <w:noBreakHyphen/>
        <w:t>00</w:t>
      </w:r>
      <w:r w:rsidR="00A14AF3">
        <w:rPr>
          <w:sz w:val="22"/>
        </w:rPr>
        <w:t>69</w:t>
      </w:r>
      <w:r w:rsidRPr="005A761C">
        <w:rPr>
          <w:sz w:val="22"/>
        </w:rPr>
        <w:t xml:space="preserve">; expires </w:t>
      </w:r>
      <w:r w:rsidR="00A14AF3">
        <w:rPr>
          <w:sz w:val="22"/>
        </w:rPr>
        <w:t>11</w:t>
      </w:r>
      <w:r w:rsidR="001935B8">
        <w:rPr>
          <w:sz w:val="22"/>
        </w:rPr>
        <w:t>/</w:t>
      </w:r>
      <w:r w:rsidR="00A14AF3">
        <w:rPr>
          <w:sz w:val="22"/>
        </w:rPr>
        <w:t>30</w:t>
      </w:r>
      <w:r w:rsidR="001935B8">
        <w:rPr>
          <w:sz w:val="22"/>
        </w:rPr>
        <w:t>/202</w:t>
      </w:r>
      <w:r w:rsidR="00692E9E">
        <w:rPr>
          <w:sz w:val="22"/>
        </w:rPr>
        <w:t>6</w:t>
      </w:r>
    </w:p>
    <w:p w:rsidR="00F34DED" w:rsidRPr="005A761C" w:rsidP="00F34DED" w14:paraId="657F5E8D" w14:textId="77777777">
      <w:pPr>
        <w:rPr>
          <w:sz w:val="22"/>
        </w:rPr>
      </w:pPr>
    </w:p>
    <w:p w:rsidR="00F34DED" w:rsidRPr="005A761C" w:rsidP="00F34DED" w14:paraId="625B2867" w14:textId="66574CA8">
      <w:pPr>
        <w:tabs>
          <w:tab w:val="left" w:pos="-1440"/>
        </w:tabs>
        <w:ind w:left="1440" w:hanging="1440"/>
        <w:rPr>
          <w:sz w:val="22"/>
        </w:rPr>
      </w:pPr>
      <w:r w:rsidRPr="005A761C">
        <w:rPr>
          <w:b/>
          <w:bCs/>
          <w:sz w:val="22"/>
        </w:rPr>
        <w:t>CONTACT:</w:t>
      </w:r>
      <w:r w:rsidRPr="005A761C">
        <w:rPr>
          <w:sz w:val="22"/>
        </w:rPr>
        <w:tab/>
      </w:r>
      <w:r w:rsidR="00DC37C7">
        <w:rPr>
          <w:sz w:val="22"/>
        </w:rPr>
        <w:t>Gregory Katz</w:t>
      </w:r>
      <w:r w:rsidR="00074D7F">
        <w:rPr>
          <w:sz w:val="22"/>
        </w:rPr>
        <w:t xml:space="preserve"> (</w:t>
      </w:r>
      <w:r w:rsidRPr="00074D7F" w:rsidR="00074D7F">
        <w:rPr>
          <w:sz w:val="22"/>
        </w:rPr>
        <w:t>202-229-</w:t>
      </w:r>
      <w:r w:rsidR="00E716B9">
        <w:rPr>
          <w:sz w:val="22"/>
        </w:rPr>
        <w:t>3</w:t>
      </w:r>
      <w:r w:rsidR="00DC37C7">
        <w:rPr>
          <w:sz w:val="22"/>
        </w:rPr>
        <w:t>829</w:t>
      </w:r>
      <w:r w:rsidR="00074D7F">
        <w:rPr>
          <w:sz w:val="22"/>
        </w:rPr>
        <w:t>)</w:t>
      </w:r>
    </w:p>
    <w:p w:rsidR="00D9789C" w:rsidP="00873AA3" w14:paraId="6EA3D293" w14:textId="77777777">
      <w:pPr>
        <w:pStyle w:val="NormalWeb"/>
        <w:rPr>
          <w:rStyle w:val="bumpedfont15"/>
          <w:rFonts w:ascii="Times New Roman" w:hAnsi="Times New Roman" w:cs="Times New Roman"/>
          <w:sz w:val="24"/>
          <w:szCs w:val="24"/>
        </w:rPr>
      </w:pPr>
    </w:p>
    <w:p w:rsidR="00F96A6D" w:rsidP="00873AA3" w14:paraId="76E0F6D4" w14:textId="53A9FF5D">
      <w:pPr>
        <w:pStyle w:val="NormalWeb"/>
        <w:rPr>
          <w:rStyle w:val="bumpedfont15"/>
          <w:rFonts w:ascii="Times New Roman" w:hAnsi="Times New Roman" w:cs="Times New Roman"/>
          <w:sz w:val="24"/>
          <w:szCs w:val="24"/>
        </w:rPr>
      </w:pPr>
      <w:r w:rsidRPr="00366A6D">
        <w:rPr>
          <w:rStyle w:val="bumpedfont15"/>
          <w:rFonts w:ascii="Times New Roman" w:hAnsi="Times New Roman" w:cs="Times New Roman"/>
          <w:sz w:val="24"/>
          <w:szCs w:val="24"/>
        </w:rPr>
        <w:t>The</w:t>
      </w:r>
      <w:r w:rsidRPr="00366A6D">
        <w:rPr>
          <w:rStyle w:val="apple-converted-space"/>
          <w:rFonts w:ascii="Times New Roman" w:hAnsi="Times New Roman" w:cs="Times New Roman"/>
          <w:sz w:val="24"/>
          <w:szCs w:val="24"/>
        </w:rPr>
        <w:t> </w:t>
      </w:r>
      <w:r w:rsidRPr="00366A6D">
        <w:rPr>
          <w:rStyle w:val="bumpedfont15"/>
          <w:rFonts w:ascii="Times New Roman" w:hAnsi="Times New Roman" w:cs="Times New Roman"/>
          <w:sz w:val="24"/>
          <w:szCs w:val="24"/>
        </w:rPr>
        <w:t>Pension Benefit Guaranty Corporation (PBGC)</w:t>
      </w:r>
      <w:r w:rsidRPr="00366A6D">
        <w:rPr>
          <w:rStyle w:val="apple-converted-space"/>
          <w:rFonts w:ascii="Times New Roman" w:hAnsi="Times New Roman" w:cs="Times New Roman"/>
          <w:sz w:val="24"/>
          <w:szCs w:val="24"/>
        </w:rPr>
        <w:t> </w:t>
      </w:r>
      <w:r w:rsidRPr="00366A6D">
        <w:rPr>
          <w:rStyle w:val="bumpedfont15"/>
          <w:rFonts w:ascii="Times New Roman" w:hAnsi="Times New Roman" w:cs="Times New Roman"/>
          <w:sz w:val="24"/>
          <w:szCs w:val="24"/>
        </w:rPr>
        <w:t>is making</w:t>
      </w:r>
      <w:r w:rsidRPr="00366A6D" w:rsidR="00E9204F">
        <w:rPr>
          <w:rStyle w:val="apple-converted-space"/>
          <w:rFonts w:ascii="Times New Roman" w:hAnsi="Times New Roman" w:cs="Times New Roman"/>
          <w:sz w:val="24"/>
          <w:szCs w:val="24"/>
        </w:rPr>
        <w:t xml:space="preserve"> </w:t>
      </w:r>
      <w:r w:rsidRPr="00366A6D">
        <w:rPr>
          <w:rStyle w:val="apple-converted-space"/>
          <w:rFonts w:ascii="Times New Roman" w:hAnsi="Times New Roman" w:cs="Times New Roman"/>
          <w:sz w:val="24"/>
          <w:szCs w:val="24"/>
        </w:rPr>
        <w:t>change</w:t>
      </w:r>
      <w:r w:rsidRPr="00366A6D" w:rsidR="00FF1C7D">
        <w:rPr>
          <w:rStyle w:val="apple-converted-space"/>
          <w:rFonts w:ascii="Times New Roman" w:hAnsi="Times New Roman" w:cs="Times New Roman"/>
          <w:sz w:val="24"/>
          <w:szCs w:val="24"/>
        </w:rPr>
        <w:t>s</w:t>
      </w:r>
      <w:r w:rsidRPr="00366A6D">
        <w:rPr>
          <w:rStyle w:val="apple-converted-space"/>
          <w:rFonts w:ascii="Times New Roman" w:hAnsi="Times New Roman" w:cs="Times New Roman"/>
          <w:sz w:val="24"/>
          <w:szCs w:val="24"/>
        </w:rPr>
        <w:t> </w:t>
      </w:r>
      <w:r w:rsidRPr="00366A6D" w:rsidR="00612406">
        <w:rPr>
          <w:rStyle w:val="apple-converted-space"/>
          <w:rFonts w:ascii="Times New Roman" w:hAnsi="Times New Roman" w:cs="Times New Roman"/>
          <w:sz w:val="24"/>
          <w:szCs w:val="24"/>
        </w:rPr>
        <w:t xml:space="preserve">to the </w:t>
      </w:r>
      <w:r w:rsidRPr="00366A6D" w:rsidR="007F04F6">
        <w:rPr>
          <w:rStyle w:val="bumpedfont15"/>
          <w:rFonts w:ascii="Times New Roman" w:hAnsi="Times New Roman" w:cs="Times New Roman"/>
          <w:sz w:val="24"/>
          <w:szCs w:val="24"/>
        </w:rPr>
        <w:t>approved</w:t>
      </w:r>
      <w:r w:rsidRPr="00366A6D" w:rsidR="005E2BA3">
        <w:rPr>
          <w:rStyle w:val="bumpedfont15"/>
          <w:rFonts w:ascii="Times New Roman" w:hAnsi="Times New Roman" w:cs="Times New Roman"/>
          <w:sz w:val="24"/>
          <w:szCs w:val="24"/>
        </w:rPr>
        <w:t xml:space="preserve"> </w:t>
      </w:r>
      <w:r w:rsidRPr="00366A6D" w:rsidR="00B73AE6">
        <w:rPr>
          <w:rStyle w:val="bumpedfont15"/>
          <w:rFonts w:ascii="Times New Roman" w:hAnsi="Times New Roman" w:cs="Times New Roman"/>
          <w:sz w:val="24"/>
          <w:szCs w:val="24"/>
        </w:rPr>
        <w:t>instructions</w:t>
      </w:r>
      <w:r w:rsidR="00673843">
        <w:rPr>
          <w:rStyle w:val="bumpedfont15"/>
          <w:rFonts w:ascii="Times New Roman" w:hAnsi="Times New Roman" w:cs="Times New Roman"/>
          <w:sz w:val="24"/>
          <w:szCs w:val="24"/>
        </w:rPr>
        <w:t xml:space="preserve">, dated </w:t>
      </w:r>
      <w:r w:rsidR="00E65A1D">
        <w:rPr>
          <w:rStyle w:val="bumpedfont15"/>
          <w:rFonts w:ascii="Times New Roman" w:hAnsi="Times New Roman" w:cs="Times New Roman"/>
          <w:sz w:val="24"/>
          <w:szCs w:val="24"/>
        </w:rPr>
        <w:t>January</w:t>
      </w:r>
      <w:r w:rsidR="00673843">
        <w:rPr>
          <w:rStyle w:val="bumpedfont15"/>
          <w:rFonts w:ascii="Times New Roman" w:hAnsi="Times New Roman" w:cs="Times New Roman"/>
          <w:sz w:val="24"/>
          <w:szCs w:val="24"/>
        </w:rPr>
        <w:t xml:space="preserve"> </w:t>
      </w:r>
      <w:r w:rsidR="00E65A1D">
        <w:rPr>
          <w:rStyle w:val="bumpedfont15"/>
          <w:rFonts w:ascii="Times New Roman" w:hAnsi="Times New Roman" w:cs="Times New Roman"/>
          <w:sz w:val="24"/>
          <w:szCs w:val="24"/>
        </w:rPr>
        <w:t>1</w:t>
      </w:r>
      <w:r w:rsidR="00673843">
        <w:rPr>
          <w:rStyle w:val="bumpedfont15"/>
          <w:rFonts w:ascii="Times New Roman" w:hAnsi="Times New Roman" w:cs="Times New Roman"/>
          <w:sz w:val="24"/>
          <w:szCs w:val="24"/>
        </w:rPr>
        <w:t xml:space="preserve">, </w:t>
      </w:r>
      <w:r w:rsidR="00E65A1D">
        <w:rPr>
          <w:rStyle w:val="bumpedfont15"/>
          <w:rFonts w:ascii="Times New Roman" w:hAnsi="Times New Roman" w:cs="Times New Roman"/>
          <w:sz w:val="24"/>
          <w:szCs w:val="24"/>
        </w:rPr>
        <w:t>2</w:t>
      </w:r>
      <w:r w:rsidR="0003449C">
        <w:rPr>
          <w:rStyle w:val="bumpedfont15"/>
          <w:rFonts w:ascii="Times New Roman" w:hAnsi="Times New Roman" w:cs="Times New Roman"/>
          <w:sz w:val="24"/>
          <w:szCs w:val="24"/>
        </w:rPr>
        <w:t>018</w:t>
      </w:r>
      <w:r w:rsidR="00A57557">
        <w:rPr>
          <w:rStyle w:val="bumpedfont15"/>
          <w:rFonts w:ascii="Times New Roman" w:hAnsi="Times New Roman" w:cs="Times New Roman"/>
          <w:sz w:val="24"/>
          <w:szCs w:val="24"/>
        </w:rPr>
        <w:t>,</w:t>
      </w:r>
      <w:r w:rsidR="00DA69DC">
        <w:rPr>
          <w:rStyle w:val="bumpedfont15"/>
          <w:rFonts w:ascii="Times New Roman" w:hAnsi="Times New Roman" w:cs="Times New Roman"/>
          <w:sz w:val="24"/>
          <w:szCs w:val="24"/>
        </w:rPr>
        <w:t xml:space="preserve"> </w:t>
      </w:r>
      <w:r w:rsidRPr="00366A6D" w:rsidR="00612406">
        <w:rPr>
          <w:rStyle w:val="bumpedfont15"/>
          <w:rFonts w:ascii="Times New Roman" w:hAnsi="Times New Roman" w:cs="Times New Roman"/>
          <w:sz w:val="24"/>
          <w:szCs w:val="24"/>
        </w:rPr>
        <w:t>as a non</w:t>
      </w:r>
      <w:r w:rsidRPr="00366A6D" w:rsidR="00535FE7">
        <w:rPr>
          <w:rStyle w:val="bumpedfont15"/>
          <w:rFonts w:ascii="Times New Roman" w:hAnsi="Times New Roman" w:cs="Times New Roman"/>
          <w:sz w:val="24"/>
          <w:szCs w:val="24"/>
        </w:rPr>
        <w:t>-material/non-substantive change request under OMB Control Number 1212-00</w:t>
      </w:r>
      <w:r w:rsidR="000E2DE9">
        <w:rPr>
          <w:rStyle w:val="bumpedfont15"/>
          <w:rFonts w:ascii="Times New Roman" w:hAnsi="Times New Roman" w:cs="Times New Roman"/>
          <w:sz w:val="24"/>
          <w:szCs w:val="24"/>
        </w:rPr>
        <w:t>6</w:t>
      </w:r>
      <w:r w:rsidRPr="00366A6D" w:rsidR="00535FE7">
        <w:rPr>
          <w:rStyle w:val="bumpedfont15"/>
          <w:rFonts w:ascii="Times New Roman" w:hAnsi="Times New Roman" w:cs="Times New Roman"/>
          <w:sz w:val="24"/>
          <w:szCs w:val="24"/>
        </w:rPr>
        <w:t xml:space="preserve">9, which is scheduled to expire on </w:t>
      </w:r>
      <w:r w:rsidR="00EC0EF6">
        <w:rPr>
          <w:rStyle w:val="bumpedfont15"/>
          <w:rFonts w:ascii="Times New Roman" w:hAnsi="Times New Roman" w:cs="Times New Roman"/>
          <w:sz w:val="24"/>
          <w:szCs w:val="24"/>
        </w:rPr>
        <w:t>November</w:t>
      </w:r>
      <w:r w:rsidRPr="00366A6D" w:rsidR="00535FE7">
        <w:rPr>
          <w:rStyle w:val="bumpedfont15"/>
          <w:rFonts w:ascii="Times New Roman" w:hAnsi="Times New Roman" w:cs="Times New Roman"/>
          <w:sz w:val="24"/>
          <w:szCs w:val="24"/>
        </w:rPr>
        <w:t xml:space="preserve"> </w:t>
      </w:r>
      <w:r w:rsidR="00EC0EF6">
        <w:rPr>
          <w:rStyle w:val="bumpedfont15"/>
          <w:rFonts w:ascii="Times New Roman" w:hAnsi="Times New Roman" w:cs="Times New Roman"/>
          <w:sz w:val="24"/>
          <w:szCs w:val="24"/>
        </w:rPr>
        <w:t>30</w:t>
      </w:r>
      <w:r w:rsidRPr="00366A6D" w:rsidR="00535FE7">
        <w:rPr>
          <w:rStyle w:val="bumpedfont15"/>
          <w:rFonts w:ascii="Times New Roman" w:hAnsi="Times New Roman" w:cs="Times New Roman"/>
          <w:sz w:val="24"/>
          <w:szCs w:val="24"/>
        </w:rPr>
        <w:t>, 2026.</w:t>
      </w:r>
      <w:r w:rsidRPr="00366A6D" w:rsidR="00F0541E">
        <w:rPr>
          <w:rStyle w:val="bumpedfont15"/>
          <w:rFonts w:ascii="Times New Roman" w:hAnsi="Times New Roman" w:cs="Times New Roman"/>
          <w:sz w:val="24"/>
          <w:szCs w:val="24"/>
        </w:rPr>
        <w:t xml:space="preserve">  </w:t>
      </w:r>
    </w:p>
    <w:p w:rsidR="00B47BC4" w:rsidRPr="00366A6D" w:rsidP="00873AA3" w14:paraId="69E4360B" w14:textId="61261AAD">
      <w:pPr>
        <w:pStyle w:val="NormalWeb"/>
        <w:rPr>
          <w:rStyle w:val="bumpedfont15"/>
          <w:rFonts w:ascii="Times New Roman" w:hAnsi="Times New Roman" w:cs="Times New Roman"/>
          <w:sz w:val="24"/>
          <w:szCs w:val="24"/>
        </w:rPr>
      </w:pPr>
      <w:r w:rsidRPr="00B47BC4">
        <w:rPr>
          <w:rStyle w:val="bumpedfont15"/>
          <w:rFonts w:ascii="Times New Roman" w:hAnsi="Times New Roman" w:cs="Times New Roman"/>
          <w:sz w:val="24"/>
          <w:szCs w:val="24"/>
        </w:rPr>
        <w:t xml:space="preserve">Title IV of the Employee Retirement Income Security Act (ERISA) includes a provision (section 4050 of ERISA) under which PBGC holds retirement benefits for missing participants and beneficiaries in terminated pension plans and seeks to reunite those participants and beneficiaries with the benefits being held for them.  </w:t>
      </w:r>
      <w:r w:rsidR="0062294B">
        <w:rPr>
          <w:rStyle w:val="bumpedfont15"/>
          <w:rFonts w:ascii="Times New Roman" w:hAnsi="Times New Roman" w:cs="Times New Roman"/>
          <w:sz w:val="24"/>
          <w:szCs w:val="24"/>
        </w:rPr>
        <w:t xml:space="preserve">This Missing Participants </w:t>
      </w:r>
      <w:r w:rsidR="0036345C">
        <w:rPr>
          <w:rStyle w:val="bumpedfont15"/>
          <w:rFonts w:ascii="Times New Roman" w:hAnsi="Times New Roman" w:cs="Times New Roman"/>
          <w:sz w:val="24"/>
          <w:szCs w:val="24"/>
        </w:rPr>
        <w:t>P</w:t>
      </w:r>
      <w:r w:rsidR="0062294B">
        <w:rPr>
          <w:rStyle w:val="bumpedfont15"/>
          <w:rFonts w:ascii="Times New Roman" w:hAnsi="Times New Roman" w:cs="Times New Roman"/>
          <w:sz w:val="24"/>
          <w:szCs w:val="24"/>
        </w:rPr>
        <w:t xml:space="preserve">rogram </w:t>
      </w:r>
      <w:r w:rsidRPr="0062294B" w:rsidR="0062294B">
        <w:rPr>
          <w:rStyle w:val="bumpedfont15"/>
          <w:rFonts w:ascii="Times New Roman" w:hAnsi="Times New Roman" w:cs="Times New Roman"/>
          <w:sz w:val="24"/>
          <w:szCs w:val="24"/>
        </w:rPr>
        <w:t>covers four types of terminating plans</w:t>
      </w:r>
      <w:r w:rsidR="0062294B">
        <w:rPr>
          <w:rStyle w:val="bumpedfont15"/>
          <w:rFonts w:ascii="Times New Roman" w:hAnsi="Times New Roman" w:cs="Times New Roman"/>
          <w:sz w:val="24"/>
          <w:szCs w:val="24"/>
        </w:rPr>
        <w:t xml:space="preserve">.  </w:t>
      </w:r>
      <w:r w:rsidRPr="00B47BC4" w:rsidR="00A22514">
        <w:rPr>
          <w:rStyle w:val="bumpedfont15"/>
          <w:rFonts w:ascii="Times New Roman" w:hAnsi="Times New Roman" w:cs="Times New Roman"/>
          <w:sz w:val="24"/>
          <w:szCs w:val="24"/>
        </w:rPr>
        <w:t xml:space="preserve">The Missing Participants ICR consists of forms and instructions used </w:t>
      </w:r>
      <w:r w:rsidR="0062294B">
        <w:rPr>
          <w:rStyle w:val="bumpedfont15"/>
          <w:rFonts w:ascii="Times New Roman" w:hAnsi="Times New Roman" w:cs="Times New Roman"/>
          <w:sz w:val="24"/>
          <w:szCs w:val="24"/>
        </w:rPr>
        <w:t>by the</w:t>
      </w:r>
      <w:r w:rsidRPr="00B47BC4" w:rsidR="00A22514">
        <w:rPr>
          <w:rStyle w:val="bumpedfont15"/>
          <w:rFonts w:ascii="Times New Roman" w:hAnsi="Times New Roman" w:cs="Times New Roman"/>
          <w:sz w:val="24"/>
          <w:szCs w:val="24"/>
        </w:rPr>
        <w:t xml:space="preserve"> Missing Participants Program.</w:t>
      </w:r>
    </w:p>
    <w:p w:rsidR="00954100" w:rsidP="006F0F88" w14:paraId="36629FB5" w14:textId="6B7B86AD">
      <w:pPr>
        <w:pStyle w:val="NormalWeb"/>
        <w:rPr>
          <w:rStyle w:val="bumpedfont15"/>
          <w:rFonts w:ascii="Times New Roman" w:hAnsi="Times New Roman" w:cs="Times New Roman"/>
          <w:sz w:val="24"/>
          <w:szCs w:val="24"/>
        </w:rPr>
      </w:pPr>
      <w:r w:rsidRPr="00954100">
        <w:rPr>
          <w:rStyle w:val="bumpedfont15"/>
          <w:rFonts w:ascii="Times New Roman" w:hAnsi="Times New Roman" w:cs="Times New Roman"/>
          <w:sz w:val="24"/>
          <w:szCs w:val="24"/>
        </w:rPr>
        <w:t xml:space="preserve">PBGC’s regulations at 29 CFR part 4050 </w:t>
      </w:r>
      <w:r w:rsidR="00710D97">
        <w:rPr>
          <w:rStyle w:val="bumpedfont15"/>
          <w:rFonts w:ascii="Times New Roman" w:hAnsi="Times New Roman" w:cs="Times New Roman"/>
          <w:sz w:val="24"/>
          <w:szCs w:val="24"/>
        </w:rPr>
        <w:t xml:space="preserve">(missing participants regulation) </w:t>
      </w:r>
      <w:r w:rsidRPr="00954100">
        <w:rPr>
          <w:rStyle w:val="bumpedfont15"/>
          <w:rFonts w:ascii="Times New Roman" w:hAnsi="Times New Roman" w:cs="Times New Roman"/>
          <w:sz w:val="24"/>
          <w:szCs w:val="24"/>
        </w:rPr>
        <w:t xml:space="preserve">provide that plans must file with PBGC the information specified in the forms and instructions.  PBGC needs this information to identify the plans and the missing participants and beneficiaries, to search for missing participants and beneficiaries, and to determine the persons entitled to benefits that the plans transfer to PBGC and the form and amount of benefits payable to them. </w:t>
      </w:r>
    </w:p>
    <w:p w:rsidR="0081118D" w:rsidP="00ED6B06" w14:paraId="59E23027" w14:textId="5A797728">
      <w:pPr>
        <w:pStyle w:val="NormalWe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required items is </w:t>
      </w:r>
      <w:r w:rsidR="00D5450B">
        <w:rPr>
          <w:rFonts w:ascii="Times New Roman" w:eastAsia="Times New Roman" w:hAnsi="Times New Roman" w:cs="Times New Roman"/>
          <w:sz w:val="24"/>
          <w:szCs w:val="24"/>
        </w:rPr>
        <w:t>the “Benefit Transfer Amount</w:t>
      </w:r>
      <w:r w:rsidR="001909A7">
        <w:rPr>
          <w:rFonts w:ascii="Times New Roman" w:eastAsia="Times New Roman" w:hAnsi="Times New Roman" w:cs="Times New Roman"/>
          <w:sz w:val="24"/>
          <w:szCs w:val="24"/>
        </w:rPr>
        <w:t>,</w:t>
      </w:r>
      <w:r w:rsidR="00D5450B">
        <w:rPr>
          <w:rFonts w:ascii="Times New Roman" w:eastAsia="Times New Roman" w:hAnsi="Times New Roman" w:cs="Times New Roman"/>
          <w:sz w:val="24"/>
          <w:szCs w:val="24"/>
        </w:rPr>
        <w:t>”</w:t>
      </w:r>
      <w:r w:rsidR="001909A7">
        <w:rPr>
          <w:rFonts w:ascii="Times New Roman" w:eastAsia="Times New Roman" w:hAnsi="Times New Roman" w:cs="Times New Roman"/>
          <w:sz w:val="24"/>
          <w:szCs w:val="24"/>
        </w:rPr>
        <w:t xml:space="preserve"> </w:t>
      </w:r>
      <w:r w:rsidRPr="001909A7" w:rsidR="001909A7">
        <w:rPr>
          <w:rFonts w:ascii="Times New Roman" w:eastAsia="Times New Roman" w:hAnsi="Times New Roman" w:cs="Times New Roman"/>
          <w:sz w:val="24"/>
          <w:szCs w:val="24"/>
        </w:rPr>
        <w:t>the amount</w:t>
      </w:r>
      <w:r w:rsidR="001909A7">
        <w:rPr>
          <w:rFonts w:ascii="Times New Roman" w:eastAsia="Times New Roman" w:hAnsi="Times New Roman" w:cs="Times New Roman"/>
          <w:sz w:val="24"/>
          <w:szCs w:val="24"/>
        </w:rPr>
        <w:t xml:space="preserve"> </w:t>
      </w:r>
      <w:r w:rsidRPr="001909A7" w:rsidR="001909A7">
        <w:rPr>
          <w:rFonts w:ascii="Times New Roman" w:eastAsia="Times New Roman" w:hAnsi="Times New Roman" w:cs="Times New Roman"/>
          <w:sz w:val="24"/>
          <w:szCs w:val="24"/>
        </w:rPr>
        <w:t>to be paid to PBGC on behalf of a missing</w:t>
      </w:r>
      <w:r w:rsidR="001909A7">
        <w:rPr>
          <w:rFonts w:ascii="Times New Roman" w:eastAsia="Times New Roman" w:hAnsi="Times New Roman" w:cs="Times New Roman"/>
          <w:sz w:val="24"/>
          <w:szCs w:val="24"/>
        </w:rPr>
        <w:t xml:space="preserve"> </w:t>
      </w:r>
      <w:r w:rsidRPr="001909A7" w:rsidR="001909A7">
        <w:rPr>
          <w:rFonts w:ascii="Times New Roman" w:eastAsia="Times New Roman" w:hAnsi="Times New Roman" w:cs="Times New Roman"/>
          <w:sz w:val="24"/>
          <w:szCs w:val="24"/>
        </w:rPr>
        <w:t>distributee for whom the obligation for paying the benefit is</w:t>
      </w:r>
      <w:r w:rsidR="001909A7">
        <w:rPr>
          <w:rFonts w:ascii="Times New Roman" w:eastAsia="Times New Roman" w:hAnsi="Times New Roman" w:cs="Times New Roman"/>
          <w:sz w:val="24"/>
          <w:szCs w:val="24"/>
        </w:rPr>
        <w:t xml:space="preserve"> </w:t>
      </w:r>
      <w:r w:rsidRPr="001909A7" w:rsidR="001909A7">
        <w:rPr>
          <w:rFonts w:ascii="Times New Roman" w:eastAsia="Times New Roman" w:hAnsi="Times New Roman" w:cs="Times New Roman"/>
          <w:sz w:val="24"/>
          <w:szCs w:val="24"/>
        </w:rPr>
        <w:t>transferred to PBGC</w:t>
      </w:r>
      <w:r w:rsidR="00C81920">
        <w:rPr>
          <w:rFonts w:ascii="Times New Roman" w:eastAsia="Times New Roman" w:hAnsi="Times New Roman" w:cs="Times New Roman"/>
          <w:sz w:val="24"/>
          <w:szCs w:val="24"/>
        </w:rPr>
        <w:t xml:space="preserve">.  </w:t>
      </w:r>
      <w:r w:rsidR="00B17B13">
        <w:rPr>
          <w:rFonts w:ascii="Times New Roman" w:eastAsia="Times New Roman" w:hAnsi="Times New Roman" w:cs="Times New Roman"/>
          <w:sz w:val="24"/>
          <w:szCs w:val="24"/>
        </w:rPr>
        <w:t>For non de minimis benefits in defined benefit plans, t</w:t>
      </w:r>
      <w:r w:rsidR="00C81920">
        <w:rPr>
          <w:rFonts w:ascii="Times New Roman" w:eastAsia="Times New Roman" w:hAnsi="Times New Roman" w:cs="Times New Roman"/>
          <w:sz w:val="24"/>
          <w:szCs w:val="24"/>
        </w:rPr>
        <w:t xml:space="preserve">his Benefit Transfer Amount is determined using a </w:t>
      </w:r>
      <w:r w:rsidR="003D1AF9">
        <w:rPr>
          <w:rFonts w:ascii="Times New Roman" w:eastAsia="Times New Roman" w:hAnsi="Times New Roman" w:cs="Times New Roman"/>
          <w:sz w:val="24"/>
          <w:szCs w:val="24"/>
        </w:rPr>
        <w:t xml:space="preserve">simplified version of </w:t>
      </w:r>
      <w:r w:rsidRPr="00ED6B06" w:rsidR="00ED6B06">
        <w:rPr>
          <w:rFonts w:ascii="Times New Roman" w:eastAsia="Times New Roman" w:hAnsi="Times New Roman" w:cs="Times New Roman"/>
          <w:sz w:val="24"/>
          <w:szCs w:val="24"/>
        </w:rPr>
        <w:t>the assumptions used to value benefits to be paid as annuities</w:t>
      </w:r>
      <w:r w:rsidR="00ED6B06">
        <w:rPr>
          <w:rFonts w:ascii="Times New Roman" w:eastAsia="Times New Roman" w:hAnsi="Times New Roman" w:cs="Times New Roman"/>
          <w:sz w:val="24"/>
          <w:szCs w:val="24"/>
        </w:rPr>
        <w:t xml:space="preserve"> </w:t>
      </w:r>
      <w:r w:rsidRPr="00ED6B06" w:rsidR="00ED6B06">
        <w:rPr>
          <w:rFonts w:ascii="Times New Roman" w:eastAsia="Times New Roman" w:hAnsi="Times New Roman" w:cs="Times New Roman"/>
          <w:sz w:val="24"/>
          <w:szCs w:val="24"/>
        </w:rPr>
        <w:t>in PBGC’s trusteed plans</w:t>
      </w:r>
      <w:r w:rsidR="00ED6B06">
        <w:rPr>
          <w:rFonts w:ascii="Times New Roman" w:eastAsia="Times New Roman" w:hAnsi="Times New Roman" w:cs="Times New Roman"/>
          <w:sz w:val="24"/>
          <w:szCs w:val="24"/>
        </w:rPr>
        <w:t xml:space="preserve"> (4044 assumptions).</w:t>
      </w:r>
    </w:p>
    <w:p w:rsidR="0081118D" w:rsidP="001909A7" w14:paraId="18F20564" w14:textId="21B93BA7">
      <w:pPr>
        <w:pStyle w:val="NormalWeb"/>
        <w:rPr>
          <w:rFonts w:ascii="Times New Roman" w:eastAsia="Times New Roman" w:hAnsi="Times New Roman" w:cs="Times New Roman"/>
          <w:sz w:val="24"/>
          <w:szCs w:val="24"/>
        </w:rPr>
      </w:pPr>
      <w:r w:rsidRPr="0018636D">
        <w:rPr>
          <w:rFonts w:ascii="Times New Roman" w:eastAsia="Times New Roman" w:hAnsi="Times New Roman" w:cs="Times New Roman"/>
          <w:sz w:val="24"/>
          <w:szCs w:val="24"/>
        </w:rPr>
        <w:t>PBGC</w:t>
      </w:r>
      <w:r w:rsidRPr="00366A6D">
        <w:rPr>
          <w:rFonts w:ascii="Times New Roman" w:eastAsia="Times New Roman" w:hAnsi="Times New Roman" w:cs="Times New Roman"/>
          <w:sz w:val="24"/>
          <w:szCs w:val="24"/>
        </w:rPr>
        <w:t>’s</w:t>
      </w:r>
      <w:r w:rsidRPr="0018636D">
        <w:rPr>
          <w:rFonts w:ascii="Times New Roman" w:eastAsia="Times New Roman" w:hAnsi="Times New Roman" w:cs="Times New Roman"/>
          <w:sz w:val="24"/>
          <w:szCs w:val="24"/>
        </w:rPr>
        <w:t xml:space="preserve"> </w:t>
      </w:r>
      <w:r w:rsidRPr="00366A6D">
        <w:rPr>
          <w:rFonts w:ascii="Times New Roman" w:eastAsia="Times New Roman" w:hAnsi="Times New Roman" w:cs="Times New Roman"/>
          <w:sz w:val="24"/>
          <w:szCs w:val="24"/>
        </w:rPr>
        <w:t>final rule on Valuation Assumptions and Methods</w:t>
      </w:r>
      <w:r w:rsidR="008A29B2">
        <w:rPr>
          <w:rFonts w:ascii="Times New Roman" w:eastAsia="Times New Roman" w:hAnsi="Times New Roman" w:cs="Times New Roman"/>
          <w:sz w:val="24"/>
          <w:szCs w:val="24"/>
        </w:rPr>
        <w:t>, published June 6, 2024,</w:t>
      </w:r>
      <w:r w:rsidRPr="00366A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restructures</w:t>
      </w:r>
      <w:r w:rsidRPr="0018636D">
        <w:rPr>
          <w:rFonts w:ascii="Times New Roman" w:eastAsia="Times New Roman" w:hAnsi="Times New Roman" w:cs="Times New Roman"/>
          <w:sz w:val="24"/>
          <w:szCs w:val="24"/>
        </w:rPr>
        <w:t xml:space="preserve"> the 4044 interest assumption </w:t>
      </w:r>
      <w:r w:rsidR="00927178">
        <w:rPr>
          <w:rFonts w:ascii="Times New Roman" w:eastAsia="Times New Roman" w:hAnsi="Times New Roman" w:cs="Times New Roman"/>
          <w:sz w:val="24"/>
          <w:szCs w:val="24"/>
        </w:rPr>
        <w:t>from the two-part select-and-ultimate structure to a</w:t>
      </w:r>
      <w:r w:rsidRPr="0018636D">
        <w:rPr>
          <w:rFonts w:ascii="Times New Roman" w:eastAsia="Times New Roman" w:hAnsi="Times New Roman" w:cs="Times New Roman"/>
          <w:sz w:val="24"/>
          <w:szCs w:val="24"/>
        </w:rPr>
        <w:t xml:space="preserve"> yield curve, </w:t>
      </w:r>
      <w:r w:rsidRPr="00366A6D">
        <w:rPr>
          <w:rFonts w:ascii="Times New Roman" w:eastAsia="Times New Roman" w:hAnsi="Times New Roman" w:cs="Times New Roman"/>
          <w:sz w:val="24"/>
          <w:szCs w:val="24"/>
        </w:rPr>
        <w:t xml:space="preserve">to </w:t>
      </w:r>
      <w:r w:rsidRPr="0018636D">
        <w:rPr>
          <w:rFonts w:ascii="Times New Roman" w:eastAsia="Times New Roman" w:hAnsi="Times New Roman" w:cs="Times New Roman"/>
          <w:sz w:val="24"/>
          <w:szCs w:val="24"/>
        </w:rPr>
        <w:t>more closely replicat</w:t>
      </w:r>
      <w:r w:rsidRPr="00366A6D">
        <w:rPr>
          <w:rFonts w:ascii="Times New Roman" w:eastAsia="Times New Roman" w:hAnsi="Times New Roman" w:cs="Times New Roman"/>
          <w:sz w:val="24"/>
          <w:szCs w:val="24"/>
        </w:rPr>
        <w:t>e</w:t>
      </w:r>
      <w:r w:rsidRPr="0018636D">
        <w:rPr>
          <w:rFonts w:ascii="Times New Roman" w:eastAsia="Times New Roman" w:hAnsi="Times New Roman" w:cs="Times New Roman"/>
          <w:sz w:val="24"/>
          <w:szCs w:val="24"/>
        </w:rPr>
        <w:t xml:space="preserve"> the actual yields on the investments backing group annuities, and better reflect today's actuarial practice</w:t>
      </w:r>
      <w:r w:rsidR="00B03B03">
        <w:rPr>
          <w:rFonts w:ascii="Times New Roman" w:eastAsia="Times New Roman" w:hAnsi="Times New Roman" w:cs="Times New Roman"/>
          <w:sz w:val="24"/>
          <w:szCs w:val="24"/>
        </w:rPr>
        <w:t>.</w:t>
      </w:r>
      <w:r w:rsidRPr="0018636D">
        <w:rPr>
          <w:rFonts w:ascii="Times New Roman" w:eastAsia="Times New Roman" w:hAnsi="Times New Roman" w:cs="Times New Roman"/>
          <w:sz w:val="24"/>
          <w:szCs w:val="24"/>
        </w:rPr>
        <w:t xml:space="preserve"> </w:t>
      </w:r>
      <w:r w:rsidRPr="00366A6D">
        <w:rPr>
          <w:rFonts w:ascii="Times New Roman" w:eastAsia="Times New Roman" w:hAnsi="Times New Roman" w:cs="Times New Roman"/>
          <w:sz w:val="24"/>
          <w:szCs w:val="24"/>
        </w:rPr>
        <w:t xml:space="preserve"> </w:t>
      </w:r>
      <w:r w:rsidR="00B03B03">
        <w:rPr>
          <w:rFonts w:ascii="Times New Roman" w:eastAsia="Times New Roman" w:hAnsi="Times New Roman" w:cs="Times New Roman"/>
          <w:sz w:val="24"/>
          <w:szCs w:val="24"/>
        </w:rPr>
        <w:t>It also updates the 4044 mortality assumption</w:t>
      </w:r>
      <w:r w:rsidR="00733A0E">
        <w:rPr>
          <w:rFonts w:ascii="Times New Roman" w:eastAsia="Times New Roman" w:hAnsi="Times New Roman" w:cs="Times New Roman"/>
          <w:sz w:val="24"/>
          <w:szCs w:val="24"/>
        </w:rPr>
        <w:t xml:space="preserve"> and</w:t>
      </w:r>
      <w:r w:rsidR="00804C6D">
        <w:rPr>
          <w:rFonts w:ascii="Times New Roman" w:eastAsia="Times New Roman" w:hAnsi="Times New Roman" w:cs="Times New Roman"/>
          <w:sz w:val="24"/>
          <w:szCs w:val="24"/>
        </w:rPr>
        <w:t xml:space="preserve"> makes conforming changes </w:t>
      </w:r>
      <w:r w:rsidR="00733A0E">
        <w:rPr>
          <w:rFonts w:ascii="Times New Roman" w:eastAsia="Times New Roman" w:hAnsi="Times New Roman" w:cs="Times New Roman"/>
          <w:sz w:val="24"/>
          <w:szCs w:val="24"/>
        </w:rPr>
        <w:t xml:space="preserve">to PBGC’s missing participants </w:t>
      </w:r>
      <w:r w:rsidR="00710D97">
        <w:rPr>
          <w:rFonts w:ascii="Times New Roman" w:eastAsia="Times New Roman" w:hAnsi="Times New Roman" w:cs="Times New Roman"/>
          <w:sz w:val="24"/>
          <w:szCs w:val="24"/>
        </w:rPr>
        <w:t xml:space="preserve">regulation.  </w:t>
      </w:r>
      <w:r>
        <w:rPr>
          <w:rFonts w:ascii="Times New Roman" w:eastAsia="Times New Roman" w:hAnsi="Times New Roman" w:cs="Times New Roman"/>
          <w:sz w:val="24"/>
          <w:szCs w:val="24"/>
        </w:rPr>
        <w:t>The final rule is effective July 8, 2024</w:t>
      </w:r>
      <w:r w:rsidR="00B03B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will apply to </w:t>
      </w:r>
      <w:r w:rsidRPr="00027E07">
        <w:rPr>
          <w:rFonts w:ascii="Times New Roman" w:eastAsia="Times New Roman" w:hAnsi="Times New Roman" w:cs="Times New Roman"/>
          <w:sz w:val="24"/>
          <w:szCs w:val="24"/>
        </w:rPr>
        <w:t>calculations where the valuation date is on or after July 31, 2024.</w:t>
      </w:r>
    </w:p>
    <w:p w:rsidR="000245D4" w:rsidP="007E65C5" w14:paraId="106F6FB5" w14:textId="59B80F0E">
      <w:pPr>
        <w:rPr>
          <w:szCs w:val="24"/>
        </w:rPr>
      </w:pPr>
      <w:r>
        <w:rPr>
          <w:szCs w:val="24"/>
        </w:rPr>
        <w:t xml:space="preserve">PBGC is </w:t>
      </w:r>
      <w:r w:rsidR="00C15042">
        <w:rPr>
          <w:szCs w:val="24"/>
        </w:rPr>
        <w:t>updating the</w:t>
      </w:r>
      <w:r>
        <w:rPr>
          <w:szCs w:val="24"/>
        </w:rPr>
        <w:t xml:space="preserve"> instructions </w:t>
      </w:r>
      <w:r w:rsidR="00437706">
        <w:rPr>
          <w:szCs w:val="24"/>
        </w:rPr>
        <w:t xml:space="preserve">for forms </w:t>
      </w:r>
      <w:r w:rsidR="001E672A">
        <w:rPr>
          <w:szCs w:val="24"/>
        </w:rPr>
        <w:t>used by defined benefit plans (</w:t>
      </w:r>
      <w:r w:rsidR="00437706">
        <w:rPr>
          <w:szCs w:val="24"/>
        </w:rPr>
        <w:t>MP-100, MP-300</w:t>
      </w:r>
      <w:r w:rsidR="009712CD">
        <w:rPr>
          <w:szCs w:val="24"/>
        </w:rPr>
        <w:t>, and MP-400</w:t>
      </w:r>
      <w:r w:rsidR="001E672A">
        <w:rPr>
          <w:szCs w:val="24"/>
        </w:rPr>
        <w:t>)</w:t>
      </w:r>
      <w:r w:rsidR="009712CD">
        <w:rPr>
          <w:szCs w:val="24"/>
        </w:rPr>
        <w:t xml:space="preserve"> to reflect the </w:t>
      </w:r>
      <w:r w:rsidR="008A29B2">
        <w:rPr>
          <w:szCs w:val="24"/>
        </w:rPr>
        <w:t>June</w:t>
      </w:r>
      <w:r w:rsidR="00467F8F">
        <w:rPr>
          <w:szCs w:val="24"/>
        </w:rPr>
        <w:t xml:space="preserve"> </w:t>
      </w:r>
      <w:r w:rsidR="008A29B2">
        <w:rPr>
          <w:szCs w:val="24"/>
        </w:rPr>
        <w:t>6</w:t>
      </w:r>
      <w:r w:rsidR="00467F8F">
        <w:rPr>
          <w:szCs w:val="24"/>
        </w:rPr>
        <w:t xml:space="preserve"> final rule</w:t>
      </w:r>
      <w:r w:rsidR="009712CD">
        <w:rPr>
          <w:szCs w:val="24"/>
        </w:rPr>
        <w:t>.</w:t>
      </w:r>
      <w:r w:rsidR="00431C23">
        <w:rPr>
          <w:szCs w:val="24"/>
        </w:rPr>
        <w:t xml:space="preserve">  The change</w:t>
      </w:r>
      <w:r w:rsidR="00A071FC">
        <w:rPr>
          <w:szCs w:val="24"/>
        </w:rPr>
        <w:t>s</w:t>
      </w:r>
      <w:r w:rsidR="007F6BCE">
        <w:rPr>
          <w:szCs w:val="24"/>
        </w:rPr>
        <w:t>,</w:t>
      </w:r>
      <w:r w:rsidR="00A071FC">
        <w:rPr>
          <w:szCs w:val="24"/>
        </w:rPr>
        <w:t xml:space="preserve"> </w:t>
      </w:r>
      <w:r w:rsidR="00431C23">
        <w:rPr>
          <w:szCs w:val="24"/>
        </w:rPr>
        <w:t>appearing in a table labeled “PBGC Missing Participant Assumptions”</w:t>
      </w:r>
      <w:r w:rsidR="00FC7D2F">
        <w:rPr>
          <w:szCs w:val="24"/>
        </w:rPr>
        <w:t xml:space="preserve"> </w:t>
      </w:r>
      <w:r w:rsidR="00F57E46">
        <w:rPr>
          <w:szCs w:val="24"/>
        </w:rPr>
        <w:t>and a footnote</w:t>
      </w:r>
      <w:r w:rsidR="007F6BCE">
        <w:rPr>
          <w:szCs w:val="24"/>
        </w:rPr>
        <w:t>,</w:t>
      </w:r>
      <w:r w:rsidR="00F57E46">
        <w:rPr>
          <w:szCs w:val="24"/>
        </w:rPr>
        <w:t xml:space="preserve"> </w:t>
      </w:r>
      <w:r w:rsidR="00FC7D2F">
        <w:rPr>
          <w:szCs w:val="24"/>
        </w:rPr>
        <w:t>follow:</w:t>
      </w:r>
    </w:p>
    <w:p w:rsidR="003B2F1B" w:rsidP="007E65C5" w14:paraId="3693104B" w14:textId="77777777">
      <w:pPr>
        <w:rPr>
          <w:szCs w:val="24"/>
        </w:rPr>
      </w:pPr>
    </w:p>
    <w:tbl>
      <w:tblPr>
        <w:tblStyle w:val="TableGrid"/>
        <w:tblW w:w="10417" w:type="dxa"/>
        <w:tblInd w:w="-432" w:type="dxa"/>
        <w:tblLook w:val="04A0"/>
      </w:tblPr>
      <w:tblGrid>
        <w:gridCol w:w="1115"/>
        <w:gridCol w:w="3835"/>
        <w:gridCol w:w="5467"/>
      </w:tblGrid>
      <w:tr w14:paraId="7A2BA825" w14:textId="77777777" w:rsidTr="00672B97">
        <w:tblPrEx>
          <w:tblW w:w="10417" w:type="dxa"/>
          <w:tblInd w:w="-432" w:type="dxa"/>
          <w:tblLook w:val="04A0"/>
        </w:tblPrEx>
        <w:trPr>
          <w:trHeight w:val="260"/>
        </w:trPr>
        <w:tc>
          <w:tcPr>
            <w:tcW w:w="1115" w:type="dxa"/>
          </w:tcPr>
          <w:p w:rsidR="00672B97" w:rsidRPr="00AD7898" w14:paraId="06C15C2F" w14:textId="77777777">
            <w:pPr>
              <w:rPr>
                <w:rFonts w:ascii="Aptos" w:hAnsi="Aptos"/>
                <w:b/>
                <w:bCs/>
                <w:sz w:val="22"/>
              </w:rPr>
            </w:pPr>
          </w:p>
        </w:tc>
        <w:tc>
          <w:tcPr>
            <w:tcW w:w="3835" w:type="dxa"/>
          </w:tcPr>
          <w:p w:rsidR="00672B97" w:rsidRPr="00AD7898" w14:paraId="42FA3471" w14:textId="20DA23E8">
            <w:pPr>
              <w:rPr>
                <w:rFonts w:ascii="Aptos" w:hAnsi="Aptos"/>
                <w:sz w:val="22"/>
              </w:rPr>
            </w:pPr>
            <w:r w:rsidRPr="00AD7898">
              <w:rPr>
                <w:rFonts w:ascii="Aptos" w:hAnsi="Aptos"/>
                <w:sz w:val="22"/>
              </w:rPr>
              <w:t>Current language</w:t>
            </w:r>
          </w:p>
        </w:tc>
        <w:tc>
          <w:tcPr>
            <w:tcW w:w="5467" w:type="dxa"/>
          </w:tcPr>
          <w:p w:rsidR="00672B97" w:rsidRPr="00AD7898" w14:paraId="13BAA3D4" w14:textId="09B16680">
            <w:pPr>
              <w:spacing w:after="120"/>
              <w:rPr>
                <w:rFonts w:ascii="Aptos" w:hAnsi="Aptos"/>
                <w:sz w:val="22"/>
              </w:rPr>
            </w:pPr>
            <w:r w:rsidRPr="00AD7898">
              <w:rPr>
                <w:rFonts w:ascii="Aptos" w:hAnsi="Aptos"/>
                <w:sz w:val="22"/>
              </w:rPr>
              <w:t>Revised language</w:t>
            </w:r>
          </w:p>
        </w:tc>
      </w:tr>
      <w:tr w14:paraId="70A68C8A" w14:textId="77777777">
        <w:tblPrEx>
          <w:tblW w:w="10417" w:type="dxa"/>
          <w:tblInd w:w="-432" w:type="dxa"/>
          <w:tblLook w:val="04A0"/>
        </w:tblPrEx>
        <w:trPr>
          <w:trHeight w:val="4211"/>
        </w:trPr>
        <w:tc>
          <w:tcPr>
            <w:tcW w:w="1115" w:type="dxa"/>
          </w:tcPr>
          <w:p w:rsidR="00FF6A47" w:rsidRPr="00AD7898" w14:paraId="2A3EAB44" w14:textId="77777777">
            <w:pPr>
              <w:rPr>
                <w:rFonts w:ascii="Aptos" w:hAnsi="Aptos"/>
                <w:b/>
                <w:bCs/>
                <w:sz w:val="22"/>
                <w:szCs w:val="22"/>
              </w:rPr>
            </w:pPr>
            <w:r w:rsidRPr="00AD7898">
              <w:rPr>
                <w:rFonts w:ascii="Aptos" w:hAnsi="Aptos"/>
                <w:b/>
                <w:bCs/>
                <w:sz w:val="22"/>
                <w:szCs w:val="22"/>
              </w:rPr>
              <w:t>Interest</w:t>
            </w:r>
          </w:p>
        </w:tc>
        <w:tc>
          <w:tcPr>
            <w:tcW w:w="3835" w:type="dxa"/>
          </w:tcPr>
          <w:p w:rsidR="00FF6A47" w:rsidRPr="00AD7898" w14:paraId="413D0A86" w14:textId="77777777">
            <w:pPr>
              <w:rPr>
                <w:rFonts w:ascii="Aptos" w:hAnsi="Aptos"/>
                <w:sz w:val="22"/>
                <w:szCs w:val="22"/>
              </w:rPr>
            </w:pPr>
            <w:r w:rsidRPr="00AD7898">
              <w:rPr>
                <w:rFonts w:ascii="Aptos" w:hAnsi="Aptos"/>
                <w:sz w:val="22"/>
                <w:szCs w:val="22"/>
              </w:rPr>
              <w:t xml:space="preserve">Same as for § 4044 calculations except that the § 4044 factors change monthly, and for purposes of determining the Benefit Transfer Amount, the factors in effect for January are used for the entire calendar year. </w:t>
            </w:r>
          </w:p>
          <w:p w:rsidR="00FF6A47" w:rsidRPr="00AD7898" w14:paraId="5DC980B5" w14:textId="77777777">
            <w:pPr>
              <w:rPr>
                <w:rFonts w:ascii="Aptos" w:hAnsi="Aptos"/>
                <w:sz w:val="22"/>
                <w:szCs w:val="22"/>
              </w:rPr>
            </w:pPr>
          </w:p>
        </w:tc>
        <w:tc>
          <w:tcPr>
            <w:tcW w:w="5467" w:type="dxa"/>
          </w:tcPr>
          <w:p w:rsidR="00FF6A47" w:rsidRPr="00AD7898" w14:paraId="165B8B47" w14:textId="77777777">
            <w:pPr>
              <w:spacing w:after="120"/>
              <w:rPr>
                <w:rFonts w:ascii="Aptos" w:hAnsi="Aptos"/>
                <w:sz w:val="22"/>
                <w:szCs w:val="22"/>
              </w:rPr>
            </w:pPr>
            <w:r w:rsidRPr="00AD7898">
              <w:rPr>
                <w:rFonts w:ascii="Aptos" w:hAnsi="Aptos"/>
                <w:sz w:val="22"/>
                <w:szCs w:val="22"/>
              </w:rPr>
              <w:t xml:space="preserve">Same as for 4044 calculations, except that the 4044 interest assumption changes monthly, and for purposes of determining the Benefit Transfer Amount, the same assumption is used for an entire year.  </w:t>
            </w:r>
          </w:p>
          <w:p w:rsidR="00AF4446" w:rsidRPr="0069032E" w:rsidP="00AF4446" w14:paraId="13204887" w14:textId="77777777">
            <w:pPr>
              <w:pStyle w:val="xmsonormal"/>
              <w:spacing w:after="100"/>
              <w:ind w:left="14" w:right="63"/>
              <w:rPr>
                <w:szCs w:val="22"/>
              </w:rPr>
            </w:pPr>
            <w:r w:rsidRPr="0069032E">
              <w:rPr>
                <w:szCs w:val="22"/>
              </w:rPr>
              <w:t xml:space="preserve">For Benefit Determination Dates: </w:t>
            </w:r>
          </w:p>
          <w:p w:rsidR="00FF6A47" w:rsidP="0069032E" w14:paraId="1F974B6D" w14:textId="6376B07D">
            <w:pPr>
              <w:pStyle w:val="ListParagraph"/>
              <w:numPr>
                <w:ilvl w:val="0"/>
                <w:numId w:val="16"/>
              </w:numPr>
              <w:rPr>
                <w:rFonts w:ascii="Aptos" w:hAnsi="Aptos"/>
                <w:sz w:val="22"/>
                <w:szCs w:val="22"/>
              </w:rPr>
            </w:pPr>
            <w:r w:rsidRPr="0069032E">
              <w:rPr>
                <w:rFonts w:ascii="Aptos" w:hAnsi="Aptos"/>
                <w:sz w:val="22"/>
                <w:szCs w:val="22"/>
              </w:rPr>
              <w:t xml:space="preserve">After December 31, 2024, the interest assumption is the 4044 yield curve as </w:t>
            </w:r>
            <w:r w:rsidR="00821049">
              <w:rPr>
                <w:rFonts w:ascii="Aptos" w:hAnsi="Aptos"/>
                <w:sz w:val="22"/>
                <w:szCs w:val="22"/>
              </w:rPr>
              <w:t xml:space="preserve">of </w:t>
            </w:r>
            <w:r w:rsidRPr="0069032E">
              <w:rPr>
                <w:rFonts w:ascii="Aptos" w:hAnsi="Aptos"/>
                <w:sz w:val="22"/>
                <w:szCs w:val="22"/>
              </w:rPr>
              <w:t>December 31 of the calendar year preceding the year containing the Benefit Determination Date</w:t>
            </w:r>
            <w:r w:rsidR="008B43B7">
              <w:rPr>
                <w:rFonts w:ascii="Aptos" w:hAnsi="Aptos"/>
                <w:sz w:val="22"/>
                <w:szCs w:val="22"/>
              </w:rPr>
              <w:t>, and</w:t>
            </w:r>
          </w:p>
          <w:p w:rsidR="008161E6" w:rsidRPr="008B43B7" w:rsidP="008B43B7" w14:paraId="59A2DD5D" w14:textId="31AA8D6F">
            <w:pPr>
              <w:pStyle w:val="ListParagraph"/>
              <w:numPr>
                <w:ilvl w:val="0"/>
                <w:numId w:val="16"/>
              </w:numPr>
              <w:rPr>
                <w:rFonts w:ascii="Aptos" w:hAnsi="Aptos"/>
                <w:sz w:val="22"/>
                <w:szCs w:val="22"/>
              </w:rPr>
            </w:pPr>
            <w:r w:rsidRPr="0069032E">
              <w:rPr>
                <w:rFonts w:ascii="Aptos" w:hAnsi="Aptos"/>
                <w:sz w:val="22"/>
                <w:szCs w:val="22"/>
              </w:rPr>
              <w:t>From July 31, 2024</w:t>
            </w:r>
            <w:r>
              <w:rPr>
                <w:rFonts w:ascii="Aptos" w:hAnsi="Aptos"/>
                <w:sz w:val="22"/>
                <w:szCs w:val="22"/>
              </w:rPr>
              <w:t>,</w:t>
            </w:r>
            <w:r w:rsidRPr="0069032E">
              <w:rPr>
                <w:rFonts w:ascii="Aptos" w:hAnsi="Aptos"/>
                <w:sz w:val="22"/>
                <w:szCs w:val="22"/>
              </w:rPr>
              <w:t xml:space="preserve"> through December 31, 2024, the interest assumption is the 4044 yield curve as of July 31, 2024</w:t>
            </w:r>
            <w:r w:rsidR="008B43B7">
              <w:rPr>
                <w:rFonts w:ascii="Aptos" w:hAnsi="Aptos"/>
                <w:sz w:val="22"/>
                <w:szCs w:val="22"/>
              </w:rPr>
              <w:t>.</w:t>
            </w:r>
            <w:r>
              <w:rPr>
                <w:rFonts w:ascii="Aptos" w:hAnsi="Aptos"/>
                <w:sz w:val="22"/>
                <w:szCs w:val="22"/>
                <w:vertAlign w:val="superscript"/>
              </w:rPr>
              <w:footnoteReference w:id="3"/>
            </w:r>
          </w:p>
          <w:p w:rsidR="00FF6A47" w:rsidRPr="00AD7898" w:rsidP="00D21F78" w14:paraId="38ECD4A5" w14:textId="420F97ED">
            <w:pPr>
              <w:spacing w:after="120"/>
              <w:rPr>
                <w:rFonts w:ascii="Aptos" w:hAnsi="Aptos"/>
                <w:sz w:val="22"/>
                <w:szCs w:val="22"/>
              </w:rPr>
            </w:pPr>
            <w:r w:rsidRPr="00AD7898">
              <w:rPr>
                <w:rFonts w:ascii="Aptos" w:hAnsi="Aptos"/>
                <w:sz w:val="22"/>
                <w:szCs w:val="22"/>
              </w:rPr>
              <w:t xml:space="preserve">A spreadsheet showing all of the 4044 yield curves </w:t>
            </w:r>
            <w:bookmarkStart w:id="0" w:name="_Hlk170133874"/>
            <w:r w:rsidRPr="00AD7898">
              <w:rPr>
                <w:rFonts w:ascii="Aptos" w:hAnsi="Aptos"/>
                <w:sz w:val="22"/>
                <w:szCs w:val="22"/>
              </w:rPr>
              <w:t xml:space="preserve">is available on PBGC’s </w:t>
            </w:r>
            <w:hyperlink r:id="rId9" w:history="1">
              <w:r w:rsidRPr="00AD7898">
                <w:rPr>
                  <w:rStyle w:val="Hyperlink"/>
                  <w:rFonts w:ascii="Aptos" w:hAnsi="Aptos"/>
                  <w:sz w:val="22"/>
                  <w:szCs w:val="22"/>
                </w:rPr>
                <w:t>ERISA 4044 interest rate</w:t>
              </w:r>
            </w:hyperlink>
            <w:r w:rsidRPr="00AD7898">
              <w:rPr>
                <w:rFonts w:ascii="Aptos" w:hAnsi="Aptos"/>
                <w:sz w:val="22"/>
                <w:szCs w:val="22"/>
              </w:rPr>
              <w:t xml:space="preserve"> webpage.</w:t>
            </w:r>
            <w:bookmarkEnd w:id="0"/>
          </w:p>
        </w:tc>
      </w:tr>
      <w:tr w14:paraId="2429C39C" w14:textId="77777777">
        <w:tblPrEx>
          <w:tblW w:w="10417" w:type="dxa"/>
          <w:tblInd w:w="-432" w:type="dxa"/>
          <w:tblLook w:val="04A0"/>
        </w:tblPrEx>
        <w:trPr>
          <w:trHeight w:val="1484"/>
        </w:trPr>
        <w:tc>
          <w:tcPr>
            <w:tcW w:w="1115" w:type="dxa"/>
          </w:tcPr>
          <w:p w:rsidR="00FF6A47" w:rsidRPr="00AD7898" w14:paraId="406A78BA" w14:textId="77777777">
            <w:pPr>
              <w:rPr>
                <w:rFonts w:ascii="Aptos" w:hAnsi="Aptos"/>
                <w:b/>
                <w:bCs/>
                <w:sz w:val="22"/>
                <w:szCs w:val="22"/>
              </w:rPr>
            </w:pPr>
            <w:r w:rsidRPr="00AD7898">
              <w:rPr>
                <w:rFonts w:ascii="Aptos" w:hAnsi="Aptos"/>
                <w:b/>
                <w:bCs/>
                <w:sz w:val="22"/>
                <w:szCs w:val="22"/>
              </w:rPr>
              <w:t>Mortality</w:t>
            </w:r>
          </w:p>
        </w:tc>
        <w:tc>
          <w:tcPr>
            <w:tcW w:w="3835" w:type="dxa"/>
          </w:tcPr>
          <w:p w:rsidR="00FF6A47" w:rsidRPr="00AD7898" w14:paraId="4FA6554E" w14:textId="77777777">
            <w:pPr>
              <w:rPr>
                <w:rFonts w:ascii="Aptos" w:hAnsi="Aptos"/>
                <w:sz w:val="22"/>
                <w:szCs w:val="22"/>
              </w:rPr>
            </w:pPr>
            <w:hyperlink r:id="rId10" w:history="1">
              <w:r w:rsidRPr="00AD7898">
                <w:rPr>
                  <w:rStyle w:val="Hyperlink"/>
                  <w:rFonts w:ascii="Aptos" w:hAnsi="Aptos"/>
                  <w:sz w:val="22"/>
                  <w:szCs w:val="22"/>
                </w:rPr>
                <w:t>A unisex version of the mortality table used for § 4044 purposes</w:t>
              </w:r>
            </w:hyperlink>
            <w:r w:rsidRPr="00AD7898">
              <w:rPr>
                <w:rFonts w:ascii="Aptos" w:hAnsi="Aptos"/>
                <w:sz w:val="22"/>
                <w:szCs w:val="22"/>
              </w:rPr>
              <w:t>. The unisex table is created by taking a 50/50 blend of the healthy male and female tables.</w:t>
            </w:r>
          </w:p>
        </w:tc>
        <w:tc>
          <w:tcPr>
            <w:tcW w:w="5467" w:type="dxa"/>
          </w:tcPr>
          <w:p w:rsidR="00FF6A47" w:rsidRPr="00AD7898" w14:paraId="3B237418" w14:textId="77777777">
            <w:pPr>
              <w:rPr>
                <w:rFonts w:ascii="Aptos" w:hAnsi="Aptos"/>
                <w:sz w:val="22"/>
                <w:szCs w:val="22"/>
              </w:rPr>
            </w:pPr>
            <w:r w:rsidRPr="00AD7898">
              <w:rPr>
                <w:rFonts w:ascii="Aptos" w:hAnsi="Aptos"/>
                <w:sz w:val="22"/>
                <w:szCs w:val="22"/>
              </w:rPr>
              <w:t xml:space="preserve">A unisex static version of the mortality table used for 4044 purposes.  </w:t>
            </w:r>
          </w:p>
          <w:p w:rsidR="00FF6A47" w:rsidRPr="00AD7898" w14:paraId="5A297FA1" w14:textId="77777777">
            <w:pPr>
              <w:rPr>
                <w:rFonts w:ascii="Aptos" w:hAnsi="Aptos"/>
                <w:sz w:val="22"/>
                <w:szCs w:val="22"/>
              </w:rPr>
            </w:pPr>
          </w:p>
          <w:p w:rsidR="00FF6A47" w:rsidRPr="00AD7898" w14:paraId="05122533" w14:textId="77777777">
            <w:pPr>
              <w:rPr>
                <w:rFonts w:ascii="Aptos" w:hAnsi="Aptos"/>
                <w:sz w:val="22"/>
                <w:szCs w:val="22"/>
              </w:rPr>
            </w:pPr>
            <w:r w:rsidRPr="00AD7898">
              <w:rPr>
                <w:rFonts w:ascii="Aptos" w:hAnsi="Aptos"/>
                <w:sz w:val="22"/>
                <w:szCs w:val="22"/>
              </w:rPr>
              <w:t xml:space="preserve">A spreadsheet showing the current and historical mortality tables used for this purpose is available on PBGC’s </w:t>
            </w:r>
            <w:hyperlink r:id="rId10" w:history="1">
              <w:r w:rsidRPr="00AD7898">
                <w:rPr>
                  <w:rStyle w:val="Hyperlink"/>
                  <w:rFonts w:ascii="Aptos" w:hAnsi="Aptos"/>
                  <w:sz w:val="22"/>
                  <w:szCs w:val="22"/>
                </w:rPr>
                <w:t>ERISA 4044/4050 mortality table</w:t>
              </w:r>
            </w:hyperlink>
            <w:r w:rsidRPr="00AD7898">
              <w:rPr>
                <w:rFonts w:ascii="Aptos" w:hAnsi="Aptos"/>
                <w:sz w:val="22"/>
                <w:szCs w:val="22"/>
              </w:rPr>
              <w:t xml:space="preserve"> webpage.</w:t>
            </w:r>
          </w:p>
        </w:tc>
      </w:tr>
    </w:tbl>
    <w:p w:rsidR="00AE4DEE" w:rsidP="002F72B1" w14:paraId="70A31ED0" w14:textId="29E50768">
      <w:pPr>
        <w:pStyle w:val="NormalWeb"/>
      </w:pPr>
    </w:p>
    <w:sectPr w:rsidSect="005A22F6">
      <w:footerReference w:type="default" r:id="rId11"/>
      <w:footerReference w:type="first" r:id="rId12"/>
      <w:pgSz w:w="12240" w:h="15840" w:code="1"/>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824102"/>
      <w:docPartObj>
        <w:docPartGallery w:val="Page Numbers (Bottom of Page)"/>
        <w:docPartUnique/>
      </w:docPartObj>
    </w:sdtPr>
    <w:sdtEndPr>
      <w:rPr>
        <w:noProof/>
      </w:rPr>
    </w:sdtEndPr>
    <w:sdtContent>
      <w:p w:rsidR="002465D5" w14:paraId="01666AA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65D5" w14:paraId="511680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0C4" w14:paraId="05857021" w14:textId="77777777">
    <w:pPr>
      <w:pStyle w:val="Footer"/>
      <w:jc w:val="center"/>
    </w:pPr>
  </w:p>
  <w:p w:rsidR="001C746B" w14:paraId="6B2B66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0FE3" w14:paraId="1D5A62DF" w14:textId="77777777">
      <w:r>
        <w:separator/>
      </w:r>
    </w:p>
  </w:footnote>
  <w:footnote w:type="continuationSeparator" w:id="1">
    <w:p w:rsidR="00820FE3" w14:paraId="378B863F" w14:textId="77777777">
      <w:r>
        <w:continuationSeparator/>
      </w:r>
    </w:p>
  </w:footnote>
  <w:footnote w:type="continuationNotice" w:id="2">
    <w:p w:rsidR="00820FE3" w14:paraId="5975AC37" w14:textId="77777777"/>
  </w:footnote>
  <w:footnote w:id="3">
    <w:p w:rsidR="008161E6" w:rsidP="008161E6" w14:paraId="6FC3EA07" w14:textId="162F60B5">
      <w:pPr>
        <w:pStyle w:val="FootnoteText"/>
      </w:pPr>
      <w:r w:rsidRPr="00172805">
        <w:rPr>
          <w:rStyle w:val="FootnoteReference"/>
          <w:sz w:val="22"/>
          <w:szCs w:val="22"/>
        </w:rPr>
        <w:footnoteRef/>
      </w:r>
      <w:r w:rsidRPr="00172805">
        <w:rPr>
          <w:sz w:val="22"/>
          <w:szCs w:val="22"/>
        </w:rPr>
        <w:t xml:space="preserve"> For </w:t>
      </w:r>
      <w:r w:rsidRPr="00172805">
        <w:t xml:space="preserve">Benefit Determination Dates before July 31, 2024, the applicable interest assumption was the 4044 interest </w:t>
      </w:r>
      <w:r>
        <w:t xml:space="preserve">assumption applicable for valuation dates in </w:t>
      </w:r>
      <w:r w:rsidRPr="00172805">
        <w:t>January of the year containing the Benefit Determination Date.</w:t>
      </w:r>
      <w:r>
        <w:t xml:space="preserve">  Those assumptions (which were structured as select and ultimate rates)</w:t>
      </w:r>
      <w:r w:rsidRPr="00AB1852">
        <w:t xml:space="preserve"> are available on PBGC’s </w:t>
      </w:r>
      <w:hyperlink r:id="rId1" w:history="1">
        <w:r w:rsidRPr="00AB1852">
          <w:rPr>
            <w:rStyle w:val="Hyperlink"/>
          </w:rPr>
          <w:t>ERISA 4044 interest rate</w:t>
        </w:r>
      </w:hyperlink>
      <w:r w:rsidRPr="00AB1852">
        <w:t xml:space="preserve"> webpage.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665EF"/>
    <w:multiLevelType w:val="hybridMultilevel"/>
    <w:tmpl w:val="C0586320"/>
    <w:lvl w:ilvl="0">
      <w:start w:val="1"/>
      <w:numFmt w:val="bullet"/>
      <w:lvlText w:val=""/>
      <w:lvlJc w:val="left"/>
      <w:pPr>
        <w:ind w:left="1480" w:hanging="360"/>
      </w:pPr>
      <w:rPr>
        <w:rFonts w:ascii="Symbol" w:hAnsi="Symbol"/>
      </w:rPr>
    </w:lvl>
    <w:lvl w:ilvl="1">
      <w:start w:val="1"/>
      <w:numFmt w:val="bullet"/>
      <w:lvlText w:val=""/>
      <w:lvlJc w:val="left"/>
      <w:pPr>
        <w:ind w:left="220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1">
    <w:nsid w:val="04BC43B2"/>
    <w:multiLevelType w:val="hybridMultilevel"/>
    <w:tmpl w:val="68223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847664"/>
    <w:multiLevelType w:val="hybridMultilevel"/>
    <w:tmpl w:val="32AA0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43655E"/>
    <w:multiLevelType w:val="hybridMultilevel"/>
    <w:tmpl w:val="3BA8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A8348D"/>
    <w:multiLevelType w:val="hybridMultilevel"/>
    <w:tmpl w:val="72BACDC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
    <w:nsid w:val="41E07A61"/>
    <w:multiLevelType w:val="hybridMultilevel"/>
    <w:tmpl w:val="3EB4E2F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D87D78"/>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1B4D6F"/>
    <w:multiLevelType w:val="hybridMultilevel"/>
    <w:tmpl w:val="ACB66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3B61FD"/>
    <w:multiLevelType w:val="hybridMultilevel"/>
    <w:tmpl w:val="4BBE1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B7979E5"/>
    <w:multiLevelType w:val="hybridMultilevel"/>
    <w:tmpl w:val="1214D6C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5CBA0A21"/>
    <w:multiLevelType w:val="multilevel"/>
    <w:tmpl w:val="64DEF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C64F84"/>
    <w:multiLevelType w:val="hybridMultilevel"/>
    <w:tmpl w:val="86D08338"/>
    <w:lvl w:ilvl="0">
      <w:start w:val="1"/>
      <w:numFmt w:val="bullet"/>
      <w:lvlText w:val=""/>
      <w:lvlJc w:val="left"/>
      <w:pPr>
        <w:ind w:left="762" w:hanging="360"/>
      </w:pPr>
      <w:rPr>
        <w:rFonts w:ascii="Symbol" w:hAnsi="Symbol" w:hint="default"/>
      </w:rPr>
    </w:lvl>
    <w:lvl w:ilvl="1" w:tentative="1">
      <w:start w:val="1"/>
      <w:numFmt w:val="bullet"/>
      <w:lvlText w:val="o"/>
      <w:lvlJc w:val="left"/>
      <w:pPr>
        <w:ind w:left="1482" w:hanging="360"/>
      </w:pPr>
      <w:rPr>
        <w:rFonts w:ascii="Courier New" w:hAnsi="Courier New" w:cs="Courier New" w:hint="default"/>
      </w:rPr>
    </w:lvl>
    <w:lvl w:ilvl="2" w:tentative="1">
      <w:start w:val="1"/>
      <w:numFmt w:val="bullet"/>
      <w:lvlText w:val=""/>
      <w:lvlJc w:val="left"/>
      <w:pPr>
        <w:ind w:left="2202" w:hanging="360"/>
      </w:pPr>
      <w:rPr>
        <w:rFonts w:ascii="Wingdings" w:hAnsi="Wingdings" w:hint="default"/>
      </w:rPr>
    </w:lvl>
    <w:lvl w:ilvl="3" w:tentative="1">
      <w:start w:val="1"/>
      <w:numFmt w:val="bullet"/>
      <w:lvlText w:val=""/>
      <w:lvlJc w:val="left"/>
      <w:pPr>
        <w:ind w:left="2922" w:hanging="360"/>
      </w:pPr>
      <w:rPr>
        <w:rFonts w:ascii="Symbol" w:hAnsi="Symbol" w:hint="default"/>
      </w:rPr>
    </w:lvl>
    <w:lvl w:ilvl="4" w:tentative="1">
      <w:start w:val="1"/>
      <w:numFmt w:val="bullet"/>
      <w:lvlText w:val="o"/>
      <w:lvlJc w:val="left"/>
      <w:pPr>
        <w:ind w:left="3642" w:hanging="360"/>
      </w:pPr>
      <w:rPr>
        <w:rFonts w:ascii="Courier New" w:hAnsi="Courier New" w:cs="Courier New" w:hint="default"/>
      </w:rPr>
    </w:lvl>
    <w:lvl w:ilvl="5" w:tentative="1">
      <w:start w:val="1"/>
      <w:numFmt w:val="bullet"/>
      <w:lvlText w:val=""/>
      <w:lvlJc w:val="left"/>
      <w:pPr>
        <w:ind w:left="4362" w:hanging="360"/>
      </w:pPr>
      <w:rPr>
        <w:rFonts w:ascii="Wingdings" w:hAnsi="Wingdings" w:hint="default"/>
      </w:rPr>
    </w:lvl>
    <w:lvl w:ilvl="6" w:tentative="1">
      <w:start w:val="1"/>
      <w:numFmt w:val="bullet"/>
      <w:lvlText w:val=""/>
      <w:lvlJc w:val="left"/>
      <w:pPr>
        <w:ind w:left="5082" w:hanging="360"/>
      </w:pPr>
      <w:rPr>
        <w:rFonts w:ascii="Symbol" w:hAnsi="Symbol" w:hint="default"/>
      </w:rPr>
    </w:lvl>
    <w:lvl w:ilvl="7" w:tentative="1">
      <w:start w:val="1"/>
      <w:numFmt w:val="bullet"/>
      <w:lvlText w:val="o"/>
      <w:lvlJc w:val="left"/>
      <w:pPr>
        <w:ind w:left="5802" w:hanging="360"/>
      </w:pPr>
      <w:rPr>
        <w:rFonts w:ascii="Courier New" w:hAnsi="Courier New" w:cs="Courier New" w:hint="default"/>
      </w:rPr>
    </w:lvl>
    <w:lvl w:ilvl="8" w:tentative="1">
      <w:start w:val="1"/>
      <w:numFmt w:val="bullet"/>
      <w:lvlText w:val=""/>
      <w:lvlJc w:val="left"/>
      <w:pPr>
        <w:ind w:left="6522" w:hanging="360"/>
      </w:pPr>
      <w:rPr>
        <w:rFonts w:ascii="Wingdings" w:hAnsi="Wingdings" w:hint="default"/>
      </w:rPr>
    </w:lvl>
  </w:abstractNum>
  <w:abstractNum w:abstractNumId="13">
    <w:nsid w:val="677428AB"/>
    <w:multiLevelType w:val="hybridMultilevel"/>
    <w:tmpl w:val="D0DAE6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D0945C2"/>
    <w:multiLevelType w:val="hybridMultilevel"/>
    <w:tmpl w:val="6AB62E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2E34E9D"/>
    <w:multiLevelType w:val="hybridMultilevel"/>
    <w:tmpl w:val="923A3E1E"/>
    <w:lvl w:ilvl="0">
      <w:start w:val="1"/>
      <w:numFmt w:val="bullet"/>
      <w:lvlText w:val=""/>
      <w:lvlJc w:val="left"/>
      <w:pPr>
        <w:ind w:left="1480" w:hanging="360"/>
      </w:pPr>
      <w:rPr>
        <w:rFonts w:ascii="Symbol" w:hAnsi="Symbol"/>
      </w:rPr>
    </w:lvl>
    <w:lvl w:ilvl="1">
      <w:start w:val="1"/>
      <w:numFmt w:val="bullet"/>
      <w:lvlText w:val=""/>
      <w:lvlJc w:val="left"/>
      <w:pPr>
        <w:ind w:left="220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num w:numId="1" w16cid:durableId="1414737179">
    <w:abstractNumId w:val="8"/>
  </w:num>
  <w:num w:numId="2" w16cid:durableId="448664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462708">
    <w:abstractNumId w:val="6"/>
  </w:num>
  <w:num w:numId="4" w16cid:durableId="886184077">
    <w:abstractNumId w:val="13"/>
  </w:num>
  <w:num w:numId="5" w16cid:durableId="403139920">
    <w:abstractNumId w:val="5"/>
  </w:num>
  <w:num w:numId="6" w16cid:durableId="1507667377">
    <w:abstractNumId w:val="9"/>
  </w:num>
  <w:num w:numId="7" w16cid:durableId="325088555">
    <w:abstractNumId w:val="7"/>
  </w:num>
  <w:num w:numId="8" w16cid:durableId="71465775">
    <w:abstractNumId w:val="1"/>
  </w:num>
  <w:num w:numId="9" w16cid:durableId="1114639348">
    <w:abstractNumId w:val="14"/>
  </w:num>
  <w:num w:numId="10" w16cid:durableId="579607056">
    <w:abstractNumId w:val="3"/>
  </w:num>
  <w:num w:numId="11" w16cid:durableId="466046070">
    <w:abstractNumId w:val="15"/>
  </w:num>
  <w:num w:numId="12" w16cid:durableId="708914606">
    <w:abstractNumId w:val="10"/>
  </w:num>
  <w:num w:numId="13" w16cid:durableId="1140610020">
    <w:abstractNumId w:val="0"/>
  </w:num>
  <w:num w:numId="14" w16cid:durableId="1951156891">
    <w:abstractNumId w:val="4"/>
  </w:num>
  <w:num w:numId="15" w16cid:durableId="1284927033">
    <w:abstractNumId w:val="12"/>
  </w:num>
  <w:num w:numId="16" w16cid:durableId="1806239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3D4C"/>
    <w:rsid w:val="00005EAB"/>
    <w:rsid w:val="0000644C"/>
    <w:rsid w:val="000127B8"/>
    <w:rsid w:val="00014968"/>
    <w:rsid w:val="0001545D"/>
    <w:rsid w:val="00017357"/>
    <w:rsid w:val="000245D4"/>
    <w:rsid w:val="00025120"/>
    <w:rsid w:val="00027E07"/>
    <w:rsid w:val="00033CA5"/>
    <w:rsid w:val="0003449C"/>
    <w:rsid w:val="000422DE"/>
    <w:rsid w:val="00043C03"/>
    <w:rsid w:val="0005702C"/>
    <w:rsid w:val="00062B89"/>
    <w:rsid w:val="000634F5"/>
    <w:rsid w:val="0006577C"/>
    <w:rsid w:val="00070EB7"/>
    <w:rsid w:val="0007287C"/>
    <w:rsid w:val="00074D7F"/>
    <w:rsid w:val="00076EB0"/>
    <w:rsid w:val="0008093D"/>
    <w:rsid w:val="000809B0"/>
    <w:rsid w:val="00086476"/>
    <w:rsid w:val="00086CA2"/>
    <w:rsid w:val="00087237"/>
    <w:rsid w:val="00094B11"/>
    <w:rsid w:val="000953A6"/>
    <w:rsid w:val="000A3C07"/>
    <w:rsid w:val="000B19F5"/>
    <w:rsid w:val="000B3499"/>
    <w:rsid w:val="000B3AF3"/>
    <w:rsid w:val="000B4CB1"/>
    <w:rsid w:val="000B52E8"/>
    <w:rsid w:val="000C2C31"/>
    <w:rsid w:val="000C5398"/>
    <w:rsid w:val="000C53A9"/>
    <w:rsid w:val="000D0C16"/>
    <w:rsid w:val="000D12BA"/>
    <w:rsid w:val="000D1A90"/>
    <w:rsid w:val="000D25AE"/>
    <w:rsid w:val="000D30AC"/>
    <w:rsid w:val="000D71DE"/>
    <w:rsid w:val="000D761D"/>
    <w:rsid w:val="000E2DE9"/>
    <w:rsid w:val="000E7487"/>
    <w:rsid w:val="000F14EE"/>
    <w:rsid w:val="000F294E"/>
    <w:rsid w:val="000F6C37"/>
    <w:rsid w:val="00105984"/>
    <w:rsid w:val="00105C0B"/>
    <w:rsid w:val="00107C80"/>
    <w:rsid w:val="001105B9"/>
    <w:rsid w:val="00110ABE"/>
    <w:rsid w:val="00110F2B"/>
    <w:rsid w:val="00111C55"/>
    <w:rsid w:val="00116CF6"/>
    <w:rsid w:val="00117C78"/>
    <w:rsid w:val="00121BE4"/>
    <w:rsid w:val="00126491"/>
    <w:rsid w:val="001271DD"/>
    <w:rsid w:val="00131F8F"/>
    <w:rsid w:val="00132391"/>
    <w:rsid w:val="00134B79"/>
    <w:rsid w:val="001444FB"/>
    <w:rsid w:val="001445F2"/>
    <w:rsid w:val="00151741"/>
    <w:rsid w:val="00153619"/>
    <w:rsid w:val="00156217"/>
    <w:rsid w:val="00157E9D"/>
    <w:rsid w:val="00170F36"/>
    <w:rsid w:val="00172104"/>
    <w:rsid w:val="00172543"/>
    <w:rsid w:val="00172805"/>
    <w:rsid w:val="001760E9"/>
    <w:rsid w:val="00180D7C"/>
    <w:rsid w:val="001814BD"/>
    <w:rsid w:val="001849A1"/>
    <w:rsid w:val="0018636D"/>
    <w:rsid w:val="00186539"/>
    <w:rsid w:val="001909A7"/>
    <w:rsid w:val="001925E6"/>
    <w:rsid w:val="001935B8"/>
    <w:rsid w:val="00195D0E"/>
    <w:rsid w:val="001A0020"/>
    <w:rsid w:val="001A02E8"/>
    <w:rsid w:val="001A541D"/>
    <w:rsid w:val="001A5C8A"/>
    <w:rsid w:val="001B098B"/>
    <w:rsid w:val="001B1220"/>
    <w:rsid w:val="001B15C8"/>
    <w:rsid w:val="001B196B"/>
    <w:rsid w:val="001B3AEB"/>
    <w:rsid w:val="001B4B6E"/>
    <w:rsid w:val="001B5802"/>
    <w:rsid w:val="001B5E32"/>
    <w:rsid w:val="001B619E"/>
    <w:rsid w:val="001C4744"/>
    <w:rsid w:val="001C5847"/>
    <w:rsid w:val="001C746B"/>
    <w:rsid w:val="001D3382"/>
    <w:rsid w:val="001D5150"/>
    <w:rsid w:val="001D542B"/>
    <w:rsid w:val="001E0957"/>
    <w:rsid w:val="001E3558"/>
    <w:rsid w:val="001E519D"/>
    <w:rsid w:val="001E5BD4"/>
    <w:rsid w:val="001E5CD0"/>
    <w:rsid w:val="001E672A"/>
    <w:rsid w:val="001F2DBC"/>
    <w:rsid w:val="001F3BB9"/>
    <w:rsid w:val="001F54D5"/>
    <w:rsid w:val="00200457"/>
    <w:rsid w:val="002008D1"/>
    <w:rsid w:val="002018E1"/>
    <w:rsid w:val="002139B3"/>
    <w:rsid w:val="0021404F"/>
    <w:rsid w:val="00217516"/>
    <w:rsid w:val="002208F5"/>
    <w:rsid w:val="00221F1D"/>
    <w:rsid w:val="0022452C"/>
    <w:rsid w:val="00225711"/>
    <w:rsid w:val="00232896"/>
    <w:rsid w:val="00235E43"/>
    <w:rsid w:val="0024229E"/>
    <w:rsid w:val="002465D5"/>
    <w:rsid w:val="00247360"/>
    <w:rsid w:val="0025762B"/>
    <w:rsid w:val="00263F9F"/>
    <w:rsid w:val="0026433B"/>
    <w:rsid w:val="00266734"/>
    <w:rsid w:val="00267F42"/>
    <w:rsid w:val="0027185A"/>
    <w:rsid w:val="00273C12"/>
    <w:rsid w:val="00283C41"/>
    <w:rsid w:val="002856E3"/>
    <w:rsid w:val="0028737B"/>
    <w:rsid w:val="0029583E"/>
    <w:rsid w:val="00296536"/>
    <w:rsid w:val="002973D0"/>
    <w:rsid w:val="002A33DB"/>
    <w:rsid w:val="002A4F4B"/>
    <w:rsid w:val="002A65C6"/>
    <w:rsid w:val="002B1A0F"/>
    <w:rsid w:val="002B25D0"/>
    <w:rsid w:val="002B324E"/>
    <w:rsid w:val="002C1AF9"/>
    <w:rsid w:val="002C1D2C"/>
    <w:rsid w:val="002C1FFA"/>
    <w:rsid w:val="002C239E"/>
    <w:rsid w:val="002C419F"/>
    <w:rsid w:val="002D2129"/>
    <w:rsid w:val="002D2232"/>
    <w:rsid w:val="002D4F01"/>
    <w:rsid w:val="002E0567"/>
    <w:rsid w:val="002F1F45"/>
    <w:rsid w:val="002F331A"/>
    <w:rsid w:val="002F72B1"/>
    <w:rsid w:val="00300CA5"/>
    <w:rsid w:val="00305A40"/>
    <w:rsid w:val="00305E7E"/>
    <w:rsid w:val="00305FF4"/>
    <w:rsid w:val="003062E2"/>
    <w:rsid w:val="00311DE7"/>
    <w:rsid w:val="003121FA"/>
    <w:rsid w:val="003138AF"/>
    <w:rsid w:val="00314349"/>
    <w:rsid w:val="00314353"/>
    <w:rsid w:val="00316D58"/>
    <w:rsid w:val="00321DEA"/>
    <w:rsid w:val="00322911"/>
    <w:rsid w:val="0032311D"/>
    <w:rsid w:val="00323315"/>
    <w:rsid w:val="00324796"/>
    <w:rsid w:val="00326482"/>
    <w:rsid w:val="0033116A"/>
    <w:rsid w:val="003379F8"/>
    <w:rsid w:val="00347152"/>
    <w:rsid w:val="003527F5"/>
    <w:rsid w:val="00354680"/>
    <w:rsid w:val="0036345C"/>
    <w:rsid w:val="00363EFA"/>
    <w:rsid w:val="003646F1"/>
    <w:rsid w:val="00365209"/>
    <w:rsid w:val="003653BE"/>
    <w:rsid w:val="00365858"/>
    <w:rsid w:val="00366656"/>
    <w:rsid w:val="00366927"/>
    <w:rsid w:val="00366A6D"/>
    <w:rsid w:val="003740F3"/>
    <w:rsid w:val="0037433F"/>
    <w:rsid w:val="00380CA4"/>
    <w:rsid w:val="00381FE4"/>
    <w:rsid w:val="003823FB"/>
    <w:rsid w:val="00394C79"/>
    <w:rsid w:val="00396284"/>
    <w:rsid w:val="00396569"/>
    <w:rsid w:val="003969F9"/>
    <w:rsid w:val="0039700D"/>
    <w:rsid w:val="00397B6E"/>
    <w:rsid w:val="003A2B3D"/>
    <w:rsid w:val="003A3133"/>
    <w:rsid w:val="003A3E42"/>
    <w:rsid w:val="003A56F3"/>
    <w:rsid w:val="003A5EF2"/>
    <w:rsid w:val="003A7978"/>
    <w:rsid w:val="003A7E51"/>
    <w:rsid w:val="003B2F1B"/>
    <w:rsid w:val="003B3FE4"/>
    <w:rsid w:val="003B4AC9"/>
    <w:rsid w:val="003B571B"/>
    <w:rsid w:val="003C0971"/>
    <w:rsid w:val="003C5EE2"/>
    <w:rsid w:val="003D1AF9"/>
    <w:rsid w:val="003D259E"/>
    <w:rsid w:val="003D25CE"/>
    <w:rsid w:val="003D3F59"/>
    <w:rsid w:val="003D5206"/>
    <w:rsid w:val="003D7AC1"/>
    <w:rsid w:val="003E5366"/>
    <w:rsid w:val="003E6E9F"/>
    <w:rsid w:val="003F431B"/>
    <w:rsid w:val="004024D7"/>
    <w:rsid w:val="00407FC6"/>
    <w:rsid w:val="00412E43"/>
    <w:rsid w:val="0041361C"/>
    <w:rsid w:val="0041505F"/>
    <w:rsid w:val="00416213"/>
    <w:rsid w:val="0042017A"/>
    <w:rsid w:val="00422D40"/>
    <w:rsid w:val="00425CCD"/>
    <w:rsid w:val="00427C04"/>
    <w:rsid w:val="00431C23"/>
    <w:rsid w:val="004324B3"/>
    <w:rsid w:val="004327E7"/>
    <w:rsid w:val="00435451"/>
    <w:rsid w:val="00437706"/>
    <w:rsid w:val="00440654"/>
    <w:rsid w:val="00441CDD"/>
    <w:rsid w:val="00443161"/>
    <w:rsid w:val="00450602"/>
    <w:rsid w:val="004542B8"/>
    <w:rsid w:val="00463832"/>
    <w:rsid w:val="00467AD2"/>
    <w:rsid w:val="00467F8F"/>
    <w:rsid w:val="00472A7B"/>
    <w:rsid w:val="00476F17"/>
    <w:rsid w:val="004807EC"/>
    <w:rsid w:val="00481B74"/>
    <w:rsid w:val="00481E78"/>
    <w:rsid w:val="004826A3"/>
    <w:rsid w:val="00482D85"/>
    <w:rsid w:val="00482EB0"/>
    <w:rsid w:val="004844FB"/>
    <w:rsid w:val="004861AF"/>
    <w:rsid w:val="0048797A"/>
    <w:rsid w:val="004A0E0F"/>
    <w:rsid w:val="004A3F26"/>
    <w:rsid w:val="004C0E87"/>
    <w:rsid w:val="004D0A23"/>
    <w:rsid w:val="004D3FA7"/>
    <w:rsid w:val="004D6E85"/>
    <w:rsid w:val="004E0277"/>
    <w:rsid w:val="004E08A5"/>
    <w:rsid w:val="004F5774"/>
    <w:rsid w:val="00501E4C"/>
    <w:rsid w:val="0050556A"/>
    <w:rsid w:val="00511ACF"/>
    <w:rsid w:val="00512F8F"/>
    <w:rsid w:val="00514166"/>
    <w:rsid w:val="005157A9"/>
    <w:rsid w:val="005179DD"/>
    <w:rsid w:val="00526901"/>
    <w:rsid w:val="0052791C"/>
    <w:rsid w:val="00535FE7"/>
    <w:rsid w:val="00542C2B"/>
    <w:rsid w:val="00546765"/>
    <w:rsid w:val="00550BAF"/>
    <w:rsid w:val="0055164B"/>
    <w:rsid w:val="005527CB"/>
    <w:rsid w:val="005562EB"/>
    <w:rsid w:val="00563342"/>
    <w:rsid w:val="0057401E"/>
    <w:rsid w:val="0057544F"/>
    <w:rsid w:val="00577476"/>
    <w:rsid w:val="005847FB"/>
    <w:rsid w:val="00596797"/>
    <w:rsid w:val="005A079F"/>
    <w:rsid w:val="005A0CAE"/>
    <w:rsid w:val="005A22F6"/>
    <w:rsid w:val="005A2FE1"/>
    <w:rsid w:val="005A3B93"/>
    <w:rsid w:val="005A3C2B"/>
    <w:rsid w:val="005A3D17"/>
    <w:rsid w:val="005A6C4C"/>
    <w:rsid w:val="005A761C"/>
    <w:rsid w:val="005B3969"/>
    <w:rsid w:val="005B5696"/>
    <w:rsid w:val="005C257B"/>
    <w:rsid w:val="005C4184"/>
    <w:rsid w:val="005C76A8"/>
    <w:rsid w:val="005D4F2F"/>
    <w:rsid w:val="005D53C3"/>
    <w:rsid w:val="005D7076"/>
    <w:rsid w:val="005D74C5"/>
    <w:rsid w:val="005E1CE9"/>
    <w:rsid w:val="005E1EBB"/>
    <w:rsid w:val="005E2BA3"/>
    <w:rsid w:val="005E2E26"/>
    <w:rsid w:val="005E6610"/>
    <w:rsid w:val="005F439E"/>
    <w:rsid w:val="005F614B"/>
    <w:rsid w:val="006017AD"/>
    <w:rsid w:val="00604D71"/>
    <w:rsid w:val="00605348"/>
    <w:rsid w:val="00605E6D"/>
    <w:rsid w:val="0060624A"/>
    <w:rsid w:val="00612406"/>
    <w:rsid w:val="00617D50"/>
    <w:rsid w:val="00620781"/>
    <w:rsid w:val="00620857"/>
    <w:rsid w:val="00621A77"/>
    <w:rsid w:val="0062294B"/>
    <w:rsid w:val="00625CD6"/>
    <w:rsid w:val="00631D5B"/>
    <w:rsid w:val="006327AA"/>
    <w:rsid w:val="0063366A"/>
    <w:rsid w:val="00636D28"/>
    <w:rsid w:val="006453ED"/>
    <w:rsid w:val="006517D0"/>
    <w:rsid w:val="00651D84"/>
    <w:rsid w:val="0065442B"/>
    <w:rsid w:val="00655783"/>
    <w:rsid w:val="0065764A"/>
    <w:rsid w:val="006607AD"/>
    <w:rsid w:val="006621D8"/>
    <w:rsid w:val="00665987"/>
    <w:rsid w:val="00666984"/>
    <w:rsid w:val="00672B97"/>
    <w:rsid w:val="00673843"/>
    <w:rsid w:val="00673C81"/>
    <w:rsid w:val="00675242"/>
    <w:rsid w:val="00677A57"/>
    <w:rsid w:val="006804DF"/>
    <w:rsid w:val="006817DD"/>
    <w:rsid w:val="0069012A"/>
    <w:rsid w:val="0069032E"/>
    <w:rsid w:val="00690641"/>
    <w:rsid w:val="00690BD7"/>
    <w:rsid w:val="00691A71"/>
    <w:rsid w:val="006925E4"/>
    <w:rsid w:val="00692E9E"/>
    <w:rsid w:val="00694A70"/>
    <w:rsid w:val="00696948"/>
    <w:rsid w:val="00696A41"/>
    <w:rsid w:val="006B35C2"/>
    <w:rsid w:val="006B7B5B"/>
    <w:rsid w:val="006C2763"/>
    <w:rsid w:val="006E0DE0"/>
    <w:rsid w:val="006E0F41"/>
    <w:rsid w:val="006E2AAF"/>
    <w:rsid w:val="006E537F"/>
    <w:rsid w:val="006F0F88"/>
    <w:rsid w:val="006F1183"/>
    <w:rsid w:val="006F5DF4"/>
    <w:rsid w:val="00704205"/>
    <w:rsid w:val="00710D97"/>
    <w:rsid w:val="00710FDD"/>
    <w:rsid w:val="007117A4"/>
    <w:rsid w:val="00713CBE"/>
    <w:rsid w:val="00714A67"/>
    <w:rsid w:val="00716E37"/>
    <w:rsid w:val="007209FC"/>
    <w:rsid w:val="00722427"/>
    <w:rsid w:val="00725AA5"/>
    <w:rsid w:val="00726BAF"/>
    <w:rsid w:val="00727DD3"/>
    <w:rsid w:val="00731E53"/>
    <w:rsid w:val="0073250C"/>
    <w:rsid w:val="00733A0E"/>
    <w:rsid w:val="007358F1"/>
    <w:rsid w:val="00736EFE"/>
    <w:rsid w:val="0073715E"/>
    <w:rsid w:val="007430C4"/>
    <w:rsid w:val="00744B1C"/>
    <w:rsid w:val="00744C5D"/>
    <w:rsid w:val="00747055"/>
    <w:rsid w:val="007478D6"/>
    <w:rsid w:val="0075108F"/>
    <w:rsid w:val="00752160"/>
    <w:rsid w:val="00756659"/>
    <w:rsid w:val="00764966"/>
    <w:rsid w:val="00770DD9"/>
    <w:rsid w:val="00771093"/>
    <w:rsid w:val="007811C8"/>
    <w:rsid w:val="007812E9"/>
    <w:rsid w:val="00784D2A"/>
    <w:rsid w:val="007867A4"/>
    <w:rsid w:val="00790396"/>
    <w:rsid w:val="007907C4"/>
    <w:rsid w:val="00791687"/>
    <w:rsid w:val="00794BC4"/>
    <w:rsid w:val="00794F29"/>
    <w:rsid w:val="00796027"/>
    <w:rsid w:val="007A0B4B"/>
    <w:rsid w:val="007A38D9"/>
    <w:rsid w:val="007A4CF6"/>
    <w:rsid w:val="007A5692"/>
    <w:rsid w:val="007A69AC"/>
    <w:rsid w:val="007A6DA1"/>
    <w:rsid w:val="007B2F1C"/>
    <w:rsid w:val="007B783E"/>
    <w:rsid w:val="007C4769"/>
    <w:rsid w:val="007C653B"/>
    <w:rsid w:val="007C70E7"/>
    <w:rsid w:val="007D1016"/>
    <w:rsid w:val="007D1191"/>
    <w:rsid w:val="007E1873"/>
    <w:rsid w:val="007E2C10"/>
    <w:rsid w:val="007E2D43"/>
    <w:rsid w:val="007E312C"/>
    <w:rsid w:val="007E5D28"/>
    <w:rsid w:val="007E65C5"/>
    <w:rsid w:val="007F03B2"/>
    <w:rsid w:val="007F04F6"/>
    <w:rsid w:val="007F4CB8"/>
    <w:rsid w:val="007F6BCE"/>
    <w:rsid w:val="0080297F"/>
    <w:rsid w:val="00804C6D"/>
    <w:rsid w:val="008057FB"/>
    <w:rsid w:val="00805E82"/>
    <w:rsid w:val="00806AF9"/>
    <w:rsid w:val="0081118D"/>
    <w:rsid w:val="0081546F"/>
    <w:rsid w:val="008161E6"/>
    <w:rsid w:val="0081673F"/>
    <w:rsid w:val="00820FE3"/>
    <w:rsid w:val="00821049"/>
    <w:rsid w:val="00824481"/>
    <w:rsid w:val="00830513"/>
    <w:rsid w:val="00847587"/>
    <w:rsid w:val="0085122A"/>
    <w:rsid w:val="00851246"/>
    <w:rsid w:val="00854810"/>
    <w:rsid w:val="0085563E"/>
    <w:rsid w:val="008622EC"/>
    <w:rsid w:val="00863606"/>
    <w:rsid w:val="008639D7"/>
    <w:rsid w:val="00865269"/>
    <w:rsid w:val="00873AA3"/>
    <w:rsid w:val="00874622"/>
    <w:rsid w:val="00876C5A"/>
    <w:rsid w:val="00880270"/>
    <w:rsid w:val="00880FE8"/>
    <w:rsid w:val="00883A9F"/>
    <w:rsid w:val="00885730"/>
    <w:rsid w:val="0088708E"/>
    <w:rsid w:val="00894101"/>
    <w:rsid w:val="008955FB"/>
    <w:rsid w:val="008A29B2"/>
    <w:rsid w:val="008B0197"/>
    <w:rsid w:val="008B43B7"/>
    <w:rsid w:val="008B5FCD"/>
    <w:rsid w:val="008B6CDF"/>
    <w:rsid w:val="008C00F8"/>
    <w:rsid w:val="008C2137"/>
    <w:rsid w:val="008D0AC7"/>
    <w:rsid w:val="008D0CC3"/>
    <w:rsid w:val="008D1896"/>
    <w:rsid w:val="008D50E8"/>
    <w:rsid w:val="008E3D12"/>
    <w:rsid w:val="008E5CD3"/>
    <w:rsid w:val="008F6F9A"/>
    <w:rsid w:val="008F7B09"/>
    <w:rsid w:val="00900055"/>
    <w:rsid w:val="00905F3E"/>
    <w:rsid w:val="009065E0"/>
    <w:rsid w:val="009144C1"/>
    <w:rsid w:val="00915FB2"/>
    <w:rsid w:val="00920921"/>
    <w:rsid w:val="00922E62"/>
    <w:rsid w:val="00923290"/>
    <w:rsid w:val="00926887"/>
    <w:rsid w:val="00927178"/>
    <w:rsid w:val="0093129B"/>
    <w:rsid w:val="009313C2"/>
    <w:rsid w:val="009406DA"/>
    <w:rsid w:val="009449E0"/>
    <w:rsid w:val="00954100"/>
    <w:rsid w:val="009554E0"/>
    <w:rsid w:val="00961934"/>
    <w:rsid w:val="0096265C"/>
    <w:rsid w:val="00963601"/>
    <w:rsid w:val="009637D1"/>
    <w:rsid w:val="00963E08"/>
    <w:rsid w:val="00964B55"/>
    <w:rsid w:val="00965E16"/>
    <w:rsid w:val="0096724F"/>
    <w:rsid w:val="00971009"/>
    <w:rsid w:val="009712CD"/>
    <w:rsid w:val="00971C2F"/>
    <w:rsid w:val="00974129"/>
    <w:rsid w:val="00975CF3"/>
    <w:rsid w:val="00982A32"/>
    <w:rsid w:val="009832E7"/>
    <w:rsid w:val="00984202"/>
    <w:rsid w:val="00984710"/>
    <w:rsid w:val="00985106"/>
    <w:rsid w:val="00985B45"/>
    <w:rsid w:val="00986674"/>
    <w:rsid w:val="00987A19"/>
    <w:rsid w:val="00992625"/>
    <w:rsid w:val="009A1639"/>
    <w:rsid w:val="009A1F68"/>
    <w:rsid w:val="009A35E2"/>
    <w:rsid w:val="009A4C1B"/>
    <w:rsid w:val="009B1C08"/>
    <w:rsid w:val="009B40E0"/>
    <w:rsid w:val="009C3E45"/>
    <w:rsid w:val="009C52C0"/>
    <w:rsid w:val="009D056F"/>
    <w:rsid w:val="009D5532"/>
    <w:rsid w:val="009E0F75"/>
    <w:rsid w:val="009E1BE6"/>
    <w:rsid w:val="009E3E9B"/>
    <w:rsid w:val="009E42FA"/>
    <w:rsid w:val="009E4BFE"/>
    <w:rsid w:val="009E768E"/>
    <w:rsid w:val="009E7D50"/>
    <w:rsid w:val="009F0A81"/>
    <w:rsid w:val="009F1235"/>
    <w:rsid w:val="009F279A"/>
    <w:rsid w:val="009F3710"/>
    <w:rsid w:val="00A042C5"/>
    <w:rsid w:val="00A061EE"/>
    <w:rsid w:val="00A071FC"/>
    <w:rsid w:val="00A11B93"/>
    <w:rsid w:val="00A1336F"/>
    <w:rsid w:val="00A14AF3"/>
    <w:rsid w:val="00A1785C"/>
    <w:rsid w:val="00A21448"/>
    <w:rsid w:val="00A22514"/>
    <w:rsid w:val="00A22909"/>
    <w:rsid w:val="00A235DE"/>
    <w:rsid w:val="00A27F2E"/>
    <w:rsid w:val="00A30A70"/>
    <w:rsid w:val="00A32A56"/>
    <w:rsid w:val="00A33E74"/>
    <w:rsid w:val="00A34878"/>
    <w:rsid w:val="00A376CA"/>
    <w:rsid w:val="00A40571"/>
    <w:rsid w:val="00A4263E"/>
    <w:rsid w:val="00A512C9"/>
    <w:rsid w:val="00A53BF9"/>
    <w:rsid w:val="00A57557"/>
    <w:rsid w:val="00A57B8D"/>
    <w:rsid w:val="00A61495"/>
    <w:rsid w:val="00A61B9A"/>
    <w:rsid w:val="00A62A49"/>
    <w:rsid w:val="00A64B90"/>
    <w:rsid w:val="00A654EB"/>
    <w:rsid w:val="00A67A39"/>
    <w:rsid w:val="00A73A7A"/>
    <w:rsid w:val="00A755FC"/>
    <w:rsid w:val="00A75D7D"/>
    <w:rsid w:val="00A76BEF"/>
    <w:rsid w:val="00A77CCC"/>
    <w:rsid w:val="00A831E1"/>
    <w:rsid w:val="00A844DD"/>
    <w:rsid w:val="00A8538D"/>
    <w:rsid w:val="00A85B09"/>
    <w:rsid w:val="00A85F83"/>
    <w:rsid w:val="00A873EF"/>
    <w:rsid w:val="00A91F78"/>
    <w:rsid w:val="00A94C5D"/>
    <w:rsid w:val="00A9655A"/>
    <w:rsid w:val="00AA083A"/>
    <w:rsid w:val="00AA33D6"/>
    <w:rsid w:val="00AA472A"/>
    <w:rsid w:val="00AA79C9"/>
    <w:rsid w:val="00AB0814"/>
    <w:rsid w:val="00AB1852"/>
    <w:rsid w:val="00AB1D3E"/>
    <w:rsid w:val="00AB1E5C"/>
    <w:rsid w:val="00AB75D8"/>
    <w:rsid w:val="00AC49DF"/>
    <w:rsid w:val="00AD4BAE"/>
    <w:rsid w:val="00AD7898"/>
    <w:rsid w:val="00AE4DEE"/>
    <w:rsid w:val="00AE5B28"/>
    <w:rsid w:val="00AE6EC4"/>
    <w:rsid w:val="00AF3A07"/>
    <w:rsid w:val="00AF4446"/>
    <w:rsid w:val="00AF6795"/>
    <w:rsid w:val="00B002FE"/>
    <w:rsid w:val="00B00DE1"/>
    <w:rsid w:val="00B03B03"/>
    <w:rsid w:val="00B04998"/>
    <w:rsid w:val="00B05E50"/>
    <w:rsid w:val="00B06648"/>
    <w:rsid w:val="00B121DC"/>
    <w:rsid w:val="00B17B13"/>
    <w:rsid w:val="00B17F9A"/>
    <w:rsid w:val="00B356F2"/>
    <w:rsid w:val="00B36FC9"/>
    <w:rsid w:val="00B3711C"/>
    <w:rsid w:val="00B379F2"/>
    <w:rsid w:val="00B40719"/>
    <w:rsid w:val="00B43B17"/>
    <w:rsid w:val="00B4405B"/>
    <w:rsid w:val="00B47BC4"/>
    <w:rsid w:val="00B47CEE"/>
    <w:rsid w:val="00B50C71"/>
    <w:rsid w:val="00B533F6"/>
    <w:rsid w:val="00B53497"/>
    <w:rsid w:val="00B537DC"/>
    <w:rsid w:val="00B54CE6"/>
    <w:rsid w:val="00B5551D"/>
    <w:rsid w:val="00B669DF"/>
    <w:rsid w:val="00B70115"/>
    <w:rsid w:val="00B73AE6"/>
    <w:rsid w:val="00B74734"/>
    <w:rsid w:val="00B82322"/>
    <w:rsid w:val="00B823D5"/>
    <w:rsid w:val="00B825FC"/>
    <w:rsid w:val="00B828C1"/>
    <w:rsid w:val="00B918FE"/>
    <w:rsid w:val="00B920D2"/>
    <w:rsid w:val="00B95808"/>
    <w:rsid w:val="00B96533"/>
    <w:rsid w:val="00B96A39"/>
    <w:rsid w:val="00BA1BC8"/>
    <w:rsid w:val="00BA4D1E"/>
    <w:rsid w:val="00BA5927"/>
    <w:rsid w:val="00BA6ADA"/>
    <w:rsid w:val="00BA7F07"/>
    <w:rsid w:val="00BB2742"/>
    <w:rsid w:val="00BB4D88"/>
    <w:rsid w:val="00BB5653"/>
    <w:rsid w:val="00BC1196"/>
    <w:rsid w:val="00BC36F0"/>
    <w:rsid w:val="00BD1603"/>
    <w:rsid w:val="00BD4E25"/>
    <w:rsid w:val="00BD556E"/>
    <w:rsid w:val="00BD5D43"/>
    <w:rsid w:val="00BE24D9"/>
    <w:rsid w:val="00BE277F"/>
    <w:rsid w:val="00BE2AEB"/>
    <w:rsid w:val="00BE451A"/>
    <w:rsid w:val="00BE617A"/>
    <w:rsid w:val="00BF1EFD"/>
    <w:rsid w:val="00BF61FD"/>
    <w:rsid w:val="00BF7E2C"/>
    <w:rsid w:val="00C00574"/>
    <w:rsid w:val="00C0307C"/>
    <w:rsid w:val="00C068BA"/>
    <w:rsid w:val="00C122D0"/>
    <w:rsid w:val="00C15042"/>
    <w:rsid w:val="00C24EEE"/>
    <w:rsid w:val="00C24FC5"/>
    <w:rsid w:val="00C30F82"/>
    <w:rsid w:val="00C345CD"/>
    <w:rsid w:val="00C36D5B"/>
    <w:rsid w:val="00C432A1"/>
    <w:rsid w:val="00C44F6F"/>
    <w:rsid w:val="00C4796E"/>
    <w:rsid w:val="00C50770"/>
    <w:rsid w:val="00C538F3"/>
    <w:rsid w:val="00C566B6"/>
    <w:rsid w:val="00C57358"/>
    <w:rsid w:val="00C61408"/>
    <w:rsid w:val="00C640DF"/>
    <w:rsid w:val="00C73616"/>
    <w:rsid w:val="00C77B54"/>
    <w:rsid w:val="00C77C10"/>
    <w:rsid w:val="00C77DFC"/>
    <w:rsid w:val="00C77E97"/>
    <w:rsid w:val="00C81920"/>
    <w:rsid w:val="00C84223"/>
    <w:rsid w:val="00C92A82"/>
    <w:rsid w:val="00C95FFB"/>
    <w:rsid w:val="00CA39DE"/>
    <w:rsid w:val="00CA43EA"/>
    <w:rsid w:val="00CA71D7"/>
    <w:rsid w:val="00CA7E53"/>
    <w:rsid w:val="00CB301B"/>
    <w:rsid w:val="00CB306A"/>
    <w:rsid w:val="00CB36E8"/>
    <w:rsid w:val="00CC55D5"/>
    <w:rsid w:val="00CC628F"/>
    <w:rsid w:val="00CC72AE"/>
    <w:rsid w:val="00CD0968"/>
    <w:rsid w:val="00CD7372"/>
    <w:rsid w:val="00CE0567"/>
    <w:rsid w:val="00CE2125"/>
    <w:rsid w:val="00CE30C9"/>
    <w:rsid w:val="00CE7EA9"/>
    <w:rsid w:val="00CF0A39"/>
    <w:rsid w:val="00CF147B"/>
    <w:rsid w:val="00CF1C09"/>
    <w:rsid w:val="00CF5712"/>
    <w:rsid w:val="00D00EB0"/>
    <w:rsid w:val="00D0308B"/>
    <w:rsid w:val="00D06BCD"/>
    <w:rsid w:val="00D10E0D"/>
    <w:rsid w:val="00D1439E"/>
    <w:rsid w:val="00D16220"/>
    <w:rsid w:val="00D213C6"/>
    <w:rsid w:val="00D21F78"/>
    <w:rsid w:val="00D31452"/>
    <w:rsid w:val="00D33DB8"/>
    <w:rsid w:val="00D37ABA"/>
    <w:rsid w:val="00D42997"/>
    <w:rsid w:val="00D43080"/>
    <w:rsid w:val="00D44BD6"/>
    <w:rsid w:val="00D45C8F"/>
    <w:rsid w:val="00D50605"/>
    <w:rsid w:val="00D51200"/>
    <w:rsid w:val="00D53368"/>
    <w:rsid w:val="00D5450B"/>
    <w:rsid w:val="00D55072"/>
    <w:rsid w:val="00D56178"/>
    <w:rsid w:val="00D57850"/>
    <w:rsid w:val="00D6395C"/>
    <w:rsid w:val="00D64749"/>
    <w:rsid w:val="00D71646"/>
    <w:rsid w:val="00D71F37"/>
    <w:rsid w:val="00D731EE"/>
    <w:rsid w:val="00D762A0"/>
    <w:rsid w:val="00D84AA9"/>
    <w:rsid w:val="00D87F02"/>
    <w:rsid w:val="00D91A30"/>
    <w:rsid w:val="00D94DC4"/>
    <w:rsid w:val="00D96A05"/>
    <w:rsid w:val="00D97846"/>
    <w:rsid w:val="00D9789C"/>
    <w:rsid w:val="00DA056F"/>
    <w:rsid w:val="00DA14C4"/>
    <w:rsid w:val="00DA33F9"/>
    <w:rsid w:val="00DA47C5"/>
    <w:rsid w:val="00DA4CAC"/>
    <w:rsid w:val="00DA69DC"/>
    <w:rsid w:val="00DA7754"/>
    <w:rsid w:val="00DB369B"/>
    <w:rsid w:val="00DB4949"/>
    <w:rsid w:val="00DB6489"/>
    <w:rsid w:val="00DB672F"/>
    <w:rsid w:val="00DB7057"/>
    <w:rsid w:val="00DB71C9"/>
    <w:rsid w:val="00DC37C7"/>
    <w:rsid w:val="00DC42B2"/>
    <w:rsid w:val="00DC443E"/>
    <w:rsid w:val="00DC7658"/>
    <w:rsid w:val="00DD4176"/>
    <w:rsid w:val="00DE3BC9"/>
    <w:rsid w:val="00DE5DEB"/>
    <w:rsid w:val="00DE76FE"/>
    <w:rsid w:val="00DF36C3"/>
    <w:rsid w:val="00DF4026"/>
    <w:rsid w:val="00DF611B"/>
    <w:rsid w:val="00E016E1"/>
    <w:rsid w:val="00E03ABF"/>
    <w:rsid w:val="00E04FAB"/>
    <w:rsid w:val="00E10F2F"/>
    <w:rsid w:val="00E11289"/>
    <w:rsid w:val="00E12324"/>
    <w:rsid w:val="00E13137"/>
    <w:rsid w:val="00E254F2"/>
    <w:rsid w:val="00E27396"/>
    <w:rsid w:val="00E3055B"/>
    <w:rsid w:val="00E33040"/>
    <w:rsid w:val="00E33EE5"/>
    <w:rsid w:val="00E36CA4"/>
    <w:rsid w:val="00E45BCB"/>
    <w:rsid w:val="00E469BE"/>
    <w:rsid w:val="00E50589"/>
    <w:rsid w:val="00E61DBE"/>
    <w:rsid w:val="00E65133"/>
    <w:rsid w:val="00E65A1D"/>
    <w:rsid w:val="00E66F0E"/>
    <w:rsid w:val="00E70ACF"/>
    <w:rsid w:val="00E710CE"/>
    <w:rsid w:val="00E716B9"/>
    <w:rsid w:val="00E733B7"/>
    <w:rsid w:val="00E80451"/>
    <w:rsid w:val="00E852D7"/>
    <w:rsid w:val="00E87DE0"/>
    <w:rsid w:val="00E9204F"/>
    <w:rsid w:val="00EA37DD"/>
    <w:rsid w:val="00EA5AB8"/>
    <w:rsid w:val="00EB1C5A"/>
    <w:rsid w:val="00EB2F27"/>
    <w:rsid w:val="00EB5EBE"/>
    <w:rsid w:val="00EC0EF6"/>
    <w:rsid w:val="00EC3288"/>
    <w:rsid w:val="00ED3CF3"/>
    <w:rsid w:val="00ED4633"/>
    <w:rsid w:val="00ED6B06"/>
    <w:rsid w:val="00ED796A"/>
    <w:rsid w:val="00EE0744"/>
    <w:rsid w:val="00EE185A"/>
    <w:rsid w:val="00EE2829"/>
    <w:rsid w:val="00EE574C"/>
    <w:rsid w:val="00EE73D0"/>
    <w:rsid w:val="00EF34AD"/>
    <w:rsid w:val="00EF6DA4"/>
    <w:rsid w:val="00F00CCA"/>
    <w:rsid w:val="00F017A5"/>
    <w:rsid w:val="00F02A4D"/>
    <w:rsid w:val="00F02F8A"/>
    <w:rsid w:val="00F02FAE"/>
    <w:rsid w:val="00F0541E"/>
    <w:rsid w:val="00F06B33"/>
    <w:rsid w:val="00F06CB5"/>
    <w:rsid w:val="00F25413"/>
    <w:rsid w:val="00F25AC5"/>
    <w:rsid w:val="00F320F8"/>
    <w:rsid w:val="00F32C57"/>
    <w:rsid w:val="00F34DED"/>
    <w:rsid w:val="00F414A0"/>
    <w:rsid w:val="00F45597"/>
    <w:rsid w:val="00F45748"/>
    <w:rsid w:val="00F5053C"/>
    <w:rsid w:val="00F51987"/>
    <w:rsid w:val="00F51D12"/>
    <w:rsid w:val="00F52A9F"/>
    <w:rsid w:val="00F52D98"/>
    <w:rsid w:val="00F53FED"/>
    <w:rsid w:val="00F543B6"/>
    <w:rsid w:val="00F557B8"/>
    <w:rsid w:val="00F57E46"/>
    <w:rsid w:val="00F703E4"/>
    <w:rsid w:val="00F8266A"/>
    <w:rsid w:val="00F8283C"/>
    <w:rsid w:val="00F842ED"/>
    <w:rsid w:val="00F844F0"/>
    <w:rsid w:val="00F96A6D"/>
    <w:rsid w:val="00FB0D9D"/>
    <w:rsid w:val="00FB31C0"/>
    <w:rsid w:val="00FC7D2F"/>
    <w:rsid w:val="00FD1C4E"/>
    <w:rsid w:val="00FD319B"/>
    <w:rsid w:val="00FD35CD"/>
    <w:rsid w:val="00FD4D7F"/>
    <w:rsid w:val="00FD7763"/>
    <w:rsid w:val="00FE45A5"/>
    <w:rsid w:val="00FE5F79"/>
    <w:rsid w:val="00FF1C7D"/>
    <w:rsid w:val="00FF4D97"/>
    <w:rsid w:val="00FF6516"/>
    <w:rsid w:val="00FF65A4"/>
    <w:rsid w:val="00FF6A47"/>
    <w:rsid w:val="1EEB7B2C"/>
    <w:rsid w:val="2AC319CF"/>
    <w:rsid w:val="6FBCB3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0385F"/>
  <w15:chartTrackingRefBased/>
  <w15:docId w15:val="{21B3F582-B7DE-4BFA-B278-C297F5BA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AB75D8"/>
    <w:pPr>
      <w:ind w:left="720"/>
      <w:contextualSpacing/>
    </w:pPr>
  </w:style>
  <w:style w:type="character" w:styleId="CommentReference">
    <w:name w:val="annotation reference"/>
    <w:basedOn w:val="DefaultParagraphFont"/>
    <w:uiPriority w:val="99"/>
    <w:semiHidden/>
    <w:unhideWhenUsed/>
    <w:rsid w:val="004D0A23"/>
    <w:rPr>
      <w:sz w:val="16"/>
      <w:szCs w:val="16"/>
    </w:rPr>
  </w:style>
  <w:style w:type="paragraph" w:styleId="CommentText">
    <w:name w:val="annotation text"/>
    <w:basedOn w:val="Normal"/>
    <w:link w:val="CommentTextChar"/>
    <w:uiPriority w:val="99"/>
    <w:unhideWhenUsed/>
    <w:rsid w:val="004D0A23"/>
    <w:rPr>
      <w:sz w:val="20"/>
      <w:szCs w:val="20"/>
    </w:rPr>
  </w:style>
  <w:style w:type="character" w:customStyle="1" w:styleId="CommentTextChar">
    <w:name w:val="Comment Text Char"/>
    <w:basedOn w:val="DefaultParagraphFont"/>
    <w:link w:val="CommentText"/>
    <w:uiPriority w:val="99"/>
    <w:rsid w:val="004D0A23"/>
    <w:rPr>
      <w:sz w:val="20"/>
      <w:szCs w:val="20"/>
    </w:rPr>
  </w:style>
  <w:style w:type="paragraph" w:styleId="CommentSubject">
    <w:name w:val="annotation subject"/>
    <w:basedOn w:val="CommentText"/>
    <w:next w:val="CommentText"/>
    <w:link w:val="CommentSubjectChar"/>
    <w:uiPriority w:val="99"/>
    <w:semiHidden/>
    <w:unhideWhenUsed/>
    <w:rsid w:val="004D0A23"/>
    <w:rPr>
      <w:b/>
      <w:bCs/>
    </w:rPr>
  </w:style>
  <w:style w:type="character" w:customStyle="1" w:styleId="CommentSubjectChar">
    <w:name w:val="Comment Subject Char"/>
    <w:basedOn w:val="CommentTextChar"/>
    <w:link w:val="CommentSubject"/>
    <w:uiPriority w:val="99"/>
    <w:semiHidden/>
    <w:rsid w:val="004D0A23"/>
    <w:rPr>
      <w:b/>
      <w:bCs/>
      <w:sz w:val="20"/>
      <w:szCs w:val="20"/>
    </w:rPr>
  </w:style>
  <w:style w:type="paragraph" w:styleId="Revision">
    <w:name w:val="Revision"/>
    <w:hidden/>
    <w:uiPriority w:val="99"/>
    <w:semiHidden/>
    <w:rsid w:val="00B05E50"/>
  </w:style>
  <w:style w:type="character" w:styleId="Hyperlink">
    <w:name w:val="Hyperlink"/>
    <w:basedOn w:val="DefaultParagraphFont"/>
    <w:uiPriority w:val="99"/>
    <w:unhideWhenUsed/>
    <w:rsid w:val="003823FB"/>
    <w:rPr>
      <w:color w:val="0000FF" w:themeColor="hyperlink"/>
      <w:u w:val="single"/>
    </w:rPr>
  </w:style>
  <w:style w:type="character" w:styleId="UnresolvedMention">
    <w:name w:val="Unresolved Mention"/>
    <w:basedOn w:val="DefaultParagraphFont"/>
    <w:uiPriority w:val="99"/>
    <w:semiHidden/>
    <w:unhideWhenUsed/>
    <w:rsid w:val="003823FB"/>
    <w:rPr>
      <w:color w:val="605E5C"/>
      <w:shd w:val="clear" w:color="auto" w:fill="E1DFDD"/>
    </w:rPr>
  </w:style>
  <w:style w:type="paragraph" w:styleId="Header">
    <w:name w:val="header"/>
    <w:basedOn w:val="Normal"/>
    <w:link w:val="HeaderChar"/>
    <w:uiPriority w:val="99"/>
    <w:unhideWhenUsed/>
    <w:rsid w:val="001C746B"/>
    <w:pPr>
      <w:tabs>
        <w:tab w:val="center" w:pos="4680"/>
        <w:tab w:val="right" w:pos="9360"/>
      </w:tabs>
    </w:pPr>
  </w:style>
  <w:style w:type="character" w:customStyle="1" w:styleId="HeaderChar">
    <w:name w:val="Header Char"/>
    <w:basedOn w:val="DefaultParagraphFont"/>
    <w:link w:val="Header"/>
    <w:uiPriority w:val="99"/>
    <w:rsid w:val="001C746B"/>
  </w:style>
  <w:style w:type="paragraph" w:styleId="Footer">
    <w:name w:val="footer"/>
    <w:basedOn w:val="Normal"/>
    <w:link w:val="FooterChar"/>
    <w:uiPriority w:val="99"/>
    <w:unhideWhenUsed/>
    <w:rsid w:val="001C746B"/>
    <w:pPr>
      <w:tabs>
        <w:tab w:val="center" w:pos="4680"/>
        <w:tab w:val="right" w:pos="9360"/>
      </w:tabs>
    </w:pPr>
  </w:style>
  <w:style w:type="character" w:customStyle="1" w:styleId="FooterChar">
    <w:name w:val="Footer Char"/>
    <w:basedOn w:val="DefaultParagraphFont"/>
    <w:link w:val="Footer"/>
    <w:uiPriority w:val="99"/>
    <w:rsid w:val="001C746B"/>
  </w:style>
  <w:style w:type="paragraph" w:styleId="NormalWeb">
    <w:name w:val="Normal (Web)"/>
    <w:basedOn w:val="Normal"/>
    <w:uiPriority w:val="99"/>
    <w:unhideWhenUsed/>
    <w:rsid w:val="00BF7E2C"/>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BF7E2C"/>
  </w:style>
  <w:style w:type="character" w:customStyle="1" w:styleId="apple-converted-space">
    <w:name w:val="apple-converted-space"/>
    <w:basedOn w:val="DefaultParagraphFont"/>
    <w:rsid w:val="00BF7E2C"/>
  </w:style>
  <w:style w:type="character" w:customStyle="1" w:styleId="Heading1Char">
    <w:name w:val="Heading 1 Char"/>
    <w:basedOn w:val="DefaultParagraphFont"/>
    <w:link w:val="Heading1"/>
    <w:uiPriority w:val="9"/>
    <w:rsid w:val="00C73616"/>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3B3FE4"/>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3B3FE4"/>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3B3FE4"/>
    <w:rPr>
      <w:vertAlign w:val="superscript"/>
    </w:rPr>
  </w:style>
  <w:style w:type="character" w:customStyle="1" w:styleId="normaltextrun">
    <w:name w:val="normaltextrun"/>
    <w:basedOn w:val="DefaultParagraphFont"/>
    <w:rsid w:val="00121BE4"/>
  </w:style>
  <w:style w:type="paragraph" w:customStyle="1" w:styleId="paragraph">
    <w:name w:val="paragraph"/>
    <w:basedOn w:val="Normal"/>
    <w:rsid w:val="00AD4BAE"/>
    <w:pPr>
      <w:spacing w:before="100" w:beforeAutospacing="1" w:after="100" w:afterAutospacing="1"/>
    </w:pPr>
    <w:rPr>
      <w:rFonts w:eastAsia="Times New Roman" w:cs="Times New Roman"/>
      <w:szCs w:val="24"/>
    </w:rPr>
  </w:style>
  <w:style w:type="character" w:customStyle="1" w:styleId="eop">
    <w:name w:val="eop"/>
    <w:basedOn w:val="DefaultParagraphFont"/>
    <w:rsid w:val="00AD4BAE"/>
  </w:style>
  <w:style w:type="table" w:styleId="TableGrid">
    <w:name w:val="Table Grid"/>
    <w:basedOn w:val="TableNormal"/>
    <w:uiPriority w:val="39"/>
    <w:rsid w:val="00FF6A47"/>
    <w:rPr>
      <w:rFonts w:asciiTheme="minorHAnsi" w:hAnsiTheme="minorHAnsi"/>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F4446"/>
    <w:rPr>
      <w:rFonts w:ascii="Aptos" w:hAnsi="Aptos" w:cs="Aptos"/>
      <w:sz w:val="22"/>
    </w:rPr>
  </w:style>
  <w:style w:type="paragraph" w:customStyle="1" w:styleId="xmsolistparagraph">
    <w:name w:val="x_msolistparagraph"/>
    <w:basedOn w:val="Normal"/>
    <w:rsid w:val="00AF4446"/>
    <w:pPr>
      <w:ind w:left="720"/>
    </w:pPr>
    <w:rPr>
      <w:rFonts w:ascii="Aptos" w:hAnsi="Aptos" w:cs="Aptos"/>
      <w:sz w:val="22"/>
    </w:rPr>
  </w:style>
  <w:style w:type="character" w:customStyle="1" w:styleId="xmsofootnotereference">
    <w:name w:val="x_msofootnotereference"/>
    <w:basedOn w:val="DefaultParagraphFont"/>
    <w:rsid w:val="00AF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bgc.gov/prac/mortality-retirement-and-pv-max-guarantee/erisa-mortality-table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pbgc.gov/prac/interest/erisa-4044-interest-assump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pbgc.gov/prac/interest/erisa-4044-interest-assump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mso-contentType ?>
<SharedContentType xmlns="Microsoft.SharePoint.Taxonomy.ContentTypeSync" SourceId="b04b9a93-b54f-4549-9b70-040003075d6a" ContentTypeId="0x010100E09C6A4FD85CD94DB99934580C239257" PreviousValue="false"/>
</file>

<file path=customXml/itemProps1.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2.xml><?xml version="1.0" encoding="utf-8"?>
<ds:datastoreItem xmlns:ds="http://schemas.openxmlformats.org/officeDocument/2006/customXml" ds:itemID="{4B13CB87-39EE-4BB4-A2F0-44D9E6FC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E31C7-8C24-47F0-82B0-87EBC2548BB9}">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CE2BC2E7-FBDD-4D58-A34D-3029C6A2F9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Katz Gregory</cp:lastModifiedBy>
  <cp:revision>7</cp:revision>
  <dcterms:created xsi:type="dcterms:W3CDTF">2024-07-05T15:51:00Z</dcterms:created>
  <dcterms:modified xsi:type="dcterms:W3CDTF">2024-07-08T18:20:00Z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rder">
    <vt:r8>100</vt:r8>
  </property>
  <property fmtid="{D5CDD505-2E9C-101B-9397-08002B2CF9AE}" pid="7" name="Source Library">
    <vt:lpwstr/>
  </property>
  <property fmtid="{D5CDD505-2E9C-101B-9397-08002B2CF9AE}" pid="8" name="Source Type">
    <vt:lpwstr>File share</vt:lpwstr>
  </property>
</Properties>
</file>