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31B6" w:rsidRPr="00386BC5" w:rsidP="000D5C80" w14:paraId="06EC1DD9" w14:textId="77777777">
      <w:pPr>
        <w:widowControl/>
        <w:tabs>
          <w:tab w:val="center" w:pos="4680"/>
        </w:tabs>
        <w:jc w:val="center"/>
        <w:rPr>
          <w:b/>
          <w:bCs/>
        </w:rPr>
      </w:pPr>
      <w:bookmarkStart w:id="0" w:name="OLE_LINK1"/>
      <w:bookmarkStart w:id="1" w:name="OLE_LINK2"/>
      <w:r>
        <w:rPr>
          <w:b/>
          <w:bCs/>
        </w:rPr>
        <w:t>S</w:t>
      </w:r>
      <w:r w:rsidRPr="00386BC5">
        <w:rPr>
          <w:b/>
          <w:bCs/>
        </w:rPr>
        <w:t>UPPORTING STATEMENT FOR THE</w:t>
      </w:r>
    </w:p>
    <w:p w:rsidR="00BE31B6" w:rsidRPr="00386BC5" w:rsidP="00BE31B6" w14:paraId="2B41B638" w14:textId="77777777">
      <w:pPr>
        <w:widowControl/>
        <w:tabs>
          <w:tab w:val="center" w:pos="4680"/>
        </w:tabs>
        <w:jc w:val="center"/>
        <w:rPr>
          <w:b/>
          <w:bCs/>
        </w:rPr>
      </w:pPr>
      <w:r>
        <w:rPr>
          <w:b/>
          <w:bCs/>
        </w:rPr>
        <w:t xml:space="preserve">INFORMATION COLLECTION REQUIREMENTS </w:t>
      </w:r>
      <w:r w:rsidRPr="00386BC5">
        <w:rPr>
          <w:b/>
          <w:bCs/>
        </w:rPr>
        <w:t>OF THE</w:t>
      </w:r>
    </w:p>
    <w:p w:rsidR="00BE31B6" w:rsidRPr="00386BC5" w:rsidP="00BE31B6" w14:paraId="12F85884" w14:textId="77777777">
      <w:pPr>
        <w:widowControl/>
        <w:tabs>
          <w:tab w:val="center" w:pos="4680"/>
        </w:tabs>
        <w:jc w:val="center"/>
      </w:pPr>
      <w:r w:rsidRPr="00386BC5">
        <w:rPr>
          <w:b/>
          <w:bCs/>
        </w:rPr>
        <w:t>IONIZING</w:t>
      </w:r>
      <w:r>
        <w:rPr>
          <w:b/>
          <w:bCs/>
        </w:rPr>
        <w:t xml:space="preserve"> </w:t>
      </w:r>
      <w:r w:rsidRPr="00386BC5">
        <w:rPr>
          <w:b/>
          <w:bCs/>
        </w:rPr>
        <w:t>RADIATION STANDARD (29 CFR 1910.1096)</w:t>
      </w:r>
      <w:r>
        <w:rPr>
          <w:rStyle w:val="FootnoteReference"/>
          <w:vertAlign w:val="superscript"/>
        </w:rPr>
        <w:footnoteReference w:id="3"/>
      </w:r>
    </w:p>
    <w:p w:rsidR="00306CD7" w:rsidP="00BE31B6" w14:paraId="5C686F15" w14:textId="45729B2C">
      <w:pPr>
        <w:widowControl/>
        <w:tabs>
          <w:tab w:val="center" w:pos="4680"/>
        </w:tabs>
        <w:jc w:val="center"/>
        <w:rPr>
          <w:b/>
          <w:bCs/>
        </w:rPr>
      </w:pPr>
      <w:r w:rsidRPr="00386BC5">
        <w:rPr>
          <w:b/>
          <w:bCs/>
        </w:rPr>
        <w:t>O</w:t>
      </w:r>
      <w:r>
        <w:rPr>
          <w:b/>
          <w:bCs/>
        </w:rPr>
        <w:t xml:space="preserve">FFICE OF </w:t>
      </w:r>
      <w:r w:rsidRPr="00386BC5">
        <w:rPr>
          <w:b/>
          <w:bCs/>
        </w:rPr>
        <w:t>M</w:t>
      </w:r>
      <w:r>
        <w:rPr>
          <w:b/>
          <w:bCs/>
        </w:rPr>
        <w:t xml:space="preserve">ANAGEMENT AND </w:t>
      </w:r>
      <w:r w:rsidRPr="00386BC5">
        <w:rPr>
          <w:b/>
          <w:bCs/>
        </w:rPr>
        <w:t>B</w:t>
      </w:r>
      <w:r>
        <w:rPr>
          <w:b/>
          <w:bCs/>
        </w:rPr>
        <w:t xml:space="preserve">UDGET (OMB) </w:t>
      </w:r>
    </w:p>
    <w:p w:rsidR="00BE31B6" w:rsidRPr="00386BC5" w:rsidP="00BE31B6" w14:paraId="2D7A5C23" w14:textId="32965126">
      <w:pPr>
        <w:widowControl/>
        <w:tabs>
          <w:tab w:val="center" w:pos="4680"/>
        </w:tabs>
        <w:jc w:val="center"/>
      </w:pPr>
      <w:r w:rsidRPr="00386BC5">
        <w:rPr>
          <w:b/>
          <w:bCs/>
        </w:rPr>
        <w:t>C</w:t>
      </w:r>
      <w:r>
        <w:rPr>
          <w:b/>
          <w:bCs/>
        </w:rPr>
        <w:t>ONTROL</w:t>
      </w:r>
      <w:r>
        <w:rPr>
          <w:b/>
          <w:bCs/>
        </w:rPr>
        <w:t xml:space="preserve"> </w:t>
      </w:r>
      <w:r>
        <w:rPr>
          <w:b/>
          <w:bCs/>
        </w:rPr>
        <w:t>NO</w:t>
      </w:r>
      <w:r w:rsidRPr="00386BC5">
        <w:rPr>
          <w:b/>
          <w:bCs/>
        </w:rPr>
        <w:t xml:space="preserve">. </w:t>
      </w:r>
      <w:r w:rsidRPr="00386BC5">
        <w:rPr>
          <w:b/>
          <w:bCs/>
        </w:rPr>
        <w:t>1218-0103</w:t>
      </w:r>
      <w:r w:rsidR="00F5169D">
        <w:rPr>
          <w:b/>
          <w:bCs/>
        </w:rPr>
        <w:t xml:space="preserve"> </w:t>
      </w:r>
      <w:r w:rsidR="00E70ABE">
        <w:rPr>
          <w:b/>
          <w:bCs/>
        </w:rPr>
        <w:t>(</w:t>
      </w:r>
      <w:r w:rsidR="009A0B35">
        <w:rPr>
          <w:b/>
          <w:bCs/>
        </w:rPr>
        <w:t>July</w:t>
      </w:r>
      <w:r w:rsidR="00945EAF">
        <w:rPr>
          <w:b/>
          <w:bCs/>
        </w:rPr>
        <w:t xml:space="preserve"> </w:t>
      </w:r>
      <w:r w:rsidR="00087FB6">
        <w:rPr>
          <w:b/>
          <w:bCs/>
        </w:rPr>
        <w:t>20</w:t>
      </w:r>
      <w:r w:rsidR="00A86BAE">
        <w:rPr>
          <w:b/>
          <w:bCs/>
        </w:rPr>
        <w:t>24</w:t>
      </w:r>
      <w:r>
        <w:rPr>
          <w:b/>
          <w:bCs/>
        </w:rPr>
        <w:t>)</w:t>
      </w:r>
    </w:p>
    <w:p w:rsidR="00BE31B6" w:rsidP="00BE31B6" w14:paraId="4A2D6695" w14:textId="6213C953">
      <w:pPr>
        <w:widowControl/>
      </w:pPr>
    </w:p>
    <w:p w:rsidR="00B4598A" w:rsidRPr="00C45A81" w:rsidP="00BE31B6" w14:paraId="2C1F65B2" w14:textId="11EA5347">
      <w:pPr>
        <w:widowControl/>
        <w:rPr>
          <w:bCs/>
        </w:rPr>
      </w:pPr>
      <w:r w:rsidRPr="00C45A81">
        <w:rPr>
          <w:bCs/>
        </w:rPr>
        <w:t>Th</w:t>
      </w:r>
      <w:r w:rsidRPr="00C45A81" w:rsidR="009E7C7B">
        <w:rPr>
          <w:bCs/>
        </w:rPr>
        <w:t>e agency</w:t>
      </w:r>
      <w:r w:rsidRPr="00C45A81">
        <w:rPr>
          <w:bCs/>
        </w:rPr>
        <w:t xml:space="preserve"> is </w:t>
      </w:r>
      <w:r w:rsidRPr="00C45A81" w:rsidR="009E7C7B">
        <w:rPr>
          <w:bCs/>
        </w:rPr>
        <w:t>seeking</w:t>
      </w:r>
      <w:r w:rsidRPr="00C45A81">
        <w:rPr>
          <w:bCs/>
        </w:rPr>
        <w:t xml:space="preserve"> an extension of a currently approved data collection.</w:t>
      </w:r>
    </w:p>
    <w:p w:rsidR="00BE31B6" w:rsidRPr="00386BC5" w:rsidP="00BE31B6" w14:paraId="4AC540FD" w14:textId="77777777">
      <w:pPr>
        <w:widowControl/>
      </w:pPr>
    </w:p>
    <w:p w:rsidR="00BE31B6" w:rsidRPr="00386BC5" w:rsidP="00BE31B6" w14:paraId="0C5B021B" w14:textId="77777777">
      <w:pPr>
        <w:widowControl/>
      </w:pPr>
      <w:r>
        <w:rPr>
          <w:b/>
          <w:bCs/>
        </w:rPr>
        <w:t xml:space="preserve">A. </w:t>
      </w:r>
      <w:r w:rsidRPr="00386BC5">
        <w:rPr>
          <w:b/>
          <w:bCs/>
        </w:rPr>
        <w:t>JUSTIFICATION</w:t>
      </w:r>
    </w:p>
    <w:p w:rsidR="00BE31B6" w:rsidRPr="00386BC5" w:rsidP="00BE31B6" w14:paraId="1A6C7145" w14:textId="77777777">
      <w:pPr>
        <w:widowControl/>
        <w:rPr>
          <w:sz w:val="20"/>
          <w:szCs w:val="20"/>
        </w:rPr>
      </w:pPr>
    </w:p>
    <w:p w:rsidR="00BE31B6" w:rsidRPr="00FE472B" w:rsidP="008019DD" w14:paraId="7D9369E3" w14:textId="44D530CA">
      <w:pPr>
        <w:widowControl/>
      </w:pPr>
      <w:r w:rsidRPr="00FE472B">
        <w:rPr>
          <w:b/>
          <w:bCs/>
        </w:rPr>
        <w:t xml:space="preserve">1.  </w:t>
      </w:r>
      <w:r w:rsidRPr="00FE472B">
        <w:rPr>
          <w:b/>
          <w:bCs/>
        </w:rPr>
        <w:t xml:space="preserve">Explain the circumstances that make the collection of information necessary.  </w:t>
      </w:r>
      <w:r w:rsidRPr="00FE472B" w:rsidR="00DF66D7">
        <w:rPr>
          <w:b/>
          <w:bCs/>
        </w:rPr>
        <w:t>Identify any legal or</w:t>
      </w:r>
      <w:r w:rsidRPr="00FE472B" w:rsidR="00F5169D">
        <w:rPr>
          <w:b/>
          <w:bCs/>
        </w:rPr>
        <w:t xml:space="preserve"> a</w:t>
      </w:r>
      <w:r w:rsidRPr="00FE472B" w:rsidR="00AC44BC">
        <w:rPr>
          <w:b/>
          <w:bCs/>
        </w:rPr>
        <w:t>dministrative</w:t>
      </w:r>
      <w:r w:rsidRPr="00FE472B">
        <w:rPr>
          <w:b/>
          <w:bCs/>
        </w:rPr>
        <w:t xml:space="preserve"> requirements that necessitate the collection.  Attach a copy of the appropriate section of each statute and regulation mandating or authorizing the collection of information</w:t>
      </w:r>
      <w:r w:rsidRPr="00FE472B">
        <w:t>.</w:t>
      </w:r>
    </w:p>
    <w:p w:rsidR="00BE31B6" w:rsidRPr="00386BC5" w:rsidP="00BE31B6" w14:paraId="1B521C55" w14:textId="77777777">
      <w:pPr>
        <w:widowControl/>
      </w:pPr>
    </w:p>
    <w:p w:rsidR="00BE31B6" w:rsidRPr="00386BC5" w:rsidP="00BE31B6" w14:paraId="3815ADE4" w14:textId="39112AB0">
      <w:pPr>
        <w:widowControl/>
      </w:pPr>
      <w:r w:rsidRPr="00386BC5">
        <w:t>The Occupational Safety and Health Act’s (OSH Act) main objective is to "assure so far as</w:t>
      </w:r>
      <w:r>
        <w:t xml:space="preserve"> </w:t>
      </w:r>
      <w:r w:rsidRPr="00386BC5">
        <w:t>possible every working man and woman in the Nation safe and healthful working conditions and</w:t>
      </w:r>
      <w:r>
        <w:t xml:space="preserve"> </w:t>
      </w:r>
      <w:r w:rsidRPr="00386BC5">
        <w:t>to preserve our human resources" (29 U.S.C. 651)</w:t>
      </w:r>
      <w:r>
        <w:t>.</w:t>
      </w:r>
      <w:r w:rsidRPr="00386BC5">
        <w:t xml:space="preserve">  To achieve this objective, the OSH Act specifically authorizes "the development and promulgation of occupatio</w:t>
      </w:r>
      <w:r>
        <w:t>nal safety and health standards</w:t>
      </w:r>
      <w:r w:rsidRPr="00386BC5">
        <w:t>" (29 U.S.C. 651)</w:t>
      </w:r>
      <w:r>
        <w:t>.</w:t>
      </w:r>
    </w:p>
    <w:p w:rsidR="00BE31B6" w:rsidRPr="00386BC5" w:rsidP="00BE31B6" w14:paraId="32BCC278" w14:textId="77777777">
      <w:pPr>
        <w:widowControl/>
      </w:pPr>
    </w:p>
    <w:p w:rsidR="00BE31B6" w:rsidRPr="00386BC5" w:rsidP="00BE31B6" w14:paraId="0E7D49BE" w14:textId="77777777">
      <w:pPr>
        <w:widowControl/>
      </w:pPr>
      <w:r w:rsidRPr="00386BC5">
        <w:t>For health standards, including standards addressing harmful physical agents such as ionizing radiation, the OSH Act contains specific statutory language.  A</w:t>
      </w:r>
      <w:r>
        <w:t xml:space="preserve">s </w:t>
      </w:r>
      <w:r w:rsidRPr="00386BC5">
        <w:t xml:space="preserve">appropriate, health standards must include provisions for </w:t>
      </w:r>
      <w:r>
        <w:t>monitoring and measuring work</w:t>
      </w:r>
      <w:r w:rsidRPr="00386BC5">
        <w:t>e</w:t>
      </w:r>
      <w:r>
        <w:t>r</w:t>
      </w:r>
      <w:r w:rsidRPr="00386BC5">
        <w:t xml:space="preserve"> exposure, medical examinations and other tests, control and technological procedures, suitable protective equipment, and labels and other appropriate forms of warning, and precautions for safe use or exposure</w:t>
      </w:r>
      <w:r>
        <w:t xml:space="preserve"> (29 U.S.C. 655 and 657</w:t>
      </w:r>
      <w:r w:rsidRPr="00386BC5">
        <w:t>)</w:t>
      </w:r>
      <w:r>
        <w:t xml:space="preserve">.  </w:t>
      </w:r>
      <w:r w:rsidRPr="00386BC5">
        <w:t>In addition, the OSH Act mandates “regulations requiring employers to maint</w:t>
      </w:r>
      <w:r>
        <w:t>ain accurate records of worker</w:t>
      </w:r>
      <w:r w:rsidRPr="00386BC5">
        <w:t xml:space="preserve"> exposures to potentially toxic materials or other harmful physical agents which are required to be monitored and measured," and further req</w:t>
      </w:r>
      <w:r>
        <w:t>uires that employers notify w</w:t>
      </w:r>
      <w:r w:rsidRPr="00386BC5">
        <w:t>o</w:t>
      </w:r>
      <w:r>
        <w:t>rkers</w:t>
      </w:r>
      <w:r w:rsidRPr="00386BC5">
        <w:t xml:space="preserve"> exposed to concentrations over specific limits of these exposures, and of the corrective action they are taking</w:t>
      </w:r>
      <w:r>
        <w:t xml:space="preserve"> (29 U.S.C. 657</w:t>
      </w:r>
      <w:r w:rsidRPr="00386BC5">
        <w:t>)</w:t>
      </w:r>
      <w:r>
        <w:t>.</w:t>
      </w:r>
    </w:p>
    <w:p w:rsidR="00BE31B6" w:rsidRPr="00386BC5" w:rsidP="00BE31B6" w14:paraId="7782B0D2" w14:textId="77777777">
      <w:pPr>
        <w:widowControl/>
      </w:pPr>
    </w:p>
    <w:p w:rsidR="00BE31B6" w:rsidRPr="00386BC5" w:rsidP="00BE31B6" w14:paraId="6BC66E55" w14:textId="4A9B675C">
      <w:pPr>
        <w:widowControl/>
      </w:pPr>
      <w:r w:rsidRPr="00386BC5">
        <w:t>Under the authority granted by the OSH Act, the Occupational Safety and Health Administration (“OSHA” or “</w:t>
      </w:r>
      <w:r w:rsidR="00556D1D">
        <w:t>a</w:t>
      </w:r>
      <w:r w:rsidRPr="00386BC5">
        <w:t xml:space="preserve">gency”) published </w:t>
      </w:r>
      <w:r>
        <w:t>a health standard governing w</w:t>
      </w:r>
      <w:r w:rsidRPr="00386BC5">
        <w:t>o</w:t>
      </w:r>
      <w:r>
        <w:t>rker</w:t>
      </w:r>
      <w:r w:rsidRPr="00386BC5">
        <w:t xml:space="preserve"> exposure to ionizing radiation, 29 CFR 1910.1096 (the “Standard”).  The purpose of this Standard is to reduce the incidence of adverse health effects </w:t>
      </w:r>
      <w:r>
        <w:t>such as tissue damage and cancer among w</w:t>
      </w:r>
      <w:r w:rsidRPr="00386BC5">
        <w:t>o</w:t>
      </w:r>
      <w:r>
        <w:t>rk</w:t>
      </w:r>
      <w:r w:rsidRPr="00386BC5">
        <w:t>e</w:t>
      </w:r>
      <w:r>
        <w:t>r</w:t>
      </w:r>
      <w:r w:rsidRPr="00386BC5">
        <w:t xml:space="preserve">s exposed to </w:t>
      </w:r>
      <w:r w:rsidRPr="00386BC5">
        <w:t xml:space="preserve">ionizing radiation.  Ionizing radiation is defined as radiation that includes alpha </w:t>
      </w:r>
      <w:r w:rsidR="00A83274">
        <w:t>particles</w:t>
      </w:r>
      <w:r w:rsidRPr="00386BC5">
        <w:t xml:space="preserve">, beta </w:t>
      </w:r>
      <w:r w:rsidR="00A83274">
        <w:t>particles</w:t>
      </w:r>
      <w:r w:rsidRPr="00386BC5">
        <w:t xml:space="preserve">, </w:t>
      </w:r>
      <w:r w:rsidRPr="00174987">
        <w:t>gamma rays, X-rays, neutrons, high-speed electrons, high-speed protons, and other atomic particles.</w:t>
      </w:r>
      <w:r>
        <w:rPr>
          <w:rStyle w:val="FootnoteReference"/>
          <w:vertAlign w:val="superscript"/>
        </w:rPr>
        <w:footnoteReference w:id="4"/>
      </w:r>
      <w:r w:rsidRPr="00174987">
        <w:t xml:space="preserve">  </w:t>
      </w:r>
      <w:r w:rsidRPr="00D94A58" w:rsidR="00D70FB8">
        <w:t>Items 2 and 12 below describe in detail the specific information collection requirements of the Standard.</w:t>
      </w:r>
    </w:p>
    <w:p w:rsidR="000D5C80" w:rsidP="00F5169D" w14:paraId="3683B16F" w14:textId="77777777">
      <w:pPr>
        <w:widowControl/>
        <w:rPr>
          <w:b/>
          <w:bCs/>
          <w:sz w:val="20"/>
          <w:szCs w:val="20"/>
        </w:rPr>
      </w:pPr>
    </w:p>
    <w:p w:rsidR="00BE31B6" w:rsidRPr="00852D90" w:rsidP="00DF66D7" w14:paraId="6A136FA3" w14:textId="3A48BB4D">
      <w:pPr>
        <w:widowControl/>
        <w:rPr>
          <w:b/>
          <w:bCs/>
        </w:rPr>
      </w:pPr>
      <w:r w:rsidRPr="00852D90">
        <w:rPr>
          <w:b/>
          <w:bCs/>
        </w:rPr>
        <w:t xml:space="preserve">2.  </w:t>
      </w:r>
      <w:r w:rsidRPr="00852D90">
        <w:rPr>
          <w:b/>
          <w:bCs/>
        </w:rPr>
        <w:t>Indicate how, by whom, and for what purpose the information is to be used. Except for a new</w:t>
      </w:r>
      <w:r w:rsidR="00D26AB1">
        <w:rPr>
          <w:b/>
          <w:bCs/>
        </w:rPr>
        <w:t xml:space="preserve"> c</w:t>
      </w:r>
      <w:r w:rsidRPr="00852D90" w:rsidR="00AC44BC">
        <w:rPr>
          <w:b/>
          <w:bCs/>
        </w:rPr>
        <w:t>ollection</w:t>
      </w:r>
      <w:r w:rsidRPr="00852D90">
        <w:rPr>
          <w:b/>
          <w:bCs/>
        </w:rPr>
        <w:t xml:space="preserve">, indicate the actual use the </w:t>
      </w:r>
      <w:r w:rsidR="00D26AB1">
        <w:rPr>
          <w:b/>
          <w:bCs/>
        </w:rPr>
        <w:t>a</w:t>
      </w:r>
      <w:r w:rsidRPr="00852D90">
        <w:rPr>
          <w:b/>
          <w:bCs/>
        </w:rPr>
        <w:t>gency has made of the information received from the current collection</w:t>
      </w:r>
      <w:r w:rsidRPr="00852D90">
        <w:t>.</w:t>
      </w:r>
    </w:p>
    <w:p w:rsidR="00BE31B6" w:rsidP="00BE31B6" w14:paraId="06AEA872" w14:textId="77777777">
      <w:pPr>
        <w:widowControl/>
        <w:rPr>
          <w:b/>
          <w:bCs/>
        </w:rPr>
      </w:pPr>
    </w:p>
    <w:p w:rsidR="00BE31B6" w:rsidRPr="001E1604" w:rsidP="00BE31B6" w14:paraId="7580C3ED" w14:textId="77777777">
      <w:pPr>
        <w:widowControl/>
        <w:rPr>
          <w:bCs/>
        </w:rPr>
      </w:pPr>
      <w:r>
        <w:rPr>
          <w:bCs/>
        </w:rPr>
        <w:t xml:space="preserve">The following are the </w:t>
      </w:r>
      <w:r w:rsidR="009E552F">
        <w:rPr>
          <w:bCs/>
        </w:rPr>
        <w:t xml:space="preserve">information collection </w:t>
      </w:r>
      <w:r>
        <w:rPr>
          <w:bCs/>
        </w:rPr>
        <w:t>requirements as stated in the Standard, followed by discussions indicating how, by whom, and for what purpose the information is used for each of these requirements.</w:t>
      </w:r>
    </w:p>
    <w:p w:rsidR="00BE31B6" w:rsidRPr="00386BC5" w:rsidP="00BE31B6" w14:paraId="67E942DF" w14:textId="77777777">
      <w:pPr>
        <w:widowControl/>
        <w:rPr>
          <w:b/>
          <w:bCs/>
        </w:rPr>
      </w:pPr>
    </w:p>
    <w:p w:rsidR="00BE31B6" w:rsidP="00BE31B6" w14:paraId="7AB754E0" w14:textId="77777777">
      <w:pPr>
        <w:widowControl/>
        <w:autoSpaceDE/>
        <w:autoSpaceDN/>
        <w:adjustRightInd/>
        <w:rPr>
          <w:b/>
          <w:bCs/>
        </w:rPr>
      </w:pPr>
      <w:r w:rsidRPr="005E3AF1">
        <w:rPr>
          <w:b/>
          <w:bCs/>
          <w:iCs/>
        </w:rPr>
        <w:t>A.  Precautionary procedures and personal monitoring</w:t>
      </w:r>
      <w:r w:rsidRPr="005E3AF1">
        <w:rPr>
          <w:b/>
        </w:rPr>
        <w:t xml:space="preserve"> </w:t>
      </w:r>
      <w:r w:rsidRPr="005E3AF1">
        <w:rPr>
          <w:b/>
          <w:bCs/>
        </w:rPr>
        <w:t>(§1910.1096(d))</w:t>
      </w:r>
    </w:p>
    <w:p w:rsidR="00BE31B6" w:rsidP="00BE31B6" w14:paraId="66401CD8" w14:textId="77777777">
      <w:pPr>
        <w:widowControl/>
        <w:autoSpaceDE/>
        <w:autoSpaceDN/>
        <w:adjustRightInd/>
        <w:rPr>
          <w:b/>
          <w:bCs/>
        </w:rPr>
      </w:pPr>
    </w:p>
    <w:p w:rsidR="00BE31B6" w:rsidRPr="005E3AF1" w:rsidP="009A5541" w14:paraId="449F73E5" w14:textId="77777777">
      <w:pPr>
        <w:widowControl/>
        <w:autoSpaceDE/>
        <w:autoSpaceDN/>
        <w:adjustRightInd/>
        <w:rPr>
          <w:b/>
        </w:rPr>
      </w:pPr>
      <w:r w:rsidRPr="005E3AF1">
        <w:rPr>
          <w:bCs/>
          <w:i/>
        </w:rPr>
        <w:t>§1910.1096(d)(2)</w:t>
      </w:r>
      <w:r w:rsidRPr="005E3AF1">
        <w:rPr>
          <w:i/>
        </w:rPr>
        <w:t xml:space="preserve"> </w:t>
      </w:r>
      <w:r>
        <w:t xml:space="preserve">- </w:t>
      </w:r>
      <w:r w:rsidRPr="005E3AF1">
        <w:t xml:space="preserve">Every employer shall supply appropriate personnel </w:t>
      </w:r>
      <w:r w:rsidRPr="00174987">
        <w:t>monitoring equipment,</w:t>
      </w:r>
      <w:r>
        <w:rPr>
          <w:rStyle w:val="FootnoteReference"/>
          <w:vertAlign w:val="superscript"/>
        </w:rPr>
        <w:footnoteReference w:id="5"/>
      </w:r>
      <w:r w:rsidRPr="00174987">
        <w:t xml:space="preserve"> </w:t>
      </w:r>
      <w:r w:rsidRPr="005E3AF1">
        <w:t>such as film badges, pocket chambers, pocket dosimeters, or film rings, and shall require the use of such equipment by:</w:t>
      </w:r>
    </w:p>
    <w:p w:rsidR="00BE31B6" w:rsidP="00BE31B6" w14:paraId="342DE179" w14:textId="77777777">
      <w:pPr>
        <w:widowControl/>
        <w:autoSpaceDE/>
        <w:autoSpaceDN/>
        <w:adjustRightInd/>
        <w:rPr>
          <w:rFonts w:ascii="Verdana" w:hAnsi="Verdana"/>
          <w:b/>
          <w:bCs/>
          <w:color w:val="757575"/>
          <w:sz w:val="14"/>
        </w:rPr>
      </w:pPr>
      <w:bookmarkStart w:id="2" w:name="1910.1096(d)(2)(i)"/>
      <w:bookmarkEnd w:id="2"/>
    </w:p>
    <w:p w:rsidR="009C6983" w:rsidP="009C6983" w14:paraId="5F2FAB28" w14:textId="77777777">
      <w:pPr>
        <w:widowControl/>
        <w:tabs>
          <w:tab w:val="left" w:pos="630"/>
        </w:tabs>
        <w:autoSpaceDE/>
        <w:autoSpaceDN/>
        <w:adjustRightInd/>
        <w:ind w:left="630" w:hanging="720"/>
      </w:pPr>
      <w:r>
        <w:rPr>
          <w:bCs/>
          <w:i/>
        </w:rPr>
        <w:tab/>
      </w:r>
      <w:r w:rsidRPr="005E3AF1" w:rsidR="00BE31B6">
        <w:rPr>
          <w:bCs/>
          <w:i/>
        </w:rPr>
        <w:t>§1910.1096(d)(2)(</w:t>
      </w:r>
      <w:r w:rsidRPr="005E3AF1" w:rsidR="00BE31B6">
        <w:rPr>
          <w:bCs/>
          <w:i/>
        </w:rPr>
        <w:t>i</w:t>
      </w:r>
      <w:r w:rsidRPr="005E3AF1" w:rsidR="00BE31B6">
        <w:rPr>
          <w:bCs/>
          <w:i/>
        </w:rPr>
        <w:t>)</w:t>
      </w:r>
      <w:r w:rsidRPr="005E3AF1" w:rsidR="00BE31B6">
        <w:t xml:space="preserve"> - Each employee who ente</w:t>
      </w:r>
      <w:r>
        <w:t xml:space="preserve">rs a restricted area under such </w:t>
      </w:r>
      <w:r w:rsidRPr="005E3AF1" w:rsidR="00BE31B6">
        <w:t>circumstances</w:t>
      </w:r>
      <w:r>
        <w:t xml:space="preserve"> </w:t>
      </w:r>
      <w:r w:rsidRPr="005E3AF1" w:rsidR="00BE31B6">
        <w:t xml:space="preserve">that he receives, or is likely to receive, a dose in any calendar quarter </w:t>
      </w:r>
      <w:r w:rsidRPr="005E3AF1" w:rsidR="00BE31B6">
        <w:t>in excess of</w:t>
      </w:r>
      <w:r w:rsidRPr="005E3AF1" w:rsidR="00BE31B6">
        <w:t xml:space="preserve"> 25</w:t>
      </w:r>
      <w:r w:rsidR="00BE31B6">
        <w:t xml:space="preserve"> </w:t>
      </w:r>
      <w:r w:rsidRPr="005E3AF1" w:rsidR="00BE31B6">
        <w:t>percent</w:t>
      </w:r>
      <w:r>
        <w:t xml:space="preserve"> </w:t>
      </w:r>
      <w:r w:rsidRPr="005E3AF1" w:rsidR="00BE31B6">
        <w:t>of the applicable value specified in paragraph (b)(1) of this section; and</w:t>
      </w:r>
      <w:bookmarkStart w:id="3" w:name="1910.1096(d)(2)(ii)"/>
      <w:bookmarkEnd w:id="3"/>
    </w:p>
    <w:p w:rsidR="009C6983" w:rsidP="009C6983" w14:paraId="42C61352" w14:textId="77777777">
      <w:pPr>
        <w:widowControl/>
        <w:tabs>
          <w:tab w:val="left" w:pos="630"/>
        </w:tabs>
        <w:autoSpaceDE/>
        <w:autoSpaceDN/>
        <w:adjustRightInd/>
        <w:ind w:left="630" w:hanging="720"/>
      </w:pPr>
    </w:p>
    <w:p w:rsidR="009C6983" w:rsidP="00317C49" w14:paraId="43DFF8F2" w14:textId="77777777">
      <w:pPr>
        <w:widowControl/>
        <w:tabs>
          <w:tab w:val="left" w:pos="630"/>
          <w:tab w:val="right" w:pos="9360"/>
        </w:tabs>
        <w:autoSpaceDE/>
        <w:autoSpaceDN/>
        <w:adjustRightInd/>
        <w:ind w:left="630" w:hanging="720"/>
      </w:pPr>
      <w:r>
        <w:rPr>
          <w:bCs/>
          <w:i/>
        </w:rPr>
        <w:tab/>
      </w:r>
      <w:r w:rsidRPr="005E3AF1" w:rsidR="00BE31B6">
        <w:rPr>
          <w:bCs/>
          <w:i/>
        </w:rPr>
        <w:t>§1910.1096(d</w:t>
      </w:r>
      <w:r w:rsidR="00AC44BC">
        <w:rPr>
          <w:bCs/>
          <w:i/>
        </w:rPr>
        <w:t>)</w:t>
      </w:r>
      <w:r w:rsidRPr="005E3AF1" w:rsidR="00AC44BC">
        <w:rPr>
          <w:bCs/>
          <w:i/>
        </w:rPr>
        <w:t>(</w:t>
      </w:r>
      <w:r w:rsidRPr="005E3AF1" w:rsidR="00BE31B6">
        <w:rPr>
          <w:bCs/>
          <w:i/>
        </w:rPr>
        <w:t>2</w:t>
      </w:r>
      <w:r w:rsidR="00AC44BC">
        <w:rPr>
          <w:bCs/>
          <w:i/>
        </w:rPr>
        <w:t>)</w:t>
      </w:r>
      <w:r w:rsidRPr="005E3AF1" w:rsidR="00AC44BC">
        <w:rPr>
          <w:bCs/>
          <w:i/>
        </w:rPr>
        <w:t>(</w:t>
      </w:r>
      <w:r w:rsidRPr="005E3AF1" w:rsidR="00BE31B6">
        <w:rPr>
          <w:bCs/>
          <w:i/>
        </w:rPr>
        <w:t>ii)</w:t>
      </w:r>
      <w:r w:rsidRPr="005E3AF1" w:rsidR="00BE31B6">
        <w:t xml:space="preserve"> - Each employee under </w:t>
      </w:r>
      <w:r w:rsidRPr="00174987" w:rsidR="00BE31B6">
        <w:t>18 years of age who enters a restricted area</w:t>
      </w:r>
      <w:r>
        <w:rPr>
          <w:rStyle w:val="FootnoteReference"/>
          <w:vertAlign w:val="superscript"/>
        </w:rPr>
        <w:footnoteReference w:id="6"/>
      </w:r>
      <w:r w:rsidRPr="00FB16C1" w:rsidR="00BE31B6">
        <w:t xml:space="preserve"> </w:t>
      </w:r>
      <w:r w:rsidR="00317C49">
        <w:tab/>
      </w:r>
    </w:p>
    <w:p w:rsidR="00BE31B6" w:rsidRPr="005E3AF1" w:rsidP="009C6983" w14:paraId="025E32AF" w14:textId="77777777">
      <w:pPr>
        <w:widowControl/>
        <w:tabs>
          <w:tab w:val="left" w:pos="630"/>
          <w:tab w:val="left" w:pos="720"/>
        </w:tabs>
        <w:autoSpaceDE/>
        <w:autoSpaceDN/>
        <w:adjustRightInd/>
        <w:ind w:left="630" w:hanging="720"/>
      </w:pPr>
      <w:r>
        <w:tab/>
      </w:r>
      <w:r w:rsidRPr="005E3AF1">
        <w:t>under such circumstances that he receives, or is likely to receive, a dose in any calendar quarter</w:t>
      </w:r>
      <w:r>
        <w:t xml:space="preserve"> </w:t>
      </w:r>
      <w:r w:rsidRPr="005E3AF1">
        <w:t>in excess of</w:t>
      </w:r>
      <w:r w:rsidRPr="005E3AF1">
        <w:t xml:space="preserve"> 5 percent of the applicable value specified in paragraph (b)(1) of this</w:t>
      </w:r>
      <w:r>
        <w:t xml:space="preserve"> </w:t>
      </w:r>
      <w:r w:rsidRPr="005E3AF1">
        <w:t>section; and</w:t>
      </w:r>
    </w:p>
    <w:p w:rsidR="00BE31B6" w:rsidRPr="005E3AF1" w:rsidP="00BE31B6" w14:paraId="72CB2416" w14:textId="77777777">
      <w:pPr>
        <w:widowControl/>
        <w:autoSpaceDE/>
        <w:autoSpaceDN/>
        <w:adjustRightInd/>
        <w:rPr>
          <w:b/>
          <w:bCs/>
        </w:rPr>
      </w:pPr>
      <w:bookmarkStart w:id="4" w:name="1910.1096(d)(2)(iii)"/>
      <w:bookmarkEnd w:id="4"/>
    </w:p>
    <w:p w:rsidR="00BE31B6" w:rsidRPr="005E3AF1" w:rsidP="009C6983" w14:paraId="763448E4" w14:textId="77777777">
      <w:pPr>
        <w:widowControl/>
        <w:autoSpaceDE/>
        <w:autoSpaceDN/>
        <w:adjustRightInd/>
        <w:ind w:firstLine="630"/>
      </w:pPr>
      <w:r w:rsidRPr="005E3AF1">
        <w:rPr>
          <w:bCs/>
          <w:i/>
        </w:rPr>
        <w:t>§1910.1096(d</w:t>
      </w:r>
      <w:r w:rsidR="00AC44BC">
        <w:rPr>
          <w:bCs/>
          <w:i/>
        </w:rPr>
        <w:t>)</w:t>
      </w:r>
      <w:r w:rsidRPr="005E3AF1" w:rsidR="00AC44BC">
        <w:rPr>
          <w:bCs/>
          <w:i/>
        </w:rPr>
        <w:t>(</w:t>
      </w:r>
      <w:r w:rsidRPr="005E3AF1">
        <w:rPr>
          <w:bCs/>
          <w:i/>
        </w:rPr>
        <w:t>2</w:t>
      </w:r>
      <w:r w:rsidR="00AC44BC">
        <w:rPr>
          <w:bCs/>
          <w:i/>
        </w:rPr>
        <w:t>)</w:t>
      </w:r>
      <w:r w:rsidRPr="005E3AF1" w:rsidR="00AC44BC">
        <w:rPr>
          <w:bCs/>
          <w:i/>
        </w:rPr>
        <w:t>(</w:t>
      </w:r>
      <w:r w:rsidRPr="005E3AF1">
        <w:rPr>
          <w:bCs/>
          <w:i/>
        </w:rPr>
        <w:t>iii)</w:t>
      </w:r>
      <w:r w:rsidRPr="005E3AF1">
        <w:t xml:space="preserve"> - Each employee who enters a </w:t>
      </w:r>
      <w:r w:rsidRPr="00174987">
        <w:t>high radiation area.</w:t>
      </w:r>
      <w:r>
        <w:rPr>
          <w:rStyle w:val="FootnoteReference"/>
          <w:sz w:val="28"/>
          <w:szCs w:val="28"/>
          <w:vertAlign w:val="superscript"/>
        </w:rPr>
        <w:footnoteReference w:id="7"/>
      </w:r>
    </w:p>
    <w:p w:rsidR="00BE31B6" w:rsidP="00BE31B6" w14:paraId="4EDD4F22" w14:textId="77777777">
      <w:pPr>
        <w:widowControl/>
        <w:autoSpaceDE/>
        <w:autoSpaceDN/>
        <w:adjustRightInd/>
        <w:rPr>
          <w:rFonts w:ascii="Verdana" w:hAnsi="Verdana"/>
          <w:b/>
          <w:bCs/>
          <w:color w:val="757575"/>
          <w:sz w:val="14"/>
        </w:rPr>
      </w:pPr>
      <w:bookmarkStart w:id="5" w:name="1910.1096(d)(3)"/>
      <w:bookmarkEnd w:id="5"/>
    </w:p>
    <w:p w:rsidR="00BE31B6" w:rsidP="00BE31B6" w14:paraId="5C9503B6" w14:textId="103EE072">
      <w:pPr>
        <w:widowControl/>
      </w:pPr>
      <w:bookmarkStart w:id="6" w:name="1910.1096(d)(3)(ii)"/>
      <w:bookmarkStart w:id="7" w:name="1910.1096(d)(3)(iii)"/>
      <w:bookmarkEnd w:id="6"/>
      <w:bookmarkEnd w:id="7"/>
      <w:r w:rsidRPr="001E1604">
        <w:rPr>
          <w:b/>
          <w:u w:val="single"/>
        </w:rPr>
        <w:t>Purpose</w:t>
      </w:r>
      <w:r>
        <w:t xml:space="preserve">:  </w:t>
      </w:r>
      <w:r w:rsidRPr="00386BC5">
        <w:t>This information</w:t>
      </w:r>
      <w:r w:rsidR="00C3412F">
        <w:t xml:space="preserve"> </w:t>
      </w:r>
      <w:r>
        <w:t>alerts employers if work</w:t>
      </w:r>
      <w:r w:rsidRPr="00386BC5">
        <w:t>e</w:t>
      </w:r>
      <w:r>
        <w:t>r</w:t>
      </w:r>
      <w:r w:rsidRPr="00386BC5">
        <w:t>s are receiving overexposures to ionizing radiation and enables them to take the corrective action(s) necessary to reduce ionizing-radiation exposure.  In addition, these measuremen</w:t>
      </w:r>
      <w:r>
        <w:t>ts remind employers and work</w:t>
      </w:r>
      <w:r w:rsidRPr="00386BC5">
        <w:t>e</w:t>
      </w:r>
      <w:r>
        <w:t>r</w:t>
      </w:r>
      <w:r w:rsidRPr="00386BC5">
        <w:t>s of the continuing need to protect against the hazards that could result from overexposure to ionizing radiation.</w:t>
      </w:r>
    </w:p>
    <w:p w:rsidR="00B80053" w:rsidRPr="00386BC5" w:rsidP="00BE31B6" w14:paraId="5BBC3A1A" w14:textId="77777777">
      <w:pPr>
        <w:widowControl/>
      </w:pPr>
    </w:p>
    <w:p w:rsidR="00BE31B6" w:rsidRPr="00EA2F05" w:rsidP="00BE31B6" w14:paraId="4EEA4D7B" w14:textId="68FD0234">
      <w:pPr>
        <w:widowControl/>
        <w:autoSpaceDE/>
        <w:autoSpaceDN/>
        <w:adjustRightInd/>
        <w:rPr>
          <w:b/>
        </w:rPr>
      </w:pPr>
      <w:bookmarkStart w:id="8" w:name="1910.1096(e)(3)"/>
      <w:bookmarkStart w:id="9" w:name="1910.1096(e)(3)(i)"/>
      <w:bookmarkStart w:id="10" w:name="1910.1096(e)(5)"/>
      <w:bookmarkStart w:id="11" w:name="1910.1096(e)(5)(i)"/>
      <w:bookmarkStart w:id="12" w:name="1910.1096(e)(5)(ii)"/>
      <w:bookmarkStart w:id="13" w:name="1910.1096(e)(6)(i)"/>
      <w:bookmarkStart w:id="14" w:name="1910.1096(e)(6)(ii)"/>
      <w:bookmarkStart w:id="15" w:name="1910.1096(e)(6)(iii)"/>
      <w:bookmarkStart w:id="16" w:name="1910.1096(e)(6)(iii)(b)"/>
      <w:bookmarkStart w:id="17" w:name="1910.1096(g)(1)"/>
      <w:bookmarkStart w:id="18" w:name="1910.1096(g)(2)"/>
      <w:bookmarkStart w:id="19" w:name="1910.1096(g)(3)"/>
      <w:bookmarkStart w:id="20" w:name="1910.1096(g)(3)(i)"/>
      <w:bookmarkStart w:id="21" w:name="1910.1096(g)(3)(ii)"/>
      <w:bookmarkEnd w:id="8"/>
      <w:bookmarkEnd w:id="9"/>
      <w:bookmarkEnd w:id="10"/>
      <w:bookmarkEnd w:id="11"/>
      <w:bookmarkEnd w:id="12"/>
      <w:bookmarkEnd w:id="13"/>
      <w:bookmarkEnd w:id="14"/>
      <w:bookmarkEnd w:id="15"/>
      <w:bookmarkEnd w:id="16"/>
      <w:bookmarkEnd w:id="17"/>
      <w:bookmarkEnd w:id="18"/>
      <w:bookmarkEnd w:id="19"/>
      <w:bookmarkEnd w:id="20"/>
      <w:bookmarkEnd w:id="21"/>
      <w:r>
        <w:rPr>
          <w:b/>
        </w:rPr>
        <w:t>B</w:t>
      </w:r>
      <w:r w:rsidRPr="00EA2F05">
        <w:rPr>
          <w:b/>
        </w:rPr>
        <w:t>.</w:t>
      </w:r>
      <w:r w:rsidR="005C5DC4">
        <w:rPr>
          <w:b/>
        </w:rPr>
        <w:t xml:space="preserve"> </w:t>
      </w:r>
      <w:r w:rsidRPr="00EA2F05">
        <w:rPr>
          <w:b/>
        </w:rPr>
        <w:t xml:space="preserve"> </w:t>
      </w:r>
      <w:r w:rsidR="00525BB1">
        <w:rPr>
          <w:b/>
        </w:rPr>
        <w:t xml:space="preserve">Instruction of personnel, posting </w:t>
      </w:r>
      <w:r w:rsidRPr="00EA2F05">
        <w:rPr>
          <w:b/>
        </w:rPr>
        <w:t>(</w:t>
      </w:r>
      <w:r w:rsidRPr="00EA2F05">
        <w:rPr>
          <w:b/>
          <w:bCs/>
        </w:rPr>
        <w:t>§1910.1096(</w:t>
      </w:r>
      <w:r w:rsidRPr="00EA2F05">
        <w:rPr>
          <w:b/>
          <w:bCs/>
        </w:rPr>
        <w:t>i</w:t>
      </w:r>
      <w:r w:rsidRPr="00EA2F05">
        <w:rPr>
          <w:b/>
          <w:bCs/>
        </w:rPr>
        <w:t>))</w:t>
      </w:r>
      <w:r w:rsidRPr="00EA2F05">
        <w:rPr>
          <w:b/>
        </w:rPr>
        <w:t xml:space="preserve"> </w:t>
      </w:r>
    </w:p>
    <w:p w:rsidR="00BE31B6" w:rsidRPr="000615A9" w:rsidP="00BE31B6" w14:paraId="0DAB4A38" w14:textId="77777777">
      <w:pPr>
        <w:widowControl/>
        <w:autoSpaceDE/>
        <w:autoSpaceDN/>
        <w:adjustRightInd/>
        <w:rPr>
          <w:b/>
          <w:i/>
        </w:rPr>
      </w:pPr>
    </w:p>
    <w:p w:rsidR="00BE31B6" w:rsidRPr="000615A9" w:rsidP="00BE31B6" w14:paraId="7F4AF459" w14:textId="77777777">
      <w:pPr>
        <w:widowControl/>
        <w:autoSpaceDE/>
        <w:autoSpaceDN/>
        <w:adjustRightInd/>
      </w:pPr>
      <w:bookmarkStart w:id="22" w:name="1910.1096(i)(1)"/>
      <w:bookmarkEnd w:id="22"/>
      <w:r w:rsidRPr="000615A9">
        <w:rPr>
          <w:bCs/>
          <w:i/>
        </w:rPr>
        <w:t>§1910.1096(</w:t>
      </w:r>
      <w:r w:rsidRPr="000615A9">
        <w:rPr>
          <w:bCs/>
          <w:i/>
        </w:rPr>
        <w:t>i</w:t>
      </w:r>
      <w:r w:rsidRPr="000615A9">
        <w:rPr>
          <w:bCs/>
          <w:i/>
        </w:rPr>
        <w:t>)(1)</w:t>
      </w:r>
      <w:r w:rsidRPr="000615A9">
        <w:t xml:space="preserve"> - Employers regulated by the Nuclear Regulatory Commission shall be governed by 10 CFR part 20 standards. Employers in a State named in paragraph (p)(3) of this section shall be governed by the requirements of the laws and regulations of that State. All other employers shall be regulated by the following:</w:t>
      </w:r>
    </w:p>
    <w:p w:rsidR="00BE31B6" w:rsidRPr="000615A9" w:rsidP="00BE31B6" w14:paraId="798CE866" w14:textId="77777777">
      <w:pPr>
        <w:widowControl/>
        <w:autoSpaceDE/>
        <w:autoSpaceDN/>
        <w:adjustRightInd/>
      </w:pPr>
    </w:p>
    <w:p w:rsidR="00BE31B6" w:rsidP="00BE31B6" w14:paraId="2DBC8AD1" w14:textId="77777777">
      <w:pPr>
        <w:widowControl/>
        <w:autoSpaceDE/>
        <w:autoSpaceDN/>
        <w:adjustRightInd/>
      </w:pPr>
      <w:bookmarkStart w:id="23" w:name="1910.1096(i)(2)"/>
      <w:bookmarkEnd w:id="23"/>
      <w:r w:rsidRPr="000615A9">
        <w:rPr>
          <w:bCs/>
          <w:i/>
        </w:rPr>
        <w:t>§1910.1096(</w:t>
      </w:r>
      <w:r w:rsidRPr="000615A9">
        <w:rPr>
          <w:bCs/>
          <w:i/>
        </w:rPr>
        <w:t>i</w:t>
      </w:r>
      <w:r w:rsidRPr="000615A9">
        <w:rPr>
          <w:bCs/>
          <w:i/>
        </w:rPr>
        <w:t>)(2)</w:t>
      </w:r>
      <w:r w:rsidRPr="000615A9">
        <w:t xml:space="preserve"> - All individuals working in or frequenting any portion of a radiation area shall be informed of the occurrence of radioactive materials or of radiation in such portions of the radiation area; shall be instructed in the safety problems associated with exposure to such materials or radiation and in precautions or devices to minimize </w:t>
      </w:r>
      <w:r>
        <w:t>e</w:t>
      </w:r>
      <w:r w:rsidRPr="000615A9">
        <w:t>xposure; shall be instructed in the applicable provisions of this section for the protection of employees from exposure to radiation or radioactive materials; and shall be advised of reports of radiation exposure which employees may request pursuant to the regulations in this section.</w:t>
      </w:r>
    </w:p>
    <w:p w:rsidR="00B746C5" w:rsidRPr="00C45A81" w:rsidP="00B746C5" w14:paraId="2595152C" w14:textId="33A5B559">
      <w:pPr>
        <w:widowControl/>
        <w:autoSpaceDE/>
        <w:autoSpaceDN/>
        <w:adjustRightInd/>
        <w:rPr>
          <w:strike/>
        </w:rPr>
      </w:pPr>
    </w:p>
    <w:p w:rsidR="00BE31B6" w:rsidP="00BE31B6" w14:paraId="14B9A0F9" w14:textId="77777777">
      <w:pPr>
        <w:widowControl/>
        <w:autoSpaceDE/>
        <w:autoSpaceDN/>
        <w:adjustRightInd/>
        <w:rPr>
          <w:b/>
          <w:bCs/>
        </w:rPr>
      </w:pPr>
      <w:bookmarkStart w:id="24" w:name="1910.1096(i)(3)"/>
      <w:bookmarkEnd w:id="24"/>
      <w:r w:rsidRPr="000615A9">
        <w:rPr>
          <w:bCs/>
          <w:i/>
        </w:rPr>
        <w:t>§1910.1096(</w:t>
      </w:r>
      <w:r w:rsidRPr="000615A9">
        <w:rPr>
          <w:bCs/>
          <w:i/>
        </w:rPr>
        <w:t>i</w:t>
      </w:r>
      <w:r w:rsidRPr="000615A9">
        <w:rPr>
          <w:bCs/>
          <w:i/>
        </w:rPr>
        <w:t>)(3)</w:t>
      </w:r>
      <w:r w:rsidRPr="000615A9">
        <w:t xml:space="preserve"> - Each employer to whom this section applies shall post a current copy of </w:t>
      </w:r>
      <w:r w:rsidRPr="002E65AB">
        <w:t>its provisions</w:t>
      </w:r>
      <w:r w:rsidRPr="000615A9">
        <w:t xml:space="preserve"> and a copy of the operating procedures applicable to the work conspicuously in such locations as to insure that employees working in or frequenting radiation areas will observe these documents on the way to and from their place of employment, or shall keep such documents available for examination of employees upon request.</w:t>
      </w:r>
    </w:p>
    <w:p w:rsidR="000333BF" w:rsidP="000333BF" w14:paraId="30611A58" w14:textId="77777777">
      <w:pPr>
        <w:tabs>
          <w:tab w:val="left" w:pos="360"/>
          <w:tab w:val="left" w:pos="960"/>
          <w:tab w:val="left" w:pos="1560"/>
          <w:tab w:val="left" w:pos="2160"/>
          <w:tab w:val="left" w:pos="2760"/>
          <w:tab w:val="left" w:pos="3360"/>
          <w:tab w:val="left" w:pos="4080"/>
          <w:tab w:val="left" w:pos="4680"/>
          <w:tab w:val="left" w:pos="5280"/>
          <w:tab w:val="left" w:pos="5880"/>
        </w:tabs>
        <w:rPr>
          <w:rFonts w:eastAsia="@MS Mincho"/>
        </w:rPr>
      </w:pPr>
    </w:p>
    <w:p w:rsidR="00BE31B6" w:rsidP="00BE31B6" w14:paraId="57FA8D50" w14:textId="105AF230">
      <w:pPr>
        <w:widowControl/>
      </w:pPr>
      <w:r w:rsidRPr="000615A9">
        <w:rPr>
          <w:b/>
          <w:u w:val="single"/>
        </w:rPr>
        <w:t>Purpose</w:t>
      </w:r>
      <w:r>
        <w:t xml:space="preserve">:  Posting </w:t>
      </w:r>
      <w:r w:rsidR="00F55A91">
        <w:t xml:space="preserve">provisions </w:t>
      </w:r>
      <w:r>
        <w:t xml:space="preserve">and operating procedures so they are conspicuous to workers entering and leaving radiation areas acts to daily reinforce the instruction and information workers have received.  </w:t>
      </w:r>
    </w:p>
    <w:p w:rsidR="00BE31B6" w:rsidP="00BE31B6" w14:paraId="420C1E96" w14:textId="77777777">
      <w:pPr>
        <w:widowControl/>
        <w:rPr>
          <w:b/>
          <w:bCs/>
        </w:rPr>
      </w:pPr>
    </w:p>
    <w:p w:rsidR="00BE31B6" w:rsidRPr="00EA2F05" w:rsidP="00BE31B6" w14:paraId="65FE493D" w14:textId="0C09CCBE">
      <w:pPr>
        <w:widowControl/>
        <w:autoSpaceDE/>
        <w:autoSpaceDN/>
        <w:adjustRightInd/>
        <w:rPr>
          <w:b/>
        </w:rPr>
      </w:pPr>
      <w:r>
        <w:rPr>
          <w:b/>
          <w:bCs/>
          <w:iCs/>
        </w:rPr>
        <w:t>C</w:t>
      </w:r>
      <w:r w:rsidRPr="00EA2F05">
        <w:rPr>
          <w:b/>
          <w:bCs/>
          <w:iCs/>
        </w:rPr>
        <w:t>.  Notification of incidents</w:t>
      </w:r>
      <w:r w:rsidRPr="00EA2F05">
        <w:rPr>
          <w:b/>
        </w:rPr>
        <w:t xml:space="preserve"> (</w:t>
      </w:r>
      <w:r w:rsidRPr="00EA2F05">
        <w:rPr>
          <w:b/>
          <w:bCs/>
        </w:rPr>
        <w:t>§1910.1096(l))</w:t>
      </w:r>
      <w:r w:rsidRPr="00EA2F05">
        <w:rPr>
          <w:b/>
        </w:rPr>
        <w:t xml:space="preserve"> </w:t>
      </w:r>
    </w:p>
    <w:p w:rsidR="00417CE0" w:rsidP="00BE31B6" w14:paraId="709A35D1" w14:textId="77777777">
      <w:pPr>
        <w:widowControl/>
        <w:autoSpaceDE/>
        <w:autoSpaceDN/>
        <w:adjustRightInd/>
        <w:rPr>
          <w:b/>
          <w:bCs/>
          <w:i/>
          <w:iCs/>
        </w:rPr>
      </w:pPr>
      <w:bookmarkStart w:id="25" w:name="1910.1096(l)(1)"/>
      <w:bookmarkEnd w:id="25"/>
    </w:p>
    <w:p w:rsidR="00BE31B6" w:rsidP="00BE31B6" w14:paraId="02A86ADC" w14:textId="365B88C1">
      <w:pPr>
        <w:widowControl/>
        <w:autoSpaceDE/>
        <w:autoSpaceDN/>
        <w:adjustRightInd/>
      </w:pPr>
      <w:r w:rsidRPr="00C13E00">
        <w:rPr>
          <w:b/>
          <w:bCs/>
          <w:i/>
          <w:iCs/>
        </w:rPr>
        <w:t>Immediate notification</w:t>
      </w:r>
      <w:r w:rsidRPr="00C13E00">
        <w:rPr>
          <w:b/>
          <w:bCs/>
          <w:i/>
        </w:rPr>
        <w:t xml:space="preserve"> (§1910.1096(l)(1</w:t>
      </w:r>
      <w:r>
        <w:rPr>
          <w:b/>
          <w:bCs/>
          <w:i/>
        </w:rPr>
        <w:t>)</w:t>
      </w:r>
      <w:r w:rsidRPr="00C13E00">
        <w:rPr>
          <w:b/>
          <w:bCs/>
          <w:i/>
        </w:rPr>
        <w:t>)</w:t>
      </w:r>
      <w:r w:rsidRPr="00C13E00">
        <w:rPr>
          <w:i/>
        </w:rPr>
        <w:t xml:space="preserve"> - </w:t>
      </w:r>
      <w:r w:rsidRPr="00C13E00">
        <w:t xml:space="preserve">Each employer shall immediately notify the Assistant Secretary of Labor or his duly authorized representative, for employees not protected </w:t>
      </w:r>
      <w:r w:rsidRPr="00C13E00">
        <w:t>by the Nuclear Regulatory Commission by means of 10 CFR part 20; paragraph (p)(2) of this section, or the requirements of the laws and regulations of States named in paragraph (p)(3) of this section, by telephone or telegraph of any incident involving radiation which may have caused or threatens to cause:</w:t>
      </w:r>
    </w:p>
    <w:p w:rsidR="00BE31B6" w:rsidRPr="00C13E00" w:rsidP="00BE31B6" w14:paraId="12181F9D" w14:textId="77777777">
      <w:pPr>
        <w:widowControl/>
        <w:autoSpaceDE/>
        <w:autoSpaceDN/>
        <w:adjustRightInd/>
      </w:pPr>
    </w:p>
    <w:p w:rsidR="00BE31B6" w:rsidP="00BE31B6" w14:paraId="42818B86" w14:textId="77777777">
      <w:pPr>
        <w:widowControl/>
        <w:autoSpaceDE/>
        <w:autoSpaceDN/>
        <w:adjustRightInd/>
      </w:pPr>
      <w:bookmarkStart w:id="26" w:name="1910.1096(l)(1)(i)"/>
      <w:bookmarkEnd w:id="26"/>
      <w:r w:rsidRPr="00C13E00">
        <w:rPr>
          <w:bCs/>
          <w:i/>
        </w:rPr>
        <w:t>§1910.1096(l)(1)(</w:t>
      </w:r>
      <w:r w:rsidRPr="00C13E00">
        <w:rPr>
          <w:bCs/>
          <w:i/>
        </w:rPr>
        <w:t>i</w:t>
      </w:r>
      <w:r w:rsidRPr="00C13E00">
        <w:rPr>
          <w:bCs/>
          <w:i/>
        </w:rPr>
        <w:t>)</w:t>
      </w:r>
      <w:r w:rsidRPr="00C13E00">
        <w:rPr>
          <w:i/>
        </w:rPr>
        <w:t xml:space="preserve"> -</w:t>
      </w:r>
      <w:r>
        <w:t xml:space="preserve"> </w:t>
      </w:r>
      <w:r w:rsidRPr="00C13E00">
        <w:t>Exposure of the whole body of any individual to 25 rems or more of radiation; exposure of the skin of the whole body of any individual to 150 rems or more of radiation; or exposure of the feet, ankles, hands, or forearms of any individual to 375 rems or more of radiation; or</w:t>
      </w:r>
    </w:p>
    <w:p w:rsidR="00BE31B6" w:rsidRPr="00C13E00" w:rsidP="00BE31B6" w14:paraId="6BC8A194" w14:textId="77777777">
      <w:pPr>
        <w:widowControl/>
        <w:autoSpaceDE/>
        <w:autoSpaceDN/>
        <w:adjustRightInd/>
      </w:pPr>
    </w:p>
    <w:p w:rsidR="00BE31B6" w:rsidP="00BE31B6" w14:paraId="0AEB9997" w14:textId="77777777">
      <w:pPr>
        <w:widowControl/>
        <w:autoSpaceDE/>
        <w:autoSpaceDN/>
        <w:adjustRightInd/>
      </w:pPr>
      <w:bookmarkStart w:id="27" w:name="1910.1096(l)(1)(ii)"/>
      <w:bookmarkEnd w:id="27"/>
      <w:r w:rsidRPr="00C13E00">
        <w:rPr>
          <w:bCs/>
          <w:i/>
        </w:rPr>
        <w:t>§1910.1096(l)(1)(ii)</w:t>
      </w:r>
      <w:r w:rsidRPr="00C13E00">
        <w:t xml:space="preserve"> </w:t>
      </w:r>
      <w:r>
        <w:t xml:space="preserve">- </w:t>
      </w:r>
      <w:r w:rsidRPr="00C13E00">
        <w:t>The release of radioactive material in concentrations which, if averaged over a period of 24 hours, would exceed 5,000 times the limit specified for such materials in Table II of appendix B to 10 CFR part 20.</w:t>
      </w:r>
    </w:p>
    <w:p w:rsidR="00BE31B6" w:rsidP="00BE31B6" w14:paraId="0B6FDBD9" w14:textId="77777777">
      <w:pPr>
        <w:widowControl/>
        <w:autoSpaceDE/>
        <w:autoSpaceDN/>
        <w:adjustRightInd/>
      </w:pPr>
    </w:p>
    <w:p w:rsidR="00BE31B6" w:rsidRPr="00EA2F05" w:rsidP="00BE31B6" w14:paraId="5D51CAD4" w14:textId="77777777">
      <w:pPr>
        <w:widowControl/>
        <w:autoSpaceDE/>
        <w:autoSpaceDN/>
        <w:adjustRightInd/>
      </w:pPr>
      <w:r w:rsidRPr="00EA2F05">
        <w:rPr>
          <w:b/>
          <w:bCs/>
          <w:i/>
          <w:iCs/>
        </w:rPr>
        <w:t>Twenty-four hour notification</w:t>
      </w:r>
      <w:r w:rsidRPr="00EA2F05">
        <w:rPr>
          <w:i/>
        </w:rPr>
        <w:t xml:space="preserve"> </w:t>
      </w:r>
      <w:r w:rsidRPr="00EA2F05">
        <w:rPr>
          <w:b/>
          <w:i/>
        </w:rPr>
        <w:t>(</w:t>
      </w:r>
      <w:r w:rsidRPr="00EA2F05">
        <w:rPr>
          <w:b/>
          <w:bCs/>
          <w:i/>
        </w:rPr>
        <w:t>§1910.1096(l)(2)</w:t>
      </w:r>
      <w:r w:rsidRPr="00EA2F05">
        <w:rPr>
          <w:b/>
          <w:i/>
        </w:rPr>
        <w:t>)</w:t>
      </w:r>
      <w:r>
        <w:rPr>
          <w:b/>
          <w:i/>
        </w:rPr>
        <w:t xml:space="preserve"> </w:t>
      </w:r>
      <w:r>
        <w:t xml:space="preserve">- </w:t>
      </w:r>
      <w:r w:rsidRPr="00EA2F05">
        <w:t>Each employer shall within 24 hours following its occurrence notify the Assistant Secretary of Labor or his duly authorized representative for employees not protected by the Nuclear Regulatory Commission by means of 10 CFR part 20; paragraph (p)(2) of this section, or the requirements of the laws and applicable regulations of States named in paragraph (p)(3) of this section, by telephone or telegraph of any incident involving radiation which may have caused or threatens to cause:</w:t>
      </w:r>
    </w:p>
    <w:p w:rsidR="00BE31B6" w:rsidP="00BE31B6" w14:paraId="25DF0D4B" w14:textId="77777777">
      <w:pPr>
        <w:widowControl/>
        <w:autoSpaceDE/>
        <w:autoSpaceDN/>
        <w:adjustRightInd/>
      </w:pPr>
    </w:p>
    <w:p w:rsidR="00BE31B6" w:rsidP="00BE31B6" w14:paraId="790DCDC2" w14:textId="77777777">
      <w:pPr>
        <w:widowControl/>
        <w:autoSpaceDE/>
        <w:autoSpaceDN/>
        <w:adjustRightInd/>
      </w:pPr>
      <w:bookmarkStart w:id="28" w:name="1910.1096(l)(2)(i)"/>
      <w:bookmarkEnd w:id="28"/>
      <w:r w:rsidRPr="003D1F94">
        <w:rPr>
          <w:bCs/>
          <w:i/>
        </w:rPr>
        <w:t>§1910.1096(l)(2)(</w:t>
      </w:r>
      <w:r w:rsidRPr="003D1F94">
        <w:rPr>
          <w:bCs/>
          <w:i/>
        </w:rPr>
        <w:t>i</w:t>
      </w:r>
      <w:r w:rsidRPr="003D1F94">
        <w:rPr>
          <w:bCs/>
          <w:i/>
        </w:rPr>
        <w:t>)</w:t>
      </w:r>
      <w:r w:rsidRPr="00EA2F05">
        <w:t xml:space="preserve"> </w:t>
      </w:r>
      <w:r>
        <w:t xml:space="preserve">- </w:t>
      </w:r>
      <w:r w:rsidRPr="00EA2F05">
        <w:t>Exposure of the whole body of any individual to 5 rems or more of radiation; exposure of the skin of the whole body of any individual to 30 rems or more of radiation; or exposure of the feet, ankles, hands, or forearms to 75 rems or more of radiation.</w:t>
      </w:r>
    </w:p>
    <w:p w:rsidR="00BE31B6" w:rsidP="00BE31B6" w14:paraId="219B91AD" w14:textId="77777777">
      <w:pPr>
        <w:widowControl/>
        <w:autoSpaceDE/>
        <w:autoSpaceDN/>
        <w:adjustRightInd/>
      </w:pPr>
    </w:p>
    <w:p w:rsidR="00BE31B6" w:rsidP="00BE31B6" w14:paraId="6830599C" w14:textId="77777777">
      <w:pPr>
        <w:widowControl/>
        <w:autoSpaceDE/>
        <w:autoSpaceDN/>
        <w:adjustRightInd/>
      </w:pPr>
      <w:r w:rsidRPr="00780137">
        <w:rPr>
          <w:b/>
          <w:u w:val="single"/>
        </w:rPr>
        <w:t>Purpose</w:t>
      </w:r>
      <w:r>
        <w:t xml:space="preserve">:  Allows area offices the opportunity to determine if a site visit is needed.  Workers overexposed to ionizing radiation may develop </w:t>
      </w:r>
      <w:r w:rsidR="009B44D8">
        <w:t>adverse health effects, such as cancer and tissue damage</w:t>
      </w:r>
      <w:r>
        <w:t xml:space="preserve">.  </w:t>
      </w:r>
    </w:p>
    <w:p w:rsidR="00BE31B6" w:rsidRPr="00EA2F05" w:rsidP="00BE31B6" w14:paraId="21EAA59E" w14:textId="77777777">
      <w:pPr>
        <w:widowControl/>
        <w:autoSpaceDE/>
        <w:autoSpaceDN/>
        <w:adjustRightInd/>
      </w:pPr>
    </w:p>
    <w:p w:rsidR="00BE31B6" w:rsidRPr="003D1F94" w:rsidP="00BE31B6" w14:paraId="41E0601C" w14:textId="0FDDA739">
      <w:pPr>
        <w:widowControl/>
        <w:autoSpaceDE/>
        <w:autoSpaceDN/>
        <w:adjustRightInd/>
        <w:rPr>
          <w:b/>
        </w:rPr>
      </w:pPr>
      <w:r>
        <w:rPr>
          <w:b/>
        </w:rPr>
        <w:t>D</w:t>
      </w:r>
      <w:r w:rsidRPr="003D1F94">
        <w:rPr>
          <w:b/>
        </w:rPr>
        <w:t>.  Reports of overexposure and excessive levels and concentrations (</w:t>
      </w:r>
      <w:r w:rsidRPr="003D1F94">
        <w:rPr>
          <w:b/>
          <w:bCs/>
        </w:rPr>
        <w:t>§1910.1096(m))</w:t>
      </w:r>
      <w:r w:rsidRPr="003D1F94">
        <w:rPr>
          <w:b/>
        </w:rPr>
        <w:t xml:space="preserve"> </w:t>
      </w:r>
    </w:p>
    <w:p w:rsidR="00BE31B6" w:rsidP="00BE31B6" w14:paraId="57D3F779" w14:textId="77777777">
      <w:pPr>
        <w:widowControl/>
        <w:autoSpaceDE/>
        <w:autoSpaceDN/>
        <w:adjustRightInd/>
      </w:pPr>
    </w:p>
    <w:p w:rsidR="00BE31B6" w:rsidP="00BE31B6" w14:paraId="79C9CCF9" w14:textId="77777777">
      <w:pPr>
        <w:widowControl/>
        <w:autoSpaceDE/>
        <w:autoSpaceDN/>
        <w:adjustRightInd/>
      </w:pPr>
      <w:bookmarkStart w:id="29" w:name="1910.1096(m)(1)"/>
      <w:bookmarkEnd w:id="29"/>
      <w:r w:rsidRPr="003D1F94">
        <w:rPr>
          <w:bCs/>
          <w:i/>
        </w:rPr>
        <w:t>§1910.1096(m)(1)</w:t>
      </w:r>
      <w:r w:rsidRPr="003D1F94">
        <w:t xml:space="preserve"> - In addition to any notification required by paragraph (1) of this section each employer shall make a report in writing within 30 days to the Assistant Secretary of Labor or his duly authorized representative, for employees not protected by the Nuclear Regulatory Commission by means of 10 CFR part 20; or under paragraph (p)(2) of this section, or the requirements of the laws and regulations of States named in paragraph (p)(3) of this section, of each exposure of an individual to radiation or concentrations of radioactive material in excess of any applicable limit in this section.</w:t>
      </w:r>
      <w:r>
        <w:t xml:space="preserve"> </w:t>
      </w:r>
      <w:r w:rsidRPr="003D1F94">
        <w:t xml:space="preserve"> Each report required under this paragraph shall describe the extent of exposure of persons to radiation or to radioactive material; levels of radiation and </w:t>
      </w:r>
      <w:r w:rsidRPr="003D1F94">
        <w:t>concentration of radioactive material involved, the cause of the exposure, levels of concentrations; and corrective steps taken or planned to assure against a recurrence.</w:t>
      </w:r>
    </w:p>
    <w:p w:rsidR="00BE31B6" w:rsidRPr="003D1F94" w:rsidP="00BE31B6" w14:paraId="4DC95B80" w14:textId="77777777">
      <w:pPr>
        <w:widowControl/>
        <w:autoSpaceDE/>
        <w:autoSpaceDN/>
        <w:adjustRightInd/>
      </w:pPr>
    </w:p>
    <w:p w:rsidR="00BE31B6" w:rsidP="00BE31B6" w14:paraId="40C81ED5" w14:textId="77777777">
      <w:pPr>
        <w:widowControl/>
        <w:autoSpaceDE/>
        <w:autoSpaceDN/>
        <w:adjustRightInd/>
      </w:pPr>
      <w:bookmarkStart w:id="30" w:name="1910.1096(m)(2)"/>
      <w:bookmarkEnd w:id="30"/>
      <w:r w:rsidRPr="003D1F94">
        <w:rPr>
          <w:bCs/>
          <w:i/>
        </w:rPr>
        <w:t>§1910.1096(m)(2)</w:t>
      </w:r>
      <w:r w:rsidRPr="003D1F94">
        <w:rPr>
          <w:i/>
        </w:rPr>
        <w:t xml:space="preserve"> </w:t>
      </w:r>
      <w:r>
        <w:t xml:space="preserve">- </w:t>
      </w:r>
      <w:r w:rsidRPr="003D1F94">
        <w:t xml:space="preserve">In any case where an employer is required pursuant to the provisions of this paragraph to report to the U.S. Department of Labor any exposure of an individual to radiation or to concentrations of radioactive material, the employer shall also notify such individual of the nature and extent of exposure. Such notice shall be in writing and shall contain the following statement: </w:t>
      </w:r>
    </w:p>
    <w:p w:rsidR="00BE31B6" w:rsidP="00BE31B6" w14:paraId="5853A958" w14:textId="77777777">
      <w:pPr>
        <w:widowControl/>
        <w:autoSpaceDE/>
        <w:autoSpaceDN/>
        <w:adjustRightInd/>
        <w:jc w:val="center"/>
        <w:rPr>
          <w:b/>
        </w:rPr>
      </w:pPr>
      <w:r w:rsidRPr="003D1F94">
        <w:rPr>
          <w:b/>
        </w:rPr>
        <w:t>"You should preserve this report for future reference."</w:t>
      </w:r>
    </w:p>
    <w:p w:rsidR="00BE31B6" w:rsidP="00BE31B6" w14:paraId="1C947840" w14:textId="77777777">
      <w:pPr>
        <w:widowControl/>
        <w:autoSpaceDE/>
        <w:autoSpaceDN/>
        <w:adjustRightInd/>
        <w:jc w:val="center"/>
        <w:rPr>
          <w:b/>
        </w:rPr>
      </w:pPr>
    </w:p>
    <w:p w:rsidR="00BE31B6" w:rsidP="00BE31B6" w14:paraId="06D5FC94" w14:textId="77777777">
      <w:pPr>
        <w:widowControl/>
        <w:autoSpaceDE/>
        <w:autoSpaceDN/>
        <w:adjustRightInd/>
      </w:pPr>
      <w:r w:rsidRPr="00780137">
        <w:rPr>
          <w:b/>
          <w:u w:val="single"/>
        </w:rPr>
        <w:t>Purpose</w:t>
      </w:r>
      <w:r>
        <w:t>:  These reports will provide necessary follow-up to determine if employers are taking the necessary corrective steps.</w:t>
      </w:r>
    </w:p>
    <w:p w:rsidR="00471518" w:rsidP="00BE31B6" w14:paraId="7293283C" w14:textId="77777777">
      <w:pPr>
        <w:widowControl/>
        <w:autoSpaceDE/>
        <w:autoSpaceDN/>
        <w:adjustRightInd/>
      </w:pPr>
    </w:p>
    <w:p w:rsidR="00BE31B6" w:rsidP="00BE31B6" w14:paraId="03D19732" w14:textId="57353D7E">
      <w:pPr>
        <w:widowControl/>
        <w:autoSpaceDE/>
        <w:autoSpaceDN/>
        <w:adjustRightInd/>
        <w:rPr>
          <w:b/>
          <w:bCs/>
        </w:rPr>
      </w:pPr>
      <w:r>
        <w:rPr>
          <w:b/>
        </w:rPr>
        <w:t>E</w:t>
      </w:r>
      <w:r>
        <w:rPr>
          <w:b/>
        </w:rPr>
        <w:t xml:space="preserve"> </w:t>
      </w:r>
      <w:r w:rsidRPr="00780137">
        <w:rPr>
          <w:b/>
        </w:rPr>
        <w:t>Records</w:t>
      </w:r>
      <w:r w:rsidRPr="00780137">
        <w:rPr>
          <w:b/>
          <w:bCs/>
        </w:rPr>
        <w:t xml:space="preserve"> (§1910.1096(n))</w:t>
      </w:r>
      <w:bookmarkStart w:id="31" w:name="1910.1096(n)(1)"/>
      <w:bookmarkEnd w:id="31"/>
    </w:p>
    <w:p w:rsidR="001B7D26" w:rsidP="00BE31B6" w14:paraId="1AA20F31" w14:textId="77777777">
      <w:pPr>
        <w:widowControl/>
        <w:autoSpaceDE/>
        <w:autoSpaceDN/>
        <w:adjustRightInd/>
        <w:rPr>
          <w:bCs/>
          <w:i/>
        </w:rPr>
      </w:pPr>
    </w:p>
    <w:p w:rsidR="00BE31B6" w:rsidP="00BE31B6" w14:paraId="562D7CDA" w14:textId="77777777">
      <w:pPr>
        <w:widowControl/>
        <w:autoSpaceDE/>
        <w:autoSpaceDN/>
        <w:adjustRightInd/>
      </w:pPr>
      <w:r w:rsidRPr="00780137">
        <w:rPr>
          <w:bCs/>
          <w:i/>
        </w:rPr>
        <w:t>§1910.1096(n)(1)</w:t>
      </w:r>
      <w:r w:rsidRPr="00780137">
        <w:t xml:space="preserve"> </w:t>
      </w:r>
      <w:r>
        <w:t xml:space="preserve">- </w:t>
      </w:r>
      <w:r w:rsidRPr="00780137">
        <w:t>Every employer shall maintain records of the radiation exposure of all employees for whom personnel monitoring is required under paragraph (d) of this section and advise each of his employees of his individual exposure on at least an annual basis.</w:t>
      </w:r>
      <w:bookmarkStart w:id="32" w:name="1910.1096(n)(2)"/>
      <w:bookmarkEnd w:id="32"/>
    </w:p>
    <w:p w:rsidR="00BE31B6" w:rsidP="00BE31B6" w14:paraId="2A1B9DEC" w14:textId="77777777">
      <w:pPr>
        <w:widowControl/>
        <w:autoSpaceDE/>
        <w:autoSpaceDN/>
        <w:adjustRightInd/>
      </w:pPr>
    </w:p>
    <w:p w:rsidR="00BE31B6" w:rsidP="00317C49" w14:paraId="008641B4" w14:textId="77777777">
      <w:pPr>
        <w:widowControl/>
        <w:tabs>
          <w:tab w:val="left" w:pos="1260"/>
          <w:tab w:val="left" w:pos="1440"/>
        </w:tabs>
        <w:autoSpaceDE/>
        <w:autoSpaceDN/>
        <w:adjustRightInd/>
      </w:pPr>
      <w:r w:rsidRPr="00780137">
        <w:rPr>
          <w:bCs/>
          <w:i/>
        </w:rPr>
        <w:t>§1910.1096(n)(2)</w:t>
      </w:r>
      <w:r w:rsidRPr="00780137">
        <w:t xml:space="preserve"> - Every employer shall maintain records in the same units used in tables in paragraph (b) of this section and appendix B to 10 CFR part 20.</w:t>
      </w:r>
    </w:p>
    <w:p w:rsidR="00BE31B6" w:rsidP="00BE31B6" w14:paraId="39933723" w14:textId="77777777">
      <w:pPr>
        <w:widowControl/>
        <w:autoSpaceDE/>
        <w:autoSpaceDN/>
        <w:adjustRightInd/>
      </w:pPr>
    </w:p>
    <w:p w:rsidR="00BE31B6" w:rsidRPr="00574DCF" w:rsidP="00BE31B6" w14:paraId="5FB6FBA7" w14:textId="0AF4B20C">
      <w:bookmarkStart w:id="33" w:name="1910.1096(o)"/>
      <w:bookmarkEnd w:id="33"/>
      <w:r w:rsidRPr="00574DCF">
        <w:rPr>
          <w:b/>
          <w:u w:val="single"/>
        </w:rPr>
        <w:t>Purpose</w:t>
      </w:r>
      <w:r>
        <w:t xml:space="preserve">:  Exposure records are maintained principally to protect worker health, to assist in the prevention or early diagnosis of adverse health </w:t>
      </w:r>
      <w:r w:rsidR="008503EC">
        <w:t>effects</w:t>
      </w:r>
      <w:r>
        <w:t xml:space="preserve"> associated with ionizing radiation exposure, and to provide valuable information to both workers and employers about the effectiveness of methods used to control exposure to ionizing radiation.  The records also assist OSHA in enforcing the Standard.</w:t>
      </w:r>
    </w:p>
    <w:p w:rsidR="00BE31B6" w:rsidP="00BE31B6" w14:paraId="09E114FB" w14:textId="77777777">
      <w:pPr>
        <w:widowControl/>
        <w:autoSpaceDE/>
        <w:autoSpaceDN/>
        <w:adjustRightInd/>
        <w:rPr>
          <w:b/>
        </w:rPr>
      </w:pPr>
    </w:p>
    <w:p w:rsidR="00BE31B6" w:rsidRPr="00780137" w:rsidP="00BE31B6" w14:paraId="1AEE9676" w14:textId="685F1F45">
      <w:pPr>
        <w:widowControl/>
        <w:autoSpaceDE/>
        <w:autoSpaceDN/>
        <w:adjustRightInd/>
        <w:rPr>
          <w:b/>
        </w:rPr>
      </w:pPr>
      <w:r>
        <w:rPr>
          <w:b/>
        </w:rPr>
        <w:t>F</w:t>
      </w:r>
      <w:r w:rsidRPr="00780137">
        <w:rPr>
          <w:b/>
        </w:rPr>
        <w:t>.  Disclosure to former employee of individual employee's record (</w:t>
      </w:r>
      <w:r w:rsidRPr="00780137">
        <w:rPr>
          <w:b/>
          <w:bCs/>
        </w:rPr>
        <w:t>§1910.1096(o)</w:t>
      </w:r>
      <w:r w:rsidRPr="00780137">
        <w:rPr>
          <w:b/>
        </w:rPr>
        <w:t>)</w:t>
      </w:r>
    </w:p>
    <w:p w:rsidR="00BE31B6" w:rsidRPr="00780137" w:rsidP="00BE31B6" w14:paraId="4E0EE5F6" w14:textId="77777777">
      <w:pPr>
        <w:widowControl/>
        <w:autoSpaceDE/>
        <w:autoSpaceDN/>
        <w:adjustRightInd/>
      </w:pPr>
    </w:p>
    <w:p w:rsidR="00BE31B6" w:rsidRPr="00780137" w:rsidP="00BE31B6" w14:paraId="2C98F7F1" w14:textId="308500F0">
      <w:pPr>
        <w:widowControl/>
        <w:autoSpaceDE/>
        <w:autoSpaceDN/>
        <w:adjustRightInd/>
      </w:pPr>
      <w:bookmarkStart w:id="34" w:name="1910.1096(o)(1)"/>
      <w:bookmarkEnd w:id="34"/>
      <w:r w:rsidRPr="00780137">
        <w:rPr>
          <w:bCs/>
          <w:i/>
        </w:rPr>
        <w:t>§1910.1096(o)(1)</w:t>
      </w:r>
      <w:r w:rsidRPr="00780137">
        <w:t xml:space="preserve"> - At the request of a former employee an employer shall furnish to the employee a report of the employee's exposure to radiation as shown in records maintained by the employer pursuant to paragraph (n)(1) of this section. Such report shall be furnished within 30 days from the time the request is made and shall cover each calendar quarter of the individual's employment involving exposure to radiation or such lesser period as may be requested by the employee. </w:t>
      </w:r>
      <w:r>
        <w:t xml:space="preserve"> </w:t>
      </w:r>
      <w:r w:rsidRPr="00780137">
        <w:t xml:space="preserve">The report shall also include the results of any calculations and analysis of radioactive material deposited in the body of the employee. The report shall be in writing and contain the following statement: </w:t>
      </w:r>
    </w:p>
    <w:p w:rsidR="00BE31B6" w:rsidP="00BE31B6" w14:paraId="036CAFC5" w14:textId="77777777">
      <w:pPr>
        <w:widowControl/>
      </w:pPr>
    </w:p>
    <w:p w:rsidR="00BE31B6" w:rsidRPr="00C32D32" w:rsidP="00BE31B6" w14:paraId="7B9FDC86" w14:textId="77777777">
      <w:pPr>
        <w:widowControl/>
        <w:jc w:val="center"/>
        <w:rPr>
          <w:b/>
        </w:rPr>
      </w:pPr>
      <w:r w:rsidRPr="00C32D32">
        <w:rPr>
          <w:b/>
        </w:rPr>
        <w:t>"You should preserve this report for future reference."</w:t>
      </w:r>
    </w:p>
    <w:p w:rsidR="00BE31B6" w:rsidRPr="00C32D32" w:rsidP="00BE31B6" w14:paraId="3EDBF737" w14:textId="77777777">
      <w:pPr>
        <w:widowControl/>
        <w:jc w:val="center"/>
        <w:rPr>
          <w:b/>
        </w:rPr>
      </w:pPr>
    </w:p>
    <w:p w:rsidR="00BE31B6" w:rsidRPr="00386BC5" w:rsidP="00BE31B6" w14:paraId="17A7E09C" w14:textId="77777777">
      <w:pPr>
        <w:widowControl/>
      </w:pPr>
      <w:r w:rsidRPr="00780137">
        <w:rPr>
          <w:b/>
          <w:u w:val="single"/>
        </w:rPr>
        <w:t>Purpose</w:t>
      </w:r>
      <w:r>
        <w:t xml:space="preserve">:  </w:t>
      </w:r>
      <w:r w:rsidRPr="00386BC5">
        <w:t>Based on the information they receive under paragraphs (n)(1) and (o) of</w:t>
      </w:r>
      <w:r>
        <w:t xml:space="preserve"> the Standard, worker</w:t>
      </w:r>
      <w:r w:rsidRPr="00386BC5">
        <w:t xml:space="preserve">s can determine the need for medical treatment or other interventions </w:t>
      </w:r>
      <w:r w:rsidRPr="00386BC5">
        <w:t>as a result of</w:t>
      </w:r>
      <w:r w:rsidRPr="00386BC5">
        <w:t xml:space="preserve"> their exposure to io</w:t>
      </w:r>
      <w:r>
        <w:t>nizing radiation.  Former worker</w:t>
      </w:r>
      <w:r w:rsidRPr="00386BC5">
        <w:t>s, especially, may use this information to assess the probability of developing latent diseases caused by their exposure to ionizing radiation.</w:t>
      </w:r>
    </w:p>
    <w:p w:rsidR="00BE31B6" w:rsidP="00DF66D7" w14:paraId="1E607C2B" w14:textId="77777777">
      <w:pPr>
        <w:widowControl/>
        <w:tabs>
          <w:tab w:val="left" w:pos="360"/>
        </w:tabs>
      </w:pPr>
    </w:p>
    <w:p w:rsidR="00EE389F" w:rsidP="00DF66D7" w14:paraId="389E1AA2" w14:textId="1F94540E">
      <w:pPr>
        <w:widowControl/>
        <w:tabs>
          <w:tab w:val="left" w:pos="360"/>
        </w:tabs>
        <w:rPr>
          <w:b/>
          <w:bCs/>
        </w:rPr>
      </w:pPr>
      <w:r>
        <w:rPr>
          <w:b/>
          <w:bCs/>
        </w:rPr>
        <w:t>G.</w:t>
      </w:r>
      <w:r w:rsidR="00C103F3">
        <w:rPr>
          <w:b/>
          <w:bCs/>
        </w:rPr>
        <w:t xml:space="preserve"> Caution signs, labels</w:t>
      </w:r>
      <w:r w:rsidR="00A54214">
        <w:rPr>
          <w:b/>
          <w:bCs/>
        </w:rPr>
        <w:t>,</w:t>
      </w:r>
      <w:r w:rsidR="00C103F3">
        <w:rPr>
          <w:b/>
          <w:bCs/>
        </w:rPr>
        <w:t xml:space="preserve"> and sig</w:t>
      </w:r>
      <w:r w:rsidR="0019017F">
        <w:rPr>
          <w:b/>
          <w:bCs/>
        </w:rPr>
        <w:t>nals</w:t>
      </w:r>
    </w:p>
    <w:p w:rsidR="00715803" w:rsidP="00DF66D7" w14:paraId="083D774C" w14:textId="77777777">
      <w:pPr>
        <w:widowControl/>
        <w:tabs>
          <w:tab w:val="left" w:pos="360"/>
        </w:tabs>
        <w:rPr>
          <w:b/>
          <w:bCs/>
        </w:rPr>
      </w:pPr>
    </w:p>
    <w:p w:rsidR="0019017F" w:rsidP="00E25174" w14:paraId="707C16F1" w14:textId="44D89B52">
      <w:pPr>
        <w:widowControl/>
        <w:tabs>
          <w:tab w:val="left" w:pos="360"/>
        </w:tabs>
      </w:pPr>
      <w:r>
        <w:t xml:space="preserve">The agency determined that the </w:t>
      </w:r>
      <w:r w:rsidR="0042171E">
        <w:t xml:space="preserve">following </w:t>
      </w:r>
      <w:r>
        <w:t>provisions</w:t>
      </w:r>
      <w:r w:rsidR="0042171E">
        <w:t xml:space="preserve"> are not collections of information requirements</w:t>
      </w:r>
      <w:r w:rsidR="00066ED6">
        <w:t xml:space="preserve"> because these paragraphs provide</w:t>
      </w:r>
      <w:r w:rsidR="00686821">
        <w:t xml:space="preserve"> specific language</w:t>
      </w:r>
      <w:r w:rsidR="009B4338">
        <w:t xml:space="preserve"> for employers to use on their signs, labels, and signals. </w:t>
      </w:r>
      <w:r w:rsidR="00F44CFF">
        <w:t>Therefore, O</w:t>
      </w:r>
      <w:r w:rsidR="00FA7256">
        <w:t>SHA is not taking a burden</w:t>
      </w:r>
      <w:r w:rsidR="00E25174">
        <w:t xml:space="preserve"> for these requirements.</w:t>
      </w:r>
      <w:r>
        <w:rPr>
          <w:rStyle w:val="FootnoteReference"/>
          <w:vertAlign w:val="superscript"/>
        </w:rPr>
        <w:footnoteReference w:id="8"/>
      </w:r>
      <w:r w:rsidR="009B4338">
        <w:t xml:space="preserve"> </w:t>
      </w:r>
    </w:p>
    <w:p w:rsidR="00904D78" w:rsidP="00E25174" w14:paraId="072D9BA9" w14:textId="77777777">
      <w:pPr>
        <w:widowControl/>
        <w:tabs>
          <w:tab w:val="left" w:pos="360"/>
        </w:tabs>
      </w:pPr>
    </w:p>
    <w:p w:rsidR="009D355A" w:rsidP="00E25174" w14:paraId="22381A56" w14:textId="5591A6E7">
      <w:pPr>
        <w:widowControl/>
        <w:tabs>
          <w:tab w:val="left" w:pos="360"/>
        </w:tabs>
      </w:pPr>
      <w:r w:rsidRPr="00C45A81">
        <w:rPr>
          <w:b/>
          <w:bCs/>
        </w:rPr>
        <w:t>Table</w:t>
      </w:r>
      <w:r w:rsidRPr="00C45A81" w:rsidR="009F6780">
        <w:rPr>
          <w:b/>
          <w:bCs/>
        </w:rPr>
        <w:t xml:space="preserve"> 1 </w:t>
      </w:r>
      <w:r w:rsidR="00501767">
        <w:t>–</w:t>
      </w:r>
      <w:r w:rsidR="009F6780">
        <w:t xml:space="preserve"> </w:t>
      </w:r>
      <w:r w:rsidR="00D95CE4">
        <w:rPr>
          <w:b/>
          <w:bCs/>
        </w:rPr>
        <w:t>Caution signs, labels</w:t>
      </w:r>
      <w:r w:rsidR="00A54214">
        <w:rPr>
          <w:b/>
          <w:bCs/>
        </w:rPr>
        <w:t>,</w:t>
      </w:r>
      <w:r w:rsidR="00D95CE4">
        <w:rPr>
          <w:b/>
          <w:bCs/>
        </w:rPr>
        <w:t xml:space="preserve"> and signals</w:t>
      </w:r>
      <w:r w:rsidR="00501767">
        <w:rPr>
          <w:b/>
          <w:bCs/>
        </w:rPr>
        <w:t xml:space="preserve"> requirements</w:t>
      </w:r>
    </w:p>
    <w:p w:rsidR="00592DFA" w:rsidP="00E25174" w14:paraId="6E6ABDE3" w14:textId="77777777">
      <w:pPr>
        <w:widowControl/>
        <w:tabs>
          <w:tab w:val="left" w:pos="360"/>
        </w:tabs>
      </w:pPr>
    </w:p>
    <w:tbl>
      <w:tblPr>
        <w:tblStyle w:val="TableGrid"/>
        <w:tblW w:w="9805" w:type="dxa"/>
        <w:tblLook w:val="04A0"/>
      </w:tblPr>
      <w:tblGrid>
        <w:gridCol w:w="607"/>
        <w:gridCol w:w="1983"/>
        <w:gridCol w:w="7215"/>
      </w:tblGrid>
      <w:tr w14:paraId="44DC9F1B" w14:textId="77777777" w:rsidTr="00C45A81">
        <w:tblPrEx>
          <w:tblW w:w="9805" w:type="dxa"/>
          <w:tblLook w:val="04A0"/>
        </w:tblPrEx>
        <w:tc>
          <w:tcPr>
            <w:tcW w:w="607" w:type="dxa"/>
          </w:tcPr>
          <w:p w:rsidR="00523DEF" w:rsidP="00E25174" w14:paraId="00942FE1" w14:textId="77777777">
            <w:pPr>
              <w:widowControl/>
              <w:tabs>
                <w:tab w:val="left" w:pos="360"/>
              </w:tabs>
              <w:rPr>
                <w:b/>
                <w:bCs/>
              </w:rPr>
            </w:pPr>
          </w:p>
        </w:tc>
        <w:tc>
          <w:tcPr>
            <w:tcW w:w="1983" w:type="dxa"/>
          </w:tcPr>
          <w:p w:rsidR="00D72883" w:rsidP="00E25174" w14:paraId="4FFD88C7" w14:textId="1004FD3D">
            <w:pPr>
              <w:widowControl/>
              <w:tabs>
                <w:tab w:val="left" w:pos="360"/>
              </w:tabs>
              <w:rPr>
                <w:b/>
                <w:bCs/>
              </w:rPr>
            </w:pPr>
            <w:r>
              <w:rPr>
                <w:b/>
                <w:bCs/>
              </w:rPr>
              <w:t>Section</w:t>
            </w:r>
          </w:p>
        </w:tc>
        <w:tc>
          <w:tcPr>
            <w:tcW w:w="7215" w:type="dxa"/>
          </w:tcPr>
          <w:p w:rsidR="00D72883" w:rsidP="00E25174" w14:paraId="4C75236B" w14:textId="5F3F7D58">
            <w:pPr>
              <w:widowControl/>
              <w:tabs>
                <w:tab w:val="left" w:pos="360"/>
              </w:tabs>
              <w:rPr>
                <w:b/>
                <w:bCs/>
              </w:rPr>
            </w:pPr>
            <w:r>
              <w:rPr>
                <w:b/>
                <w:bCs/>
              </w:rPr>
              <w:t>Collection of Information</w:t>
            </w:r>
            <w:r w:rsidR="00920A34">
              <w:rPr>
                <w:b/>
                <w:bCs/>
              </w:rPr>
              <w:t xml:space="preserve"> Requirements</w:t>
            </w:r>
          </w:p>
        </w:tc>
      </w:tr>
      <w:tr w14:paraId="194298DB" w14:textId="77777777" w:rsidTr="00C45A81">
        <w:tblPrEx>
          <w:tblW w:w="9805" w:type="dxa"/>
          <w:tblLook w:val="04A0"/>
        </w:tblPrEx>
        <w:tc>
          <w:tcPr>
            <w:tcW w:w="607" w:type="dxa"/>
          </w:tcPr>
          <w:p w:rsidR="00D72883" w:rsidP="00E25174" w14:paraId="5ED0A37A" w14:textId="3A3DCEA6">
            <w:pPr>
              <w:widowControl/>
              <w:tabs>
                <w:tab w:val="left" w:pos="360"/>
              </w:tabs>
              <w:rPr>
                <w:b/>
                <w:bCs/>
              </w:rPr>
            </w:pPr>
            <w:r>
              <w:rPr>
                <w:b/>
                <w:bCs/>
              </w:rPr>
              <w:t>1</w:t>
            </w:r>
          </w:p>
        </w:tc>
        <w:tc>
          <w:tcPr>
            <w:tcW w:w="1983" w:type="dxa"/>
          </w:tcPr>
          <w:p w:rsidR="00D72883" w:rsidP="00E25174" w14:paraId="051C62E7" w14:textId="522E26B4">
            <w:pPr>
              <w:widowControl/>
              <w:tabs>
                <w:tab w:val="left" w:pos="360"/>
              </w:tabs>
              <w:rPr>
                <w:b/>
                <w:bCs/>
              </w:rPr>
            </w:pPr>
            <w:r w:rsidRPr="00007845">
              <w:rPr>
                <w:b/>
                <w:i/>
              </w:rPr>
              <w:t>(</w:t>
            </w:r>
            <w:r w:rsidRPr="00007845">
              <w:rPr>
                <w:b/>
                <w:bCs/>
                <w:i/>
              </w:rPr>
              <w:t>§1910.1096(e)(2)</w:t>
            </w:r>
          </w:p>
        </w:tc>
        <w:tc>
          <w:tcPr>
            <w:tcW w:w="7215" w:type="dxa"/>
          </w:tcPr>
          <w:p w:rsidR="00632500" w:rsidP="00632500" w14:paraId="2BA7D598" w14:textId="3C832E37">
            <w:pPr>
              <w:widowControl/>
              <w:autoSpaceDE/>
              <w:autoSpaceDN/>
              <w:adjustRightInd/>
            </w:pPr>
            <w:r w:rsidRPr="00987C5D">
              <w:rPr>
                <w:b/>
                <w:bCs/>
                <w:i/>
                <w:iCs/>
              </w:rPr>
              <w:t>Radiation area</w:t>
            </w:r>
            <w:r w:rsidRPr="00E440CA">
              <w:t xml:space="preserve"> </w:t>
            </w:r>
            <w:r>
              <w:t xml:space="preserve">- </w:t>
            </w:r>
            <w:r w:rsidRPr="00E440CA">
              <w:t>Each radiation area shall be conspicuously posted with a sign or signs bearing the radiation caution symbol described in subparagraph (1) of this paragraph and the words:</w:t>
            </w:r>
          </w:p>
          <w:p w:rsidR="00632500" w:rsidP="00632500" w14:paraId="60B9EA14" w14:textId="77777777">
            <w:pPr>
              <w:widowControl/>
              <w:autoSpaceDE/>
              <w:autoSpaceDN/>
              <w:adjustRightInd/>
              <w:jc w:val="center"/>
            </w:pPr>
          </w:p>
          <w:p w:rsidR="00632500" w:rsidRPr="00F91D7C" w:rsidP="00632500" w14:paraId="5755F481" w14:textId="77777777">
            <w:pPr>
              <w:widowControl/>
              <w:autoSpaceDE/>
              <w:autoSpaceDN/>
              <w:adjustRightInd/>
              <w:jc w:val="center"/>
              <w:rPr>
                <w:b/>
              </w:rPr>
            </w:pPr>
            <w:r w:rsidRPr="00F91D7C">
              <w:rPr>
                <w:b/>
              </w:rPr>
              <w:t>CAUTION</w:t>
            </w:r>
            <w:r w:rsidRPr="00F91D7C">
              <w:rPr>
                <w:b/>
              </w:rPr>
              <w:br/>
            </w:r>
            <w:r w:rsidRPr="00F91D7C">
              <w:rPr>
                <w:b/>
              </w:rPr>
              <w:br/>
              <w:t>RADIATION AREA</w:t>
            </w:r>
          </w:p>
          <w:p w:rsidR="00D72883" w:rsidP="00E25174" w14:paraId="2D0AFAC1" w14:textId="77777777">
            <w:pPr>
              <w:widowControl/>
              <w:tabs>
                <w:tab w:val="left" w:pos="360"/>
              </w:tabs>
              <w:rPr>
                <w:b/>
                <w:bCs/>
              </w:rPr>
            </w:pPr>
          </w:p>
        </w:tc>
      </w:tr>
      <w:tr w14:paraId="32DFA154" w14:textId="77777777" w:rsidTr="00C45A81">
        <w:tblPrEx>
          <w:tblW w:w="9805" w:type="dxa"/>
          <w:tblLook w:val="04A0"/>
        </w:tblPrEx>
        <w:tc>
          <w:tcPr>
            <w:tcW w:w="607" w:type="dxa"/>
          </w:tcPr>
          <w:p w:rsidR="00D72883" w:rsidP="00E25174" w14:paraId="2AEEBBC3" w14:textId="5D70EFE0">
            <w:pPr>
              <w:widowControl/>
              <w:tabs>
                <w:tab w:val="left" w:pos="360"/>
              </w:tabs>
              <w:rPr>
                <w:b/>
                <w:bCs/>
              </w:rPr>
            </w:pPr>
            <w:r>
              <w:rPr>
                <w:b/>
                <w:bCs/>
              </w:rPr>
              <w:t>2</w:t>
            </w:r>
          </w:p>
        </w:tc>
        <w:tc>
          <w:tcPr>
            <w:tcW w:w="1983" w:type="dxa"/>
          </w:tcPr>
          <w:p w:rsidR="00D72883" w:rsidP="00E25174" w14:paraId="23A5F624" w14:textId="14350A92">
            <w:pPr>
              <w:widowControl/>
              <w:tabs>
                <w:tab w:val="left" w:pos="360"/>
              </w:tabs>
              <w:rPr>
                <w:b/>
                <w:bCs/>
              </w:rPr>
            </w:pPr>
            <w:r w:rsidRPr="00F91D7C">
              <w:rPr>
                <w:b/>
                <w:bCs/>
                <w:i/>
              </w:rPr>
              <w:t>§1910.1096(e)(3)</w:t>
            </w:r>
          </w:p>
        </w:tc>
        <w:tc>
          <w:tcPr>
            <w:tcW w:w="7215" w:type="dxa"/>
          </w:tcPr>
          <w:p w:rsidR="00431666" w:rsidRPr="00E440CA" w:rsidP="00431666" w14:paraId="78DEA598" w14:textId="77701FBF">
            <w:pPr>
              <w:widowControl/>
              <w:autoSpaceDE/>
              <w:autoSpaceDN/>
              <w:adjustRightInd/>
            </w:pPr>
            <w:r w:rsidRPr="00E440CA">
              <w:rPr>
                <w:b/>
                <w:bCs/>
                <w:i/>
                <w:iCs/>
              </w:rPr>
              <w:t xml:space="preserve">High radiation </w:t>
            </w:r>
            <w:r w:rsidRPr="00F91D7C">
              <w:rPr>
                <w:b/>
                <w:bCs/>
                <w:i/>
                <w:iCs/>
              </w:rPr>
              <w:t>area</w:t>
            </w:r>
            <w:r w:rsidRPr="00F91D7C">
              <w:rPr>
                <w:i/>
              </w:rPr>
              <w:t xml:space="preserve"> </w:t>
            </w:r>
            <w:r w:rsidRPr="00E440CA">
              <w:t xml:space="preserve"> </w:t>
            </w:r>
          </w:p>
          <w:p w:rsidR="00431666" w:rsidRPr="00E440CA" w:rsidP="00431666" w14:paraId="07E54DFC" w14:textId="5F9B1592">
            <w:pPr>
              <w:widowControl/>
              <w:autoSpaceDE/>
              <w:autoSpaceDN/>
              <w:adjustRightInd/>
            </w:pPr>
            <w:r w:rsidRPr="00F91D7C">
              <w:rPr>
                <w:bCs/>
                <w:i/>
              </w:rPr>
              <w:t>§1910.1096(e)(3)(</w:t>
            </w:r>
            <w:r w:rsidRPr="00F91D7C">
              <w:rPr>
                <w:bCs/>
                <w:i/>
              </w:rPr>
              <w:t>i</w:t>
            </w:r>
            <w:r w:rsidRPr="00F91D7C">
              <w:rPr>
                <w:bCs/>
                <w:i/>
              </w:rPr>
              <w:t>)</w:t>
            </w:r>
            <w:r w:rsidRPr="00F91D7C">
              <w:t xml:space="preserve"> -</w:t>
            </w:r>
            <w:r>
              <w:t xml:space="preserve"> </w:t>
            </w:r>
            <w:r w:rsidRPr="00E440CA">
              <w:t>Each high radiation area shall be conspicuously posted with a sign or signs bearing the radiation caution symbol and the words:</w:t>
            </w:r>
          </w:p>
          <w:p w:rsidR="00431666" w:rsidRPr="00F91D7C" w:rsidP="00431666" w14:paraId="02ED5ECB" w14:textId="77777777">
            <w:pPr>
              <w:widowControl/>
              <w:autoSpaceDE/>
              <w:autoSpaceDN/>
              <w:adjustRightInd/>
              <w:jc w:val="center"/>
              <w:rPr>
                <w:b/>
              </w:rPr>
            </w:pPr>
            <w:r w:rsidRPr="00F91D7C">
              <w:rPr>
                <w:b/>
              </w:rPr>
              <w:t>CAUTION</w:t>
            </w:r>
            <w:r w:rsidRPr="00F91D7C">
              <w:rPr>
                <w:b/>
              </w:rPr>
              <w:br/>
            </w:r>
            <w:r w:rsidRPr="00F91D7C">
              <w:rPr>
                <w:b/>
              </w:rPr>
              <w:br/>
              <w:t>HIGH RADIATION AREA</w:t>
            </w:r>
          </w:p>
          <w:p w:rsidR="00D72883" w:rsidP="00E25174" w14:paraId="30E095CD" w14:textId="77777777">
            <w:pPr>
              <w:widowControl/>
              <w:tabs>
                <w:tab w:val="left" w:pos="360"/>
              </w:tabs>
              <w:rPr>
                <w:b/>
                <w:bCs/>
              </w:rPr>
            </w:pPr>
          </w:p>
        </w:tc>
      </w:tr>
      <w:tr w14:paraId="0550FA75" w14:textId="77777777" w:rsidTr="00C45A81">
        <w:tblPrEx>
          <w:tblW w:w="9805" w:type="dxa"/>
          <w:tblLook w:val="04A0"/>
        </w:tblPrEx>
        <w:tc>
          <w:tcPr>
            <w:tcW w:w="607" w:type="dxa"/>
          </w:tcPr>
          <w:p w:rsidR="00D72883" w:rsidP="00E25174" w14:paraId="483CF4C6" w14:textId="6779A6A1">
            <w:pPr>
              <w:widowControl/>
              <w:tabs>
                <w:tab w:val="left" w:pos="360"/>
              </w:tabs>
              <w:rPr>
                <w:b/>
                <w:bCs/>
              </w:rPr>
            </w:pPr>
            <w:r>
              <w:rPr>
                <w:b/>
                <w:bCs/>
              </w:rPr>
              <w:t>3</w:t>
            </w:r>
          </w:p>
        </w:tc>
        <w:tc>
          <w:tcPr>
            <w:tcW w:w="1983" w:type="dxa"/>
          </w:tcPr>
          <w:p w:rsidR="00D72883" w:rsidP="00E25174" w14:paraId="658720ED" w14:textId="0C129502">
            <w:pPr>
              <w:widowControl/>
              <w:tabs>
                <w:tab w:val="left" w:pos="360"/>
              </w:tabs>
              <w:rPr>
                <w:b/>
                <w:bCs/>
              </w:rPr>
            </w:pPr>
            <w:r w:rsidRPr="00F91D7C">
              <w:rPr>
                <w:b/>
                <w:bCs/>
                <w:i/>
              </w:rPr>
              <w:t>§1910.1096(e)(4)</w:t>
            </w:r>
          </w:p>
        </w:tc>
        <w:tc>
          <w:tcPr>
            <w:tcW w:w="7215" w:type="dxa"/>
          </w:tcPr>
          <w:p w:rsidR="006153DD" w:rsidRPr="00C45A81" w:rsidP="006153DD" w14:paraId="35B6F65C" w14:textId="6BE05F7F">
            <w:pPr>
              <w:widowControl/>
              <w:autoSpaceDE/>
              <w:autoSpaceDN/>
              <w:adjustRightInd/>
              <w:rPr>
                <w:rFonts w:ascii="Verdana" w:hAnsi="Verdana"/>
                <w:b/>
                <w:bCs/>
                <w:color w:val="757575"/>
                <w:sz w:val="14"/>
              </w:rPr>
            </w:pPr>
            <w:r w:rsidRPr="00F91D7C">
              <w:rPr>
                <w:b/>
                <w:bCs/>
                <w:i/>
                <w:iCs/>
              </w:rPr>
              <w:t>Airborne radioactivity area</w:t>
            </w:r>
            <w:r w:rsidRPr="00F91D7C">
              <w:t xml:space="preserve"> </w:t>
            </w:r>
          </w:p>
          <w:p w:rsidR="006153DD" w:rsidRPr="00F91D7C" w:rsidP="006153DD" w14:paraId="47160A67" w14:textId="3DF55309">
            <w:pPr>
              <w:widowControl/>
              <w:autoSpaceDE/>
              <w:autoSpaceDN/>
              <w:adjustRightInd/>
            </w:pPr>
            <w:r w:rsidRPr="00174987">
              <w:rPr>
                <w:bCs/>
                <w:i/>
              </w:rPr>
              <w:t>§1910.1096(e)(4)(ii)</w:t>
            </w:r>
            <w:r w:rsidRPr="00174987">
              <w:t xml:space="preserve"> - Each airborne radioactivity area</w:t>
            </w:r>
            <w:r>
              <w:rPr>
                <w:rStyle w:val="FootnoteReference"/>
                <w:vertAlign w:val="superscript"/>
              </w:rPr>
              <w:footnoteReference w:id="9"/>
            </w:r>
            <w:r w:rsidRPr="00174987">
              <w:t xml:space="preserve"> shall be conspicuously posted with a sign or signs bearing the radiation caution symbol described in paragraph (e)(1) of this section</w:t>
            </w:r>
            <w:r w:rsidRPr="00F91D7C">
              <w:t xml:space="preserve"> and the words:</w:t>
            </w:r>
          </w:p>
          <w:p w:rsidR="006153DD" w:rsidP="006153DD" w14:paraId="3399E93C" w14:textId="77777777">
            <w:pPr>
              <w:widowControl/>
              <w:autoSpaceDE/>
              <w:autoSpaceDN/>
              <w:adjustRightInd/>
              <w:jc w:val="center"/>
            </w:pPr>
          </w:p>
          <w:p w:rsidR="006153DD" w:rsidP="006153DD" w14:paraId="32957824" w14:textId="77777777">
            <w:pPr>
              <w:widowControl/>
              <w:autoSpaceDE/>
              <w:autoSpaceDN/>
              <w:adjustRightInd/>
              <w:jc w:val="center"/>
              <w:rPr>
                <w:b/>
              </w:rPr>
            </w:pPr>
            <w:r w:rsidRPr="00F91D7C">
              <w:rPr>
                <w:b/>
              </w:rPr>
              <w:t>CAUTION</w:t>
            </w:r>
            <w:r w:rsidRPr="00F91D7C">
              <w:rPr>
                <w:b/>
              </w:rPr>
              <w:br/>
            </w:r>
            <w:r w:rsidRPr="00F91D7C">
              <w:rPr>
                <w:b/>
              </w:rPr>
              <w:br/>
              <w:t>AIRBORNE RADIOACTIVITY AREA</w:t>
            </w:r>
          </w:p>
          <w:p w:rsidR="00D72883" w:rsidP="00E25174" w14:paraId="0C070B81" w14:textId="77777777">
            <w:pPr>
              <w:widowControl/>
              <w:tabs>
                <w:tab w:val="left" w:pos="360"/>
              </w:tabs>
              <w:rPr>
                <w:b/>
                <w:bCs/>
              </w:rPr>
            </w:pPr>
          </w:p>
        </w:tc>
      </w:tr>
      <w:tr w14:paraId="5BBE9A42" w14:textId="77777777" w:rsidTr="00C45A81">
        <w:tblPrEx>
          <w:tblW w:w="9805" w:type="dxa"/>
          <w:tblLook w:val="04A0"/>
        </w:tblPrEx>
        <w:tc>
          <w:tcPr>
            <w:tcW w:w="607" w:type="dxa"/>
          </w:tcPr>
          <w:p w:rsidR="00D72883" w:rsidP="00E25174" w14:paraId="0EA4FC86" w14:textId="1227705D">
            <w:pPr>
              <w:widowControl/>
              <w:tabs>
                <w:tab w:val="left" w:pos="360"/>
              </w:tabs>
              <w:rPr>
                <w:b/>
                <w:bCs/>
              </w:rPr>
            </w:pPr>
            <w:r>
              <w:rPr>
                <w:b/>
                <w:bCs/>
              </w:rPr>
              <w:t>4</w:t>
            </w:r>
          </w:p>
        </w:tc>
        <w:tc>
          <w:tcPr>
            <w:tcW w:w="1983" w:type="dxa"/>
          </w:tcPr>
          <w:p w:rsidR="00D72883" w:rsidP="00E25174" w14:paraId="6A7865FC" w14:textId="7842B0FC">
            <w:pPr>
              <w:widowControl/>
              <w:tabs>
                <w:tab w:val="left" w:pos="360"/>
              </w:tabs>
              <w:rPr>
                <w:b/>
                <w:bCs/>
              </w:rPr>
            </w:pPr>
            <w:r w:rsidRPr="00987C5D">
              <w:rPr>
                <w:b/>
                <w:bCs/>
                <w:i/>
              </w:rPr>
              <w:t>§1910.1096(e)(5)</w:t>
            </w:r>
          </w:p>
        </w:tc>
        <w:tc>
          <w:tcPr>
            <w:tcW w:w="7215" w:type="dxa"/>
          </w:tcPr>
          <w:p w:rsidR="009D2299" w:rsidRPr="00492B2E" w:rsidP="009D2299" w14:paraId="2988017F" w14:textId="55EFD7D6">
            <w:pPr>
              <w:widowControl/>
              <w:autoSpaceDE/>
              <w:autoSpaceDN/>
              <w:adjustRightInd/>
              <w:rPr>
                <w:b/>
              </w:rPr>
            </w:pPr>
            <w:r w:rsidRPr="00492B2E">
              <w:rPr>
                <w:b/>
                <w:bCs/>
                <w:i/>
                <w:iCs/>
              </w:rPr>
              <w:t>Additional requirements</w:t>
            </w:r>
            <w:r w:rsidRPr="00492B2E">
              <w:rPr>
                <w:b/>
              </w:rPr>
              <w:t xml:space="preserve">  </w:t>
            </w:r>
          </w:p>
          <w:p w:rsidR="009D2299" w:rsidP="009D2299" w14:paraId="7373BCD8" w14:textId="77777777">
            <w:pPr>
              <w:widowControl/>
              <w:autoSpaceDE/>
              <w:autoSpaceDN/>
              <w:adjustRightInd/>
            </w:pPr>
            <w:r w:rsidRPr="00492B2E">
              <w:rPr>
                <w:bCs/>
                <w:i/>
              </w:rPr>
              <w:t>§1910.1096(e)(5)(</w:t>
            </w:r>
            <w:r w:rsidRPr="00492B2E">
              <w:rPr>
                <w:bCs/>
                <w:i/>
              </w:rPr>
              <w:t>i</w:t>
            </w:r>
            <w:r w:rsidRPr="00492B2E">
              <w:rPr>
                <w:bCs/>
                <w:i/>
              </w:rPr>
              <w:t>)</w:t>
            </w:r>
            <w:r w:rsidRPr="00492B2E">
              <w:t xml:space="preserve"> - Each area or room in which radioactive material is used or stored and which contains any radioactive material (other than natural uranium or thorium) in any amount exceeding 10 times the quantity of such material specified in appendix C to 10 CFR part 20 shall be conspicuously posted with a sign or signs bearing the radiation caution symbol described in paragraph (e)(1) of this section and the words:</w:t>
            </w:r>
          </w:p>
          <w:p w:rsidR="009D2299" w:rsidP="009D2299" w14:paraId="3A20A74D" w14:textId="77777777">
            <w:pPr>
              <w:widowControl/>
              <w:autoSpaceDE/>
              <w:autoSpaceDN/>
              <w:adjustRightInd/>
              <w:jc w:val="center"/>
              <w:rPr>
                <w:sz w:val="20"/>
                <w:szCs w:val="20"/>
              </w:rPr>
            </w:pPr>
            <w:r w:rsidRPr="00492B2E">
              <w:rPr>
                <w:b/>
              </w:rPr>
              <w:t>CAUTION</w:t>
            </w:r>
            <w:r w:rsidRPr="00492B2E">
              <w:rPr>
                <w:b/>
              </w:rPr>
              <w:br/>
            </w:r>
            <w:r w:rsidRPr="00492B2E">
              <w:rPr>
                <w:b/>
              </w:rPr>
              <w:br/>
              <w:t>RADIOACTIVE MATERIALS</w:t>
            </w:r>
          </w:p>
          <w:p w:rsidR="00D72883" w:rsidP="00E25174" w14:paraId="27ED756D" w14:textId="77777777">
            <w:pPr>
              <w:widowControl/>
              <w:tabs>
                <w:tab w:val="left" w:pos="360"/>
              </w:tabs>
              <w:rPr>
                <w:b/>
                <w:bCs/>
              </w:rPr>
            </w:pPr>
          </w:p>
        </w:tc>
      </w:tr>
      <w:tr w14:paraId="5C0664E9" w14:textId="77777777" w:rsidTr="00C45A81">
        <w:tblPrEx>
          <w:tblW w:w="9805" w:type="dxa"/>
          <w:tblLook w:val="04A0"/>
        </w:tblPrEx>
        <w:tc>
          <w:tcPr>
            <w:tcW w:w="607" w:type="dxa"/>
          </w:tcPr>
          <w:p w:rsidR="00D72883" w:rsidP="00E25174" w14:paraId="3A30B0A4" w14:textId="3C4954DC">
            <w:pPr>
              <w:widowControl/>
              <w:tabs>
                <w:tab w:val="left" w:pos="360"/>
              </w:tabs>
              <w:rPr>
                <w:b/>
                <w:bCs/>
              </w:rPr>
            </w:pPr>
            <w:r>
              <w:rPr>
                <w:b/>
                <w:bCs/>
              </w:rPr>
              <w:t>5</w:t>
            </w:r>
          </w:p>
        </w:tc>
        <w:tc>
          <w:tcPr>
            <w:tcW w:w="1983" w:type="dxa"/>
          </w:tcPr>
          <w:p w:rsidR="00D72883" w:rsidP="00E25174" w14:paraId="78F5552C" w14:textId="7DD240B5">
            <w:pPr>
              <w:widowControl/>
              <w:tabs>
                <w:tab w:val="left" w:pos="360"/>
              </w:tabs>
              <w:rPr>
                <w:b/>
                <w:bCs/>
              </w:rPr>
            </w:pPr>
            <w:r w:rsidRPr="00987C5D">
              <w:rPr>
                <w:b/>
                <w:bCs/>
                <w:i/>
              </w:rPr>
              <w:t>§1910.1096(e)(5)</w:t>
            </w:r>
          </w:p>
        </w:tc>
        <w:tc>
          <w:tcPr>
            <w:tcW w:w="7215" w:type="dxa"/>
          </w:tcPr>
          <w:p w:rsidR="00627D0C" w:rsidP="00627D0C" w14:paraId="5988C121" w14:textId="77777777">
            <w:pPr>
              <w:widowControl/>
              <w:autoSpaceDE/>
              <w:autoSpaceDN/>
              <w:adjustRightInd/>
            </w:pPr>
            <w:r w:rsidRPr="00EC622A">
              <w:rPr>
                <w:bCs/>
                <w:i/>
              </w:rPr>
              <w:t>§1910.1096(e)(5)(ii)</w:t>
            </w:r>
            <w:r w:rsidRPr="00EC622A">
              <w:t xml:space="preserve"> - Each area or room in which natural uranium or thorium is used or stored in an amount exceeding 100 times the quantity of such material specified in 10 CFR part 20 shall be conspicuously posted with a sign or signs bearing the radiation caution symbol described in paragraph (e)(1) of this section and the words:</w:t>
            </w:r>
          </w:p>
          <w:p w:rsidR="00627D0C" w:rsidRPr="00EC622A" w:rsidP="00627D0C" w14:paraId="6E65E587" w14:textId="77777777">
            <w:pPr>
              <w:widowControl/>
              <w:autoSpaceDE/>
              <w:autoSpaceDN/>
              <w:adjustRightInd/>
              <w:rPr>
                <w:b/>
              </w:rPr>
            </w:pPr>
          </w:p>
          <w:p w:rsidR="00627D0C" w:rsidP="00627D0C" w14:paraId="56236460" w14:textId="77777777">
            <w:pPr>
              <w:widowControl/>
              <w:autoSpaceDE/>
              <w:autoSpaceDN/>
              <w:adjustRightInd/>
              <w:jc w:val="center"/>
              <w:rPr>
                <w:b/>
              </w:rPr>
            </w:pPr>
            <w:r w:rsidRPr="00EC622A">
              <w:rPr>
                <w:b/>
              </w:rPr>
              <w:t>CAUTION</w:t>
            </w:r>
            <w:r w:rsidRPr="00EC622A">
              <w:rPr>
                <w:b/>
              </w:rPr>
              <w:br/>
            </w:r>
            <w:r w:rsidRPr="00EC622A">
              <w:rPr>
                <w:b/>
              </w:rPr>
              <w:br/>
              <w:t>RADIOACTIVE MATERIALS</w:t>
            </w:r>
          </w:p>
          <w:p w:rsidR="00D72883" w:rsidP="00E25174" w14:paraId="76D171C4" w14:textId="77777777">
            <w:pPr>
              <w:widowControl/>
              <w:tabs>
                <w:tab w:val="left" w:pos="360"/>
              </w:tabs>
              <w:rPr>
                <w:b/>
                <w:bCs/>
              </w:rPr>
            </w:pPr>
          </w:p>
        </w:tc>
      </w:tr>
      <w:tr w14:paraId="44AE96A6" w14:textId="77777777" w:rsidTr="00C45A81">
        <w:tblPrEx>
          <w:tblW w:w="9805" w:type="dxa"/>
          <w:tblLook w:val="04A0"/>
        </w:tblPrEx>
        <w:tc>
          <w:tcPr>
            <w:tcW w:w="607" w:type="dxa"/>
          </w:tcPr>
          <w:p w:rsidR="00B462C7" w:rsidP="00B462C7" w14:paraId="7C5A3075" w14:textId="63453A23">
            <w:pPr>
              <w:widowControl/>
              <w:tabs>
                <w:tab w:val="left" w:pos="360"/>
              </w:tabs>
              <w:rPr>
                <w:b/>
                <w:bCs/>
              </w:rPr>
            </w:pPr>
            <w:r>
              <w:rPr>
                <w:b/>
                <w:bCs/>
              </w:rPr>
              <w:t>6</w:t>
            </w:r>
          </w:p>
        </w:tc>
        <w:tc>
          <w:tcPr>
            <w:tcW w:w="1983" w:type="dxa"/>
          </w:tcPr>
          <w:p w:rsidR="00B462C7" w:rsidP="00B462C7" w14:paraId="2B01F556" w14:textId="05052F02">
            <w:pPr>
              <w:widowControl/>
              <w:tabs>
                <w:tab w:val="left" w:pos="360"/>
              </w:tabs>
              <w:rPr>
                <w:b/>
                <w:bCs/>
              </w:rPr>
            </w:pPr>
            <w:r w:rsidRPr="00987C5D">
              <w:rPr>
                <w:b/>
                <w:bCs/>
                <w:i/>
              </w:rPr>
              <w:t>§1910.1096(e)(6)</w:t>
            </w:r>
          </w:p>
        </w:tc>
        <w:tc>
          <w:tcPr>
            <w:tcW w:w="7215" w:type="dxa"/>
          </w:tcPr>
          <w:p w:rsidR="00B462C7" w:rsidRPr="00987C5D" w:rsidP="00B462C7" w14:paraId="01D7275E" w14:textId="65ABCF0F">
            <w:pPr>
              <w:widowControl/>
              <w:autoSpaceDE/>
              <w:autoSpaceDN/>
              <w:adjustRightInd/>
              <w:rPr>
                <w:i/>
              </w:rPr>
            </w:pPr>
            <w:r w:rsidRPr="00987C5D">
              <w:rPr>
                <w:b/>
                <w:bCs/>
                <w:i/>
                <w:iCs/>
              </w:rPr>
              <w:t xml:space="preserve">Containers </w:t>
            </w:r>
            <w:r w:rsidRPr="00987C5D">
              <w:rPr>
                <w:i/>
              </w:rPr>
              <w:t xml:space="preserve"> </w:t>
            </w:r>
          </w:p>
          <w:p w:rsidR="00B462C7" w:rsidP="00B462C7" w14:paraId="360DED95" w14:textId="77777777">
            <w:pPr>
              <w:widowControl/>
              <w:autoSpaceDE/>
              <w:autoSpaceDN/>
              <w:adjustRightInd/>
              <w:rPr>
                <w:rFonts w:ascii="Verdana" w:hAnsi="Verdana"/>
                <w:b/>
                <w:bCs/>
                <w:color w:val="757575"/>
                <w:sz w:val="14"/>
              </w:rPr>
            </w:pPr>
          </w:p>
          <w:p w:rsidR="00B462C7" w:rsidRPr="00987C5D" w:rsidP="00B462C7" w14:paraId="4F603BF5" w14:textId="77777777">
            <w:pPr>
              <w:widowControl/>
              <w:autoSpaceDE/>
              <w:autoSpaceDN/>
              <w:adjustRightInd/>
            </w:pPr>
            <w:r w:rsidRPr="00987C5D">
              <w:rPr>
                <w:bCs/>
                <w:i/>
              </w:rPr>
              <w:t>§1910.1096(e)(6)(</w:t>
            </w:r>
            <w:r w:rsidRPr="00987C5D">
              <w:rPr>
                <w:bCs/>
                <w:i/>
              </w:rPr>
              <w:t>i</w:t>
            </w:r>
            <w:r w:rsidRPr="00987C5D">
              <w:rPr>
                <w:bCs/>
                <w:i/>
              </w:rPr>
              <w:t>)</w:t>
            </w:r>
            <w:r w:rsidRPr="00987C5D">
              <w:t xml:space="preserve"> - Each container in which is transported, stored, or used a quantity of any radioactive material (other than natural uranium </w:t>
            </w:r>
            <w:r w:rsidRPr="00987C5D">
              <w:t>or thorium) greater than the quantity of such material specified in appendix C to 10 CFR part 20 shall bear a durable, clearly visible label bearing the radiation caution symbol described in paragraph (e)(1) of this section and the words:</w:t>
            </w:r>
          </w:p>
          <w:p w:rsidR="00B462C7" w:rsidP="00B462C7" w14:paraId="39E8F3C8" w14:textId="77777777">
            <w:pPr>
              <w:widowControl/>
              <w:autoSpaceDE/>
              <w:autoSpaceDN/>
              <w:adjustRightInd/>
              <w:jc w:val="center"/>
              <w:rPr>
                <w:b/>
              </w:rPr>
            </w:pPr>
          </w:p>
          <w:p w:rsidR="00B462C7" w:rsidRPr="00987C5D" w:rsidP="00B462C7" w14:paraId="38DD07F6" w14:textId="77777777">
            <w:pPr>
              <w:widowControl/>
              <w:autoSpaceDE/>
              <w:autoSpaceDN/>
              <w:adjustRightInd/>
              <w:jc w:val="center"/>
              <w:rPr>
                <w:b/>
              </w:rPr>
            </w:pPr>
            <w:r w:rsidRPr="00987C5D">
              <w:rPr>
                <w:b/>
              </w:rPr>
              <w:t>CAUTION</w:t>
            </w:r>
            <w:r w:rsidRPr="00987C5D">
              <w:rPr>
                <w:b/>
              </w:rPr>
              <w:br/>
            </w:r>
            <w:r w:rsidRPr="00987C5D">
              <w:rPr>
                <w:b/>
              </w:rPr>
              <w:br/>
              <w:t>RADIOACTIVE MATERIALS</w:t>
            </w:r>
          </w:p>
          <w:p w:rsidR="00B462C7" w:rsidP="00B462C7" w14:paraId="052DAF66" w14:textId="77777777">
            <w:pPr>
              <w:widowControl/>
              <w:tabs>
                <w:tab w:val="left" w:pos="360"/>
              </w:tabs>
              <w:rPr>
                <w:b/>
                <w:bCs/>
              </w:rPr>
            </w:pPr>
          </w:p>
        </w:tc>
      </w:tr>
      <w:tr w14:paraId="594720C8" w14:textId="77777777" w:rsidTr="00C45A81">
        <w:tblPrEx>
          <w:tblW w:w="9805" w:type="dxa"/>
          <w:tblLook w:val="04A0"/>
        </w:tblPrEx>
        <w:tc>
          <w:tcPr>
            <w:tcW w:w="607" w:type="dxa"/>
          </w:tcPr>
          <w:p w:rsidR="00B462C7" w:rsidP="00B462C7" w14:paraId="78D639CA" w14:textId="68C5349D">
            <w:pPr>
              <w:widowControl/>
              <w:tabs>
                <w:tab w:val="left" w:pos="360"/>
              </w:tabs>
              <w:rPr>
                <w:b/>
                <w:bCs/>
              </w:rPr>
            </w:pPr>
            <w:r>
              <w:rPr>
                <w:b/>
                <w:bCs/>
              </w:rPr>
              <w:t>7</w:t>
            </w:r>
          </w:p>
        </w:tc>
        <w:tc>
          <w:tcPr>
            <w:tcW w:w="1983" w:type="dxa"/>
          </w:tcPr>
          <w:p w:rsidR="00B462C7" w:rsidP="00B462C7" w14:paraId="4D73F245" w14:textId="32E91022">
            <w:pPr>
              <w:widowControl/>
              <w:tabs>
                <w:tab w:val="left" w:pos="360"/>
              </w:tabs>
              <w:rPr>
                <w:b/>
                <w:bCs/>
              </w:rPr>
            </w:pPr>
            <w:r w:rsidRPr="00987C5D">
              <w:rPr>
                <w:b/>
                <w:bCs/>
                <w:i/>
              </w:rPr>
              <w:t>§1910.1096(e)(6)</w:t>
            </w:r>
          </w:p>
        </w:tc>
        <w:tc>
          <w:tcPr>
            <w:tcW w:w="7215" w:type="dxa"/>
          </w:tcPr>
          <w:p w:rsidR="00B462C7" w:rsidRPr="00987C5D" w:rsidP="00B462C7" w14:paraId="4D116091" w14:textId="77777777">
            <w:pPr>
              <w:widowControl/>
              <w:autoSpaceDE/>
              <w:autoSpaceDN/>
              <w:adjustRightInd/>
            </w:pPr>
            <w:r w:rsidRPr="00371BA5">
              <w:rPr>
                <w:bCs/>
                <w:i/>
              </w:rPr>
              <w:t>§1910.1096(e)(6)(ii)</w:t>
            </w:r>
            <w:r w:rsidRPr="00987C5D">
              <w:t xml:space="preserve"> - Each container in which natural uranium or thorium is transported, stored, or used in a quantity greater than 10 times the quantity specified in appendix C to 10 CFR part 20 shall bear a durable, clearly visible label bearing the radiation caution symbol described in paragraph (e)(1) of this section and the words:</w:t>
            </w:r>
          </w:p>
          <w:p w:rsidR="00B462C7" w:rsidP="00B462C7" w14:paraId="2EB270D8" w14:textId="77777777">
            <w:pPr>
              <w:widowControl/>
              <w:autoSpaceDE/>
              <w:autoSpaceDN/>
              <w:adjustRightInd/>
              <w:jc w:val="center"/>
              <w:rPr>
                <w:b/>
              </w:rPr>
            </w:pPr>
          </w:p>
          <w:p w:rsidR="00B462C7" w:rsidRPr="00987C5D" w:rsidP="00B462C7" w14:paraId="0E9FE3F7" w14:textId="77777777">
            <w:pPr>
              <w:widowControl/>
              <w:autoSpaceDE/>
              <w:autoSpaceDN/>
              <w:adjustRightInd/>
              <w:jc w:val="center"/>
              <w:rPr>
                <w:b/>
              </w:rPr>
            </w:pPr>
            <w:r w:rsidRPr="00987C5D">
              <w:rPr>
                <w:b/>
              </w:rPr>
              <w:t>CAUTION</w:t>
            </w:r>
            <w:r w:rsidRPr="00987C5D">
              <w:rPr>
                <w:b/>
              </w:rPr>
              <w:br/>
            </w:r>
            <w:r w:rsidRPr="00987C5D">
              <w:rPr>
                <w:b/>
              </w:rPr>
              <w:br/>
              <w:t>RADIOACTIVE MATERIALS</w:t>
            </w:r>
          </w:p>
          <w:p w:rsidR="00B462C7" w:rsidP="00B462C7" w14:paraId="74220C84" w14:textId="77777777">
            <w:pPr>
              <w:widowControl/>
              <w:tabs>
                <w:tab w:val="left" w:pos="360"/>
              </w:tabs>
              <w:rPr>
                <w:b/>
                <w:bCs/>
              </w:rPr>
            </w:pPr>
          </w:p>
        </w:tc>
      </w:tr>
      <w:tr w14:paraId="5847B027" w14:textId="77777777" w:rsidTr="00C45A81">
        <w:tblPrEx>
          <w:tblW w:w="9805" w:type="dxa"/>
          <w:tblLook w:val="04A0"/>
        </w:tblPrEx>
        <w:tc>
          <w:tcPr>
            <w:tcW w:w="607" w:type="dxa"/>
          </w:tcPr>
          <w:p w:rsidR="00B462C7" w:rsidP="00B462C7" w14:paraId="18C18A2D" w14:textId="72DF57CA">
            <w:pPr>
              <w:widowControl/>
              <w:tabs>
                <w:tab w:val="left" w:pos="360"/>
              </w:tabs>
              <w:rPr>
                <w:b/>
                <w:bCs/>
              </w:rPr>
            </w:pPr>
            <w:r>
              <w:rPr>
                <w:b/>
                <w:bCs/>
              </w:rPr>
              <w:t>8</w:t>
            </w:r>
          </w:p>
        </w:tc>
        <w:tc>
          <w:tcPr>
            <w:tcW w:w="1983" w:type="dxa"/>
          </w:tcPr>
          <w:p w:rsidR="00B462C7" w:rsidP="00B462C7" w14:paraId="53DE9AF1" w14:textId="57767251">
            <w:pPr>
              <w:widowControl/>
              <w:tabs>
                <w:tab w:val="left" w:pos="360"/>
              </w:tabs>
              <w:rPr>
                <w:b/>
                <w:bCs/>
              </w:rPr>
            </w:pPr>
            <w:r w:rsidRPr="00987C5D">
              <w:rPr>
                <w:b/>
                <w:bCs/>
                <w:i/>
              </w:rPr>
              <w:t>§1910.1096(e)(6)</w:t>
            </w:r>
          </w:p>
        </w:tc>
        <w:tc>
          <w:tcPr>
            <w:tcW w:w="7215" w:type="dxa"/>
          </w:tcPr>
          <w:p w:rsidR="00B462C7" w:rsidP="00B462C7" w14:paraId="41CF05C1" w14:textId="77777777">
            <w:pPr>
              <w:widowControl/>
              <w:autoSpaceDE/>
              <w:autoSpaceDN/>
              <w:adjustRightInd/>
            </w:pPr>
            <w:r w:rsidRPr="00371BA5">
              <w:rPr>
                <w:bCs/>
                <w:i/>
              </w:rPr>
              <w:t>§1910.1096(e)(6)(iii)</w:t>
            </w:r>
            <w:r w:rsidRPr="00371BA5">
              <w:t xml:space="preserve"> </w:t>
            </w:r>
            <w:r>
              <w:t xml:space="preserve">- </w:t>
            </w:r>
            <w:r w:rsidRPr="00371BA5">
              <w:t>Notwithstanding the provisions of paragraphs (e)(6)(</w:t>
            </w:r>
            <w:r w:rsidRPr="00371BA5">
              <w:t>i</w:t>
            </w:r>
            <w:r w:rsidRPr="00371BA5">
              <w:t>) and (ii) of this section a label shall not be required:</w:t>
            </w:r>
          </w:p>
          <w:p w:rsidR="00B462C7" w:rsidP="00B462C7" w14:paraId="3E1C8A24" w14:textId="77777777">
            <w:pPr>
              <w:widowControl/>
              <w:autoSpaceDE/>
              <w:autoSpaceDN/>
              <w:adjustRightInd/>
              <w:rPr>
                <w:rFonts w:ascii="Verdana" w:hAnsi="Verdana"/>
                <w:b/>
                <w:bCs/>
                <w:color w:val="757575"/>
                <w:sz w:val="14"/>
              </w:rPr>
            </w:pPr>
          </w:p>
          <w:p w:rsidR="00B462C7" w:rsidRPr="00371BA5" w:rsidP="00B462C7" w14:paraId="67EC566D" w14:textId="77777777">
            <w:pPr>
              <w:widowControl/>
              <w:autoSpaceDE/>
              <w:autoSpaceDN/>
              <w:adjustRightInd/>
            </w:pPr>
            <w:r>
              <w:rPr>
                <w:bCs/>
                <w:i/>
              </w:rPr>
              <w:tab/>
            </w:r>
            <w:r w:rsidRPr="00371BA5">
              <w:rPr>
                <w:bCs/>
              </w:rPr>
              <w:t>§1910.1096(e)(6)(iii)(a)</w:t>
            </w:r>
            <w:r w:rsidRPr="00371BA5">
              <w:t xml:space="preserve"> - If the concentration of the material in the container does </w:t>
            </w:r>
            <w:r w:rsidRPr="00371BA5">
              <w:tab/>
            </w:r>
            <w:r w:rsidRPr="00371BA5">
              <w:tab/>
              <w:t xml:space="preserve">not exceed that specified in column 2 of Table 1 of appendix B to 10 CFR part 20, </w:t>
            </w:r>
            <w:r w:rsidRPr="00371BA5">
              <w:tab/>
            </w:r>
            <w:r w:rsidRPr="00371BA5">
              <w:tab/>
            </w:r>
            <w:r w:rsidRPr="00371BA5">
              <w:t>or;</w:t>
            </w:r>
          </w:p>
          <w:p w:rsidR="00B462C7" w:rsidP="00B462C7" w14:paraId="70BC7B25" w14:textId="77777777">
            <w:pPr>
              <w:widowControl/>
              <w:autoSpaceDE/>
              <w:autoSpaceDN/>
              <w:adjustRightInd/>
              <w:rPr>
                <w:bCs/>
                <w:i/>
              </w:rPr>
            </w:pPr>
          </w:p>
          <w:p w:rsidR="00B462C7" w:rsidRPr="00371BA5" w:rsidP="00B462C7" w14:paraId="09CD3BB2" w14:textId="77777777">
            <w:pPr>
              <w:widowControl/>
              <w:autoSpaceDE/>
              <w:autoSpaceDN/>
              <w:adjustRightInd/>
              <w:ind w:left="720" w:hanging="720"/>
            </w:pPr>
            <w:r>
              <w:rPr>
                <w:bCs/>
                <w:i/>
              </w:rPr>
              <w:tab/>
            </w:r>
            <w:r w:rsidRPr="00371BA5">
              <w:rPr>
                <w:bCs/>
              </w:rPr>
              <w:t>§1910.1096(e)(6)(iii)(b)</w:t>
            </w:r>
            <w:r w:rsidRPr="00371BA5">
              <w:t xml:space="preserve"> - For laboratory containers, such as beakers, flasks, and test</w:t>
            </w:r>
            <w:r>
              <w:t xml:space="preserve"> </w:t>
            </w:r>
            <w:r w:rsidRPr="00371BA5">
              <w:t>tubes, used transiently in laboratory procedures, when the user is present.</w:t>
            </w:r>
          </w:p>
          <w:p w:rsidR="00B462C7" w:rsidP="00B462C7" w14:paraId="1DEAEB0A" w14:textId="77777777">
            <w:pPr>
              <w:widowControl/>
              <w:tabs>
                <w:tab w:val="left" w:pos="360"/>
              </w:tabs>
              <w:rPr>
                <w:b/>
                <w:bCs/>
              </w:rPr>
            </w:pPr>
          </w:p>
        </w:tc>
      </w:tr>
      <w:tr w14:paraId="51FD3686" w14:textId="77777777" w:rsidTr="00C45A81">
        <w:tblPrEx>
          <w:tblW w:w="9805" w:type="dxa"/>
          <w:tblLook w:val="04A0"/>
        </w:tblPrEx>
        <w:tc>
          <w:tcPr>
            <w:tcW w:w="607" w:type="dxa"/>
          </w:tcPr>
          <w:p w:rsidR="00B462C7" w:rsidP="00B462C7" w14:paraId="513DB9FC" w14:textId="2451418B">
            <w:pPr>
              <w:widowControl/>
              <w:tabs>
                <w:tab w:val="left" w:pos="360"/>
              </w:tabs>
              <w:rPr>
                <w:b/>
                <w:bCs/>
              </w:rPr>
            </w:pPr>
            <w:r>
              <w:rPr>
                <w:b/>
                <w:bCs/>
              </w:rPr>
              <w:t>9</w:t>
            </w:r>
          </w:p>
        </w:tc>
        <w:tc>
          <w:tcPr>
            <w:tcW w:w="1983" w:type="dxa"/>
          </w:tcPr>
          <w:p w:rsidR="00B462C7" w:rsidP="00B462C7" w14:paraId="4814CF04" w14:textId="3AD6766A">
            <w:pPr>
              <w:widowControl/>
              <w:tabs>
                <w:tab w:val="left" w:pos="360"/>
              </w:tabs>
              <w:rPr>
                <w:b/>
                <w:bCs/>
              </w:rPr>
            </w:pPr>
            <w:r w:rsidRPr="00987C5D">
              <w:rPr>
                <w:b/>
                <w:bCs/>
                <w:i/>
              </w:rPr>
              <w:t>§1910.1096(e)(6)</w:t>
            </w:r>
          </w:p>
        </w:tc>
        <w:tc>
          <w:tcPr>
            <w:tcW w:w="7215" w:type="dxa"/>
          </w:tcPr>
          <w:p w:rsidR="00B462C7" w:rsidRPr="00371BA5" w:rsidP="00B462C7" w14:paraId="7718ADBD" w14:textId="77777777">
            <w:pPr>
              <w:widowControl/>
              <w:tabs>
                <w:tab w:val="left" w:pos="540"/>
              </w:tabs>
              <w:autoSpaceDE/>
              <w:autoSpaceDN/>
              <w:adjustRightInd/>
            </w:pPr>
            <w:r w:rsidRPr="00371BA5">
              <w:rPr>
                <w:bCs/>
                <w:i/>
              </w:rPr>
              <w:t>§1910.1096(e)(6)(iv)</w:t>
            </w:r>
            <w:r w:rsidRPr="00371BA5">
              <w:t xml:space="preserve"> </w:t>
            </w:r>
            <w:r>
              <w:t xml:space="preserve">- </w:t>
            </w:r>
            <w:r w:rsidRPr="00371BA5">
              <w:t xml:space="preserve">Where containers are used for storage, the labels required in this subparagraph shall </w:t>
            </w:r>
            <w:r w:rsidRPr="00371BA5">
              <w:t>state also</w:t>
            </w:r>
            <w:r w:rsidRPr="00371BA5">
              <w:t xml:space="preserve"> the quantities and kinds of radioactive materials in the containers and the date of measurement of the quantities.</w:t>
            </w:r>
          </w:p>
          <w:p w:rsidR="00B462C7" w:rsidP="00B462C7" w14:paraId="08CE1816" w14:textId="77777777">
            <w:pPr>
              <w:widowControl/>
              <w:autoSpaceDE/>
              <w:autoSpaceDN/>
              <w:adjustRightInd/>
            </w:pPr>
          </w:p>
          <w:p w:rsidR="00B462C7" w:rsidP="00B462C7" w14:paraId="657EB12C" w14:textId="77777777">
            <w:pPr>
              <w:widowControl/>
              <w:autoSpaceDE/>
              <w:autoSpaceDN/>
              <w:adjustRightInd/>
            </w:pPr>
            <w:r w:rsidRPr="00386BC5">
              <w:t xml:space="preserve">These provisions specify the locations at which employers must post caution signs, and the requirements for labeling containers in which employers transport, store, or use radioactive materials.  The Standard provides </w:t>
            </w:r>
            <w:r>
              <w:t xml:space="preserve">the </w:t>
            </w:r>
            <w:r w:rsidRPr="00386BC5">
              <w:t>specific language for t</w:t>
            </w:r>
            <w:r>
              <w:t xml:space="preserve">he required signs and labels.  Employers are not required to collect information to put on caution signs </w:t>
            </w:r>
            <w:r>
              <w:t>and labels, t</w:t>
            </w:r>
            <w:r w:rsidRPr="00386BC5">
              <w:t xml:space="preserve">herefore, OSHA took no burden hours or costs for these provisions.  (See </w:t>
            </w:r>
            <w:r>
              <w:t>5 CFR 1320.3(c)(2)</w:t>
            </w:r>
            <w:r w:rsidRPr="00386BC5">
              <w:t>)</w:t>
            </w:r>
            <w:r>
              <w:t>.</w:t>
            </w:r>
            <w:r w:rsidRPr="00386BC5">
              <w:t xml:space="preserve"> </w:t>
            </w:r>
          </w:p>
          <w:p w:rsidR="00B462C7" w:rsidP="00B462C7" w14:paraId="61569774" w14:textId="77777777">
            <w:pPr>
              <w:widowControl/>
              <w:tabs>
                <w:tab w:val="left" w:pos="360"/>
              </w:tabs>
              <w:rPr>
                <w:b/>
                <w:bCs/>
              </w:rPr>
            </w:pPr>
          </w:p>
        </w:tc>
      </w:tr>
      <w:tr w14:paraId="3F48B3A2" w14:textId="77777777" w:rsidTr="001060EE">
        <w:tblPrEx>
          <w:tblW w:w="9805" w:type="dxa"/>
          <w:tblLook w:val="04A0"/>
        </w:tblPrEx>
        <w:tc>
          <w:tcPr>
            <w:tcW w:w="607" w:type="dxa"/>
          </w:tcPr>
          <w:p w:rsidR="00B462C7" w:rsidP="00B462C7" w14:paraId="46099F8C" w14:textId="7C422626">
            <w:pPr>
              <w:widowControl/>
              <w:tabs>
                <w:tab w:val="left" w:pos="360"/>
              </w:tabs>
              <w:rPr>
                <w:b/>
                <w:bCs/>
              </w:rPr>
            </w:pPr>
            <w:r>
              <w:rPr>
                <w:b/>
                <w:bCs/>
              </w:rPr>
              <w:t>10</w:t>
            </w:r>
          </w:p>
        </w:tc>
        <w:tc>
          <w:tcPr>
            <w:tcW w:w="1983" w:type="dxa"/>
          </w:tcPr>
          <w:p w:rsidR="00B462C7" w:rsidP="00B462C7" w14:paraId="7A3A9A65" w14:textId="7A6F9C06">
            <w:pPr>
              <w:widowControl/>
              <w:tabs>
                <w:tab w:val="left" w:pos="360"/>
              </w:tabs>
              <w:rPr>
                <w:b/>
                <w:bCs/>
              </w:rPr>
            </w:pPr>
            <w:r w:rsidRPr="00EA2F05">
              <w:rPr>
                <w:b/>
                <w:bCs/>
              </w:rPr>
              <w:t>§1910.1096(g)</w:t>
            </w:r>
          </w:p>
        </w:tc>
        <w:tc>
          <w:tcPr>
            <w:tcW w:w="7215" w:type="dxa"/>
          </w:tcPr>
          <w:p w:rsidR="00B462C7" w:rsidP="00B462C7" w14:paraId="1789B2B9" w14:textId="715C4B71">
            <w:pPr>
              <w:widowControl/>
              <w:tabs>
                <w:tab w:val="left" w:pos="540"/>
              </w:tabs>
              <w:autoSpaceDE/>
              <w:autoSpaceDN/>
              <w:adjustRightInd/>
              <w:rPr>
                <w:b/>
                <w:bCs/>
              </w:rPr>
            </w:pPr>
            <w:r w:rsidRPr="00EA2F05">
              <w:rPr>
                <w:b/>
                <w:bCs/>
                <w:iCs/>
              </w:rPr>
              <w:t xml:space="preserve">Exceptions from posting </w:t>
            </w:r>
            <w:r w:rsidRPr="00EA2F05">
              <w:rPr>
                <w:b/>
                <w:bCs/>
                <w:iCs/>
              </w:rPr>
              <w:t>requirements</w:t>
            </w:r>
          </w:p>
          <w:p w:rsidR="00B462C7" w:rsidRPr="00EA2F05" w:rsidP="00B462C7" w14:paraId="698D3D20" w14:textId="77777777">
            <w:pPr>
              <w:widowControl/>
              <w:autoSpaceDE/>
              <w:autoSpaceDN/>
              <w:adjustRightInd/>
              <w:rPr>
                <w:b/>
                <w:bCs/>
              </w:rPr>
            </w:pPr>
            <w:r w:rsidRPr="00371BA5">
              <w:t>Notwithstanding the provisions of paragraph (e) of this section:</w:t>
            </w:r>
          </w:p>
          <w:p w:rsidR="00B462C7" w:rsidP="00B462C7" w14:paraId="6A6EF221" w14:textId="77777777">
            <w:pPr>
              <w:widowControl/>
              <w:autoSpaceDE/>
              <w:autoSpaceDN/>
              <w:adjustRightInd/>
            </w:pPr>
          </w:p>
          <w:p w:rsidR="00B462C7" w:rsidRPr="00AD4991" w:rsidP="00B462C7" w14:paraId="3D4BBF58" w14:textId="77777777">
            <w:pPr>
              <w:widowControl/>
              <w:autoSpaceDE/>
              <w:autoSpaceDN/>
              <w:adjustRightInd/>
            </w:pPr>
            <w:r w:rsidRPr="00AD4991">
              <w:rPr>
                <w:bCs/>
                <w:i/>
              </w:rPr>
              <w:t>§1910.1096(g)(1)</w:t>
            </w:r>
            <w:r w:rsidRPr="00AD4991">
              <w:t xml:space="preserve"> - A room or area is not required to be posted with a caution sign because of the presence of a sealed source, provided the radiation level 12 inches from the surface of the source container or housing does not exceed 5 millirem per hour.</w:t>
            </w:r>
          </w:p>
          <w:p w:rsidR="00B462C7" w:rsidP="00B462C7" w14:paraId="1DF86744" w14:textId="77777777">
            <w:pPr>
              <w:widowControl/>
              <w:autoSpaceDE/>
              <w:autoSpaceDN/>
              <w:adjustRightInd/>
              <w:ind w:left="720" w:hanging="720"/>
            </w:pPr>
          </w:p>
          <w:p w:rsidR="00B462C7" w:rsidRPr="00AD4991" w:rsidP="00B462C7" w14:paraId="5D9E5C71" w14:textId="77777777">
            <w:pPr>
              <w:widowControl/>
              <w:autoSpaceDE/>
              <w:autoSpaceDN/>
              <w:adjustRightInd/>
            </w:pPr>
            <w:r w:rsidRPr="00AD4991">
              <w:rPr>
                <w:bCs/>
                <w:i/>
              </w:rPr>
              <w:t>§1910.1096(g)(2)</w:t>
            </w:r>
            <w:r w:rsidRPr="00AD4991">
              <w:t xml:space="preserve"> </w:t>
            </w:r>
            <w:r>
              <w:t xml:space="preserve">- </w:t>
            </w:r>
            <w:r w:rsidRPr="00AD4991">
              <w:t xml:space="preserve">Rooms or other areas in onsite medical facilities are not required to be posted </w:t>
            </w:r>
            <w:r>
              <w:t>w</w:t>
            </w:r>
            <w:r w:rsidRPr="00AD4991">
              <w:t xml:space="preserve">ith caution signs because of the presence of patients containing radioactive material, </w:t>
            </w:r>
            <w:r w:rsidRPr="00AD4991">
              <w:t>provided that</w:t>
            </w:r>
            <w:r w:rsidRPr="00AD4991">
              <w:t xml:space="preserve"> there are personnel in attendance who shall take the precautions necessary to prevent the exposure of any individual to radiation or radioactive material in excess of the limits established in the provisions of this section.</w:t>
            </w:r>
          </w:p>
          <w:p w:rsidR="00B462C7" w:rsidRPr="00AD4991" w:rsidP="00B462C7" w14:paraId="1F4D327F" w14:textId="77777777">
            <w:pPr>
              <w:widowControl/>
              <w:autoSpaceDE/>
              <w:autoSpaceDN/>
              <w:adjustRightInd/>
              <w:rPr>
                <w:b/>
                <w:bCs/>
              </w:rPr>
            </w:pPr>
          </w:p>
          <w:p w:rsidR="00B462C7" w:rsidRPr="00371BA5" w:rsidP="00C45A81" w14:paraId="3541FB0B" w14:textId="27849CC3">
            <w:pPr>
              <w:widowControl/>
              <w:autoSpaceDE/>
              <w:autoSpaceDN/>
              <w:adjustRightInd/>
              <w:rPr>
                <w:bCs/>
                <w:i/>
              </w:rPr>
            </w:pPr>
          </w:p>
        </w:tc>
      </w:tr>
      <w:tr w14:paraId="664AC574" w14:textId="77777777" w:rsidTr="001060EE">
        <w:tblPrEx>
          <w:tblW w:w="9805" w:type="dxa"/>
          <w:tblLook w:val="04A0"/>
        </w:tblPrEx>
        <w:tc>
          <w:tcPr>
            <w:tcW w:w="607" w:type="dxa"/>
          </w:tcPr>
          <w:p w:rsidR="00B462C7" w:rsidP="00B462C7" w14:paraId="3FCE834E" w14:textId="2A65A995">
            <w:pPr>
              <w:widowControl/>
              <w:tabs>
                <w:tab w:val="left" w:pos="360"/>
              </w:tabs>
              <w:rPr>
                <w:b/>
                <w:bCs/>
              </w:rPr>
            </w:pPr>
            <w:r>
              <w:rPr>
                <w:b/>
                <w:bCs/>
              </w:rPr>
              <w:t>11</w:t>
            </w:r>
          </w:p>
        </w:tc>
        <w:tc>
          <w:tcPr>
            <w:tcW w:w="1983" w:type="dxa"/>
          </w:tcPr>
          <w:p w:rsidR="00B462C7" w:rsidP="00B462C7" w14:paraId="70902897" w14:textId="33559ECB">
            <w:pPr>
              <w:widowControl/>
              <w:tabs>
                <w:tab w:val="left" w:pos="360"/>
              </w:tabs>
              <w:rPr>
                <w:b/>
                <w:bCs/>
              </w:rPr>
            </w:pPr>
            <w:r w:rsidRPr="00EA2F05">
              <w:rPr>
                <w:b/>
                <w:bCs/>
              </w:rPr>
              <w:t>§1910.1096(g)</w:t>
            </w:r>
          </w:p>
        </w:tc>
        <w:tc>
          <w:tcPr>
            <w:tcW w:w="7215" w:type="dxa"/>
          </w:tcPr>
          <w:p w:rsidR="00B462C7" w:rsidRPr="0039183D" w:rsidP="00B462C7" w14:paraId="64C4A78B" w14:textId="77777777">
            <w:pPr>
              <w:widowControl/>
              <w:autoSpaceDE/>
              <w:autoSpaceDN/>
              <w:adjustRightInd/>
            </w:pPr>
            <w:r w:rsidRPr="00AD4991">
              <w:rPr>
                <w:bCs/>
                <w:i/>
              </w:rPr>
              <w:t>§1910.1096(g)(3)</w:t>
            </w:r>
            <w:r w:rsidRPr="00AD4991">
              <w:t xml:space="preserve"> </w:t>
            </w:r>
            <w:r>
              <w:t xml:space="preserve">- </w:t>
            </w:r>
            <w:r w:rsidRPr="00AD4991">
              <w:t>Caution signs are not required to be posted at areas or rooms containing radioactive materials for periods of less than 8 hour</w:t>
            </w:r>
            <w:r>
              <w:t xml:space="preserve">s: </w:t>
            </w:r>
            <w:r>
              <w:rPr>
                <w:i/>
              </w:rPr>
              <w:t>Provided</w:t>
            </w:r>
            <w:r>
              <w:t>, That</w:t>
            </w:r>
          </w:p>
          <w:p w:rsidR="00B462C7" w:rsidRPr="00AD4991" w:rsidP="00B462C7" w14:paraId="675C7C8D" w14:textId="77777777">
            <w:pPr>
              <w:widowControl/>
              <w:autoSpaceDE/>
              <w:autoSpaceDN/>
              <w:adjustRightInd/>
              <w:rPr>
                <w:b/>
                <w:bCs/>
              </w:rPr>
            </w:pPr>
          </w:p>
          <w:p w:rsidR="00B462C7" w:rsidRPr="00AD4991" w:rsidP="00B462C7" w14:paraId="62230D21" w14:textId="77777777">
            <w:pPr>
              <w:widowControl/>
              <w:autoSpaceDE/>
              <w:autoSpaceDN/>
              <w:adjustRightInd/>
              <w:ind w:left="720" w:hanging="720"/>
            </w:pPr>
            <w:r>
              <w:rPr>
                <w:b/>
                <w:bCs/>
                <w:i/>
              </w:rPr>
              <w:tab/>
            </w:r>
            <w:r w:rsidRPr="00AD4991">
              <w:rPr>
                <w:bCs/>
                <w:i/>
              </w:rPr>
              <w:t>§1910.1096(g)(3)(</w:t>
            </w:r>
            <w:r w:rsidRPr="00AD4991">
              <w:rPr>
                <w:bCs/>
                <w:i/>
              </w:rPr>
              <w:t>i</w:t>
            </w:r>
            <w:r w:rsidRPr="00AD4991">
              <w:rPr>
                <w:bCs/>
                <w:i/>
              </w:rPr>
              <w:t>)</w:t>
            </w:r>
            <w:r w:rsidRPr="00AD4991">
              <w:t xml:space="preserve"> </w:t>
            </w:r>
            <w:r>
              <w:t xml:space="preserve">- </w:t>
            </w:r>
            <w:r w:rsidRPr="00AD4991">
              <w:t xml:space="preserve">The materials are constantly attended during such periods by an individual who shall take the precautions necessary to prevent the exposure of any individual to radiation or radioactive materials </w:t>
            </w:r>
            <w:r w:rsidRPr="00AD4991">
              <w:t>in excess of</w:t>
            </w:r>
            <w:r w:rsidRPr="00AD4991">
              <w:t xml:space="preserve"> the limits established in the provisions of this section; and</w:t>
            </w:r>
          </w:p>
          <w:p w:rsidR="00B462C7" w:rsidRPr="00AD4991" w:rsidP="00B462C7" w14:paraId="75BB9802" w14:textId="77777777">
            <w:pPr>
              <w:widowControl/>
              <w:autoSpaceDE/>
              <w:autoSpaceDN/>
              <w:adjustRightInd/>
              <w:rPr>
                <w:b/>
                <w:bCs/>
                <w:i/>
              </w:rPr>
            </w:pPr>
          </w:p>
          <w:p w:rsidR="00B462C7" w:rsidRPr="00AD4991" w:rsidP="00B462C7" w14:paraId="38C36995" w14:textId="77777777">
            <w:pPr>
              <w:widowControl/>
              <w:autoSpaceDE/>
              <w:autoSpaceDN/>
              <w:adjustRightInd/>
            </w:pPr>
            <w:r>
              <w:rPr>
                <w:b/>
                <w:bCs/>
                <w:i/>
              </w:rPr>
              <w:tab/>
            </w:r>
            <w:r w:rsidRPr="00AD4991">
              <w:rPr>
                <w:bCs/>
                <w:i/>
              </w:rPr>
              <w:t>§1910.1096(g)(3)(ii)</w:t>
            </w:r>
            <w:r w:rsidRPr="00AD4991">
              <w:t xml:space="preserve"> </w:t>
            </w:r>
            <w:r>
              <w:t xml:space="preserve">- </w:t>
            </w:r>
            <w:r w:rsidRPr="00AD4991">
              <w:t>Such area or room is subject to the employer's control.</w:t>
            </w:r>
          </w:p>
          <w:p w:rsidR="00B462C7" w:rsidRPr="00371BA5" w:rsidP="00B462C7" w14:paraId="65722037" w14:textId="77777777">
            <w:pPr>
              <w:widowControl/>
              <w:tabs>
                <w:tab w:val="left" w:pos="540"/>
              </w:tabs>
              <w:autoSpaceDE/>
              <w:autoSpaceDN/>
              <w:adjustRightInd/>
              <w:rPr>
                <w:bCs/>
                <w:i/>
              </w:rPr>
            </w:pPr>
          </w:p>
        </w:tc>
      </w:tr>
      <w:tr w14:paraId="5AF8BEA3" w14:textId="77777777" w:rsidTr="001060EE">
        <w:tblPrEx>
          <w:tblW w:w="9805" w:type="dxa"/>
          <w:tblLook w:val="04A0"/>
        </w:tblPrEx>
        <w:tc>
          <w:tcPr>
            <w:tcW w:w="607" w:type="dxa"/>
          </w:tcPr>
          <w:p w:rsidR="00B462C7" w:rsidP="00B462C7" w14:paraId="2065FDDA" w14:textId="57729328">
            <w:pPr>
              <w:widowControl/>
              <w:tabs>
                <w:tab w:val="left" w:pos="360"/>
              </w:tabs>
              <w:rPr>
                <w:b/>
                <w:bCs/>
              </w:rPr>
            </w:pPr>
            <w:r>
              <w:rPr>
                <w:b/>
                <w:bCs/>
              </w:rPr>
              <w:t>12</w:t>
            </w:r>
          </w:p>
        </w:tc>
        <w:tc>
          <w:tcPr>
            <w:tcW w:w="1983" w:type="dxa"/>
          </w:tcPr>
          <w:p w:rsidR="00B462C7" w:rsidP="00B462C7" w14:paraId="03C84521" w14:textId="2C19D3DA">
            <w:pPr>
              <w:widowControl/>
              <w:tabs>
                <w:tab w:val="left" w:pos="360"/>
              </w:tabs>
              <w:rPr>
                <w:b/>
                <w:bCs/>
              </w:rPr>
            </w:pPr>
            <w:r w:rsidRPr="00EA2F05">
              <w:rPr>
                <w:b/>
                <w:bCs/>
              </w:rPr>
              <w:t>§1910.1096(h)</w:t>
            </w:r>
          </w:p>
        </w:tc>
        <w:tc>
          <w:tcPr>
            <w:tcW w:w="7215" w:type="dxa"/>
          </w:tcPr>
          <w:p w:rsidR="00B462C7" w:rsidRPr="001B45B7" w:rsidP="00B462C7" w14:paraId="75E120CB" w14:textId="77777777">
            <w:pPr>
              <w:widowControl/>
              <w:autoSpaceDE/>
              <w:autoSpaceDN/>
              <w:adjustRightInd/>
            </w:pPr>
            <w:r w:rsidRPr="00EA2F05">
              <w:rPr>
                <w:b/>
                <w:bCs/>
                <w:iCs/>
              </w:rPr>
              <w:t xml:space="preserve">Exemptions for radioactive materials packaged for </w:t>
            </w:r>
            <w:r w:rsidRPr="00EA2F05">
              <w:rPr>
                <w:b/>
                <w:bCs/>
                <w:iCs/>
              </w:rPr>
              <w:t>shipment</w:t>
            </w:r>
            <w:r w:rsidRPr="00EA2F05">
              <w:rPr>
                <w:b/>
                <w:bCs/>
              </w:rPr>
              <w:t xml:space="preserve"> </w:t>
            </w:r>
          </w:p>
          <w:p w:rsidR="00B462C7" w:rsidP="00B462C7" w14:paraId="58B3FA57" w14:textId="77777777">
            <w:pPr>
              <w:widowControl/>
              <w:autoSpaceDE/>
              <w:autoSpaceDN/>
              <w:adjustRightInd/>
            </w:pPr>
            <w:r w:rsidRPr="00FA1D4F">
              <w:t>Radioactive materials packaged and labeled in accordance with regulations of the Department of Transportation published in 49 CFR Chapter I, are exempt from the labeling and posting requirements of this subpart during shipment, provided that the inside containers are labeled in accordance with the provisions of paragraph (e) of this section</w:t>
            </w:r>
            <w:r>
              <w:t>.</w:t>
            </w:r>
          </w:p>
          <w:p w:rsidR="00B462C7" w:rsidP="00B462C7" w14:paraId="0B97B958" w14:textId="77777777"/>
          <w:p w:rsidR="00B462C7" w:rsidRPr="00371BA5" w:rsidP="00B462C7" w14:paraId="3510A78E" w14:textId="77777777">
            <w:pPr>
              <w:widowControl/>
              <w:tabs>
                <w:tab w:val="left" w:pos="540"/>
              </w:tabs>
              <w:autoSpaceDE/>
              <w:autoSpaceDN/>
              <w:adjustRightInd/>
              <w:rPr>
                <w:bCs/>
                <w:i/>
              </w:rPr>
            </w:pPr>
          </w:p>
        </w:tc>
      </w:tr>
      <w:tr w14:paraId="1F1A990F" w14:textId="77777777" w:rsidTr="00B62231">
        <w:tblPrEx>
          <w:tblW w:w="9805" w:type="dxa"/>
          <w:tblLook w:val="04A0"/>
        </w:tblPrEx>
        <w:tc>
          <w:tcPr>
            <w:tcW w:w="9805" w:type="dxa"/>
            <w:gridSpan w:val="3"/>
          </w:tcPr>
          <w:p w:rsidR="00B462C7" w:rsidRPr="00386BC5" w:rsidP="00B462C7" w14:paraId="4BE2844F" w14:textId="77777777">
            <w:pPr>
              <w:widowControl/>
            </w:pPr>
            <w:r w:rsidRPr="00371BA5">
              <w:rPr>
                <w:b/>
                <w:u w:val="single"/>
              </w:rPr>
              <w:t>Purpose</w:t>
            </w:r>
            <w:r>
              <w:t xml:space="preserve">:  </w:t>
            </w:r>
            <w:r w:rsidRPr="00386BC5">
              <w:t>Both cauti</w:t>
            </w:r>
            <w:r>
              <w:t>on signs and labels provide w</w:t>
            </w:r>
            <w:r w:rsidRPr="00386BC5">
              <w:t>o</w:t>
            </w:r>
            <w:r>
              <w:t>rk</w:t>
            </w:r>
            <w:r w:rsidRPr="00386BC5">
              <w:t>e</w:t>
            </w:r>
            <w:r>
              <w:t>r</w:t>
            </w:r>
            <w:r w:rsidRPr="00386BC5">
              <w:t>s with information that is usable, readily accessible, and in a concise form.  Cau</w:t>
            </w:r>
            <w:r>
              <w:t>tion signs serve to warn work</w:t>
            </w:r>
            <w:r w:rsidRPr="00386BC5">
              <w:t>e</w:t>
            </w:r>
            <w:r>
              <w:t>r</w:t>
            </w:r>
            <w:r w:rsidRPr="00386BC5">
              <w:t xml:space="preserve">s that they are in or near a radiation or </w:t>
            </w:r>
            <w:r w:rsidRPr="00386BC5">
              <w:t>high-radiation</w:t>
            </w:r>
            <w:r w:rsidRPr="00386BC5">
              <w:t xml:space="preserve"> area, and supp</w:t>
            </w:r>
            <w:r>
              <w:t>lements the hazard training w</w:t>
            </w:r>
            <w:r w:rsidRPr="00386BC5">
              <w:t>o</w:t>
            </w:r>
            <w:r>
              <w:t>rker</w:t>
            </w:r>
            <w:r w:rsidRPr="00386BC5">
              <w:t xml:space="preserve">s receive under the Standard.  Caution labels also inform </w:t>
            </w:r>
            <w:r>
              <w:t>w</w:t>
            </w:r>
            <w:r w:rsidRPr="00386BC5">
              <w:t>o</w:t>
            </w:r>
            <w:r>
              <w:t>rker</w:t>
            </w:r>
            <w:r w:rsidRPr="00386BC5">
              <w:t xml:space="preserve">s of the </w:t>
            </w:r>
            <w:r>
              <w:t xml:space="preserve">locations </w:t>
            </w:r>
            <w:r w:rsidRPr="00386BC5">
              <w:t>of ionizing radiation, and that they may need to implement special precautions to prevent exposure to ionizing radiation.</w:t>
            </w:r>
          </w:p>
          <w:p w:rsidR="00B462C7" w:rsidRPr="00371BA5" w:rsidP="00B462C7" w14:paraId="3DC73A76" w14:textId="77777777">
            <w:pPr>
              <w:widowControl/>
              <w:tabs>
                <w:tab w:val="left" w:pos="540"/>
              </w:tabs>
              <w:autoSpaceDE/>
              <w:autoSpaceDN/>
              <w:adjustRightInd/>
              <w:rPr>
                <w:bCs/>
                <w:i/>
              </w:rPr>
            </w:pPr>
          </w:p>
        </w:tc>
      </w:tr>
    </w:tbl>
    <w:p w:rsidR="0063703D" w:rsidRPr="00C45A81" w:rsidP="00E25174" w14:paraId="05D3ED96" w14:textId="77777777">
      <w:pPr>
        <w:widowControl/>
        <w:tabs>
          <w:tab w:val="left" w:pos="360"/>
        </w:tabs>
        <w:rPr>
          <w:b/>
          <w:bCs/>
        </w:rPr>
      </w:pPr>
    </w:p>
    <w:p w:rsidR="007F45C0" w:rsidRPr="00C45A81" w:rsidP="00DF66D7" w14:paraId="56E48D4D" w14:textId="77777777">
      <w:pPr>
        <w:widowControl/>
        <w:tabs>
          <w:tab w:val="left" w:pos="360"/>
        </w:tabs>
        <w:rPr>
          <w:i/>
          <w:iCs/>
        </w:rPr>
      </w:pPr>
    </w:p>
    <w:p w:rsidR="00BE31B6" w:rsidRPr="00674A15" w:rsidP="00DF66D7" w14:paraId="63180F02" w14:textId="2A9752A0">
      <w:pPr>
        <w:widowControl/>
      </w:pPr>
      <w:r w:rsidRPr="00674A15">
        <w:rPr>
          <w:b/>
          <w:bCs/>
        </w:rPr>
        <w:t xml:space="preserve">3.  </w:t>
      </w:r>
      <w:r w:rsidRPr="00674A15">
        <w:rPr>
          <w:b/>
          <w:bCs/>
        </w:rPr>
        <w:t>Describe whether, and to what extent, the collection of information involves the use of automated,</w:t>
      </w:r>
      <w:r w:rsidRPr="00674A15" w:rsidR="00FF217E">
        <w:rPr>
          <w:b/>
          <w:bCs/>
        </w:rPr>
        <w:t xml:space="preserve"> </w:t>
      </w:r>
      <w:r w:rsidRPr="00674A15">
        <w:rPr>
          <w:b/>
          <w:bCs/>
        </w:rPr>
        <w:t>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74A15">
        <w:t>.</w:t>
      </w:r>
    </w:p>
    <w:p w:rsidR="00BE31B6" w:rsidRPr="00674A15" w:rsidP="00BE31B6" w14:paraId="2D04B60A" w14:textId="77777777">
      <w:pPr>
        <w:widowControl/>
      </w:pPr>
    </w:p>
    <w:p w:rsidR="00BE31B6" w:rsidRPr="00386BC5" w:rsidP="00BE31B6" w14:paraId="28C87035" w14:textId="77777777">
      <w:pPr>
        <w:widowControl/>
      </w:pPr>
      <w:r w:rsidRPr="00386BC5">
        <w:t xml:space="preserve">Employers may use improved information technology when making, keeping, and preserving the required records.  OSHA wrote the paperwork requirements of the Standard in performance- oriented language, i.e., in terms of </w:t>
      </w:r>
      <w:r w:rsidRPr="00386BC5">
        <w:rPr>
          <w:u w:val="single"/>
        </w:rPr>
        <w:t>what</w:t>
      </w:r>
      <w:r w:rsidRPr="00386BC5">
        <w:t xml:space="preserve"> information to collect, not </w:t>
      </w:r>
      <w:r w:rsidRPr="00386BC5">
        <w:rPr>
          <w:u w:val="single"/>
        </w:rPr>
        <w:t>how</w:t>
      </w:r>
      <w:r w:rsidRPr="00386BC5">
        <w:t xml:space="preserve"> to collect it.</w:t>
      </w:r>
    </w:p>
    <w:p w:rsidR="005D12CC" w:rsidP="00F5169D" w14:paraId="2C855B2D" w14:textId="77777777">
      <w:pPr>
        <w:widowControl/>
        <w:rPr>
          <w:b/>
          <w:bCs/>
          <w:sz w:val="20"/>
          <w:szCs w:val="20"/>
        </w:rPr>
      </w:pPr>
    </w:p>
    <w:p w:rsidR="00BE31B6" w:rsidRPr="0097688D" w:rsidP="00123084" w14:paraId="243EB54C" w14:textId="452F8C73">
      <w:pPr>
        <w:widowControl/>
      </w:pPr>
      <w:r w:rsidRPr="0097688D">
        <w:rPr>
          <w:b/>
          <w:bCs/>
        </w:rPr>
        <w:t xml:space="preserve">4.  </w:t>
      </w:r>
      <w:r w:rsidRPr="0097688D">
        <w:rPr>
          <w:b/>
          <w:bCs/>
        </w:rPr>
        <w:t xml:space="preserve">Describe efforts to identify duplication.  Show specifically why </w:t>
      </w:r>
      <w:r w:rsidRPr="0097688D" w:rsidR="00DF66D7">
        <w:rPr>
          <w:b/>
          <w:bCs/>
        </w:rPr>
        <w:t>any similar information already</w:t>
      </w:r>
      <w:r w:rsidRPr="0097688D" w:rsidR="00FF217E">
        <w:rPr>
          <w:b/>
          <w:bCs/>
        </w:rPr>
        <w:t xml:space="preserve"> </w:t>
      </w:r>
      <w:r w:rsidRPr="0097688D">
        <w:rPr>
          <w:b/>
          <w:bCs/>
        </w:rPr>
        <w:t>available</w:t>
      </w:r>
      <w:r w:rsidRPr="0097688D" w:rsidR="00DF66D7">
        <w:rPr>
          <w:b/>
          <w:bCs/>
        </w:rPr>
        <w:t xml:space="preserve"> </w:t>
      </w:r>
      <w:r w:rsidRPr="0097688D">
        <w:rPr>
          <w:b/>
          <w:bCs/>
        </w:rPr>
        <w:t xml:space="preserve">cannot be used or modified for use for the purposes described in Item </w:t>
      </w:r>
      <w:r w:rsidRPr="0097688D">
        <w:rPr>
          <w:b/>
          <w:bCs/>
        </w:rPr>
        <w:t>A.</w:t>
      </w:r>
      <w:r w:rsidRPr="0097688D">
        <w:rPr>
          <w:b/>
          <w:bCs/>
        </w:rPr>
        <w:t>2 above</w:t>
      </w:r>
      <w:r w:rsidRPr="0097688D">
        <w:t>.</w:t>
      </w:r>
    </w:p>
    <w:p w:rsidR="00BE31B6" w:rsidRPr="00386BC5" w:rsidP="00BE31B6" w14:paraId="14BDECB2" w14:textId="77777777">
      <w:pPr>
        <w:widowControl/>
      </w:pPr>
    </w:p>
    <w:p w:rsidR="00BE31B6" w:rsidRPr="00386BC5" w:rsidP="00BE31B6" w14:paraId="552E1219" w14:textId="078F4743">
      <w:pPr>
        <w:widowControl/>
      </w:pPr>
      <w:r w:rsidRPr="00386BC5">
        <w:t xml:space="preserve">OSHA’s regulatory authority under the </w:t>
      </w:r>
      <w:r w:rsidR="001C56C6">
        <w:t>S</w:t>
      </w:r>
      <w:r w:rsidRPr="00386BC5">
        <w:t xml:space="preserve">tandard extends to employers who have ionizing-radiation hazards in their workplaces, unless such hazards are subject to regulation by the Nuclear Regulatory Commission (NRC), the Mine Safety and Health Administration, any other federal regulatory agency that exercises authority over ionizing-radiation exposures, or by an employer registered with or licensed by a state specified in paragraph (p)(3) of the Standard.  </w:t>
      </w:r>
      <w:r>
        <w:t xml:space="preserve">In general, OSHA’s authority to regulate ionizing radiation hazards includes x-ray equipment, </w:t>
      </w:r>
      <w:r w:rsidR="00734675">
        <w:t xml:space="preserve">some </w:t>
      </w:r>
      <w:r>
        <w:t xml:space="preserve">accelerators, </w:t>
      </w:r>
      <w:r w:rsidR="00734675">
        <w:t xml:space="preserve">incidental </w:t>
      </w:r>
      <w:r>
        <w:t xml:space="preserve">accelerator-produced </w:t>
      </w:r>
      <w:r w:rsidR="00734675">
        <w:t xml:space="preserve">radioactive </w:t>
      </w:r>
      <w:r>
        <w:t xml:space="preserve">materials, electron microscopes, electron beams, </w:t>
      </w:r>
      <w:r>
        <w:t>betatrons</w:t>
      </w:r>
      <w:r>
        <w:t xml:space="preserve">, </w:t>
      </w:r>
      <w:r w:rsidR="00FE19DD">
        <w:t xml:space="preserve">ion implanters, </w:t>
      </w:r>
      <w:r>
        <w:t xml:space="preserve">and </w:t>
      </w:r>
      <w:r w:rsidR="00FE19DD">
        <w:t>some</w:t>
      </w:r>
      <w:r>
        <w:t xml:space="preserve"> naturally occurring radioactive materials.  The </w:t>
      </w:r>
      <w:r w:rsidR="009E552F">
        <w:t>information collection requirements</w:t>
      </w:r>
      <w:r w:rsidRPr="00386BC5">
        <w:t xml:space="preserve"> of the Standard are specific to each employer; these employers do not record, maintain, or report this information to the NRC or any other federal or state agency.  Therefore, OSHA does not require these employers</w:t>
      </w:r>
      <w:r w:rsidR="00317C49">
        <w:t xml:space="preserve"> to duplicate these information </w:t>
      </w:r>
      <w:r w:rsidRPr="00386BC5">
        <w:t>collection activities (i.e., the required information is available only from these employers).</w:t>
      </w:r>
    </w:p>
    <w:p w:rsidR="00BE31B6" w:rsidRPr="00386BC5" w:rsidP="00BE31B6" w14:paraId="63793414" w14:textId="77777777">
      <w:pPr>
        <w:widowControl/>
      </w:pPr>
    </w:p>
    <w:p w:rsidR="00BE31B6" w:rsidRPr="00386BC5" w:rsidP="00123084" w14:paraId="2DC9ED22" w14:textId="311082C8">
      <w:pPr>
        <w:widowControl/>
      </w:pPr>
      <w:r w:rsidRPr="006E4494">
        <w:rPr>
          <w:b/>
          <w:bCs/>
        </w:rPr>
        <w:t xml:space="preserve">5.  </w:t>
      </w:r>
      <w:r w:rsidRPr="006E4494">
        <w:rPr>
          <w:b/>
          <w:bCs/>
        </w:rPr>
        <w:t>If the collection of information impacts small businesses or other small entities</w:t>
      </w:r>
      <w:r w:rsidRPr="006E4494" w:rsidR="00123084">
        <w:rPr>
          <w:b/>
          <w:bCs/>
        </w:rPr>
        <w:t xml:space="preserve">, </w:t>
      </w:r>
      <w:r w:rsidRPr="006E4494">
        <w:rPr>
          <w:b/>
          <w:bCs/>
        </w:rPr>
        <w:t>describe any methods</w:t>
      </w:r>
      <w:r w:rsidR="006E4494">
        <w:rPr>
          <w:b/>
          <w:bCs/>
        </w:rPr>
        <w:t xml:space="preserve"> </w:t>
      </w:r>
      <w:r w:rsidRPr="006E4494">
        <w:rPr>
          <w:b/>
          <w:bCs/>
        </w:rPr>
        <w:t>used to minimize burden</w:t>
      </w:r>
      <w:r w:rsidRPr="00386BC5">
        <w:rPr>
          <w:sz w:val="20"/>
          <w:szCs w:val="20"/>
        </w:rPr>
        <w:t>.</w:t>
      </w:r>
    </w:p>
    <w:p w:rsidR="00BE31B6" w:rsidRPr="00386BC5" w:rsidP="00BE31B6" w14:paraId="369B08A5" w14:textId="77777777">
      <w:pPr>
        <w:widowControl/>
      </w:pPr>
    </w:p>
    <w:p w:rsidR="00BE31B6" w:rsidRPr="00386BC5" w:rsidP="00BE31B6" w14:paraId="74A76CDE" w14:textId="77777777">
      <w:pPr>
        <w:widowControl/>
      </w:pPr>
      <w:r>
        <w:t xml:space="preserve">The </w:t>
      </w:r>
      <w:r w:rsidR="009E552F">
        <w:t>information collection requirements</w:t>
      </w:r>
      <w:r w:rsidRPr="00386BC5">
        <w:t xml:space="preserve"> of the Standard do not have a significant impact on a substantial number of small entities.</w:t>
      </w:r>
    </w:p>
    <w:p w:rsidR="00BE31B6" w:rsidRPr="00386BC5" w:rsidP="00BE31B6" w14:paraId="56087310" w14:textId="77777777">
      <w:pPr>
        <w:widowControl/>
      </w:pPr>
    </w:p>
    <w:p w:rsidR="00123084" w:rsidRPr="001D116E" w:rsidP="00F5169D" w14:paraId="1D3314BE" w14:textId="3F97CEB0">
      <w:pPr>
        <w:widowControl/>
        <w:rPr>
          <w:b/>
          <w:bCs/>
        </w:rPr>
      </w:pPr>
      <w:r w:rsidRPr="001D116E">
        <w:rPr>
          <w:b/>
          <w:bCs/>
        </w:rPr>
        <w:t xml:space="preserve">6.  </w:t>
      </w:r>
      <w:r w:rsidRPr="001D116E" w:rsidR="00BE31B6">
        <w:rPr>
          <w:b/>
          <w:bCs/>
        </w:rPr>
        <w:t xml:space="preserve">Describe the consequence to </w:t>
      </w:r>
      <w:r w:rsidRPr="001D116E" w:rsidR="001D116E">
        <w:rPr>
          <w:b/>
          <w:bCs/>
        </w:rPr>
        <w:t>f</w:t>
      </w:r>
      <w:r w:rsidRPr="001D116E" w:rsidR="00BE31B6">
        <w:rPr>
          <w:b/>
          <w:bCs/>
        </w:rPr>
        <w:t xml:space="preserve">ederal program or policy activities if the collection is not </w:t>
      </w:r>
    </w:p>
    <w:p w:rsidR="00BE31B6" w:rsidRPr="001D116E" w:rsidP="00123084" w14:paraId="4BAF6E07" w14:textId="77777777">
      <w:pPr>
        <w:widowControl/>
      </w:pPr>
      <w:r w:rsidRPr="001D116E">
        <w:rPr>
          <w:b/>
          <w:bCs/>
        </w:rPr>
        <w:t>conducted or is conducted less frequently, as well as any technical or legal obstacles to reducing burden</w:t>
      </w:r>
      <w:r w:rsidRPr="001D116E">
        <w:t>.</w:t>
      </w:r>
    </w:p>
    <w:p w:rsidR="00BE31B6" w:rsidRPr="001D116E" w:rsidP="00BE31B6" w14:paraId="241CD471" w14:textId="77777777">
      <w:pPr>
        <w:widowControl/>
      </w:pPr>
    </w:p>
    <w:p w:rsidR="00BE31B6" w:rsidRPr="00386BC5" w:rsidP="00BE31B6" w14:paraId="010EBAFC" w14:textId="77777777">
      <w:pPr>
        <w:widowControl/>
      </w:pPr>
      <w:r>
        <w:t xml:space="preserve">The information </w:t>
      </w:r>
      <w:r w:rsidRPr="00386BC5">
        <w:t>collection frequencies specified by the Standard are the minimum frequencies necessary to ensure that employers and OSHA can effectively monitor the expos</w:t>
      </w:r>
      <w:r>
        <w:t>ure and health status of work</w:t>
      </w:r>
      <w:r w:rsidRPr="00386BC5">
        <w:t>e</w:t>
      </w:r>
      <w:r>
        <w:t>r</w:t>
      </w:r>
      <w:r w:rsidRPr="00386BC5">
        <w:t>s exposed to ionizing radiation.</w:t>
      </w:r>
    </w:p>
    <w:p w:rsidR="00BE31B6" w:rsidRPr="00386BC5" w:rsidP="00BE31B6" w14:paraId="2D281769" w14:textId="77777777">
      <w:pPr>
        <w:widowControl/>
      </w:pPr>
    </w:p>
    <w:p w:rsidR="00BE31B6" w:rsidRPr="00392F4B" w:rsidP="00C231AA" w14:paraId="7616E405" w14:textId="77777777">
      <w:pPr>
        <w:widowControl/>
        <w:ind w:left="450" w:hanging="450"/>
        <w:rPr>
          <w:b/>
          <w:bCs/>
        </w:rPr>
      </w:pPr>
      <w:r w:rsidRPr="00386BC5">
        <w:rPr>
          <w:sz w:val="20"/>
          <w:szCs w:val="20"/>
        </w:rPr>
        <w:t xml:space="preserve"> </w:t>
      </w:r>
      <w:r w:rsidRPr="00392F4B">
        <w:rPr>
          <w:b/>
          <w:bCs/>
        </w:rPr>
        <w:t>7.</w:t>
      </w:r>
      <w:r w:rsidRPr="00392F4B">
        <w:rPr>
          <w:b/>
          <w:bCs/>
        </w:rPr>
        <w:tab/>
        <w:t>Explain any special circumstances that would cause an information collection to be conducted in a manner:</w:t>
      </w:r>
    </w:p>
    <w:p w:rsidR="00BE31B6" w:rsidRPr="00392F4B" w:rsidP="00BE31B6" w14:paraId="67368717" w14:textId="77777777">
      <w:pPr>
        <w:widowControl/>
        <w:rPr>
          <w:b/>
          <w:bCs/>
        </w:rPr>
      </w:pPr>
    </w:p>
    <w:p w:rsidR="00BE31B6" w:rsidRPr="00392F4B" w:rsidP="00C45A81" w14:paraId="31E97BE9" w14:textId="4A16295D">
      <w:pPr>
        <w:widowControl/>
        <w:ind w:left="720"/>
        <w:rPr>
          <w:b/>
          <w:bCs/>
        </w:rPr>
      </w:pPr>
      <w:r w:rsidRPr="00392F4B">
        <w:rPr>
          <w:b/>
          <w:bCs/>
        </w:rPr>
        <w:t>•  r</w:t>
      </w:r>
      <w:r w:rsidRPr="00392F4B">
        <w:rPr>
          <w:b/>
          <w:bCs/>
        </w:rPr>
        <w:t xml:space="preserve">equiring respondents to report information to the </w:t>
      </w:r>
      <w:r w:rsidR="005F4E05">
        <w:rPr>
          <w:b/>
          <w:bCs/>
        </w:rPr>
        <w:t>a</w:t>
      </w:r>
      <w:r w:rsidRPr="00392F4B">
        <w:rPr>
          <w:b/>
          <w:bCs/>
        </w:rPr>
        <w:t xml:space="preserve">gency more often than </w:t>
      </w:r>
      <w:r w:rsidRPr="00392F4B">
        <w:rPr>
          <w:b/>
          <w:bCs/>
        </w:rPr>
        <w:t>quarterly;</w:t>
      </w:r>
    </w:p>
    <w:p w:rsidR="00BE31B6" w:rsidRPr="00392F4B" w:rsidP="00BE31B6" w14:paraId="65436B77" w14:textId="77777777">
      <w:pPr>
        <w:widowControl/>
        <w:ind w:firstLine="720"/>
        <w:rPr>
          <w:b/>
          <w:bCs/>
        </w:rPr>
      </w:pPr>
    </w:p>
    <w:p w:rsidR="00BE31B6" w:rsidRPr="00392F4B" w:rsidP="00B04A1B" w14:paraId="667E9B8E" w14:textId="77777777">
      <w:pPr>
        <w:widowControl/>
        <w:ind w:left="720"/>
        <w:rPr>
          <w:b/>
          <w:bCs/>
        </w:rPr>
      </w:pPr>
      <w:r w:rsidRPr="00392F4B">
        <w:rPr>
          <w:b/>
          <w:bCs/>
        </w:rPr>
        <w:t>•  r</w:t>
      </w:r>
      <w:r w:rsidRPr="00392F4B">
        <w:rPr>
          <w:b/>
          <w:bCs/>
        </w:rPr>
        <w:t xml:space="preserve">equiring respondents to prepare a written response to a collection </w:t>
      </w:r>
      <w:r w:rsidRPr="00392F4B">
        <w:rPr>
          <w:b/>
          <w:bCs/>
        </w:rPr>
        <w:t xml:space="preserve">of information in fewer than 30 </w:t>
      </w:r>
      <w:r w:rsidRPr="00392F4B">
        <w:rPr>
          <w:b/>
          <w:bCs/>
        </w:rPr>
        <w:t xml:space="preserve">days after receipt of </w:t>
      </w:r>
      <w:r w:rsidRPr="00392F4B">
        <w:rPr>
          <w:b/>
          <w:bCs/>
        </w:rPr>
        <w:t>it;</w:t>
      </w:r>
    </w:p>
    <w:p w:rsidR="00BE31B6" w:rsidRPr="00392F4B" w:rsidP="00BE31B6" w14:paraId="222282EF" w14:textId="77777777">
      <w:pPr>
        <w:widowControl/>
        <w:rPr>
          <w:b/>
          <w:bCs/>
        </w:rPr>
      </w:pPr>
    </w:p>
    <w:p w:rsidR="00BE31B6" w:rsidRPr="00392F4B" w:rsidP="00C45A81" w14:paraId="2105D754" w14:textId="77777777">
      <w:pPr>
        <w:widowControl/>
        <w:ind w:left="720"/>
        <w:rPr>
          <w:b/>
          <w:bCs/>
        </w:rPr>
      </w:pPr>
      <w:r w:rsidRPr="00392F4B">
        <w:rPr>
          <w:b/>
          <w:bCs/>
        </w:rPr>
        <w:t xml:space="preserve">•  </w:t>
      </w:r>
      <w:r w:rsidRPr="00392F4B" w:rsidR="00123084">
        <w:rPr>
          <w:b/>
          <w:bCs/>
        </w:rPr>
        <w:t>r</w:t>
      </w:r>
      <w:r w:rsidRPr="00392F4B">
        <w:rPr>
          <w:b/>
          <w:bCs/>
        </w:rPr>
        <w:t xml:space="preserve">equiring respondents to submit more than an original and two copies of any </w:t>
      </w:r>
      <w:r w:rsidRPr="00392F4B">
        <w:rPr>
          <w:b/>
          <w:bCs/>
        </w:rPr>
        <w:t>document;</w:t>
      </w:r>
    </w:p>
    <w:p w:rsidR="00BE31B6" w:rsidRPr="00392F4B" w:rsidP="00BE31B6" w14:paraId="78227672" w14:textId="77777777">
      <w:pPr>
        <w:widowControl/>
        <w:rPr>
          <w:b/>
          <w:bCs/>
        </w:rPr>
      </w:pPr>
    </w:p>
    <w:p w:rsidR="00BE31B6" w:rsidRPr="00392F4B" w:rsidP="00BE31B6" w14:paraId="5D26F7D0" w14:textId="77777777">
      <w:pPr>
        <w:widowControl/>
        <w:ind w:left="900" w:hanging="180"/>
        <w:rPr>
          <w:b/>
          <w:bCs/>
        </w:rPr>
      </w:pPr>
      <w:r w:rsidRPr="00392F4B">
        <w:rPr>
          <w:b/>
          <w:bCs/>
        </w:rPr>
        <w:t xml:space="preserve">•  </w:t>
      </w:r>
      <w:r w:rsidRPr="00392F4B" w:rsidR="00123084">
        <w:rPr>
          <w:b/>
          <w:bCs/>
        </w:rPr>
        <w:t>r</w:t>
      </w:r>
      <w:r w:rsidRPr="00392F4B">
        <w:rPr>
          <w:b/>
          <w:bCs/>
        </w:rPr>
        <w:t xml:space="preserve">equiring respondents to retain records, other than health, medical, government contract, grant-in-aid, or tax records for more than three </w:t>
      </w:r>
      <w:r w:rsidRPr="00392F4B">
        <w:rPr>
          <w:b/>
          <w:bCs/>
        </w:rPr>
        <w:t>years;</w:t>
      </w:r>
    </w:p>
    <w:p w:rsidR="00BE31B6" w:rsidRPr="00392F4B" w:rsidP="00BE31B6" w14:paraId="3AFDBEE7" w14:textId="77777777">
      <w:pPr>
        <w:widowControl/>
        <w:rPr>
          <w:b/>
          <w:bCs/>
        </w:rPr>
      </w:pPr>
    </w:p>
    <w:p w:rsidR="00BE31B6" w:rsidRPr="00392F4B" w:rsidP="00BE31B6" w14:paraId="339183AD" w14:textId="77777777">
      <w:pPr>
        <w:widowControl/>
        <w:ind w:left="900" w:hanging="180"/>
        <w:rPr>
          <w:b/>
          <w:bCs/>
        </w:rPr>
      </w:pPr>
      <w:r w:rsidRPr="00392F4B">
        <w:rPr>
          <w:b/>
          <w:bCs/>
        </w:rPr>
        <w:t xml:space="preserve">•  </w:t>
      </w:r>
      <w:r w:rsidRPr="00392F4B" w:rsidR="00123084">
        <w:rPr>
          <w:b/>
          <w:bCs/>
        </w:rPr>
        <w:t>i</w:t>
      </w:r>
      <w:r w:rsidRPr="00392F4B">
        <w:rPr>
          <w:b/>
          <w:bCs/>
        </w:rPr>
        <w:t xml:space="preserve">n connection with a statistical survey, that is not designed to produce valid and reliable results that can be generalized to the universe of </w:t>
      </w:r>
      <w:r w:rsidRPr="00392F4B">
        <w:rPr>
          <w:b/>
          <w:bCs/>
        </w:rPr>
        <w:t>study;</w:t>
      </w:r>
    </w:p>
    <w:p w:rsidR="00BE31B6" w:rsidRPr="00392F4B" w:rsidP="00BE31B6" w14:paraId="707562EE" w14:textId="77777777">
      <w:pPr>
        <w:widowControl/>
        <w:rPr>
          <w:b/>
          <w:bCs/>
        </w:rPr>
      </w:pPr>
    </w:p>
    <w:p w:rsidR="00BE31B6" w:rsidRPr="00392F4B" w:rsidP="00BE31B6" w14:paraId="6261318E" w14:textId="77777777">
      <w:pPr>
        <w:widowControl/>
        <w:ind w:left="900" w:hanging="180"/>
        <w:rPr>
          <w:b/>
          <w:bCs/>
        </w:rPr>
      </w:pPr>
      <w:r w:rsidRPr="00392F4B">
        <w:rPr>
          <w:b/>
          <w:bCs/>
        </w:rPr>
        <w:t xml:space="preserve">•  </w:t>
      </w:r>
      <w:r w:rsidRPr="00392F4B" w:rsidR="00123084">
        <w:rPr>
          <w:b/>
          <w:bCs/>
        </w:rPr>
        <w:t>r</w:t>
      </w:r>
      <w:r w:rsidRPr="00392F4B">
        <w:rPr>
          <w:b/>
          <w:bCs/>
        </w:rPr>
        <w:t xml:space="preserve">equiring the use of a statistical data classification that has not been reviewed and approved by </w:t>
      </w:r>
      <w:r w:rsidRPr="00392F4B">
        <w:rPr>
          <w:b/>
          <w:bCs/>
        </w:rPr>
        <w:t>OMB;</w:t>
      </w:r>
    </w:p>
    <w:p w:rsidR="00BE31B6" w:rsidRPr="00392F4B" w:rsidP="00BE31B6" w14:paraId="45B70068" w14:textId="77777777">
      <w:pPr>
        <w:widowControl/>
        <w:rPr>
          <w:b/>
          <w:bCs/>
        </w:rPr>
      </w:pPr>
    </w:p>
    <w:p w:rsidR="00BE31B6" w:rsidP="0089251C" w14:paraId="06D27F38" w14:textId="44D3AF17">
      <w:pPr>
        <w:widowControl/>
        <w:ind w:left="900" w:hanging="180"/>
        <w:rPr>
          <w:b/>
          <w:bCs/>
        </w:rPr>
      </w:pPr>
      <w:r w:rsidRPr="00392F4B">
        <w:rPr>
          <w:b/>
          <w:bCs/>
        </w:rPr>
        <w:t xml:space="preserve">•  </w:t>
      </w:r>
      <w:r w:rsidRPr="00392F4B" w:rsidR="00123084">
        <w:rPr>
          <w:b/>
          <w:bCs/>
        </w:rPr>
        <w:t>t</w:t>
      </w:r>
      <w:r w:rsidRPr="00392F4B">
        <w:rPr>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9251C" w:rsidRPr="00392F4B" w:rsidP="0089251C" w14:paraId="40FF7832" w14:textId="77777777">
      <w:pPr>
        <w:widowControl/>
        <w:ind w:left="900" w:hanging="180"/>
        <w:rPr>
          <w:b/>
          <w:bCs/>
        </w:rPr>
      </w:pPr>
    </w:p>
    <w:p w:rsidR="00BE31B6" w:rsidRPr="00392F4B" w:rsidP="00BE31B6" w14:paraId="54673C64" w14:textId="7F5E13F1">
      <w:pPr>
        <w:widowControl/>
        <w:ind w:left="900" w:hanging="180"/>
      </w:pPr>
      <w:r w:rsidRPr="00392F4B">
        <w:rPr>
          <w:b/>
          <w:bCs/>
        </w:rPr>
        <w:t xml:space="preserve">•  </w:t>
      </w:r>
      <w:r w:rsidRPr="00392F4B" w:rsidR="00123084">
        <w:rPr>
          <w:b/>
          <w:bCs/>
        </w:rPr>
        <w:t>r</w:t>
      </w:r>
      <w:r w:rsidRPr="00392F4B">
        <w:rPr>
          <w:b/>
          <w:bCs/>
        </w:rPr>
        <w:t xml:space="preserve">equiring respondents to submit proprietary trade secret, or other confidential information unless the </w:t>
      </w:r>
      <w:r w:rsidR="00734E47">
        <w:rPr>
          <w:b/>
          <w:bCs/>
        </w:rPr>
        <w:t>a</w:t>
      </w:r>
      <w:r w:rsidRPr="00392F4B">
        <w:rPr>
          <w:b/>
          <w:bCs/>
        </w:rPr>
        <w:t xml:space="preserve">gency can </w:t>
      </w:r>
      <w:r w:rsidR="0089251C">
        <w:rPr>
          <w:b/>
          <w:bCs/>
        </w:rPr>
        <w:t>prove</w:t>
      </w:r>
      <w:r w:rsidRPr="00392F4B">
        <w:rPr>
          <w:b/>
          <w:bCs/>
        </w:rPr>
        <w:t xml:space="preserve"> that it has instituted procedures to protect the information's confidentiality to the extent permitted by law</w:t>
      </w:r>
      <w:r w:rsidRPr="00392F4B">
        <w:t>.</w:t>
      </w:r>
    </w:p>
    <w:p w:rsidR="00BE31B6" w:rsidRPr="00392F4B" w:rsidP="00BE31B6" w14:paraId="1784B93F" w14:textId="77777777">
      <w:pPr>
        <w:widowControl/>
      </w:pPr>
    </w:p>
    <w:p w:rsidR="00BE31B6" w:rsidP="00BE31B6" w14:paraId="59C37576" w14:textId="77777777">
      <w:pPr>
        <w:widowControl/>
      </w:pPr>
      <w:r>
        <w:t xml:space="preserve">The Standard requires notification of OSHA immediately or within 24 hours when certain overexposure incidents occur.  </w:t>
      </w:r>
      <w:r w:rsidRPr="00386BC5">
        <w:t>Paragraph (l)(1) of the Standard requires employers to immediately notify OSHA by telephone of any incident that</w:t>
      </w:r>
      <w:r>
        <w:t xml:space="preserve"> causes, or may cause, a work</w:t>
      </w:r>
      <w:r w:rsidRPr="00386BC5">
        <w:t>e</w:t>
      </w:r>
      <w:r>
        <w:t>r</w:t>
      </w:r>
      <w:r w:rsidRPr="00386BC5">
        <w:t xml:space="preserve"> to rece</w:t>
      </w:r>
      <w:r>
        <w:t>ive radiation exposure of the: w</w:t>
      </w:r>
      <w:r w:rsidRPr="00386BC5">
        <w:t xml:space="preserve">hole body at or above 25 rems; skin of the whole body at or above 150 rems; feet, ankles, hands, or forearms at or above 375 rems.  The Standard also requires </w:t>
      </w:r>
      <w:r>
        <w:t>immediate</w:t>
      </w:r>
      <w:r w:rsidRPr="00386BC5">
        <w:t xml:space="preserve"> notification if a release of radioactive material occurs in which the concentrations of the material, averaged over a 24-hour period, exceeds 5,000 times the limit specified for the material in Table II of appendix B to 10 CFR part 20.</w:t>
      </w:r>
      <w:r>
        <w:t xml:space="preserve">  </w:t>
      </w:r>
      <w:r w:rsidRPr="00386BC5">
        <w:t>In addition, paragraph (l)(2) of the Standard mandates that employers notify OSHA, by telephone, within 24 hours of any incident that c</w:t>
      </w:r>
      <w:r>
        <w:t xml:space="preserve">auses, or may cause, a worker </w:t>
      </w:r>
      <w:r w:rsidRPr="00386BC5">
        <w:t xml:space="preserve">to receive radiation exposure of the:  Whole body at or above 5 rems; skin over the whole body at or above 30 rems; or feet, ankles, hands, or forearms at or above 75 rems.  </w:t>
      </w:r>
    </w:p>
    <w:p w:rsidR="00BE31B6" w:rsidRPr="00386BC5" w:rsidP="00BE31B6" w14:paraId="3A7E05F6" w14:textId="77777777">
      <w:pPr>
        <w:widowControl/>
      </w:pPr>
    </w:p>
    <w:p w:rsidR="00BE31B6" w:rsidRPr="00E84036" w:rsidP="00BE31B6" w14:paraId="0FB77CE5" w14:textId="00D13DD6">
      <w:pPr>
        <w:widowControl/>
        <w:ind w:left="720" w:hanging="720"/>
      </w:pPr>
      <w:r w:rsidRPr="00386BC5">
        <w:rPr>
          <w:sz w:val="20"/>
          <w:szCs w:val="20"/>
        </w:rPr>
        <w:t xml:space="preserve"> </w:t>
      </w:r>
      <w:r w:rsidRPr="00E84036">
        <w:rPr>
          <w:b/>
          <w:bCs/>
        </w:rPr>
        <w:t>8.</w:t>
      </w:r>
      <w:r w:rsidRPr="00E84036">
        <w:rPr>
          <w:b/>
          <w:bCs/>
        </w:rPr>
        <w:tab/>
        <w:t xml:space="preserve">If applicable, provide a copy and identify the data and page number of </w:t>
      </w:r>
      <w:r w:rsidRPr="00E84036">
        <w:rPr>
          <w:b/>
          <w:bCs/>
        </w:rPr>
        <w:t>publication</w:t>
      </w:r>
      <w:r w:rsidRPr="00E84036">
        <w:rPr>
          <w:b/>
          <w:bCs/>
        </w:rPr>
        <w:t xml:space="preserve"> in the </w:t>
      </w:r>
      <w:r w:rsidRPr="00E84036">
        <w:rPr>
          <w:b/>
          <w:bCs/>
          <w:i/>
          <w:iCs/>
        </w:rPr>
        <w:t>Federal Register</w:t>
      </w:r>
      <w:r w:rsidRPr="00E84036">
        <w:rPr>
          <w:b/>
          <w:bCs/>
        </w:rPr>
        <w:t xml:space="preserve"> of the </w:t>
      </w:r>
      <w:r w:rsidRPr="00E84036" w:rsidR="00EB3358">
        <w:rPr>
          <w:b/>
          <w:bCs/>
        </w:rPr>
        <w:t>a</w:t>
      </w:r>
      <w:r w:rsidRPr="00E84036">
        <w:rPr>
          <w:b/>
          <w:bCs/>
        </w:rPr>
        <w:t xml:space="preserve">gency's notice, required by 5 CFR 1320.8(d), soliciting comments on the information collection prior to submission to OMB.  Summarize public comments received in response to that notice and describe actions taken by the </w:t>
      </w:r>
      <w:r w:rsidRPr="00E84036" w:rsidR="00015A73">
        <w:rPr>
          <w:b/>
          <w:bCs/>
        </w:rPr>
        <w:t>a</w:t>
      </w:r>
      <w:r w:rsidRPr="00E84036">
        <w:rPr>
          <w:b/>
          <w:bCs/>
        </w:rPr>
        <w:t>gency in response to these comments.  Specifically address comments received on cost and hour burden</w:t>
      </w:r>
      <w:r w:rsidRPr="00E84036">
        <w:t>.</w:t>
      </w:r>
    </w:p>
    <w:p w:rsidR="00BE31B6" w:rsidRPr="00E84036" w:rsidP="00BE31B6" w14:paraId="0D3F1E75" w14:textId="77777777">
      <w:pPr>
        <w:widowControl/>
      </w:pPr>
    </w:p>
    <w:p w:rsidR="00BE31B6" w:rsidRPr="00E84036" w:rsidP="00BE31B6" w14:paraId="498029FF" w14:textId="763DF363">
      <w:pPr>
        <w:widowControl/>
        <w:ind w:left="720" w:hanging="360"/>
        <w:rPr>
          <w:b/>
          <w:bCs/>
        </w:rPr>
      </w:pPr>
      <w:r w:rsidRPr="00E84036">
        <w:rPr>
          <w:b/>
          <w:bCs/>
        </w:rPr>
        <w:tab/>
        <w:t xml:space="preserve">Describe efforts to consult with persons outside the </w:t>
      </w:r>
      <w:r w:rsidRPr="00E84036" w:rsidR="00015A73">
        <w:rPr>
          <w:b/>
          <w:bCs/>
        </w:rPr>
        <w:t>a</w:t>
      </w:r>
      <w:r w:rsidRPr="00E84036">
        <w:rPr>
          <w:b/>
          <w:bCs/>
        </w:rPr>
        <w:t>gency to obtain their views on the availability of data, frequency of collection, the clarity of instructions and recordkeeping, disclosure, or reporting format (if any), and on the data elements to be recorded, disclosed, or reported.</w:t>
      </w:r>
    </w:p>
    <w:p w:rsidR="00BE31B6" w:rsidRPr="00E84036" w:rsidP="00BE31B6" w14:paraId="54D7FE04" w14:textId="77777777">
      <w:pPr>
        <w:widowControl/>
        <w:rPr>
          <w:b/>
          <w:bCs/>
        </w:rPr>
      </w:pPr>
    </w:p>
    <w:p w:rsidR="00BE31B6" w:rsidRPr="00C658D1" w:rsidP="00BE31B6" w14:paraId="7D38CC3F" w14:textId="77777777">
      <w:pPr>
        <w:widowControl/>
        <w:ind w:left="720"/>
      </w:pPr>
      <w:r w:rsidRPr="00E84036">
        <w:rPr>
          <w:b/>
          <w:bCs/>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w:t>
      </w:r>
      <w:r w:rsidRPr="00C658D1">
        <w:rPr>
          <w:b/>
          <w:bCs/>
        </w:rPr>
        <w:t>may preclude consultation in a specific situation.  These circumstances should be explained</w:t>
      </w:r>
      <w:r w:rsidRPr="00C658D1">
        <w:t>.</w:t>
      </w:r>
    </w:p>
    <w:p w:rsidR="00BE31B6" w:rsidRPr="00C658D1" w:rsidP="00BE31B6" w14:paraId="07008334" w14:textId="77777777">
      <w:pPr>
        <w:widowControl/>
      </w:pPr>
    </w:p>
    <w:p w:rsidR="006817AF" w:rsidP="004B1FE9" w14:paraId="39B60E2D" w14:textId="745591AF">
      <w:r w:rsidRPr="00C658D1">
        <w:t>As required by the Paperwork Reduction Act of 1995 (44 U.S.C. 3506(c)(2)(A)), OSHA</w:t>
      </w:r>
      <w:r w:rsidRPr="00C658D1" w:rsidR="00577C40">
        <w:t xml:space="preserve"> </w:t>
      </w:r>
      <w:r w:rsidRPr="00C658D1">
        <w:t>publish</w:t>
      </w:r>
      <w:r w:rsidRPr="00C658D1" w:rsidR="00577C40">
        <w:t>ed</w:t>
      </w:r>
      <w:r w:rsidRPr="00C658D1">
        <w:t xml:space="preserve"> a </w:t>
      </w:r>
      <w:r w:rsidRPr="00C658D1" w:rsidR="00181626">
        <w:t xml:space="preserve">notice in the </w:t>
      </w:r>
      <w:r w:rsidRPr="00C658D1">
        <w:rPr>
          <w:bCs/>
        </w:rPr>
        <w:t>Federal Register</w:t>
      </w:r>
      <w:r w:rsidRPr="00C658D1" w:rsidR="00E519E4">
        <w:rPr>
          <w:bCs/>
        </w:rPr>
        <w:t xml:space="preserve"> </w:t>
      </w:r>
      <w:r w:rsidRPr="00080CE5" w:rsidR="00E519E4">
        <w:rPr>
          <w:bCs/>
        </w:rPr>
        <w:t xml:space="preserve">on </w:t>
      </w:r>
      <w:r w:rsidR="002231EC">
        <w:t xml:space="preserve">May </w:t>
      </w:r>
      <w:r w:rsidR="00101E76">
        <w:t>6, 2024</w:t>
      </w:r>
      <w:r w:rsidRPr="00080CE5" w:rsidR="00F21B79">
        <w:t xml:space="preserve"> </w:t>
      </w:r>
      <w:r w:rsidRPr="00080CE5" w:rsidR="00FD32DC">
        <w:t>(</w:t>
      </w:r>
      <w:r w:rsidR="006452F9">
        <w:t>89</w:t>
      </w:r>
      <w:r w:rsidR="003446AB">
        <w:t xml:space="preserve"> </w:t>
      </w:r>
      <w:r w:rsidRPr="003446AB" w:rsidR="00F21B79">
        <w:rPr>
          <w:bCs/>
        </w:rPr>
        <w:t xml:space="preserve">FR </w:t>
      </w:r>
      <w:r w:rsidRPr="003446AB" w:rsidR="006452F9">
        <w:rPr>
          <w:bCs/>
        </w:rPr>
        <w:t>37264</w:t>
      </w:r>
      <w:r w:rsidRPr="00080CE5" w:rsidR="00F21B79">
        <w:t>)</w:t>
      </w:r>
      <w:r w:rsidRPr="00080CE5" w:rsidR="00FD32DC">
        <w:rPr>
          <w:b/>
          <w:bCs/>
        </w:rPr>
        <w:t xml:space="preserve"> </w:t>
      </w:r>
      <w:r w:rsidR="00101E76">
        <w:rPr>
          <w:bCs/>
        </w:rPr>
        <w:t>solicit</w:t>
      </w:r>
      <w:r w:rsidRPr="00080CE5" w:rsidR="00F21B79">
        <w:rPr>
          <w:bCs/>
        </w:rPr>
        <w:t>ing</w:t>
      </w:r>
      <w:r w:rsidRPr="00080CE5">
        <w:rPr>
          <w:bCs/>
        </w:rPr>
        <w:t xml:space="preserve"> public comment on its propos</w:t>
      </w:r>
      <w:r w:rsidRPr="00080CE5" w:rsidR="00A251B9">
        <w:rPr>
          <w:bCs/>
        </w:rPr>
        <w:t>ed</w:t>
      </w:r>
      <w:r w:rsidRPr="00080CE5">
        <w:rPr>
          <w:bCs/>
        </w:rPr>
        <w:t xml:space="preserve"> </w:t>
      </w:r>
      <w:r w:rsidRPr="00080CE5" w:rsidR="00E24723">
        <w:rPr>
          <w:bCs/>
        </w:rPr>
        <w:t>extension</w:t>
      </w:r>
      <w:r w:rsidRPr="00080CE5" w:rsidR="00A251B9">
        <w:rPr>
          <w:bCs/>
        </w:rPr>
        <w:t xml:space="preserve"> </w:t>
      </w:r>
      <w:r w:rsidRPr="00080CE5" w:rsidR="00D04029">
        <w:rPr>
          <w:bCs/>
        </w:rPr>
        <w:t>of the inf</w:t>
      </w:r>
      <w:r w:rsidRPr="00080CE5" w:rsidR="00DF3EFA">
        <w:rPr>
          <w:bCs/>
        </w:rPr>
        <w:t xml:space="preserve">ormation collection </w:t>
      </w:r>
      <w:r w:rsidRPr="00080CE5" w:rsidR="00E24723">
        <w:rPr>
          <w:bCs/>
        </w:rPr>
        <w:t>requirements</w:t>
      </w:r>
      <w:r w:rsidRPr="00080CE5" w:rsidR="00DF3EFA">
        <w:rPr>
          <w:bCs/>
        </w:rPr>
        <w:t xml:space="preserve"> </w:t>
      </w:r>
      <w:r w:rsidRPr="00080CE5">
        <w:t>specified</w:t>
      </w:r>
      <w:r w:rsidRPr="00C658D1">
        <w:t xml:space="preserve"> by the Standard on Ionizing Radiation (29 CFR 1910.1096)</w:t>
      </w:r>
      <w:r w:rsidRPr="00C658D1" w:rsidR="000043B1">
        <w:t xml:space="preserve"> under Docket Number OSHA</w:t>
      </w:r>
      <w:r w:rsidRPr="00C658D1" w:rsidR="002D7EB3">
        <w:t>-</w:t>
      </w:r>
      <w:r w:rsidRPr="00C658D1" w:rsidR="0037236E">
        <w:t>2010-0030</w:t>
      </w:r>
      <w:r w:rsidRPr="00C658D1">
        <w:t>.   This notice</w:t>
      </w:r>
      <w:r w:rsidRPr="00C658D1" w:rsidR="00CF521B">
        <w:t xml:space="preserve"> </w:t>
      </w:r>
      <w:r w:rsidR="00DF585F">
        <w:t>was</w:t>
      </w:r>
      <w:r w:rsidRPr="00C658D1" w:rsidR="00CF521B">
        <w:t xml:space="preserve"> </w:t>
      </w:r>
      <w:r w:rsidRPr="00C658D1">
        <w:t xml:space="preserve">part of a preclearance consultation program </w:t>
      </w:r>
      <w:r w:rsidRPr="00C658D1" w:rsidR="00E45F4F">
        <w:t>intended to provide those interested parties the opportunity to comment on OSHA’s request for an extension by the Office of Management and Budget (OMB) of a previous approval of the information collection requirements found in the above</w:t>
      </w:r>
      <w:r w:rsidRPr="00C658D1" w:rsidR="00FF6AA6">
        <w:t xml:space="preserve"> Standard</w:t>
      </w:r>
      <w:r w:rsidRPr="00C658D1">
        <w:t xml:space="preserve">.  </w:t>
      </w:r>
      <w:r w:rsidRPr="00C658D1" w:rsidR="005C2486">
        <w:t>The</w:t>
      </w:r>
      <w:r w:rsidR="005C2486">
        <w:t xml:space="preserve"> </w:t>
      </w:r>
      <w:r w:rsidR="00750D9A">
        <w:t>a</w:t>
      </w:r>
      <w:r w:rsidR="005C2486">
        <w:t xml:space="preserve">gency </w:t>
      </w:r>
      <w:r w:rsidR="00F717CC">
        <w:t>did not receive</w:t>
      </w:r>
      <w:r w:rsidR="00835E89">
        <w:t xml:space="preserve"> any public </w:t>
      </w:r>
      <w:r w:rsidR="005C2486">
        <w:t xml:space="preserve">comments in </w:t>
      </w:r>
      <w:r w:rsidR="005C2486">
        <w:t xml:space="preserve">response to </w:t>
      </w:r>
      <w:r w:rsidR="00DF6AE2">
        <w:t xml:space="preserve">this </w:t>
      </w:r>
      <w:r w:rsidR="005C2486">
        <w:t>notice.</w:t>
      </w:r>
    </w:p>
    <w:p w:rsidR="005D12CC" w:rsidP="00B16B3F" w14:paraId="184A953D" w14:textId="77777777">
      <w:pPr>
        <w:pStyle w:val="HTMLPreformatted"/>
        <w:tabs>
          <w:tab w:val="left" w:pos="450"/>
          <w:tab w:val="clear" w:pos="916"/>
        </w:tabs>
        <w:rPr>
          <w:rFonts w:ascii="Times New Roman" w:hAnsi="Times New Roman" w:cs="Times New Roman"/>
          <w:sz w:val="24"/>
          <w:szCs w:val="24"/>
        </w:rPr>
      </w:pPr>
    </w:p>
    <w:p w:rsidR="00BE31B6" w:rsidRPr="00C45A81" w:rsidP="00B16B3F" w14:paraId="004C042E" w14:textId="2448984E">
      <w:pPr>
        <w:pStyle w:val="HTMLPreformatted"/>
        <w:tabs>
          <w:tab w:val="left" w:pos="450"/>
          <w:tab w:val="clear" w:pos="916"/>
        </w:tabs>
        <w:rPr>
          <w:rFonts w:ascii="Times New Roman" w:hAnsi="Times New Roman" w:cs="Times New Roman"/>
          <w:sz w:val="24"/>
          <w:szCs w:val="24"/>
        </w:rPr>
      </w:pPr>
      <w:r w:rsidRPr="00C45A81">
        <w:rPr>
          <w:rFonts w:ascii="Times New Roman" w:hAnsi="Times New Roman" w:cs="Times New Roman"/>
          <w:b/>
          <w:bCs/>
          <w:sz w:val="24"/>
          <w:szCs w:val="24"/>
        </w:rPr>
        <w:t>9.</w:t>
      </w:r>
      <w:r w:rsidRPr="00C45A81">
        <w:rPr>
          <w:rFonts w:ascii="Times New Roman" w:hAnsi="Times New Roman" w:cs="Times New Roman"/>
          <w:b/>
          <w:bCs/>
          <w:sz w:val="24"/>
          <w:szCs w:val="24"/>
        </w:rPr>
        <w:tab/>
        <w:t>Explain any decision to provide any payment</w:t>
      </w:r>
      <w:r w:rsidRPr="00C45A81" w:rsidR="00A12734">
        <w:rPr>
          <w:rFonts w:ascii="Times New Roman" w:hAnsi="Times New Roman" w:cs="Times New Roman"/>
          <w:b/>
          <w:bCs/>
          <w:sz w:val="24"/>
          <w:szCs w:val="24"/>
        </w:rPr>
        <w:t>s</w:t>
      </w:r>
      <w:r w:rsidRPr="00C45A81">
        <w:rPr>
          <w:rFonts w:ascii="Times New Roman" w:hAnsi="Times New Roman" w:cs="Times New Roman"/>
          <w:b/>
          <w:bCs/>
          <w:sz w:val="24"/>
          <w:szCs w:val="24"/>
        </w:rPr>
        <w:t xml:space="preserve"> or gift</w:t>
      </w:r>
      <w:r w:rsidRPr="00C45A81" w:rsidR="00A12734">
        <w:rPr>
          <w:rFonts w:ascii="Times New Roman" w:hAnsi="Times New Roman" w:cs="Times New Roman"/>
          <w:b/>
          <w:bCs/>
          <w:sz w:val="24"/>
          <w:szCs w:val="24"/>
        </w:rPr>
        <w:t>s</w:t>
      </w:r>
      <w:r w:rsidRPr="00C45A81">
        <w:rPr>
          <w:rFonts w:ascii="Times New Roman" w:hAnsi="Times New Roman" w:cs="Times New Roman"/>
          <w:b/>
          <w:bCs/>
          <w:sz w:val="24"/>
          <w:szCs w:val="24"/>
        </w:rPr>
        <w:t xml:space="preserve"> to respondents, other than re</w:t>
      </w:r>
      <w:r w:rsidRPr="00C45A81" w:rsidR="001F6C7B">
        <w:rPr>
          <w:rFonts w:ascii="Times New Roman" w:hAnsi="Times New Roman" w:cs="Times New Roman"/>
          <w:b/>
          <w:bCs/>
          <w:sz w:val="24"/>
          <w:szCs w:val="24"/>
        </w:rPr>
        <w:t>muneration</w:t>
      </w:r>
      <w:r w:rsidRPr="00C45A81">
        <w:rPr>
          <w:rFonts w:ascii="Times New Roman" w:hAnsi="Times New Roman" w:cs="Times New Roman"/>
          <w:b/>
          <w:bCs/>
          <w:sz w:val="24"/>
          <w:szCs w:val="24"/>
        </w:rPr>
        <w:t xml:space="preserve"> of contractors or grantees</w:t>
      </w:r>
      <w:r w:rsidRPr="00C45A81">
        <w:rPr>
          <w:rFonts w:ascii="Times New Roman" w:hAnsi="Times New Roman" w:cs="Times New Roman"/>
          <w:sz w:val="24"/>
          <w:szCs w:val="24"/>
        </w:rPr>
        <w:t>.</w:t>
      </w:r>
    </w:p>
    <w:p w:rsidR="002C715C" w:rsidRPr="00A12734" w:rsidP="00BE31B6" w14:paraId="7F4902F8" w14:textId="77777777">
      <w:pPr>
        <w:widowControl/>
      </w:pPr>
    </w:p>
    <w:p w:rsidR="00BE31B6" w:rsidRPr="00386BC5" w:rsidP="00BE31B6" w14:paraId="2F03CF05" w14:textId="7600728C">
      <w:pPr>
        <w:widowControl/>
      </w:pPr>
      <w:r w:rsidRPr="00386BC5">
        <w:t xml:space="preserve">The </w:t>
      </w:r>
      <w:r w:rsidR="00FF6AA6">
        <w:t>a</w:t>
      </w:r>
      <w:r w:rsidRPr="00386BC5">
        <w:t xml:space="preserve">gency will </w:t>
      </w:r>
      <w:r w:rsidRPr="00386BC5">
        <w:rPr>
          <w:u w:val="single"/>
        </w:rPr>
        <w:t>not</w:t>
      </w:r>
      <w:r w:rsidRPr="00386BC5">
        <w:t xml:space="preserve"> provide payments or gifts to the respondents.</w:t>
      </w:r>
    </w:p>
    <w:p w:rsidR="00AE680F" w:rsidP="00F678D4" w14:paraId="4029BC79" w14:textId="77777777">
      <w:pPr>
        <w:widowControl/>
        <w:ind w:left="360" w:hanging="360"/>
        <w:rPr>
          <w:b/>
          <w:bCs/>
          <w:sz w:val="20"/>
          <w:szCs w:val="20"/>
        </w:rPr>
      </w:pPr>
    </w:p>
    <w:p w:rsidR="00BE31B6" w:rsidRPr="00832DFE" w:rsidP="00C45A81" w14:paraId="00ACEC67" w14:textId="0A26EDF3">
      <w:pPr>
        <w:widowControl/>
        <w:ind w:left="360" w:hanging="360"/>
      </w:pPr>
      <w:r w:rsidRPr="00C45A81">
        <w:rPr>
          <w:b/>
          <w:bCs/>
        </w:rPr>
        <w:t>10.</w:t>
      </w:r>
      <w:r w:rsidRPr="00C45A81">
        <w:rPr>
          <w:b/>
          <w:bCs/>
        </w:rPr>
        <w:tab/>
        <w:t xml:space="preserve">Describe any assurance of confidentiality provided to respondents and the basis for the assurance in statute, regulation, or </w:t>
      </w:r>
      <w:r w:rsidRPr="00C45A81" w:rsidR="00832DFE">
        <w:rPr>
          <w:b/>
          <w:bCs/>
        </w:rPr>
        <w:t>a</w:t>
      </w:r>
      <w:r w:rsidRPr="00C45A81">
        <w:rPr>
          <w:b/>
          <w:bCs/>
        </w:rPr>
        <w:t>gency policy</w:t>
      </w:r>
      <w:r w:rsidRPr="00C45A81">
        <w:t>.</w:t>
      </w:r>
    </w:p>
    <w:p w:rsidR="00814737" w:rsidRPr="00832DFE" w:rsidP="00814737" w14:paraId="04F5CF16" w14:textId="77777777">
      <w:pPr>
        <w:widowControl/>
        <w:rPr>
          <w:color w:val="000000"/>
        </w:rPr>
      </w:pPr>
    </w:p>
    <w:p w:rsidR="00814737" w:rsidRPr="00814737" w:rsidP="00814737" w14:paraId="65164426" w14:textId="77777777">
      <w:pPr>
        <w:widowControl/>
        <w:rPr>
          <w:color w:val="000000"/>
        </w:rPr>
      </w:pPr>
      <w:r w:rsidRPr="00814737">
        <w:rPr>
          <w:color w:val="000000"/>
        </w:rPr>
        <w:t xml:space="preserve">Since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Act, 29 U.S.C. 657.  </w:t>
      </w:r>
    </w:p>
    <w:p w:rsidR="00BE31B6" w:rsidRPr="00386BC5" w:rsidP="00BE31B6" w14:paraId="2241643E" w14:textId="77777777">
      <w:pPr>
        <w:widowControl/>
      </w:pPr>
    </w:p>
    <w:p w:rsidR="00BE31B6" w:rsidRPr="00832DFE" w:rsidP="00C45A81" w14:paraId="15DD6AC4" w14:textId="0F2D15A1">
      <w:pPr>
        <w:widowControl/>
        <w:ind w:left="360" w:hanging="360"/>
      </w:pPr>
      <w:r w:rsidRPr="00C45A81">
        <w:rPr>
          <w:b/>
          <w:bCs/>
        </w:rPr>
        <w:t>11.</w:t>
      </w:r>
      <w:r w:rsidRPr="00C45A81">
        <w:rPr>
          <w:b/>
          <w:bCs/>
        </w:rPr>
        <w:tab/>
        <w:t xml:space="preserve">Provide additional justification for any questions of a sensitive nature, such as sexual behavior and attitudes, religious beliefs, and other matters that are commonly considered private. This justification should include the reasons why the </w:t>
      </w:r>
      <w:r w:rsidR="005A2E3F">
        <w:rPr>
          <w:b/>
          <w:bCs/>
        </w:rPr>
        <w:t>a</w:t>
      </w:r>
      <w:r w:rsidRPr="00C45A81">
        <w:rPr>
          <w:b/>
          <w:bCs/>
        </w:rPr>
        <w:t>gency considers the questions necessary, the specific uses to be made of the</w:t>
      </w:r>
      <w:r w:rsidR="00832DFE">
        <w:rPr>
          <w:b/>
          <w:bCs/>
        </w:rPr>
        <w:t xml:space="preserve"> </w:t>
      </w:r>
      <w:r w:rsidRPr="00C45A81">
        <w:rPr>
          <w:b/>
          <w:bCs/>
        </w:rPr>
        <w:t>information, the explanation to be given to persons for whom the information</w:t>
      </w:r>
      <w:r w:rsidRPr="00C45A81" w:rsidR="00F678D4">
        <w:rPr>
          <w:b/>
          <w:bCs/>
        </w:rPr>
        <w:t xml:space="preserve"> is requested, and any steps to </w:t>
      </w:r>
      <w:r w:rsidRPr="00C45A81">
        <w:rPr>
          <w:b/>
          <w:bCs/>
        </w:rPr>
        <w:t>be taken to obtain their consent</w:t>
      </w:r>
      <w:r w:rsidRPr="00C45A81">
        <w:t>.</w:t>
      </w:r>
    </w:p>
    <w:p w:rsidR="00BE31B6" w:rsidRPr="00832DFE" w:rsidP="00BE31B6" w14:paraId="6A55AEC0" w14:textId="77777777">
      <w:pPr>
        <w:widowControl/>
      </w:pPr>
    </w:p>
    <w:p w:rsidR="00BE31B6" w:rsidRPr="00386BC5" w:rsidP="00BE31B6" w14:paraId="741DFBE0" w14:textId="77777777">
      <w:pPr>
        <w:widowControl/>
      </w:pPr>
      <w:r w:rsidRPr="00386BC5">
        <w:t>None of the provisions in the Standard requires an employer to collect sensitive information.</w:t>
      </w:r>
    </w:p>
    <w:p w:rsidR="00BE31B6" w:rsidRPr="00386BC5" w:rsidP="00BE31B6" w14:paraId="3D54B171" w14:textId="77777777">
      <w:pPr>
        <w:widowControl/>
      </w:pPr>
    </w:p>
    <w:p w:rsidR="00BE31B6" w:rsidRPr="004B192C" w:rsidP="00FE41C9" w14:paraId="752819A2" w14:textId="77777777">
      <w:pPr>
        <w:widowControl/>
        <w:tabs>
          <w:tab w:val="left" w:pos="720"/>
        </w:tabs>
        <w:ind w:left="450" w:hanging="450"/>
        <w:rPr>
          <w:b/>
          <w:bCs/>
        </w:rPr>
      </w:pPr>
      <w:r>
        <w:rPr>
          <w:b/>
          <w:bCs/>
          <w:sz w:val="20"/>
          <w:szCs w:val="20"/>
        </w:rPr>
        <w:t>12.</w:t>
      </w:r>
      <w:r>
        <w:rPr>
          <w:b/>
          <w:bCs/>
          <w:sz w:val="20"/>
          <w:szCs w:val="20"/>
        </w:rPr>
        <w:tab/>
      </w:r>
      <w:r w:rsidRPr="00C45A81">
        <w:rPr>
          <w:b/>
          <w:bCs/>
        </w:rPr>
        <w:t>Provide estimates of the hour burden of the collection of information.  The statement should:</w:t>
      </w:r>
    </w:p>
    <w:p w:rsidR="00BE31B6" w:rsidRPr="004B192C" w:rsidP="00BE31B6" w14:paraId="1E6C5709" w14:textId="77777777">
      <w:pPr>
        <w:widowControl/>
        <w:rPr>
          <w:b/>
          <w:bCs/>
        </w:rPr>
      </w:pPr>
    </w:p>
    <w:p w:rsidR="00BE31B6" w:rsidRPr="004B192C" w:rsidP="00BE31B6" w14:paraId="3D53BF6C" w14:textId="77777777">
      <w:pPr>
        <w:widowControl/>
        <w:ind w:left="900" w:hanging="180"/>
        <w:rPr>
          <w:b/>
          <w:bCs/>
        </w:rPr>
      </w:pPr>
      <w:r w:rsidRPr="00C45A81">
        <w:rPr>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E31B6" w:rsidRPr="004B192C" w:rsidP="00BE31B6" w14:paraId="50E37331" w14:textId="77777777">
      <w:pPr>
        <w:widowControl/>
        <w:rPr>
          <w:b/>
          <w:bCs/>
        </w:rPr>
      </w:pPr>
    </w:p>
    <w:p w:rsidR="00BE31B6" w:rsidRPr="00C45A81" w:rsidP="00FE41C9" w14:paraId="40C6FA4A" w14:textId="77777777">
      <w:pPr>
        <w:widowControl/>
        <w:tabs>
          <w:tab w:val="left" w:pos="720"/>
        </w:tabs>
        <w:ind w:left="900" w:hanging="180"/>
        <w:rPr>
          <w:b/>
          <w:bCs/>
        </w:rPr>
      </w:pPr>
      <w:r w:rsidRPr="00C45A81">
        <w:rPr>
          <w:b/>
          <w:bCs/>
        </w:rPr>
        <w:t>•</w:t>
      </w:r>
      <w:r w:rsidRPr="004B192C">
        <w:rPr>
          <w:b/>
          <w:bCs/>
        </w:rPr>
        <w:t xml:space="preserve">  </w:t>
      </w:r>
      <w:r w:rsidRPr="00C45A81">
        <w:rPr>
          <w:b/>
          <w:bCs/>
        </w:rPr>
        <w:t>If this request for approval covers more than one form, provide</w:t>
      </w:r>
      <w:r w:rsidRPr="00C45A81" w:rsidR="00FE41C9">
        <w:rPr>
          <w:b/>
          <w:bCs/>
        </w:rPr>
        <w:t xml:space="preserve"> separate hour burden estimates for each form</w:t>
      </w:r>
      <w:r w:rsidRPr="00C45A81">
        <w:rPr>
          <w:b/>
          <w:bCs/>
        </w:rPr>
        <w:t>.</w:t>
      </w:r>
    </w:p>
    <w:p w:rsidR="00BE31B6" w:rsidRPr="00C45A81" w:rsidP="00BE31B6" w14:paraId="2C7CBA68" w14:textId="77777777">
      <w:pPr>
        <w:widowControl/>
        <w:rPr>
          <w:b/>
          <w:bCs/>
        </w:rPr>
      </w:pPr>
    </w:p>
    <w:p w:rsidR="00BE31B6" w:rsidRPr="004B192C" w:rsidP="00BE31B6" w14:paraId="4807F33C" w14:textId="4FA36D52">
      <w:pPr>
        <w:widowControl/>
        <w:ind w:left="900" w:hanging="180"/>
      </w:pPr>
      <w:r w:rsidRPr="00C45A81">
        <w:rPr>
          <w:b/>
          <w:bCs/>
        </w:rPr>
        <w:t xml:space="preserve">•  Provide estimates of annualized cost to respondents for the hour burdens for </w:t>
      </w:r>
      <w:r w:rsidRPr="00C45A81" w:rsidR="009E552F">
        <w:rPr>
          <w:b/>
          <w:bCs/>
        </w:rPr>
        <w:t>information collection requirements</w:t>
      </w:r>
      <w:r w:rsidRPr="00C45A81">
        <w:rPr>
          <w:b/>
          <w:bCs/>
        </w:rPr>
        <w:t>, identifying and using appropriate wage rate categories.  The cost of contracting out or paying outside parties for information collection activities should not be included here.  Instead, this cost should be included in Item 1</w:t>
      </w:r>
      <w:r w:rsidR="00E321D0">
        <w:rPr>
          <w:b/>
          <w:bCs/>
        </w:rPr>
        <w:t>3</w:t>
      </w:r>
      <w:r w:rsidRPr="004B192C">
        <w:t>.</w:t>
      </w:r>
    </w:p>
    <w:p w:rsidR="00BE31B6" w:rsidP="00BE31B6" w14:paraId="740B1B43" w14:textId="77777777">
      <w:pPr>
        <w:widowControl/>
      </w:pPr>
    </w:p>
    <w:p w:rsidR="00B2248F" w:rsidRPr="004B192C" w:rsidP="00C45A81" w14:paraId="31575118" w14:textId="7876019D">
      <w:pPr>
        <w:spacing w:after="240"/>
        <w:outlineLvl w:val="0"/>
      </w:pPr>
      <w:r w:rsidRPr="00A464BC">
        <w:rPr>
          <w:rFonts w:ascii="Times New Roman Bold" w:hAnsi="Times New Roman Bold"/>
          <w:b/>
          <w:bCs/>
          <w:smallCaps/>
        </w:rPr>
        <w:t>Respondent Burden-Hour and Cost burden Determinations</w:t>
      </w:r>
    </w:p>
    <w:p w:rsidR="00BE31B6" w:rsidRPr="00CF521B" w:rsidP="00BE31B6" w14:paraId="6921CAB4" w14:textId="79D7F6DC">
      <w:pPr>
        <w:widowControl/>
      </w:pPr>
      <w:r w:rsidRPr="00CF521B">
        <w:t xml:space="preserve">To calculate burden hours and costs, OSHA estimates that </w:t>
      </w:r>
      <w:r w:rsidRPr="00C45A81" w:rsidR="00F951F2">
        <w:t>1,792,367</w:t>
      </w:r>
      <w:r w:rsidR="00083F46">
        <w:t xml:space="preserve"> </w:t>
      </w:r>
      <w:r w:rsidRPr="00CF521B">
        <w:t>establishments may use ionizing radiation.</w:t>
      </w:r>
      <w:r>
        <w:rPr>
          <w:rStyle w:val="FootnoteReference"/>
          <w:vertAlign w:val="superscript"/>
        </w:rPr>
        <w:footnoteReference w:id="10"/>
      </w:r>
      <w:r w:rsidRPr="00CF521B">
        <w:t xml:space="preserve">  Industries that the </w:t>
      </w:r>
      <w:r w:rsidR="00343E6B">
        <w:t>a</w:t>
      </w:r>
      <w:r w:rsidRPr="00CF521B">
        <w:t xml:space="preserve">gency believes may have ionizing-radiation exposures are:  Oil and gas; industrial waste-water treatment; municipal drinking water; geothermal energy; agriculture and food processing; wood, pulp, and paper; polymers, rubber, and synthetics; semiconductor, electronic, and ceramic; medical, dental, and veterinary; coal-fired power plants; shipbuilding and offshore installations; aviation and aerospace; foundries and rolling mills; transportation; and research. Table </w:t>
      </w:r>
      <w:r w:rsidR="007C0175">
        <w:t>2</w:t>
      </w:r>
      <w:r w:rsidRPr="00CF521B">
        <w:t xml:space="preserve"> below shows the estimated number of facilities in each of these industries and the typical sources of their ionizing-radiation exposures. </w:t>
      </w:r>
    </w:p>
    <w:p w:rsidR="00BE31B6" w:rsidP="00BE31B6" w14:paraId="506A54D9" w14:textId="4C682E02">
      <w:pPr>
        <w:widowControl/>
      </w:pPr>
    </w:p>
    <w:p w:rsidR="00BE31B6" w:rsidRPr="00732D61" w:rsidP="00732D61" w14:paraId="3C778695" w14:textId="67C3901D">
      <w:pPr>
        <w:widowControl/>
        <w:tabs>
          <w:tab w:val="center" w:pos="4680"/>
        </w:tabs>
        <w:spacing w:line="240" w:lineRule="exact"/>
        <w:contextualSpacing/>
        <w:jc w:val="center"/>
        <w:rPr>
          <w:sz w:val="22"/>
          <w:szCs w:val="22"/>
        </w:rPr>
      </w:pPr>
    </w:p>
    <w:tbl>
      <w:tblPr>
        <w:tblW w:w="0" w:type="auto"/>
        <w:jc w:val="center"/>
        <w:tblCellMar>
          <w:left w:w="120" w:type="dxa"/>
          <w:right w:w="120" w:type="dxa"/>
        </w:tblCellMar>
        <w:tblLook w:val="0000"/>
      </w:tblPr>
      <w:tblGrid>
        <w:gridCol w:w="3070"/>
        <w:gridCol w:w="1798"/>
        <w:gridCol w:w="4474"/>
      </w:tblGrid>
      <w:tr w14:paraId="3DC85CFB" w14:textId="77777777" w:rsidTr="00C45A81">
        <w:tblPrEx>
          <w:tblW w:w="0" w:type="auto"/>
          <w:jc w:val="center"/>
          <w:tblCellMar>
            <w:left w:w="120" w:type="dxa"/>
            <w:right w:w="120" w:type="dxa"/>
          </w:tblCellMar>
          <w:tblLook w:val="0000"/>
        </w:tblPrEx>
        <w:trPr>
          <w:trHeight w:hRule="exact" w:val="432"/>
          <w:tblHeader/>
          <w:jc w:val="center"/>
        </w:trPr>
        <w:tc>
          <w:tcPr>
            <w:tcW w:w="9342" w:type="dxa"/>
            <w:gridSpan w:val="3"/>
            <w:tcBorders>
              <w:top w:val="single" w:sz="7" w:space="0" w:color="000000"/>
              <w:left w:val="single" w:sz="7" w:space="0" w:color="000000"/>
              <w:bottom w:val="single" w:sz="7" w:space="0" w:color="000000"/>
              <w:right w:val="single" w:sz="7" w:space="0" w:color="000000"/>
            </w:tcBorders>
            <w:shd w:val="clear" w:color="auto" w:fill="CDF2FF"/>
            <w:vAlign w:val="center"/>
          </w:tcPr>
          <w:p w:rsidR="007812C5" w:rsidRPr="00125A0E" w:rsidP="00C45A81" w14:paraId="1783FE88" w14:textId="3269EB2B">
            <w:pPr>
              <w:widowControl/>
              <w:tabs>
                <w:tab w:val="center" w:pos="2175"/>
              </w:tabs>
              <w:spacing w:line="240" w:lineRule="exact"/>
              <w:contextualSpacing/>
              <w:rPr>
                <w:b/>
                <w:bCs/>
                <w:sz w:val="22"/>
                <w:szCs w:val="22"/>
              </w:rPr>
            </w:pPr>
            <w:r w:rsidRPr="00732D61">
              <w:rPr>
                <w:b/>
                <w:bCs/>
                <w:sz w:val="22"/>
                <w:szCs w:val="22"/>
              </w:rPr>
              <w:t xml:space="preserve">Table </w:t>
            </w:r>
            <w:r w:rsidR="007C0175">
              <w:rPr>
                <w:b/>
                <w:bCs/>
                <w:sz w:val="22"/>
                <w:szCs w:val="22"/>
              </w:rPr>
              <w:t>2</w:t>
            </w:r>
            <w:r w:rsidRPr="00732D61">
              <w:rPr>
                <w:b/>
                <w:bCs/>
                <w:sz w:val="22"/>
                <w:szCs w:val="22"/>
              </w:rPr>
              <w:t>: Number of Facilities per Industry and Typical Sources of Ionizing Radiation Exposures</w:t>
            </w:r>
          </w:p>
        </w:tc>
      </w:tr>
      <w:tr w14:paraId="4F5C35A5" w14:textId="77777777" w:rsidTr="00C45A81">
        <w:tblPrEx>
          <w:tblW w:w="0" w:type="auto"/>
          <w:jc w:val="center"/>
          <w:tblCellMar>
            <w:left w:w="120" w:type="dxa"/>
            <w:right w:w="120" w:type="dxa"/>
          </w:tblCellMar>
          <w:tblLook w:val="0000"/>
        </w:tblPrEx>
        <w:trPr>
          <w:trHeight w:hRule="exact" w:val="432"/>
          <w:tblHeader/>
          <w:jc w:val="center"/>
        </w:trPr>
        <w:tc>
          <w:tcPr>
            <w:tcW w:w="3070" w:type="dxa"/>
            <w:tcBorders>
              <w:top w:val="single" w:sz="7" w:space="0" w:color="000000"/>
              <w:left w:val="single" w:sz="7" w:space="0" w:color="000000"/>
              <w:bottom w:val="single" w:sz="7" w:space="0" w:color="000000"/>
              <w:right w:val="single" w:sz="7" w:space="0" w:color="000000"/>
            </w:tcBorders>
            <w:shd w:val="clear" w:color="auto" w:fill="5BD4FF"/>
            <w:vAlign w:val="center"/>
          </w:tcPr>
          <w:p w:rsidR="00BE31B6" w:rsidRPr="00125A0E" w:rsidP="00125A0E" w14:paraId="5072DB38" w14:textId="77777777">
            <w:pPr>
              <w:spacing w:line="120" w:lineRule="exact"/>
              <w:contextualSpacing/>
              <w:rPr>
                <w:sz w:val="22"/>
                <w:szCs w:val="22"/>
              </w:rPr>
            </w:pPr>
          </w:p>
          <w:p w:rsidR="00BE31B6" w:rsidRPr="00125A0E" w:rsidP="00125A0E" w14:paraId="6150CC0F" w14:textId="3BA6C113">
            <w:pPr>
              <w:widowControl/>
              <w:tabs>
                <w:tab w:val="center" w:pos="2175"/>
              </w:tabs>
              <w:spacing w:line="240" w:lineRule="exact"/>
              <w:contextualSpacing/>
              <w:rPr>
                <w:b/>
                <w:bCs/>
                <w:sz w:val="22"/>
                <w:szCs w:val="22"/>
              </w:rPr>
            </w:pPr>
            <w:r w:rsidRPr="00125A0E">
              <w:rPr>
                <w:b/>
                <w:bCs/>
                <w:sz w:val="22"/>
                <w:szCs w:val="22"/>
              </w:rPr>
              <w:t>Industry</w:t>
            </w:r>
          </w:p>
        </w:tc>
        <w:tc>
          <w:tcPr>
            <w:tcW w:w="0" w:type="auto"/>
            <w:tcBorders>
              <w:top w:val="single" w:sz="7" w:space="0" w:color="000000"/>
              <w:left w:val="single" w:sz="7" w:space="0" w:color="000000"/>
              <w:bottom w:val="single" w:sz="7" w:space="0" w:color="000000"/>
              <w:right w:val="single" w:sz="7" w:space="0" w:color="000000"/>
            </w:tcBorders>
            <w:shd w:val="clear" w:color="auto" w:fill="5BD4FF"/>
          </w:tcPr>
          <w:p w:rsidR="00BE31B6" w:rsidRPr="00125A0E" w:rsidP="00125A0E" w14:paraId="73B137AF" w14:textId="77777777">
            <w:pPr>
              <w:spacing w:line="120" w:lineRule="exact"/>
              <w:contextualSpacing/>
              <w:rPr>
                <w:b/>
                <w:bCs/>
                <w:sz w:val="22"/>
                <w:szCs w:val="22"/>
              </w:rPr>
            </w:pPr>
          </w:p>
          <w:p w:rsidR="00BE31B6" w:rsidRPr="00125A0E" w:rsidP="00125A0E" w14:paraId="70B2256A" w14:textId="77777777">
            <w:pPr>
              <w:widowControl/>
              <w:tabs>
                <w:tab w:val="center" w:pos="1005"/>
              </w:tabs>
              <w:contextualSpacing/>
              <w:rPr>
                <w:b/>
                <w:bCs/>
                <w:sz w:val="22"/>
                <w:szCs w:val="22"/>
              </w:rPr>
            </w:pPr>
            <w:r w:rsidRPr="00125A0E">
              <w:rPr>
                <w:b/>
                <w:bCs/>
                <w:sz w:val="22"/>
                <w:szCs w:val="22"/>
              </w:rPr>
              <w:tab/>
              <w:t>No. of Facilities</w:t>
            </w:r>
          </w:p>
        </w:tc>
        <w:tc>
          <w:tcPr>
            <w:tcW w:w="0" w:type="auto"/>
            <w:tcBorders>
              <w:top w:val="single" w:sz="7" w:space="0" w:color="000000"/>
              <w:left w:val="single" w:sz="7" w:space="0" w:color="000000"/>
              <w:bottom w:val="single" w:sz="7" w:space="0" w:color="000000"/>
              <w:right w:val="single" w:sz="7" w:space="0" w:color="000000"/>
            </w:tcBorders>
            <w:shd w:val="clear" w:color="auto" w:fill="5BD4FF"/>
            <w:vAlign w:val="center"/>
          </w:tcPr>
          <w:p w:rsidR="00BE31B6" w:rsidRPr="00125A0E" w:rsidP="00634AAF" w14:paraId="7D5242A0" w14:textId="77777777">
            <w:pPr>
              <w:spacing w:line="120" w:lineRule="exact"/>
              <w:contextualSpacing/>
              <w:rPr>
                <w:b/>
                <w:bCs/>
                <w:sz w:val="22"/>
                <w:szCs w:val="22"/>
              </w:rPr>
            </w:pPr>
          </w:p>
          <w:p w:rsidR="00BE31B6" w:rsidRPr="00125A0E" w:rsidP="00634AAF" w14:paraId="57D2DC59" w14:textId="424A07E2">
            <w:pPr>
              <w:widowControl/>
              <w:tabs>
                <w:tab w:val="center" w:pos="1140"/>
              </w:tabs>
              <w:contextualSpacing/>
              <w:rPr>
                <w:b/>
                <w:bCs/>
                <w:sz w:val="22"/>
                <w:szCs w:val="22"/>
              </w:rPr>
            </w:pPr>
            <w:r w:rsidRPr="00125A0E">
              <w:rPr>
                <w:b/>
                <w:bCs/>
                <w:sz w:val="22"/>
                <w:szCs w:val="22"/>
              </w:rPr>
              <w:t>Typical IR Sources</w:t>
            </w:r>
          </w:p>
        </w:tc>
      </w:tr>
      <w:tr w14:paraId="6D20D40E" w14:textId="77777777" w:rsidTr="00C45A81">
        <w:tblPrEx>
          <w:tblW w:w="0" w:type="auto"/>
          <w:jc w:val="center"/>
          <w:tblCellMar>
            <w:left w:w="120" w:type="dxa"/>
            <w:right w:w="120" w:type="dxa"/>
          </w:tblCellMar>
          <w:tblLook w:val="0000"/>
        </w:tblPrEx>
        <w:trPr>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5A4800" w:rsidRPr="00125A0E" w:rsidP="00125A0E" w14:paraId="1F82E9B0" w14:textId="77777777">
            <w:pPr>
              <w:spacing w:line="120" w:lineRule="exact"/>
              <w:rPr>
                <w:b/>
                <w:bCs/>
                <w:sz w:val="20"/>
                <w:szCs w:val="20"/>
              </w:rPr>
            </w:pPr>
          </w:p>
          <w:p w:rsidR="005A4800" w:rsidRPr="00125A0E" w:rsidP="00125A0E" w14:paraId="7C4BCA3E" w14:textId="77777777">
            <w:pPr>
              <w:widowControl/>
              <w:spacing w:after="58"/>
              <w:rPr>
                <w:sz w:val="20"/>
                <w:szCs w:val="20"/>
              </w:rPr>
            </w:pPr>
            <w:r w:rsidRPr="00125A0E">
              <w:rPr>
                <w:sz w:val="20"/>
                <w:szCs w:val="20"/>
              </w:rPr>
              <w:t>Oil and gas (well logging)</w:t>
            </w:r>
          </w:p>
        </w:tc>
        <w:tc>
          <w:tcPr>
            <w:tcW w:w="0" w:type="auto"/>
            <w:tcBorders>
              <w:top w:val="single" w:sz="7" w:space="0" w:color="000000"/>
              <w:left w:val="single" w:sz="7" w:space="0" w:color="000000"/>
              <w:bottom w:val="single" w:sz="7" w:space="0" w:color="000000"/>
              <w:right w:val="single" w:sz="7" w:space="0" w:color="000000"/>
            </w:tcBorders>
            <w:vAlign w:val="center"/>
          </w:tcPr>
          <w:p w:rsidR="005A4800" w:rsidRPr="00125A0E" w:rsidP="00125A0E" w14:paraId="029AAD67" w14:textId="6B3E9EC9">
            <w:pPr>
              <w:widowControl/>
              <w:spacing w:before="120" w:after="58"/>
              <w:jc w:val="center"/>
              <w:rPr>
                <w:sz w:val="20"/>
                <w:szCs w:val="20"/>
              </w:rPr>
            </w:pPr>
            <w:r>
              <w:rPr>
                <w:color w:val="000000"/>
                <w:sz w:val="20"/>
                <w:szCs w:val="20"/>
              </w:rPr>
              <w:t>20</w:t>
            </w:r>
            <w:r w:rsidR="00287DD6">
              <w:rPr>
                <w:color w:val="000000"/>
                <w:sz w:val="20"/>
                <w:szCs w:val="20"/>
              </w:rPr>
              <w:t>,261</w:t>
            </w:r>
          </w:p>
        </w:tc>
        <w:tc>
          <w:tcPr>
            <w:tcW w:w="0" w:type="auto"/>
            <w:tcBorders>
              <w:top w:val="single" w:sz="7" w:space="0" w:color="000000"/>
              <w:left w:val="single" w:sz="7" w:space="0" w:color="000000"/>
              <w:bottom w:val="single" w:sz="7" w:space="0" w:color="000000"/>
              <w:right w:val="single" w:sz="7" w:space="0" w:color="000000"/>
            </w:tcBorders>
          </w:tcPr>
          <w:p w:rsidR="005A4800" w:rsidRPr="00125A0E" w:rsidP="005A4800" w14:paraId="02FB0C15" w14:textId="77777777">
            <w:pPr>
              <w:spacing w:line="120" w:lineRule="exact"/>
              <w:rPr>
                <w:sz w:val="20"/>
                <w:szCs w:val="20"/>
              </w:rPr>
            </w:pPr>
          </w:p>
          <w:p w:rsidR="005A4800" w:rsidRPr="00125A0E" w:rsidP="005A4800" w14:paraId="740B35EE" w14:textId="77777777">
            <w:pPr>
              <w:widowControl/>
              <w:spacing w:after="58"/>
              <w:rPr>
                <w:sz w:val="20"/>
                <w:szCs w:val="20"/>
              </w:rPr>
            </w:pPr>
            <w:r w:rsidRPr="00125A0E">
              <w:rPr>
                <w:sz w:val="20"/>
                <w:szCs w:val="20"/>
              </w:rPr>
              <w:t>NORM or TENORM</w:t>
            </w:r>
            <w:r>
              <w:rPr>
                <w:rStyle w:val="FootnoteReference"/>
                <w:sz w:val="20"/>
                <w:szCs w:val="20"/>
                <w:vertAlign w:val="superscript"/>
              </w:rPr>
              <w:footnoteReference w:id="11"/>
            </w:r>
          </w:p>
        </w:tc>
      </w:tr>
      <w:tr w14:paraId="7A769FD1" w14:textId="77777777" w:rsidTr="00C45A81">
        <w:tblPrEx>
          <w:tblW w:w="0" w:type="auto"/>
          <w:jc w:val="center"/>
          <w:tblCellMar>
            <w:left w:w="120" w:type="dxa"/>
            <w:right w:w="120" w:type="dxa"/>
          </w:tblCellMar>
          <w:tblLook w:val="0000"/>
        </w:tblPrEx>
        <w:trPr>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5A4800" w:rsidRPr="00125A0E" w:rsidP="00125A0E" w14:paraId="1F740550" w14:textId="77777777">
            <w:pPr>
              <w:spacing w:line="120" w:lineRule="exact"/>
              <w:rPr>
                <w:sz w:val="20"/>
                <w:szCs w:val="20"/>
              </w:rPr>
            </w:pPr>
          </w:p>
          <w:p w:rsidR="005A4800" w:rsidRPr="00125A0E" w:rsidP="00125A0E" w14:paraId="40FC9B04" w14:textId="77777777">
            <w:pPr>
              <w:widowControl/>
              <w:spacing w:after="58"/>
              <w:rPr>
                <w:sz w:val="20"/>
                <w:szCs w:val="20"/>
              </w:rPr>
            </w:pPr>
            <w:r w:rsidRPr="00125A0E">
              <w:rPr>
                <w:sz w:val="20"/>
                <w:szCs w:val="20"/>
              </w:rPr>
              <w:t xml:space="preserve">Industrial waste-water treatment </w:t>
            </w:r>
          </w:p>
        </w:tc>
        <w:tc>
          <w:tcPr>
            <w:tcW w:w="0" w:type="auto"/>
            <w:tcBorders>
              <w:top w:val="single" w:sz="7" w:space="0" w:color="000000"/>
              <w:left w:val="single" w:sz="7" w:space="0" w:color="000000"/>
              <w:bottom w:val="single" w:sz="7" w:space="0" w:color="000000"/>
              <w:right w:val="single" w:sz="7" w:space="0" w:color="000000"/>
            </w:tcBorders>
            <w:vAlign w:val="center"/>
          </w:tcPr>
          <w:p w:rsidR="005A4800" w:rsidRPr="00125A0E" w:rsidP="00125A0E" w14:paraId="35D3B0D6" w14:textId="5C5E805A">
            <w:pPr>
              <w:widowControl/>
              <w:spacing w:before="120" w:after="58"/>
              <w:jc w:val="center"/>
              <w:rPr>
                <w:sz w:val="20"/>
                <w:szCs w:val="20"/>
              </w:rPr>
            </w:pPr>
            <w:r>
              <w:rPr>
                <w:color w:val="000000"/>
                <w:sz w:val="20"/>
                <w:szCs w:val="20"/>
              </w:rPr>
              <w:t>11,067</w:t>
            </w:r>
          </w:p>
        </w:tc>
        <w:tc>
          <w:tcPr>
            <w:tcW w:w="0" w:type="auto"/>
            <w:tcBorders>
              <w:top w:val="single" w:sz="7" w:space="0" w:color="000000"/>
              <w:left w:val="single" w:sz="7" w:space="0" w:color="000000"/>
              <w:bottom w:val="single" w:sz="7" w:space="0" w:color="000000"/>
              <w:right w:val="single" w:sz="7" w:space="0" w:color="000000"/>
            </w:tcBorders>
          </w:tcPr>
          <w:p w:rsidR="005A4800" w:rsidRPr="00125A0E" w:rsidP="005A4800" w14:paraId="1533C70E" w14:textId="77777777">
            <w:pPr>
              <w:spacing w:line="120" w:lineRule="exact"/>
              <w:rPr>
                <w:sz w:val="20"/>
                <w:szCs w:val="20"/>
              </w:rPr>
            </w:pPr>
          </w:p>
          <w:p w:rsidR="005A4800" w:rsidRPr="00125A0E" w:rsidP="005A4800" w14:paraId="7E68183C" w14:textId="77777777">
            <w:pPr>
              <w:widowControl/>
              <w:spacing w:after="58"/>
              <w:rPr>
                <w:sz w:val="20"/>
                <w:szCs w:val="20"/>
              </w:rPr>
            </w:pPr>
            <w:r w:rsidRPr="00125A0E">
              <w:rPr>
                <w:sz w:val="20"/>
                <w:szCs w:val="20"/>
              </w:rPr>
              <w:t>Electron beam</w:t>
            </w:r>
          </w:p>
        </w:tc>
      </w:tr>
      <w:tr w14:paraId="2253BACE" w14:textId="77777777" w:rsidTr="00C45A81">
        <w:tblPrEx>
          <w:tblW w:w="0" w:type="auto"/>
          <w:jc w:val="center"/>
          <w:tblCellMar>
            <w:left w:w="120" w:type="dxa"/>
            <w:right w:w="120" w:type="dxa"/>
          </w:tblCellMar>
          <w:tblLook w:val="0000"/>
        </w:tblPrEx>
        <w:trPr>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5A4800" w:rsidRPr="00125A0E" w:rsidP="00125A0E" w14:paraId="33DE1607" w14:textId="77777777">
            <w:pPr>
              <w:spacing w:line="120" w:lineRule="exact"/>
              <w:rPr>
                <w:sz w:val="20"/>
                <w:szCs w:val="20"/>
              </w:rPr>
            </w:pPr>
          </w:p>
          <w:p w:rsidR="005A4800" w:rsidRPr="00125A0E" w:rsidP="00125A0E" w14:paraId="69FFE32E" w14:textId="77777777">
            <w:pPr>
              <w:widowControl/>
              <w:spacing w:after="58"/>
              <w:rPr>
                <w:sz w:val="20"/>
                <w:szCs w:val="20"/>
              </w:rPr>
            </w:pPr>
            <w:r w:rsidRPr="00125A0E">
              <w:rPr>
                <w:sz w:val="20"/>
                <w:szCs w:val="20"/>
              </w:rPr>
              <w:t>Municipal drinking water</w:t>
            </w:r>
          </w:p>
        </w:tc>
        <w:tc>
          <w:tcPr>
            <w:tcW w:w="0" w:type="auto"/>
            <w:tcBorders>
              <w:top w:val="single" w:sz="7" w:space="0" w:color="000000"/>
              <w:left w:val="single" w:sz="7" w:space="0" w:color="000000"/>
              <w:bottom w:val="single" w:sz="7" w:space="0" w:color="000000"/>
              <w:right w:val="single" w:sz="7" w:space="0" w:color="000000"/>
            </w:tcBorders>
            <w:vAlign w:val="center"/>
          </w:tcPr>
          <w:p w:rsidR="005A4800" w:rsidRPr="00125A0E" w:rsidP="00125A0E" w14:paraId="18BB5758" w14:textId="306ED5F0">
            <w:pPr>
              <w:widowControl/>
              <w:spacing w:before="120" w:after="58"/>
              <w:jc w:val="center"/>
              <w:rPr>
                <w:sz w:val="20"/>
                <w:szCs w:val="20"/>
              </w:rPr>
            </w:pPr>
            <w:r>
              <w:rPr>
                <w:color w:val="000000"/>
                <w:sz w:val="20"/>
                <w:szCs w:val="20"/>
              </w:rPr>
              <w:t>7,167</w:t>
            </w:r>
          </w:p>
        </w:tc>
        <w:tc>
          <w:tcPr>
            <w:tcW w:w="0" w:type="auto"/>
            <w:tcBorders>
              <w:top w:val="single" w:sz="7" w:space="0" w:color="000000"/>
              <w:left w:val="single" w:sz="7" w:space="0" w:color="000000"/>
              <w:bottom w:val="single" w:sz="7" w:space="0" w:color="000000"/>
              <w:right w:val="single" w:sz="7" w:space="0" w:color="000000"/>
            </w:tcBorders>
          </w:tcPr>
          <w:p w:rsidR="005A4800" w:rsidRPr="00125A0E" w:rsidP="005A4800" w14:paraId="66129991" w14:textId="77777777">
            <w:pPr>
              <w:spacing w:line="120" w:lineRule="exact"/>
              <w:rPr>
                <w:sz w:val="20"/>
                <w:szCs w:val="20"/>
              </w:rPr>
            </w:pPr>
          </w:p>
          <w:p w:rsidR="005A4800" w:rsidRPr="00125A0E" w:rsidP="005A4800" w14:paraId="729A3E44" w14:textId="77777777">
            <w:pPr>
              <w:widowControl/>
              <w:spacing w:after="58"/>
              <w:rPr>
                <w:sz w:val="20"/>
                <w:szCs w:val="20"/>
              </w:rPr>
            </w:pPr>
            <w:r w:rsidRPr="00125A0E">
              <w:rPr>
                <w:sz w:val="20"/>
                <w:szCs w:val="20"/>
              </w:rPr>
              <w:t>NORM</w:t>
            </w:r>
          </w:p>
        </w:tc>
      </w:tr>
      <w:tr w14:paraId="7E63CCE4" w14:textId="77777777" w:rsidTr="00C45A81">
        <w:tblPrEx>
          <w:tblW w:w="0" w:type="auto"/>
          <w:jc w:val="center"/>
          <w:tblCellMar>
            <w:left w:w="120" w:type="dxa"/>
            <w:right w:w="120" w:type="dxa"/>
          </w:tblCellMar>
          <w:tblLook w:val="0000"/>
        </w:tblPrEx>
        <w:trPr>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5A4800" w:rsidRPr="00125A0E" w:rsidP="00125A0E" w14:paraId="01322D4F" w14:textId="77777777">
            <w:pPr>
              <w:spacing w:line="120" w:lineRule="exact"/>
              <w:rPr>
                <w:sz w:val="20"/>
                <w:szCs w:val="20"/>
              </w:rPr>
            </w:pPr>
          </w:p>
          <w:p w:rsidR="005A4800" w:rsidRPr="00125A0E" w:rsidP="00125A0E" w14:paraId="7D00D336" w14:textId="77777777">
            <w:pPr>
              <w:widowControl/>
              <w:spacing w:after="58"/>
              <w:rPr>
                <w:sz w:val="20"/>
                <w:szCs w:val="20"/>
              </w:rPr>
            </w:pPr>
            <w:r w:rsidRPr="00125A0E">
              <w:rPr>
                <w:sz w:val="20"/>
                <w:szCs w:val="20"/>
              </w:rPr>
              <w:t>Geothermal energy</w:t>
            </w:r>
          </w:p>
        </w:tc>
        <w:tc>
          <w:tcPr>
            <w:tcW w:w="0" w:type="auto"/>
            <w:tcBorders>
              <w:top w:val="single" w:sz="7" w:space="0" w:color="000000"/>
              <w:left w:val="single" w:sz="7" w:space="0" w:color="000000"/>
              <w:bottom w:val="single" w:sz="7" w:space="0" w:color="000000"/>
              <w:right w:val="single" w:sz="7" w:space="0" w:color="000000"/>
            </w:tcBorders>
            <w:vAlign w:val="center"/>
          </w:tcPr>
          <w:p w:rsidR="005A4800" w:rsidRPr="00125A0E" w:rsidP="00125A0E" w14:paraId="23B3C292" w14:textId="2712187A">
            <w:pPr>
              <w:widowControl/>
              <w:spacing w:before="120" w:after="58"/>
              <w:jc w:val="center"/>
              <w:rPr>
                <w:sz w:val="20"/>
                <w:szCs w:val="20"/>
              </w:rPr>
            </w:pPr>
            <w:r>
              <w:rPr>
                <w:color w:val="000000"/>
                <w:sz w:val="20"/>
                <w:szCs w:val="20"/>
              </w:rPr>
              <w:t>91</w:t>
            </w:r>
          </w:p>
        </w:tc>
        <w:tc>
          <w:tcPr>
            <w:tcW w:w="0" w:type="auto"/>
            <w:tcBorders>
              <w:top w:val="single" w:sz="7" w:space="0" w:color="000000"/>
              <w:left w:val="single" w:sz="7" w:space="0" w:color="000000"/>
              <w:bottom w:val="single" w:sz="7" w:space="0" w:color="000000"/>
              <w:right w:val="single" w:sz="7" w:space="0" w:color="000000"/>
            </w:tcBorders>
          </w:tcPr>
          <w:p w:rsidR="005A4800" w:rsidRPr="00125A0E" w:rsidP="005A4800" w14:paraId="423C151C" w14:textId="77777777">
            <w:pPr>
              <w:spacing w:line="120" w:lineRule="exact"/>
              <w:rPr>
                <w:sz w:val="20"/>
                <w:szCs w:val="20"/>
              </w:rPr>
            </w:pPr>
          </w:p>
          <w:p w:rsidR="005A4800" w:rsidRPr="00125A0E" w:rsidP="005A4800" w14:paraId="1602A43F" w14:textId="77777777">
            <w:pPr>
              <w:widowControl/>
              <w:spacing w:after="58"/>
              <w:rPr>
                <w:sz w:val="20"/>
                <w:szCs w:val="20"/>
              </w:rPr>
            </w:pPr>
            <w:r w:rsidRPr="00125A0E">
              <w:rPr>
                <w:sz w:val="20"/>
                <w:szCs w:val="20"/>
              </w:rPr>
              <w:t>TENORM</w:t>
            </w:r>
          </w:p>
        </w:tc>
      </w:tr>
      <w:tr w14:paraId="29E243A7" w14:textId="77777777" w:rsidTr="00C45A81">
        <w:tblPrEx>
          <w:tblW w:w="0" w:type="auto"/>
          <w:jc w:val="center"/>
          <w:tblCellMar>
            <w:left w:w="120" w:type="dxa"/>
            <w:right w:w="120" w:type="dxa"/>
          </w:tblCellMar>
          <w:tblLook w:val="0000"/>
        </w:tblPrEx>
        <w:trPr>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5A4800" w:rsidRPr="00125A0E" w:rsidP="00125A0E" w14:paraId="55B83605" w14:textId="77777777">
            <w:pPr>
              <w:spacing w:line="120" w:lineRule="exact"/>
              <w:rPr>
                <w:sz w:val="20"/>
                <w:szCs w:val="20"/>
              </w:rPr>
            </w:pPr>
          </w:p>
          <w:p w:rsidR="005A4800" w:rsidRPr="00125A0E" w:rsidP="00125A0E" w14:paraId="16FD4CF0" w14:textId="77777777">
            <w:pPr>
              <w:widowControl/>
              <w:spacing w:after="58"/>
              <w:rPr>
                <w:sz w:val="20"/>
                <w:szCs w:val="20"/>
              </w:rPr>
            </w:pPr>
            <w:r w:rsidRPr="00125A0E">
              <w:rPr>
                <w:sz w:val="20"/>
                <w:szCs w:val="20"/>
              </w:rPr>
              <w:t>Agriculture and food processing</w:t>
            </w:r>
          </w:p>
        </w:tc>
        <w:tc>
          <w:tcPr>
            <w:tcW w:w="0" w:type="auto"/>
            <w:tcBorders>
              <w:top w:val="single" w:sz="7" w:space="0" w:color="000000"/>
              <w:left w:val="single" w:sz="7" w:space="0" w:color="000000"/>
              <w:bottom w:val="single" w:sz="7" w:space="0" w:color="000000"/>
              <w:right w:val="single" w:sz="7" w:space="0" w:color="000000"/>
            </w:tcBorders>
            <w:vAlign w:val="center"/>
          </w:tcPr>
          <w:p w:rsidR="005A4800" w:rsidRPr="00125A0E" w:rsidP="00125A0E" w14:paraId="0E7D54FA" w14:textId="7C41D450">
            <w:pPr>
              <w:widowControl/>
              <w:spacing w:before="120" w:after="58"/>
              <w:jc w:val="center"/>
              <w:rPr>
                <w:sz w:val="20"/>
                <w:szCs w:val="20"/>
              </w:rPr>
            </w:pPr>
            <w:r>
              <w:rPr>
                <w:color w:val="000000"/>
                <w:sz w:val="20"/>
                <w:szCs w:val="20"/>
              </w:rPr>
              <w:t>15,029</w:t>
            </w:r>
          </w:p>
        </w:tc>
        <w:tc>
          <w:tcPr>
            <w:tcW w:w="0" w:type="auto"/>
            <w:tcBorders>
              <w:top w:val="single" w:sz="7" w:space="0" w:color="000000"/>
              <w:left w:val="single" w:sz="7" w:space="0" w:color="000000"/>
              <w:bottom w:val="single" w:sz="7" w:space="0" w:color="000000"/>
              <w:right w:val="single" w:sz="7" w:space="0" w:color="000000"/>
            </w:tcBorders>
          </w:tcPr>
          <w:p w:rsidR="005A4800" w:rsidRPr="00125A0E" w:rsidP="005A4800" w14:paraId="7931C0BA" w14:textId="77777777">
            <w:pPr>
              <w:spacing w:line="120" w:lineRule="exact"/>
              <w:rPr>
                <w:sz w:val="20"/>
                <w:szCs w:val="20"/>
              </w:rPr>
            </w:pPr>
          </w:p>
          <w:p w:rsidR="005A4800" w:rsidRPr="00125A0E" w:rsidP="005A4800" w14:paraId="04BB8B79" w14:textId="77777777">
            <w:pPr>
              <w:widowControl/>
              <w:spacing w:after="58"/>
              <w:rPr>
                <w:sz w:val="20"/>
                <w:szCs w:val="20"/>
              </w:rPr>
            </w:pPr>
            <w:r w:rsidRPr="00125A0E">
              <w:rPr>
                <w:sz w:val="20"/>
                <w:szCs w:val="20"/>
              </w:rPr>
              <w:t>Electron beam or X-ray</w:t>
            </w:r>
          </w:p>
        </w:tc>
      </w:tr>
      <w:tr w14:paraId="5B5E03D1"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C45A81" w14:paraId="4F7DEB34" w14:textId="2B1FD466">
            <w:pPr>
              <w:widowControl/>
              <w:spacing w:after="58"/>
              <w:rPr>
                <w:sz w:val="20"/>
                <w:szCs w:val="20"/>
              </w:rPr>
            </w:pPr>
            <w:r>
              <w:rPr>
                <w:sz w:val="20"/>
                <w:szCs w:val="20"/>
              </w:rPr>
              <w:t>Wo</w:t>
            </w:r>
            <w:r w:rsidRPr="00125A0E">
              <w:rPr>
                <w:sz w:val="20"/>
                <w:szCs w:val="20"/>
              </w:rPr>
              <w:t>od, pulp, and paper</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2CB516D6" w14:textId="7F242877">
            <w:pPr>
              <w:widowControl/>
              <w:spacing w:before="120" w:after="58"/>
              <w:jc w:val="center"/>
              <w:rPr>
                <w:color w:val="000000"/>
                <w:sz w:val="20"/>
                <w:szCs w:val="20"/>
              </w:rPr>
            </w:pPr>
            <w:r>
              <w:rPr>
                <w:color w:val="000000"/>
                <w:sz w:val="20"/>
                <w:szCs w:val="20"/>
              </w:rPr>
              <w:t>4,751</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RPr="00125A0E" w:rsidP="00C45A81" w14:paraId="3A39EDA1" w14:textId="29314E26">
            <w:pPr>
              <w:widowControl/>
              <w:spacing w:after="58"/>
              <w:rPr>
                <w:sz w:val="20"/>
                <w:szCs w:val="20"/>
              </w:rPr>
            </w:pPr>
            <w:r w:rsidRPr="00125A0E">
              <w:rPr>
                <w:sz w:val="20"/>
                <w:szCs w:val="20"/>
              </w:rPr>
              <w:t>X-ray</w:t>
            </w:r>
          </w:p>
        </w:tc>
      </w:tr>
      <w:tr w14:paraId="2278D359"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91623E" w14:paraId="638FD774" w14:textId="77777777">
            <w:pPr>
              <w:spacing w:line="120" w:lineRule="exact"/>
              <w:rPr>
                <w:sz w:val="20"/>
                <w:szCs w:val="20"/>
              </w:rPr>
            </w:pPr>
          </w:p>
          <w:p w:rsidR="0091623E" w:rsidRPr="00125A0E" w:rsidP="00C45A81" w14:paraId="1660B87B" w14:textId="20495A34">
            <w:pPr>
              <w:widowControl/>
              <w:spacing w:after="58"/>
              <w:rPr>
                <w:sz w:val="20"/>
                <w:szCs w:val="20"/>
              </w:rPr>
            </w:pPr>
            <w:r w:rsidRPr="00125A0E">
              <w:rPr>
                <w:sz w:val="20"/>
                <w:szCs w:val="20"/>
              </w:rPr>
              <w:t>Polymers, rubber, and synthetics</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1791F7EA" w14:textId="3916474C">
            <w:pPr>
              <w:widowControl/>
              <w:spacing w:before="120" w:after="58"/>
              <w:jc w:val="center"/>
              <w:rPr>
                <w:color w:val="000000"/>
                <w:sz w:val="20"/>
                <w:szCs w:val="20"/>
              </w:rPr>
            </w:pPr>
            <w:r>
              <w:rPr>
                <w:color w:val="000000"/>
                <w:sz w:val="20"/>
                <w:szCs w:val="20"/>
              </w:rPr>
              <w:t>25,374</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C45A81" w14:paraId="26B9F040" w14:textId="77777777">
            <w:pPr>
              <w:widowControl/>
              <w:spacing w:after="58"/>
              <w:rPr>
                <w:sz w:val="20"/>
                <w:szCs w:val="20"/>
              </w:rPr>
            </w:pPr>
          </w:p>
          <w:p w:rsidR="0091623E" w:rsidRPr="00125A0E" w:rsidP="00C45A81" w14:paraId="55E08C72" w14:textId="46427F39">
            <w:pPr>
              <w:widowControl/>
              <w:spacing w:after="58"/>
              <w:rPr>
                <w:sz w:val="20"/>
                <w:szCs w:val="20"/>
              </w:rPr>
            </w:pPr>
            <w:r w:rsidRPr="00125A0E">
              <w:rPr>
                <w:sz w:val="20"/>
                <w:szCs w:val="20"/>
              </w:rPr>
              <w:t>Electron beam</w:t>
            </w:r>
          </w:p>
        </w:tc>
      </w:tr>
      <w:tr w14:paraId="0C639D6C"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91623E" w14:paraId="00177B7D" w14:textId="77777777">
            <w:pPr>
              <w:spacing w:line="120" w:lineRule="exact"/>
              <w:rPr>
                <w:sz w:val="20"/>
                <w:szCs w:val="20"/>
              </w:rPr>
            </w:pPr>
          </w:p>
          <w:p w:rsidR="0091623E" w:rsidRPr="00125A0E" w:rsidP="00C45A81" w14:paraId="7865631E" w14:textId="1FE90C5B">
            <w:pPr>
              <w:widowControl/>
              <w:spacing w:after="58"/>
              <w:rPr>
                <w:sz w:val="20"/>
                <w:szCs w:val="20"/>
              </w:rPr>
            </w:pPr>
            <w:r w:rsidRPr="00125A0E">
              <w:rPr>
                <w:sz w:val="20"/>
                <w:szCs w:val="20"/>
              </w:rPr>
              <w:t>Semiconductor, electronic, and ceramics</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64986431" w14:textId="4A8BBD66">
            <w:pPr>
              <w:widowControl/>
              <w:spacing w:before="120" w:after="58"/>
              <w:jc w:val="center"/>
              <w:rPr>
                <w:color w:val="000000"/>
                <w:sz w:val="20"/>
                <w:szCs w:val="20"/>
              </w:rPr>
            </w:pPr>
            <w:r w:rsidRPr="00125A0E">
              <w:rPr>
                <w:color w:val="000000"/>
                <w:sz w:val="20"/>
                <w:szCs w:val="20"/>
              </w:rPr>
              <w:t>2</w:t>
            </w:r>
            <w:r>
              <w:rPr>
                <w:color w:val="000000"/>
                <w:sz w:val="20"/>
                <w:szCs w:val="20"/>
              </w:rPr>
              <w:t>8,305</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C45A81" w14:paraId="6DEDDE53" w14:textId="77777777">
            <w:pPr>
              <w:widowControl/>
              <w:spacing w:after="58"/>
              <w:rPr>
                <w:sz w:val="20"/>
                <w:szCs w:val="20"/>
              </w:rPr>
            </w:pPr>
          </w:p>
          <w:p w:rsidR="0091623E" w:rsidRPr="00125A0E" w:rsidP="00C45A81" w14:paraId="45489407" w14:textId="5977020C">
            <w:pPr>
              <w:widowControl/>
              <w:spacing w:after="58"/>
              <w:rPr>
                <w:sz w:val="20"/>
                <w:szCs w:val="20"/>
              </w:rPr>
            </w:pPr>
            <w:r w:rsidRPr="00125A0E">
              <w:rPr>
                <w:sz w:val="20"/>
                <w:szCs w:val="20"/>
              </w:rPr>
              <w:t>X-ray</w:t>
            </w:r>
          </w:p>
        </w:tc>
      </w:tr>
      <w:tr w14:paraId="2B27F7C0"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C45A81" w14:paraId="459675C7" w14:textId="77777777">
            <w:pPr>
              <w:widowControl/>
              <w:spacing w:after="58"/>
              <w:rPr>
                <w:sz w:val="20"/>
                <w:szCs w:val="20"/>
              </w:rPr>
            </w:pPr>
          </w:p>
          <w:p w:rsidR="0091623E" w:rsidRPr="00125A0E" w:rsidP="00C45A81" w14:paraId="2D6C452C" w14:textId="383130F4">
            <w:pPr>
              <w:widowControl/>
              <w:spacing w:after="58"/>
              <w:rPr>
                <w:sz w:val="20"/>
                <w:szCs w:val="20"/>
              </w:rPr>
            </w:pPr>
            <w:r w:rsidRPr="00125A0E">
              <w:rPr>
                <w:sz w:val="20"/>
                <w:szCs w:val="20"/>
              </w:rPr>
              <w:t>Medical</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2DA686CC" w14:textId="522FDC6D">
            <w:pPr>
              <w:widowControl/>
              <w:spacing w:before="120" w:after="58"/>
              <w:jc w:val="center"/>
              <w:rPr>
                <w:color w:val="000000"/>
                <w:sz w:val="20"/>
                <w:szCs w:val="20"/>
              </w:rPr>
            </w:pPr>
            <w:r>
              <w:rPr>
                <w:color w:val="000000"/>
                <w:sz w:val="20"/>
                <w:szCs w:val="20"/>
              </w:rPr>
              <w:t>232,763</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C45A81" w14:paraId="11282EFF" w14:textId="77777777">
            <w:pPr>
              <w:widowControl/>
              <w:spacing w:after="58"/>
              <w:rPr>
                <w:sz w:val="20"/>
                <w:szCs w:val="20"/>
              </w:rPr>
            </w:pPr>
          </w:p>
          <w:p w:rsidR="0091623E" w:rsidRPr="00125A0E" w:rsidP="00C45A81" w14:paraId="688E0378" w14:textId="4D9FA79B">
            <w:pPr>
              <w:widowControl/>
              <w:spacing w:after="58"/>
              <w:rPr>
                <w:sz w:val="20"/>
                <w:szCs w:val="20"/>
              </w:rPr>
            </w:pPr>
            <w:r w:rsidRPr="00125A0E">
              <w:rPr>
                <w:sz w:val="20"/>
                <w:szCs w:val="20"/>
              </w:rPr>
              <w:t xml:space="preserve">X-ray and electron beam </w:t>
            </w:r>
          </w:p>
        </w:tc>
      </w:tr>
      <w:tr w14:paraId="790AE7F0"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3E6FDD" w:rsidRPr="00125A0E" w:rsidP="003E6FDD" w14:paraId="00EDBD47" w14:textId="77777777">
            <w:pPr>
              <w:spacing w:line="120" w:lineRule="exact"/>
              <w:rPr>
                <w:sz w:val="20"/>
                <w:szCs w:val="20"/>
              </w:rPr>
            </w:pPr>
          </w:p>
          <w:p w:rsidR="003E6FDD" w:rsidRPr="00125A0E" w:rsidP="003E6FDD" w14:paraId="51F5F079" w14:textId="3B8309B6">
            <w:pPr>
              <w:widowControl/>
              <w:spacing w:after="58"/>
              <w:rPr>
                <w:sz w:val="20"/>
                <w:szCs w:val="20"/>
              </w:rPr>
            </w:pPr>
            <w:r w:rsidRPr="00125A0E">
              <w:rPr>
                <w:sz w:val="20"/>
                <w:szCs w:val="20"/>
              </w:rPr>
              <w:t>Dental</w:t>
            </w:r>
          </w:p>
        </w:tc>
        <w:tc>
          <w:tcPr>
            <w:tcW w:w="0" w:type="auto"/>
            <w:tcBorders>
              <w:top w:val="single" w:sz="7" w:space="0" w:color="000000"/>
              <w:left w:val="single" w:sz="7" w:space="0" w:color="000000"/>
              <w:bottom w:val="single" w:sz="7" w:space="0" w:color="000000"/>
              <w:right w:val="single" w:sz="7" w:space="0" w:color="000000"/>
            </w:tcBorders>
            <w:vAlign w:val="center"/>
          </w:tcPr>
          <w:p w:rsidR="003E6FDD" w:rsidP="003E6FDD" w14:paraId="63173576" w14:textId="2D185872">
            <w:pPr>
              <w:widowControl/>
              <w:spacing w:before="120" w:after="58"/>
              <w:jc w:val="center"/>
              <w:rPr>
                <w:color w:val="000000"/>
                <w:sz w:val="20"/>
                <w:szCs w:val="20"/>
              </w:rPr>
            </w:pPr>
            <w:r>
              <w:rPr>
                <w:color w:val="000000"/>
                <w:sz w:val="20"/>
                <w:szCs w:val="20"/>
              </w:rPr>
              <w:t>171,326</w:t>
            </w:r>
          </w:p>
        </w:tc>
        <w:tc>
          <w:tcPr>
            <w:tcW w:w="0" w:type="auto"/>
            <w:tcBorders>
              <w:top w:val="single" w:sz="7" w:space="0" w:color="000000"/>
              <w:left w:val="single" w:sz="7" w:space="0" w:color="000000"/>
              <w:bottom w:val="single" w:sz="7" w:space="0" w:color="000000"/>
              <w:right w:val="single" w:sz="7" w:space="0" w:color="000000"/>
            </w:tcBorders>
          </w:tcPr>
          <w:p w:rsidR="003E6FDD" w:rsidRPr="00125A0E" w:rsidP="003E6FDD" w14:paraId="46769599" w14:textId="77777777">
            <w:pPr>
              <w:spacing w:line="120" w:lineRule="exact"/>
              <w:rPr>
                <w:sz w:val="20"/>
                <w:szCs w:val="20"/>
              </w:rPr>
            </w:pPr>
          </w:p>
          <w:p w:rsidR="003E6FDD" w:rsidRPr="00125A0E" w:rsidP="00080CE5" w14:paraId="0C6AD21A" w14:textId="4E55D65D">
            <w:pPr>
              <w:widowControl/>
              <w:spacing w:after="58"/>
              <w:rPr>
                <w:sz w:val="20"/>
                <w:szCs w:val="20"/>
              </w:rPr>
            </w:pPr>
            <w:r w:rsidRPr="00125A0E">
              <w:rPr>
                <w:sz w:val="20"/>
                <w:szCs w:val="20"/>
              </w:rPr>
              <w:t>X-ray</w:t>
            </w:r>
          </w:p>
        </w:tc>
      </w:tr>
      <w:tr w14:paraId="5D443A19" w14:textId="77777777" w:rsidTr="00080CE5">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3E6FDD" w:rsidRPr="00125A0E" w:rsidP="003E6FDD" w14:paraId="1A05DDBD" w14:textId="77777777">
            <w:pPr>
              <w:spacing w:line="120" w:lineRule="exact"/>
              <w:rPr>
                <w:sz w:val="20"/>
                <w:szCs w:val="20"/>
              </w:rPr>
            </w:pPr>
          </w:p>
          <w:p w:rsidR="003E6FDD" w:rsidRPr="00125A0E" w:rsidP="003E6FDD" w14:paraId="7ABAA93E" w14:textId="6E186AB5">
            <w:pPr>
              <w:widowControl/>
              <w:spacing w:after="58"/>
              <w:rPr>
                <w:sz w:val="20"/>
                <w:szCs w:val="20"/>
              </w:rPr>
            </w:pPr>
            <w:r w:rsidRPr="00125A0E">
              <w:rPr>
                <w:sz w:val="20"/>
                <w:szCs w:val="20"/>
              </w:rPr>
              <w:t>Veterinary</w:t>
            </w:r>
          </w:p>
        </w:tc>
        <w:tc>
          <w:tcPr>
            <w:tcW w:w="0" w:type="auto"/>
            <w:tcBorders>
              <w:top w:val="single" w:sz="7" w:space="0" w:color="000000"/>
              <w:left w:val="single" w:sz="7" w:space="0" w:color="000000"/>
              <w:bottom w:val="single" w:sz="7" w:space="0" w:color="000000"/>
              <w:right w:val="single" w:sz="7" w:space="0" w:color="000000"/>
            </w:tcBorders>
            <w:vAlign w:val="center"/>
          </w:tcPr>
          <w:p w:rsidR="003E6FDD" w:rsidP="003E6FDD" w14:paraId="65FBB39F" w14:textId="39C293CC">
            <w:pPr>
              <w:widowControl/>
              <w:spacing w:before="120" w:after="58"/>
              <w:jc w:val="center"/>
              <w:rPr>
                <w:color w:val="000000"/>
                <w:sz w:val="20"/>
                <w:szCs w:val="20"/>
              </w:rPr>
            </w:pPr>
            <w:r>
              <w:rPr>
                <w:color w:val="000000"/>
                <w:sz w:val="20"/>
                <w:szCs w:val="20"/>
              </w:rPr>
              <w:t>21,756</w:t>
            </w:r>
          </w:p>
        </w:tc>
        <w:tc>
          <w:tcPr>
            <w:tcW w:w="0" w:type="auto"/>
            <w:tcBorders>
              <w:top w:val="single" w:sz="7" w:space="0" w:color="000000"/>
              <w:left w:val="single" w:sz="7" w:space="0" w:color="000000"/>
              <w:bottom w:val="single" w:sz="7" w:space="0" w:color="000000"/>
              <w:right w:val="single" w:sz="7" w:space="0" w:color="000000"/>
            </w:tcBorders>
            <w:vAlign w:val="center"/>
          </w:tcPr>
          <w:p w:rsidR="003E6FDD" w:rsidRPr="00125A0E" w:rsidP="00080CE5" w14:paraId="0426BD99" w14:textId="782A1605">
            <w:pPr>
              <w:widowControl/>
              <w:spacing w:after="58"/>
              <w:rPr>
                <w:sz w:val="20"/>
                <w:szCs w:val="20"/>
              </w:rPr>
            </w:pPr>
            <w:r w:rsidRPr="00125A0E">
              <w:rPr>
                <w:sz w:val="20"/>
                <w:szCs w:val="20"/>
              </w:rPr>
              <w:t>X-ray</w:t>
            </w:r>
          </w:p>
        </w:tc>
      </w:tr>
      <w:tr w14:paraId="21DE0BBF"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91623E" w14:paraId="78ACBE44" w14:textId="77777777">
            <w:pPr>
              <w:spacing w:line="120" w:lineRule="exact"/>
              <w:rPr>
                <w:sz w:val="20"/>
                <w:szCs w:val="20"/>
              </w:rPr>
            </w:pPr>
          </w:p>
          <w:p w:rsidR="0091623E" w:rsidRPr="00125A0E" w:rsidP="00C45A81" w14:paraId="396CBC93" w14:textId="160C29A5">
            <w:pPr>
              <w:widowControl/>
              <w:spacing w:after="58"/>
              <w:rPr>
                <w:sz w:val="20"/>
                <w:szCs w:val="20"/>
              </w:rPr>
            </w:pPr>
            <w:r w:rsidRPr="00125A0E">
              <w:rPr>
                <w:sz w:val="20"/>
                <w:szCs w:val="20"/>
              </w:rPr>
              <w:t>Coal-fired power plants</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1B8B308A" w14:textId="6BA66AFE">
            <w:pPr>
              <w:widowControl/>
              <w:spacing w:before="120" w:after="58"/>
              <w:jc w:val="center"/>
              <w:rPr>
                <w:color w:val="000000"/>
                <w:sz w:val="20"/>
                <w:szCs w:val="20"/>
              </w:rPr>
            </w:pPr>
            <w:r>
              <w:rPr>
                <w:color w:val="000000"/>
                <w:sz w:val="20"/>
                <w:szCs w:val="20"/>
              </w:rPr>
              <w:t>3,802</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91623E" w14:paraId="6A637A1F" w14:textId="77777777">
            <w:pPr>
              <w:spacing w:line="120" w:lineRule="exact"/>
              <w:rPr>
                <w:sz w:val="20"/>
                <w:szCs w:val="20"/>
              </w:rPr>
            </w:pPr>
          </w:p>
          <w:p w:rsidR="0091623E" w:rsidRPr="00125A0E" w:rsidP="00C45A81" w14:paraId="45D1EF81" w14:textId="0550EE2D">
            <w:pPr>
              <w:widowControl/>
              <w:spacing w:after="58"/>
              <w:rPr>
                <w:sz w:val="20"/>
                <w:szCs w:val="20"/>
              </w:rPr>
            </w:pPr>
            <w:r w:rsidRPr="00125A0E">
              <w:rPr>
                <w:sz w:val="20"/>
                <w:szCs w:val="20"/>
              </w:rPr>
              <w:t>NORM</w:t>
            </w:r>
          </w:p>
        </w:tc>
      </w:tr>
      <w:tr w14:paraId="1DFAD499"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91623E" w14:paraId="0CCDF1F1" w14:textId="77777777">
            <w:pPr>
              <w:spacing w:line="120" w:lineRule="exact"/>
              <w:rPr>
                <w:sz w:val="20"/>
                <w:szCs w:val="20"/>
              </w:rPr>
            </w:pPr>
          </w:p>
          <w:p w:rsidR="0091623E" w:rsidRPr="00125A0E" w:rsidP="00C45A81" w14:paraId="46EC9564" w14:textId="53C769DD">
            <w:pPr>
              <w:widowControl/>
              <w:spacing w:after="58"/>
              <w:rPr>
                <w:sz w:val="20"/>
                <w:szCs w:val="20"/>
              </w:rPr>
            </w:pPr>
            <w:r w:rsidRPr="00125A0E">
              <w:rPr>
                <w:sz w:val="20"/>
                <w:szCs w:val="20"/>
              </w:rPr>
              <w:t>Shipbuilding and offshore installations</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7D2BEDA6" w14:textId="24352FC9">
            <w:pPr>
              <w:widowControl/>
              <w:spacing w:before="120" w:after="58"/>
              <w:jc w:val="center"/>
              <w:rPr>
                <w:color w:val="000000"/>
                <w:sz w:val="20"/>
                <w:szCs w:val="20"/>
              </w:rPr>
            </w:pPr>
            <w:r>
              <w:rPr>
                <w:color w:val="000000"/>
                <w:sz w:val="20"/>
                <w:szCs w:val="20"/>
              </w:rPr>
              <w:t>15,428</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91623E" w14:paraId="2776E619" w14:textId="77777777">
            <w:pPr>
              <w:spacing w:line="120" w:lineRule="exact"/>
              <w:rPr>
                <w:sz w:val="20"/>
                <w:szCs w:val="20"/>
              </w:rPr>
            </w:pPr>
          </w:p>
          <w:p w:rsidR="0091623E" w:rsidRPr="00125A0E" w:rsidP="00C45A81" w14:paraId="1948EEB8" w14:textId="176609C7">
            <w:pPr>
              <w:widowControl/>
              <w:spacing w:after="58"/>
              <w:rPr>
                <w:sz w:val="20"/>
                <w:szCs w:val="20"/>
              </w:rPr>
            </w:pPr>
            <w:r w:rsidRPr="00125A0E">
              <w:rPr>
                <w:sz w:val="20"/>
                <w:szCs w:val="20"/>
              </w:rPr>
              <w:t>X-ray</w:t>
            </w:r>
          </w:p>
        </w:tc>
      </w:tr>
      <w:tr w14:paraId="0F62680D"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91623E" w14:paraId="4091CFB7" w14:textId="77777777">
            <w:pPr>
              <w:spacing w:line="120" w:lineRule="exact"/>
              <w:rPr>
                <w:sz w:val="20"/>
                <w:szCs w:val="20"/>
              </w:rPr>
            </w:pPr>
          </w:p>
          <w:p w:rsidR="0091623E" w:rsidRPr="00125A0E" w:rsidP="00C45A81" w14:paraId="4B1F4ECB" w14:textId="34DA70B4">
            <w:pPr>
              <w:widowControl/>
              <w:spacing w:after="58"/>
              <w:rPr>
                <w:sz w:val="20"/>
                <w:szCs w:val="20"/>
              </w:rPr>
            </w:pPr>
            <w:r w:rsidRPr="00125A0E">
              <w:rPr>
                <w:sz w:val="20"/>
                <w:szCs w:val="20"/>
              </w:rPr>
              <w:t>Aviation and aerospace</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0B1E9059" w14:textId="3B227F56">
            <w:pPr>
              <w:widowControl/>
              <w:spacing w:before="120" w:after="58"/>
              <w:jc w:val="center"/>
              <w:rPr>
                <w:color w:val="000000"/>
                <w:sz w:val="20"/>
                <w:szCs w:val="20"/>
              </w:rPr>
            </w:pPr>
            <w:r>
              <w:rPr>
                <w:color w:val="000000"/>
                <w:sz w:val="20"/>
                <w:szCs w:val="20"/>
              </w:rPr>
              <w:t>5,932</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91623E" w14:paraId="357BC6D5" w14:textId="77777777">
            <w:pPr>
              <w:spacing w:line="120" w:lineRule="exact"/>
              <w:rPr>
                <w:sz w:val="20"/>
                <w:szCs w:val="20"/>
              </w:rPr>
            </w:pPr>
          </w:p>
          <w:p w:rsidR="0091623E" w:rsidRPr="00125A0E" w:rsidP="00C45A81" w14:paraId="2E946E90" w14:textId="6887A2E2">
            <w:pPr>
              <w:widowControl/>
              <w:spacing w:after="58"/>
              <w:rPr>
                <w:sz w:val="20"/>
                <w:szCs w:val="20"/>
              </w:rPr>
            </w:pPr>
            <w:r w:rsidRPr="00125A0E">
              <w:rPr>
                <w:sz w:val="20"/>
                <w:szCs w:val="20"/>
              </w:rPr>
              <w:t>X-ray</w:t>
            </w:r>
          </w:p>
        </w:tc>
      </w:tr>
      <w:tr w14:paraId="52CF94B4"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91623E" w14:paraId="36809936" w14:textId="77777777">
            <w:pPr>
              <w:spacing w:line="120" w:lineRule="exact"/>
              <w:rPr>
                <w:sz w:val="20"/>
                <w:szCs w:val="20"/>
              </w:rPr>
            </w:pPr>
          </w:p>
          <w:p w:rsidR="0091623E" w:rsidRPr="00125A0E" w:rsidP="00C45A81" w14:paraId="4CA84241" w14:textId="7E826FAD">
            <w:pPr>
              <w:widowControl/>
              <w:spacing w:after="58"/>
              <w:rPr>
                <w:sz w:val="20"/>
                <w:szCs w:val="20"/>
              </w:rPr>
            </w:pPr>
            <w:r w:rsidRPr="00125A0E">
              <w:rPr>
                <w:sz w:val="20"/>
                <w:szCs w:val="20"/>
              </w:rPr>
              <w:t>Foundries and rolling mills</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6E029B44" w14:textId="6D032F7D">
            <w:pPr>
              <w:widowControl/>
              <w:spacing w:before="120" w:after="58"/>
              <w:jc w:val="center"/>
              <w:rPr>
                <w:color w:val="000000"/>
                <w:sz w:val="20"/>
                <w:szCs w:val="20"/>
              </w:rPr>
            </w:pPr>
            <w:r>
              <w:rPr>
                <w:color w:val="000000"/>
                <w:sz w:val="20"/>
                <w:szCs w:val="20"/>
              </w:rPr>
              <w:t>57,215</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91623E" w14:paraId="2E41C120" w14:textId="77777777">
            <w:pPr>
              <w:spacing w:line="120" w:lineRule="exact"/>
              <w:rPr>
                <w:sz w:val="20"/>
                <w:szCs w:val="20"/>
              </w:rPr>
            </w:pPr>
          </w:p>
          <w:p w:rsidR="0091623E" w:rsidRPr="00125A0E" w:rsidP="00C45A81" w14:paraId="750B6FDE" w14:textId="2B9AC610">
            <w:pPr>
              <w:widowControl/>
              <w:spacing w:after="58"/>
              <w:rPr>
                <w:sz w:val="20"/>
                <w:szCs w:val="20"/>
              </w:rPr>
            </w:pPr>
            <w:r w:rsidRPr="00125A0E">
              <w:rPr>
                <w:sz w:val="20"/>
                <w:szCs w:val="20"/>
              </w:rPr>
              <w:t>X-ray</w:t>
            </w:r>
          </w:p>
        </w:tc>
      </w:tr>
      <w:tr w14:paraId="78359826"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C45A81" w14:paraId="4B679D9D" w14:textId="6BAD1AB1">
            <w:pPr>
              <w:widowControl/>
              <w:spacing w:after="58"/>
              <w:rPr>
                <w:sz w:val="20"/>
                <w:szCs w:val="20"/>
              </w:rPr>
            </w:pPr>
            <w:r w:rsidRPr="00125A0E">
              <w:rPr>
                <w:sz w:val="20"/>
                <w:szCs w:val="20"/>
              </w:rPr>
              <w:t>Research</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61167F87" w14:textId="6AE5F20F">
            <w:pPr>
              <w:widowControl/>
              <w:spacing w:before="120" w:after="58"/>
              <w:jc w:val="center"/>
              <w:rPr>
                <w:color w:val="000000"/>
                <w:sz w:val="20"/>
                <w:szCs w:val="20"/>
              </w:rPr>
            </w:pPr>
            <w:r>
              <w:rPr>
                <w:color w:val="000000"/>
                <w:sz w:val="20"/>
                <w:szCs w:val="20"/>
              </w:rPr>
              <w:t>33,385</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C45A81" w14:paraId="372742AC" w14:textId="128409BC">
            <w:pPr>
              <w:widowControl/>
              <w:spacing w:after="58"/>
              <w:rPr>
                <w:sz w:val="20"/>
                <w:szCs w:val="20"/>
              </w:rPr>
            </w:pPr>
            <w:r w:rsidRPr="00125A0E">
              <w:rPr>
                <w:sz w:val="20"/>
                <w:szCs w:val="20"/>
              </w:rPr>
              <w:t>Accelerators, dosimetry instruments, and electron microscopes</w:t>
            </w:r>
          </w:p>
        </w:tc>
      </w:tr>
      <w:tr w14:paraId="04523FA1"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C45A81" w14:paraId="741B1292" w14:textId="6E763481">
            <w:pPr>
              <w:widowControl/>
              <w:spacing w:after="58"/>
              <w:rPr>
                <w:sz w:val="20"/>
                <w:szCs w:val="20"/>
              </w:rPr>
            </w:pPr>
            <w:r w:rsidRPr="00125A0E">
              <w:rPr>
                <w:sz w:val="20"/>
                <w:szCs w:val="20"/>
              </w:rPr>
              <w:t>Transportation</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4DA45B6E" w14:textId="47C93671">
            <w:pPr>
              <w:widowControl/>
              <w:spacing w:before="120" w:after="58"/>
              <w:jc w:val="center"/>
              <w:rPr>
                <w:color w:val="000000"/>
                <w:sz w:val="20"/>
                <w:szCs w:val="20"/>
              </w:rPr>
            </w:pPr>
            <w:r>
              <w:rPr>
                <w:color w:val="000000"/>
                <w:sz w:val="20"/>
                <w:szCs w:val="20"/>
              </w:rPr>
              <w:t>60,178</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C45A81" w14:paraId="3554767C" w14:textId="0D3A7761">
            <w:pPr>
              <w:widowControl/>
              <w:spacing w:after="58"/>
              <w:rPr>
                <w:sz w:val="20"/>
                <w:szCs w:val="20"/>
              </w:rPr>
            </w:pPr>
            <w:r w:rsidRPr="00125A0E">
              <w:rPr>
                <w:sz w:val="20"/>
                <w:szCs w:val="20"/>
              </w:rPr>
              <w:t>X-Ray</w:t>
            </w:r>
          </w:p>
        </w:tc>
      </w:tr>
      <w:tr w14:paraId="47A4D508"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C45A81" w14:paraId="6C9BC1E5" w14:textId="17026E0D">
            <w:pPr>
              <w:widowControl/>
              <w:spacing w:after="58"/>
              <w:rPr>
                <w:sz w:val="20"/>
                <w:szCs w:val="20"/>
              </w:rPr>
            </w:pPr>
            <w:r w:rsidRPr="00125A0E">
              <w:rPr>
                <w:sz w:val="20"/>
                <w:szCs w:val="20"/>
              </w:rPr>
              <w:t>Sterilization and Bio-burden Reduction</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2E6A519F" w14:textId="5344A9D6">
            <w:pPr>
              <w:widowControl/>
              <w:spacing w:before="120" w:after="58"/>
              <w:jc w:val="center"/>
              <w:rPr>
                <w:color w:val="000000"/>
                <w:sz w:val="20"/>
                <w:szCs w:val="20"/>
              </w:rPr>
            </w:pPr>
            <w:r>
              <w:rPr>
                <w:color w:val="000000"/>
                <w:sz w:val="20"/>
                <w:szCs w:val="20"/>
              </w:rPr>
              <w:t>644,262</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C45A81" w14:paraId="3FCA1C1A" w14:textId="0C344AAA">
            <w:pPr>
              <w:widowControl/>
              <w:spacing w:after="58"/>
              <w:rPr>
                <w:sz w:val="20"/>
                <w:szCs w:val="20"/>
              </w:rPr>
            </w:pPr>
            <w:r w:rsidRPr="00125A0E">
              <w:rPr>
                <w:sz w:val="20"/>
                <w:szCs w:val="20"/>
              </w:rPr>
              <w:t>Electron beam or x-ray</w:t>
            </w:r>
          </w:p>
        </w:tc>
      </w:tr>
      <w:tr w14:paraId="326DAE98"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C45A81" w14:paraId="06052DA3" w14:textId="4D212004">
            <w:pPr>
              <w:widowControl/>
              <w:spacing w:after="58"/>
              <w:rPr>
                <w:sz w:val="20"/>
                <w:szCs w:val="20"/>
              </w:rPr>
            </w:pPr>
            <w:r w:rsidRPr="00125A0E">
              <w:rPr>
                <w:sz w:val="20"/>
                <w:szCs w:val="20"/>
              </w:rPr>
              <w:t>Phosphate Manufacturing</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0FB473B3" w14:textId="0AD62581">
            <w:pPr>
              <w:widowControl/>
              <w:spacing w:before="120" w:after="58"/>
              <w:jc w:val="center"/>
              <w:rPr>
                <w:color w:val="000000"/>
                <w:sz w:val="20"/>
                <w:szCs w:val="20"/>
              </w:rPr>
            </w:pPr>
            <w:r>
              <w:rPr>
                <w:color w:val="000000"/>
                <w:sz w:val="20"/>
                <w:szCs w:val="20"/>
              </w:rPr>
              <w:t>7,158</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C45A81" w14:paraId="18C75752" w14:textId="5469767E">
            <w:pPr>
              <w:widowControl/>
              <w:spacing w:after="58"/>
              <w:rPr>
                <w:sz w:val="20"/>
                <w:szCs w:val="20"/>
              </w:rPr>
            </w:pPr>
            <w:r w:rsidRPr="00125A0E">
              <w:rPr>
                <w:sz w:val="20"/>
                <w:szCs w:val="20"/>
              </w:rPr>
              <w:t>TENORM</w:t>
            </w:r>
          </w:p>
        </w:tc>
      </w:tr>
      <w:tr w14:paraId="73B9765C"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C45A81" w14:paraId="02DCACFD" w14:textId="6CF39530">
            <w:pPr>
              <w:widowControl/>
              <w:spacing w:after="58"/>
              <w:rPr>
                <w:sz w:val="20"/>
                <w:szCs w:val="20"/>
              </w:rPr>
            </w:pPr>
            <w:r w:rsidRPr="00125A0E">
              <w:rPr>
                <w:sz w:val="20"/>
                <w:szCs w:val="20"/>
              </w:rPr>
              <w:t>Construction</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66E52692" w14:textId="57AF5556">
            <w:pPr>
              <w:widowControl/>
              <w:spacing w:before="120" w:after="58"/>
              <w:jc w:val="center"/>
              <w:rPr>
                <w:color w:val="000000"/>
                <w:sz w:val="20"/>
                <w:szCs w:val="20"/>
              </w:rPr>
            </w:pPr>
            <w:r>
              <w:rPr>
                <w:color w:val="000000"/>
                <w:sz w:val="20"/>
                <w:szCs w:val="20"/>
              </w:rPr>
              <w:t>427,117</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C45A81" w14:paraId="0005A5E2" w14:textId="7C69AAAA">
            <w:pPr>
              <w:widowControl/>
              <w:spacing w:after="58"/>
              <w:rPr>
                <w:sz w:val="20"/>
                <w:szCs w:val="20"/>
              </w:rPr>
            </w:pPr>
            <w:r w:rsidRPr="00125A0E">
              <w:rPr>
                <w:sz w:val="20"/>
                <w:szCs w:val="20"/>
              </w:rPr>
              <w:t>X-ray, NORM</w:t>
            </w:r>
          </w:p>
        </w:tc>
      </w:tr>
      <w:tr w14:paraId="73F3A894" w14:textId="77777777" w:rsidTr="00C45A81">
        <w:tblPrEx>
          <w:tblW w:w="0" w:type="auto"/>
          <w:jc w:val="center"/>
          <w:tblCellMar>
            <w:left w:w="120" w:type="dxa"/>
            <w:right w:w="120" w:type="dxa"/>
          </w:tblCellMar>
          <w:tblLook w:val="0000"/>
        </w:tblPrEx>
        <w:trPr>
          <w:trHeight w:val="432"/>
          <w:jc w:val="center"/>
        </w:trPr>
        <w:tc>
          <w:tcPr>
            <w:tcW w:w="3070" w:type="dxa"/>
            <w:tcBorders>
              <w:top w:val="single" w:sz="7" w:space="0" w:color="000000"/>
              <w:left w:val="single" w:sz="7" w:space="0" w:color="000000"/>
              <w:bottom w:val="single" w:sz="7" w:space="0" w:color="000000"/>
              <w:right w:val="single" w:sz="7" w:space="0" w:color="000000"/>
            </w:tcBorders>
            <w:vAlign w:val="center"/>
          </w:tcPr>
          <w:p w:rsidR="0091623E" w:rsidRPr="00125A0E" w:rsidP="00C45A81" w14:paraId="2CC1BA3D" w14:textId="7CC54792">
            <w:pPr>
              <w:widowControl/>
              <w:spacing w:after="58"/>
              <w:rPr>
                <w:sz w:val="20"/>
                <w:szCs w:val="20"/>
              </w:rPr>
            </w:pPr>
            <w:r w:rsidRPr="00C45A81">
              <w:rPr>
                <w:sz w:val="20"/>
                <w:szCs w:val="20"/>
              </w:rPr>
              <w:t>Totals</w:t>
            </w:r>
          </w:p>
        </w:tc>
        <w:tc>
          <w:tcPr>
            <w:tcW w:w="0" w:type="auto"/>
            <w:tcBorders>
              <w:top w:val="single" w:sz="7" w:space="0" w:color="000000"/>
              <w:left w:val="single" w:sz="7" w:space="0" w:color="000000"/>
              <w:bottom w:val="single" w:sz="7" w:space="0" w:color="000000"/>
              <w:right w:val="single" w:sz="7" w:space="0" w:color="000000"/>
            </w:tcBorders>
            <w:vAlign w:val="center"/>
          </w:tcPr>
          <w:p w:rsidR="0091623E" w:rsidP="0091623E" w14:paraId="1F127A46" w14:textId="3757AA25">
            <w:pPr>
              <w:widowControl/>
              <w:spacing w:before="120" w:after="58"/>
              <w:jc w:val="center"/>
              <w:rPr>
                <w:color w:val="000000"/>
                <w:sz w:val="20"/>
                <w:szCs w:val="20"/>
              </w:rPr>
            </w:pPr>
            <w:r>
              <w:rPr>
                <w:b/>
                <w:bCs/>
                <w:color w:val="000000"/>
                <w:sz w:val="20"/>
                <w:szCs w:val="20"/>
              </w:rPr>
              <w:t>1,792,367</w:t>
            </w:r>
          </w:p>
        </w:tc>
        <w:tc>
          <w:tcPr>
            <w:tcW w:w="0" w:type="auto"/>
            <w:tcBorders>
              <w:top w:val="single" w:sz="7" w:space="0" w:color="000000"/>
              <w:left w:val="single" w:sz="7" w:space="0" w:color="000000"/>
              <w:bottom w:val="single" w:sz="7" w:space="0" w:color="000000"/>
              <w:right w:val="single" w:sz="7" w:space="0" w:color="000000"/>
            </w:tcBorders>
          </w:tcPr>
          <w:p w:rsidR="0091623E" w:rsidRPr="00125A0E" w:rsidP="0091623E" w14:paraId="22E9872E" w14:textId="77777777">
            <w:pPr>
              <w:spacing w:line="120" w:lineRule="exact"/>
              <w:rPr>
                <w:sz w:val="20"/>
                <w:szCs w:val="20"/>
              </w:rPr>
            </w:pPr>
          </w:p>
        </w:tc>
      </w:tr>
    </w:tbl>
    <w:p w:rsidR="00CF20D6" w14:paraId="19E46F29" w14:textId="77777777"/>
    <w:p w:rsidR="00BE31B6" w:rsidP="00BE31B6" w14:paraId="2E96C759" w14:textId="77777777">
      <w:pPr>
        <w:widowControl/>
      </w:pPr>
    </w:p>
    <w:p w:rsidR="006A7F61" w:rsidRPr="004B1FE9" w:rsidP="00BE31B6" w14:paraId="696A6511" w14:textId="4F75F09B">
      <w:pPr>
        <w:widowControl/>
      </w:pPr>
      <w:r w:rsidRPr="004B1FE9">
        <w:t>Applying ratios</w:t>
      </w:r>
      <w:r w:rsidRPr="004B1FE9" w:rsidR="003A38DC">
        <w:t xml:space="preserve"> from</w:t>
      </w:r>
      <w:r w:rsidRPr="004B1FE9" w:rsidR="00AD25ED">
        <w:t xml:space="preserve"> previous </w:t>
      </w:r>
      <w:r w:rsidR="00356EED">
        <w:t>information collection requests (I</w:t>
      </w:r>
      <w:r w:rsidRPr="004B1FE9" w:rsidR="00AD25ED">
        <w:t>CRs</w:t>
      </w:r>
      <w:r w:rsidR="00356EED">
        <w:t>)</w:t>
      </w:r>
      <w:r>
        <w:rPr>
          <w:rStyle w:val="FootnoteReference"/>
          <w:vertAlign w:val="superscript"/>
        </w:rPr>
        <w:footnoteReference w:id="12"/>
      </w:r>
      <w:r w:rsidRPr="004B1FE9" w:rsidR="00AD25ED">
        <w:t xml:space="preserve">, the </w:t>
      </w:r>
      <w:r w:rsidR="0054644F">
        <w:t>a</w:t>
      </w:r>
      <w:r w:rsidRPr="004B1FE9" w:rsidR="00AD25ED">
        <w:t xml:space="preserve">gency estimates </w:t>
      </w:r>
      <w:r w:rsidR="00846988">
        <w:t>25,63</w:t>
      </w:r>
      <w:r w:rsidR="003439D7">
        <w:t>1</w:t>
      </w:r>
      <w:r w:rsidR="00AD25ED">
        <w:t xml:space="preserve"> facilities, or </w:t>
      </w:r>
      <w:r w:rsidRPr="004B1FE9" w:rsidR="00AD25ED">
        <w:t xml:space="preserve">1.43% of the </w:t>
      </w:r>
      <w:r w:rsidR="00F0184D">
        <w:t xml:space="preserve">1,792,367 </w:t>
      </w:r>
      <w:r w:rsidRPr="004B1FE9" w:rsidR="00AD25ED">
        <w:t xml:space="preserve">facilities </w:t>
      </w:r>
      <w:r w:rsidR="00AD25ED">
        <w:t>which may use ionizing radiation</w:t>
      </w:r>
      <w:r>
        <w:t>,</w:t>
      </w:r>
      <w:r w:rsidR="00AD25ED">
        <w:t xml:space="preserve"> </w:t>
      </w:r>
      <w:r w:rsidRPr="004B1FE9" w:rsidR="00AD25ED">
        <w:t xml:space="preserve">have employees </w:t>
      </w:r>
      <w:r>
        <w:t>who require exposure</w:t>
      </w:r>
      <w:r w:rsidR="00B82984">
        <w:t xml:space="preserve"> </w:t>
      </w:r>
      <w:r>
        <w:t>monitoring under</w:t>
      </w:r>
      <w:r w:rsidRPr="004B1FE9" w:rsidR="00AD25ED">
        <w:t xml:space="preserve"> the standard.</w:t>
      </w:r>
    </w:p>
    <w:p w:rsidR="00AD25ED" w:rsidP="00BE31B6" w14:paraId="31B41ECF" w14:textId="77777777">
      <w:pPr>
        <w:widowControl/>
        <w:rPr>
          <w:b/>
        </w:rPr>
      </w:pPr>
    </w:p>
    <w:p w:rsidR="006A7F61" w:rsidRPr="00E97935" w:rsidP="00BE31B6" w14:paraId="660EB8AC" w14:textId="77777777">
      <w:pPr>
        <w:widowControl/>
        <w:rPr>
          <w:b/>
        </w:rPr>
      </w:pPr>
      <w:r w:rsidRPr="00E97935">
        <w:rPr>
          <w:b/>
        </w:rPr>
        <w:t>Wage Rate Determinations</w:t>
      </w:r>
    </w:p>
    <w:p w:rsidR="00AE680F" w:rsidRPr="00CF521B" w:rsidP="0029253E" w14:paraId="5DCF97A4" w14:textId="77777777"/>
    <w:p w:rsidR="003172A5" w:rsidRPr="00E97935" w:rsidP="00E97935" w14:paraId="7FF963C3" w14:textId="1BF861D7">
      <w:r w:rsidRPr="00100FC9">
        <w:t xml:space="preserve">The </w:t>
      </w:r>
      <w:r w:rsidR="004E4EB2">
        <w:t>a</w:t>
      </w:r>
      <w:r w:rsidRPr="00100FC9">
        <w:t xml:space="preserve">gency determined the wage rate from mean hourly wage earnings to represent the cost of employee time.  For the relevant standard occupational classification category, OSHA </w:t>
      </w:r>
      <w:r w:rsidRPr="00100FC9">
        <w:rPr>
          <w:rFonts w:eastAsia="Calibri"/>
        </w:rPr>
        <w:t xml:space="preserve">used the wage rates reported in the Bureau of Labor Statistics, U.S. Department of Labor, </w:t>
      </w:r>
      <w:r w:rsidRPr="00100FC9">
        <w:rPr>
          <w:rFonts w:eastAsia="Calibri"/>
          <w:i/>
        </w:rPr>
        <w:t>Occupational Employment</w:t>
      </w:r>
      <w:r w:rsidR="009B1736">
        <w:rPr>
          <w:rFonts w:eastAsia="Calibri"/>
          <w:i/>
        </w:rPr>
        <w:t xml:space="preserve"> and Wage</w:t>
      </w:r>
      <w:r w:rsidRPr="00100FC9">
        <w:rPr>
          <w:rFonts w:eastAsia="Calibri"/>
          <w:i/>
        </w:rPr>
        <w:t xml:space="preserve"> Statistics</w:t>
      </w:r>
      <w:r w:rsidRPr="00100FC9">
        <w:rPr>
          <w:rFonts w:eastAsia="Calibri"/>
        </w:rPr>
        <w:t xml:space="preserve"> (OE</w:t>
      </w:r>
      <w:r w:rsidR="002E433F">
        <w:rPr>
          <w:rFonts w:eastAsia="Calibri"/>
        </w:rPr>
        <w:t>W</w:t>
      </w:r>
      <w:r w:rsidRPr="00100FC9">
        <w:rPr>
          <w:rFonts w:eastAsia="Calibri"/>
        </w:rPr>
        <w:t xml:space="preserve">S), May </w:t>
      </w:r>
      <w:r w:rsidR="00FA4DEE">
        <w:rPr>
          <w:rFonts w:eastAsia="Calibri"/>
        </w:rPr>
        <w:t>2023</w:t>
      </w:r>
      <w:r w:rsidRPr="00100FC9">
        <w:rPr>
          <w:rFonts w:eastAsia="Calibri"/>
        </w:rPr>
        <w:t xml:space="preserve"> [date accessed:</w:t>
      </w:r>
      <w:r>
        <w:rPr>
          <w:rFonts w:eastAsia="Calibri"/>
        </w:rPr>
        <w:t xml:space="preserve"> </w:t>
      </w:r>
      <w:r w:rsidR="00436378">
        <w:rPr>
          <w:rFonts w:eastAsia="Calibri"/>
        </w:rPr>
        <w:t>April 19</w:t>
      </w:r>
      <w:r w:rsidR="001A3006">
        <w:rPr>
          <w:rFonts w:eastAsia="Calibri"/>
        </w:rPr>
        <w:t>,</w:t>
      </w:r>
      <w:r w:rsidR="00BD34C0">
        <w:rPr>
          <w:rFonts w:eastAsia="Calibri"/>
        </w:rPr>
        <w:t xml:space="preserve"> </w:t>
      </w:r>
      <w:r w:rsidR="001A3006">
        <w:rPr>
          <w:rFonts w:eastAsia="Calibri"/>
        </w:rPr>
        <w:t>2024</w:t>
      </w:r>
      <w:r w:rsidRPr="00100FC9">
        <w:rPr>
          <w:rFonts w:eastAsia="Calibri"/>
        </w:rPr>
        <w:t xml:space="preserve">)]. </w:t>
      </w:r>
      <w:r w:rsidRPr="00E97935">
        <w:t>(OE</w:t>
      </w:r>
      <w:r w:rsidR="002E433F">
        <w:t>W</w:t>
      </w:r>
      <w:r w:rsidRPr="00E97935">
        <w:t xml:space="preserve">S data is available at: </w:t>
      </w:r>
      <w:hyperlink r:id="rId9" w:history="1">
        <w:r>
          <w:rPr>
            <w:rStyle w:val="Hyperlink"/>
          </w:rPr>
          <w:t>https://www.bls.gov/oes/tables.htm</w:t>
        </w:r>
      </w:hyperlink>
      <w:r>
        <w:rPr>
          <w:color w:val="1F497D"/>
        </w:rPr>
        <w:t xml:space="preserve">. </w:t>
      </w:r>
      <w:r w:rsidRPr="00E97935">
        <w:t xml:space="preserve">To access a wage rate, select the year, “Occupation Profiles,” and the Standard Occupational Classification (SOC) code.)  </w:t>
      </w:r>
    </w:p>
    <w:p w:rsidR="003172A5" w:rsidP="00E97935" w14:paraId="1D753357" w14:textId="77777777">
      <w:pPr>
        <w:rPr>
          <w:color w:val="1F497D"/>
        </w:rPr>
      </w:pPr>
    </w:p>
    <w:p w:rsidR="002E433F" w:rsidRPr="002E433F" w:rsidP="002E433F" w14:paraId="050B9DA6" w14:textId="22CE3266">
      <w:pPr>
        <w:widowControl/>
        <w:autoSpaceDE/>
        <w:adjustRightInd/>
        <w:textAlignment w:val="baseline"/>
        <w:rPr>
          <w:rFonts w:ascii="Segoe UI" w:hAnsi="Segoe UI" w:cs="Segoe UI"/>
        </w:rPr>
      </w:pPr>
      <w:r w:rsidRPr="002E433F">
        <w:t xml:space="preserve">To account for fringe benefits, the agency used the </w:t>
      </w:r>
      <w:r w:rsidRPr="002E433F">
        <w:rPr>
          <w:i/>
          <w:iCs/>
        </w:rPr>
        <w:t>Occupational Employment Wage Statistics (OEWS)</w:t>
      </w:r>
      <w:r w:rsidRPr="002E433F">
        <w:t xml:space="preserve">.  Fringe markup is from the following BLS release:  </w:t>
      </w:r>
      <w:r w:rsidRPr="002E433F">
        <w:rPr>
          <w:i/>
          <w:iCs/>
        </w:rPr>
        <w:t>Employer Costs for Employee Compensation</w:t>
      </w:r>
      <w:r w:rsidRPr="002E433F">
        <w:t xml:space="preserve"> news release text; For release, December 15, </w:t>
      </w:r>
      <w:r w:rsidRPr="002E433F" w:rsidR="00DC0423">
        <w:t>2023</w:t>
      </w:r>
      <w:r w:rsidR="004B3ED8">
        <w:rPr>
          <w:u w:val="single"/>
        </w:rPr>
        <w:t>,</w:t>
      </w:r>
      <w:r w:rsidR="00D56725">
        <w:rPr>
          <w:i/>
          <w:iCs/>
          <w:u w:val="single"/>
        </w:rPr>
        <w:t xml:space="preserve"> </w:t>
      </w:r>
      <w:r w:rsidRPr="00C45A81" w:rsidR="00B06349">
        <w:rPr>
          <w:u w:val="single"/>
        </w:rPr>
        <w:t>(</w:t>
      </w:r>
      <w:hyperlink r:id="rId10" w:history="1">
        <w:r w:rsidRPr="00C45A81" w:rsidR="00B06349">
          <w:rPr>
            <w:rStyle w:val="Hyperlink"/>
          </w:rPr>
          <w:t>https://www.bls.gov/news.release/pdf/ecec.pdf</w:t>
        </w:r>
      </w:hyperlink>
      <w:r w:rsidR="00B06349">
        <w:t>)</w:t>
      </w:r>
      <w:r w:rsidRPr="002E433F">
        <w:rPr>
          <w:i/>
          <w:iCs/>
        </w:rPr>
        <w:t xml:space="preserve">. </w:t>
      </w:r>
      <w:r w:rsidRPr="002E433F">
        <w:t>BLS reported that private industry workers, fringe benefits accounted for 29.4</w:t>
      </w:r>
      <w:r w:rsidR="002A19D0">
        <w:t xml:space="preserve"> </w:t>
      </w:r>
      <w:r w:rsidRPr="002E433F">
        <w:t xml:space="preserve">percent of total compensation and wages accounted for the remaining 70.6 percent.    </w:t>
      </w:r>
    </w:p>
    <w:p w:rsidR="002E433F" w:rsidP="00E97935" w14:paraId="43471F74" w14:textId="77777777">
      <w:pPr>
        <w:rPr>
          <w:color w:val="1F497D"/>
        </w:rPr>
      </w:pPr>
    </w:p>
    <w:tbl>
      <w:tblPr>
        <w:tblW w:w="9872" w:type="dxa"/>
        <w:tblInd w:w="378" w:type="dxa"/>
        <w:tblLook w:val="04A0"/>
      </w:tblPr>
      <w:tblGrid>
        <w:gridCol w:w="2480"/>
        <w:gridCol w:w="1772"/>
        <w:gridCol w:w="1422"/>
        <w:gridCol w:w="2076"/>
        <w:gridCol w:w="2122"/>
      </w:tblGrid>
      <w:tr w14:paraId="124F6371" w14:textId="77777777" w:rsidTr="00C45A81">
        <w:tblPrEx>
          <w:tblW w:w="9872" w:type="dxa"/>
          <w:tblInd w:w="378" w:type="dxa"/>
          <w:tblLook w:val="04A0"/>
        </w:tblPrEx>
        <w:trPr>
          <w:trHeight w:val="300"/>
        </w:trPr>
        <w:tc>
          <w:tcPr>
            <w:tcW w:w="9872" w:type="dxa"/>
            <w:gridSpan w:val="5"/>
            <w:tcBorders>
              <w:top w:val="single" w:sz="8" w:space="0" w:color="auto"/>
              <w:left w:val="single" w:sz="8" w:space="0" w:color="auto"/>
              <w:bottom w:val="single" w:sz="8" w:space="0" w:color="auto"/>
              <w:right w:val="single" w:sz="8" w:space="0" w:color="000000"/>
            </w:tcBorders>
            <w:shd w:val="clear" w:color="auto" w:fill="C5E0B3" w:themeFill="accent6" w:themeFillTint="66"/>
            <w:vAlign w:val="center"/>
            <w:hideMark/>
          </w:tcPr>
          <w:p w:rsidR="00576DFD" w:rsidP="00E70ABE" w14:paraId="23731DEA" w14:textId="7D0BD69A">
            <w:pPr>
              <w:jc w:val="center"/>
              <w:rPr>
                <w:b/>
                <w:bCs/>
                <w:color w:val="000000"/>
                <w:sz w:val="20"/>
                <w:szCs w:val="20"/>
              </w:rPr>
            </w:pPr>
            <w:r>
              <w:rPr>
                <w:b/>
                <w:bCs/>
                <w:color w:val="000000"/>
                <w:szCs w:val="20"/>
              </w:rPr>
              <w:t xml:space="preserve">Table </w:t>
            </w:r>
            <w:r w:rsidR="004A521D">
              <w:rPr>
                <w:b/>
                <w:bCs/>
                <w:color w:val="000000"/>
                <w:szCs w:val="20"/>
              </w:rPr>
              <w:t>3</w:t>
            </w:r>
            <w:r>
              <w:rPr>
                <w:b/>
                <w:bCs/>
                <w:color w:val="000000"/>
                <w:szCs w:val="20"/>
              </w:rPr>
              <w:t xml:space="preserve"> - WAGE HOUR ESTIMATES (202</w:t>
            </w:r>
            <w:r w:rsidR="00C502DC">
              <w:rPr>
                <w:b/>
                <w:bCs/>
                <w:color w:val="000000"/>
                <w:szCs w:val="20"/>
              </w:rPr>
              <w:t>4</w:t>
            </w:r>
            <w:r>
              <w:rPr>
                <w:b/>
                <w:bCs/>
                <w:color w:val="000000"/>
                <w:szCs w:val="20"/>
              </w:rPr>
              <w:t>)</w:t>
            </w:r>
          </w:p>
        </w:tc>
      </w:tr>
      <w:tr w14:paraId="7AAFDE21" w14:textId="77777777" w:rsidTr="00EF3453">
        <w:tblPrEx>
          <w:tblW w:w="9872" w:type="dxa"/>
          <w:tblInd w:w="378" w:type="dxa"/>
          <w:tblLook w:val="04A0"/>
        </w:tblPrEx>
        <w:trPr>
          <w:trHeight w:val="1320"/>
        </w:trPr>
        <w:tc>
          <w:tcPr>
            <w:tcW w:w="2480" w:type="dxa"/>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rsidR="00576DFD" w:rsidP="00E70ABE" w14:paraId="564BB70C" w14:textId="77777777">
            <w:pPr>
              <w:jc w:val="center"/>
              <w:rPr>
                <w:b/>
                <w:bCs/>
                <w:color w:val="000000"/>
                <w:szCs w:val="20"/>
              </w:rPr>
            </w:pPr>
            <w:r>
              <w:rPr>
                <w:b/>
                <w:bCs/>
                <w:color w:val="000000"/>
                <w:szCs w:val="20"/>
              </w:rPr>
              <w:t>Occupational Title</w:t>
            </w:r>
          </w:p>
        </w:tc>
        <w:tc>
          <w:tcPr>
            <w:tcW w:w="1772"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576DFD" w:rsidP="00E70ABE" w14:paraId="31BA222C" w14:textId="7FEFAAA4">
            <w:pPr>
              <w:jc w:val="center"/>
              <w:rPr>
                <w:b/>
                <w:bCs/>
                <w:color w:val="000000"/>
                <w:szCs w:val="20"/>
              </w:rPr>
            </w:pPr>
            <w:r>
              <w:rPr>
                <w:b/>
                <w:bCs/>
                <w:color w:val="000000"/>
                <w:szCs w:val="20"/>
              </w:rPr>
              <w:t>SO</w:t>
            </w:r>
            <w:r w:rsidR="007042A7">
              <w:rPr>
                <w:b/>
                <w:bCs/>
                <w:color w:val="000000"/>
                <w:szCs w:val="20"/>
              </w:rPr>
              <w:t>C</w:t>
            </w:r>
            <w:r>
              <w:rPr>
                <w:b/>
                <w:bCs/>
                <w:color w:val="000000"/>
                <w:szCs w:val="20"/>
              </w:rPr>
              <w:t xml:space="preserve"> Code</w:t>
            </w:r>
          </w:p>
        </w:tc>
        <w:tc>
          <w:tcPr>
            <w:tcW w:w="1422"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EC1092" w:rsidP="00E70ABE" w14:paraId="44E075BE" w14:textId="77777777">
            <w:pPr>
              <w:jc w:val="center"/>
              <w:rPr>
                <w:b/>
                <w:bCs/>
                <w:color w:val="000000"/>
                <w:szCs w:val="20"/>
              </w:rPr>
            </w:pPr>
            <w:r>
              <w:rPr>
                <w:b/>
                <w:bCs/>
                <w:color w:val="000000"/>
                <w:szCs w:val="20"/>
              </w:rPr>
              <w:t xml:space="preserve">Mean Hour Wage Rate </w:t>
            </w:r>
          </w:p>
          <w:p w:rsidR="00EC1092" w:rsidP="00E70ABE" w14:paraId="41A18335" w14:textId="77777777">
            <w:pPr>
              <w:jc w:val="center"/>
              <w:rPr>
                <w:b/>
                <w:bCs/>
                <w:color w:val="000000"/>
                <w:szCs w:val="20"/>
              </w:rPr>
            </w:pPr>
          </w:p>
          <w:p w:rsidR="00576DFD" w:rsidP="00E70ABE" w14:paraId="4CBDD184" w14:textId="5A45C4F3">
            <w:pPr>
              <w:jc w:val="center"/>
              <w:rPr>
                <w:b/>
                <w:bCs/>
                <w:color w:val="000000"/>
                <w:szCs w:val="20"/>
              </w:rPr>
            </w:pPr>
            <w:r>
              <w:rPr>
                <w:b/>
                <w:bCs/>
                <w:color w:val="000000"/>
                <w:szCs w:val="20"/>
              </w:rPr>
              <w:t>(A)</w:t>
            </w:r>
          </w:p>
        </w:tc>
        <w:tc>
          <w:tcPr>
            <w:tcW w:w="2076"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EC1092" w:rsidP="00E70ABE" w14:paraId="5FDFCDAD" w14:textId="77777777">
            <w:pPr>
              <w:jc w:val="center"/>
              <w:rPr>
                <w:b/>
                <w:bCs/>
                <w:color w:val="000000"/>
                <w:szCs w:val="20"/>
              </w:rPr>
            </w:pPr>
            <w:r>
              <w:rPr>
                <w:b/>
                <w:bCs/>
                <w:color w:val="000000"/>
                <w:szCs w:val="20"/>
              </w:rPr>
              <w:t xml:space="preserve">Fringe Benefits </w:t>
            </w:r>
          </w:p>
          <w:p w:rsidR="00EC1092" w:rsidP="00E70ABE" w14:paraId="5D2D959B" w14:textId="77777777">
            <w:pPr>
              <w:jc w:val="center"/>
              <w:rPr>
                <w:b/>
                <w:bCs/>
                <w:color w:val="000000"/>
                <w:szCs w:val="20"/>
              </w:rPr>
            </w:pPr>
          </w:p>
          <w:p w:rsidR="00136175" w:rsidP="00E70ABE" w14:paraId="6B1D0D8D" w14:textId="77777777">
            <w:pPr>
              <w:jc w:val="center"/>
              <w:rPr>
                <w:b/>
                <w:bCs/>
                <w:color w:val="000000"/>
                <w:szCs w:val="20"/>
              </w:rPr>
            </w:pPr>
          </w:p>
          <w:p w:rsidR="00576DFD" w:rsidP="00E70ABE" w14:paraId="291BA57F" w14:textId="04166B3F">
            <w:pPr>
              <w:jc w:val="center"/>
              <w:rPr>
                <w:b/>
                <w:bCs/>
                <w:color w:val="000000"/>
                <w:szCs w:val="20"/>
              </w:rPr>
            </w:pPr>
            <w:r>
              <w:rPr>
                <w:b/>
                <w:bCs/>
                <w:color w:val="000000"/>
                <w:szCs w:val="20"/>
              </w:rPr>
              <w:t>(B)</w:t>
            </w:r>
          </w:p>
        </w:tc>
        <w:tc>
          <w:tcPr>
            <w:tcW w:w="2122"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EC1092" w:rsidP="009145D8" w14:paraId="44029FD0" w14:textId="77777777">
            <w:pPr>
              <w:rPr>
                <w:b/>
                <w:bCs/>
                <w:color w:val="000000"/>
                <w:szCs w:val="20"/>
              </w:rPr>
            </w:pPr>
            <w:r>
              <w:rPr>
                <w:b/>
                <w:bCs/>
                <w:color w:val="000000"/>
                <w:szCs w:val="20"/>
              </w:rPr>
              <w:t xml:space="preserve">Loaded Hourly Wage Rate </w:t>
            </w:r>
          </w:p>
          <w:p w:rsidR="00136175" w:rsidP="009145D8" w14:paraId="75141203" w14:textId="77777777">
            <w:pPr>
              <w:rPr>
                <w:b/>
                <w:bCs/>
                <w:color w:val="000000"/>
                <w:szCs w:val="20"/>
              </w:rPr>
            </w:pPr>
          </w:p>
          <w:p w:rsidR="00576DFD" w:rsidP="009145D8" w14:paraId="24A8CC3C" w14:textId="28726511">
            <w:pPr>
              <w:rPr>
                <w:b/>
                <w:bCs/>
                <w:color w:val="000000"/>
                <w:szCs w:val="20"/>
              </w:rPr>
            </w:pPr>
            <w:r>
              <w:rPr>
                <w:b/>
                <w:bCs/>
                <w:color w:val="000000"/>
                <w:szCs w:val="20"/>
              </w:rPr>
              <w:t>(C) = (A)/(1-(B))</w:t>
            </w:r>
          </w:p>
        </w:tc>
      </w:tr>
      <w:tr w14:paraId="113232AE" w14:textId="77777777" w:rsidTr="00C45A81">
        <w:tblPrEx>
          <w:tblW w:w="9872" w:type="dxa"/>
          <w:tblInd w:w="378" w:type="dxa"/>
          <w:tblLook w:val="04A0"/>
        </w:tblPrEx>
        <w:trPr>
          <w:trHeight w:val="40"/>
        </w:trPr>
        <w:tc>
          <w:tcPr>
            <w:tcW w:w="2480" w:type="dxa"/>
            <w:tcBorders>
              <w:top w:val="nil"/>
              <w:left w:val="single" w:sz="8" w:space="0" w:color="auto"/>
              <w:bottom w:val="single" w:sz="8" w:space="0" w:color="auto"/>
              <w:right w:val="single" w:sz="8" w:space="0" w:color="auto"/>
            </w:tcBorders>
          </w:tcPr>
          <w:p w:rsidR="00576DFD" w:rsidP="00E70ABE" w14:paraId="258CCEB3" w14:textId="54969065">
            <w:r>
              <w:t>Professional/Manager</w:t>
            </w:r>
          </w:p>
        </w:tc>
        <w:tc>
          <w:tcPr>
            <w:tcW w:w="1772" w:type="dxa"/>
            <w:tcBorders>
              <w:top w:val="nil"/>
              <w:left w:val="nil"/>
              <w:bottom w:val="single" w:sz="8" w:space="0" w:color="auto"/>
              <w:right w:val="single" w:sz="8" w:space="0" w:color="auto"/>
            </w:tcBorders>
            <w:vAlign w:val="center"/>
          </w:tcPr>
          <w:p w:rsidR="00576DFD" w:rsidP="00E70ABE" w14:paraId="25E27814" w14:textId="541CF3B7">
            <w:pPr>
              <w:jc w:val="center"/>
            </w:pPr>
            <w:r>
              <w:t>11-0000</w:t>
            </w:r>
          </w:p>
        </w:tc>
        <w:tc>
          <w:tcPr>
            <w:tcW w:w="1422" w:type="dxa"/>
            <w:tcBorders>
              <w:top w:val="nil"/>
              <w:left w:val="nil"/>
              <w:bottom w:val="single" w:sz="8" w:space="0" w:color="auto"/>
              <w:right w:val="single" w:sz="8" w:space="0" w:color="auto"/>
            </w:tcBorders>
            <w:vAlign w:val="center"/>
          </w:tcPr>
          <w:p w:rsidR="00576DFD" w:rsidP="00E70ABE" w14:paraId="7C2562F1" w14:textId="5B703CDC">
            <w:pPr>
              <w:jc w:val="center"/>
            </w:pPr>
            <w:r>
              <w:t>$</w:t>
            </w:r>
            <w:r w:rsidR="001764D2">
              <w:t>66</w:t>
            </w:r>
            <w:r w:rsidR="00E57AF1">
              <w:t>.23</w:t>
            </w:r>
          </w:p>
        </w:tc>
        <w:tc>
          <w:tcPr>
            <w:tcW w:w="2076" w:type="dxa"/>
            <w:tcBorders>
              <w:top w:val="nil"/>
              <w:left w:val="nil"/>
              <w:bottom w:val="single" w:sz="8" w:space="0" w:color="auto"/>
              <w:right w:val="single" w:sz="8" w:space="0" w:color="auto"/>
            </w:tcBorders>
            <w:vAlign w:val="center"/>
          </w:tcPr>
          <w:p w:rsidR="00576DFD" w:rsidP="00E70ABE" w14:paraId="4151A2EC" w14:textId="165B7BC4">
            <w:pPr>
              <w:jc w:val="center"/>
              <w:rPr>
                <w:color w:val="000000"/>
                <w:szCs w:val="20"/>
              </w:rPr>
            </w:pPr>
            <w:r>
              <w:rPr>
                <w:color w:val="000000"/>
                <w:szCs w:val="20"/>
              </w:rPr>
              <w:t>0</w:t>
            </w:r>
            <w:r w:rsidR="00E70ABE">
              <w:rPr>
                <w:color w:val="000000"/>
                <w:szCs w:val="20"/>
              </w:rPr>
              <w:t>.</w:t>
            </w:r>
            <w:r w:rsidR="00E753D3">
              <w:rPr>
                <w:color w:val="000000"/>
                <w:szCs w:val="20"/>
              </w:rPr>
              <w:t>294</w:t>
            </w:r>
          </w:p>
        </w:tc>
        <w:tc>
          <w:tcPr>
            <w:tcW w:w="2122" w:type="dxa"/>
            <w:tcBorders>
              <w:top w:val="single" w:sz="8" w:space="0" w:color="auto"/>
              <w:left w:val="single" w:sz="8" w:space="0" w:color="auto"/>
              <w:bottom w:val="single" w:sz="8" w:space="0" w:color="auto"/>
              <w:right w:val="single" w:sz="8" w:space="0" w:color="auto"/>
            </w:tcBorders>
            <w:vAlign w:val="center"/>
          </w:tcPr>
          <w:p w:rsidR="00576DFD" w:rsidP="00E70ABE" w14:paraId="73E41CCF" w14:textId="7BDB9A89">
            <w:pPr>
              <w:jc w:val="center"/>
              <w:rPr>
                <w:color w:val="000000"/>
                <w:szCs w:val="20"/>
              </w:rPr>
            </w:pPr>
            <w:r>
              <w:rPr>
                <w:color w:val="000000"/>
                <w:szCs w:val="20"/>
              </w:rPr>
              <w:t>$</w:t>
            </w:r>
            <w:r w:rsidR="00007F40">
              <w:rPr>
                <w:color w:val="000000"/>
                <w:szCs w:val="20"/>
              </w:rPr>
              <w:t>93.81</w:t>
            </w:r>
          </w:p>
        </w:tc>
      </w:tr>
      <w:tr w14:paraId="33FF71DF" w14:textId="77777777" w:rsidTr="00C45A81">
        <w:tblPrEx>
          <w:tblW w:w="9872" w:type="dxa"/>
          <w:tblInd w:w="378" w:type="dxa"/>
          <w:tblLook w:val="04A0"/>
        </w:tblPrEx>
        <w:trPr>
          <w:trHeight w:val="40"/>
        </w:trPr>
        <w:tc>
          <w:tcPr>
            <w:tcW w:w="2480" w:type="dxa"/>
            <w:tcBorders>
              <w:top w:val="nil"/>
              <w:left w:val="single" w:sz="8" w:space="0" w:color="auto"/>
              <w:bottom w:val="single" w:sz="8" w:space="0" w:color="auto"/>
              <w:right w:val="single" w:sz="8" w:space="0" w:color="auto"/>
            </w:tcBorders>
          </w:tcPr>
          <w:p w:rsidR="00576DFD" w:rsidP="00E70ABE" w14:paraId="79AA45C0" w14:textId="3A209982">
            <w:r>
              <w:t>Secretaries and Administrative Assistants (except legal, medical</w:t>
            </w:r>
            <w:r w:rsidR="007E5DF4">
              <w:t>,</w:t>
            </w:r>
            <w:r>
              <w:t xml:space="preserve"> and executive)</w:t>
            </w:r>
          </w:p>
        </w:tc>
        <w:tc>
          <w:tcPr>
            <w:tcW w:w="1772" w:type="dxa"/>
            <w:tcBorders>
              <w:top w:val="nil"/>
              <w:left w:val="nil"/>
              <w:bottom w:val="single" w:sz="8" w:space="0" w:color="auto"/>
              <w:right w:val="single" w:sz="8" w:space="0" w:color="auto"/>
            </w:tcBorders>
            <w:vAlign w:val="center"/>
          </w:tcPr>
          <w:p w:rsidR="00576DFD" w:rsidP="00E70ABE" w14:paraId="1442D6BB" w14:textId="41F8F4A7">
            <w:pPr>
              <w:jc w:val="center"/>
            </w:pPr>
            <w:r>
              <w:t>43-6014</w:t>
            </w:r>
          </w:p>
        </w:tc>
        <w:tc>
          <w:tcPr>
            <w:tcW w:w="1422" w:type="dxa"/>
            <w:tcBorders>
              <w:top w:val="nil"/>
              <w:left w:val="nil"/>
              <w:bottom w:val="single" w:sz="8" w:space="0" w:color="auto"/>
              <w:right w:val="single" w:sz="8" w:space="0" w:color="auto"/>
            </w:tcBorders>
            <w:vAlign w:val="center"/>
          </w:tcPr>
          <w:p w:rsidR="00576DFD" w:rsidP="00E70ABE" w14:paraId="633480B3" w14:textId="32C47913">
            <w:pPr>
              <w:jc w:val="center"/>
            </w:pPr>
            <w:r>
              <w:t>$</w:t>
            </w:r>
            <w:r w:rsidR="00B840A8">
              <w:t>21</w:t>
            </w:r>
            <w:r w:rsidR="002B7110">
              <w:t>.87</w:t>
            </w:r>
          </w:p>
        </w:tc>
        <w:tc>
          <w:tcPr>
            <w:tcW w:w="2076" w:type="dxa"/>
            <w:tcBorders>
              <w:top w:val="nil"/>
              <w:left w:val="nil"/>
              <w:bottom w:val="single" w:sz="8" w:space="0" w:color="auto"/>
              <w:right w:val="single" w:sz="8" w:space="0" w:color="auto"/>
            </w:tcBorders>
            <w:vAlign w:val="center"/>
          </w:tcPr>
          <w:p w:rsidR="00576DFD" w:rsidP="00E70ABE" w14:paraId="703A38C7" w14:textId="15F242E3">
            <w:pPr>
              <w:jc w:val="center"/>
              <w:rPr>
                <w:color w:val="000000"/>
                <w:szCs w:val="20"/>
              </w:rPr>
            </w:pPr>
            <w:r>
              <w:rPr>
                <w:color w:val="000000"/>
                <w:szCs w:val="20"/>
              </w:rPr>
              <w:t>0</w:t>
            </w:r>
            <w:r w:rsidR="007C0D9F">
              <w:rPr>
                <w:color w:val="000000"/>
                <w:szCs w:val="20"/>
              </w:rPr>
              <w:t>.</w:t>
            </w:r>
            <w:r w:rsidR="00E753D3">
              <w:rPr>
                <w:color w:val="000000"/>
                <w:szCs w:val="20"/>
              </w:rPr>
              <w:t>294</w:t>
            </w:r>
          </w:p>
        </w:tc>
        <w:tc>
          <w:tcPr>
            <w:tcW w:w="2122" w:type="dxa"/>
            <w:tcBorders>
              <w:top w:val="single" w:sz="8" w:space="0" w:color="auto"/>
              <w:left w:val="single" w:sz="8" w:space="0" w:color="auto"/>
              <w:bottom w:val="single" w:sz="8" w:space="0" w:color="auto"/>
              <w:right w:val="single" w:sz="8" w:space="0" w:color="auto"/>
            </w:tcBorders>
            <w:vAlign w:val="center"/>
          </w:tcPr>
          <w:p w:rsidR="00576DFD" w:rsidP="00E70ABE" w14:paraId="04A11DC3" w14:textId="72A20F8F">
            <w:pPr>
              <w:jc w:val="center"/>
              <w:rPr>
                <w:color w:val="000000"/>
                <w:szCs w:val="20"/>
              </w:rPr>
            </w:pPr>
            <w:r>
              <w:rPr>
                <w:color w:val="000000"/>
                <w:szCs w:val="20"/>
              </w:rPr>
              <w:t>$</w:t>
            </w:r>
            <w:r w:rsidR="00C74BAF">
              <w:rPr>
                <w:color w:val="000000"/>
                <w:szCs w:val="20"/>
              </w:rPr>
              <w:t>30.98</w:t>
            </w:r>
          </w:p>
        </w:tc>
      </w:tr>
    </w:tbl>
    <w:p w:rsidR="00100FC9" w:rsidP="00100FC9" w14:paraId="7EA17791" w14:textId="77777777">
      <w:pPr>
        <w:widowControl/>
        <w:autoSpaceDE/>
        <w:autoSpaceDN/>
        <w:adjustRightInd/>
        <w:rPr>
          <w:rStyle w:val="Hyperlink"/>
        </w:rPr>
      </w:pPr>
      <w:hyperlink r:id="rId11" w:anchor="00-0000" w:history="1">
        <w:r w:rsidR="0052130C">
          <w:rPr>
            <w:rStyle w:val="Hyperlink"/>
          </w:rPr>
          <w:t>https://www.bls.gov/oes/current/oes_nat.htm</w:t>
        </w:r>
      </w:hyperlink>
    </w:p>
    <w:p w:rsidR="00164881" w:rsidRPr="00100FC9" w:rsidP="00100FC9" w14:paraId="204F2D1D" w14:textId="77777777">
      <w:pPr>
        <w:widowControl/>
        <w:autoSpaceDE/>
        <w:autoSpaceDN/>
        <w:adjustRightInd/>
      </w:pPr>
    </w:p>
    <w:p w:rsidR="00BE31B6" w:rsidRPr="00CF521B" w:rsidP="00BE31B6" w14:paraId="6D9A493F" w14:textId="77777777">
      <w:pPr>
        <w:widowControl/>
      </w:pPr>
      <w:r w:rsidRPr="00CF521B">
        <w:rPr>
          <w:b/>
        </w:rPr>
        <w:t>B</w:t>
      </w:r>
      <w:r w:rsidRPr="00CF521B">
        <w:rPr>
          <w:b/>
          <w:bCs/>
        </w:rPr>
        <w:t>urden-Hour and Cost Determinations</w:t>
      </w:r>
    </w:p>
    <w:p w:rsidR="00BE31B6" w:rsidRPr="00CF521B" w:rsidP="00BE31B6" w14:paraId="52F8E5D4" w14:textId="77777777">
      <w:pPr>
        <w:widowControl/>
      </w:pPr>
    </w:p>
    <w:p w:rsidR="00BE31B6" w:rsidP="00BE31B6" w14:paraId="3195DE3E" w14:textId="77777777">
      <w:pPr>
        <w:widowControl/>
      </w:pPr>
      <w:r w:rsidRPr="00CF521B">
        <w:t>The following sections provide details on the methods and procedures used by OSHA to estimate the burden hours and costs resulting from the information-collection requirements of the Standard.</w:t>
      </w:r>
    </w:p>
    <w:p w:rsidR="00372A46" w:rsidRPr="00CF521B" w:rsidP="00BE31B6" w14:paraId="095B908F" w14:textId="77777777">
      <w:pPr>
        <w:widowControl/>
      </w:pPr>
    </w:p>
    <w:p w:rsidR="00BE31B6" w:rsidRPr="00CF521B" w:rsidP="00BE31B6" w14:paraId="6F1DD9D4" w14:textId="77777777">
      <w:pPr>
        <w:widowControl/>
      </w:pPr>
      <w:r w:rsidRPr="00CF521B">
        <w:rPr>
          <w:b/>
          <w:bCs/>
        </w:rPr>
        <w:t>(A)  Precautionary procedures and personal monitoring (§1910.1096(d))</w:t>
      </w:r>
    </w:p>
    <w:p w:rsidR="00BE31B6" w:rsidRPr="00CF521B" w:rsidP="00BE31B6" w14:paraId="673A89CE" w14:textId="77777777">
      <w:pPr>
        <w:widowControl/>
      </w:pPr>
    </w:p>
    <w:p w:rsidR="00BE31B6" w:rsidRPr="00CF521B" w:rsidP="00BE31B6" w14:paraId="4BC5A456" w14:textId="77777777">
      <w:pPr>
        <w:widowControl/>
      </w:pPr>
      <w:r w:rsidRPr="00CF521B">
        <w:rPr>
          <w:u w:val="single"/>
        </w:rPr>
        <w:t>Whole-Body Monitoring</w:t>
      </w:r>
    </w:p>
    <w:p w:rsidR="00BE31B6" w:rsidRPr="00CF521B" w:rsidP="00BE31B6" w14:paraId="783E64C9" w14:textId="77777777">
      <w:pPr>
        <w:widowControl/>
      </w:pPr>
    </w:p>
    <w:p w:rsidR="00270453" w:rsidP="00BE31B6" w14:paraId="79B29097" w14:textId="771FE000">
      <w:pPr>
        <w:widowControl/>
      </w:pPr>
      <w:r w:rsidRPr="00CF521B">
        <w:t>This provision specifies the conditions under which employers must provide personal-monitoring equipment</w:t>
      </w:r>
      <w:r w:rsidR="0000651B">
        <w:t xml:space="preserve"> to their employees</w:t>
      </w:r>
      <w:r w:rsidRPr="00CF521B">
        <w:t xml:space="preserve">. The </w:t>
      </w:r>
      <w:r w:rsidR="00C502DC">
        <w:t>a</w:t>
      </w:r>
      <w:r w:rsidRPr="00CF521B">
        <w:t xml:space="preserve">gency based the burden hours for this provision on the number of workers who require monitoring. </w:t>
      </w:r>
    </w:p>
    <w:p w:rsidR="00270453" w:rsidP="00BE31B6" w14:paraId="5C497A08" w14:textId="77777777">
      <w:pPr>
        <w:widowControl/>
      </w:pPr>
    </w:p>
    <w:p w:rsidR="00BE31B6" w:rsidRPr="00CF521B" w:rsidP="00BE31B6" w14:paraId="72A080AE" w14:textId="60F7529A">
      <w:pPr>
        <w:widowControl/>
      </w:pPr>
      <w:r w:rsidRPr="00CF521B">
        <w:t xml:space="preserve"> OSHA estimated that 1,028,047 workers were at risk for ionizing-radiation exposures in</w:t>
      </w:r>
      <w:r w:rsidR="001F6C7B">
        <w:t xml:space="preserve"> </w:t>
      </w:r>
      <w:r w:rsidRPr="00CF521B">
        <w:t>1980.</w:t>
      </w:r>
      <w:r>
        <w:rPr>
          <w:rStyle w:val="FootnoteReference"/>
          <w:sz w:val="22"/>
          <w:vertAlign w:val="superscript"/>
        </w:rPr>
        <w:footnoteReference w:id="13"/>
      </w:r>
    </w:p>
    <w:p w:rsidR="00BE31B6" w:rsidRPr="001072A4" w:rsidP="00BE31B6" w14:paraId="12757E36" w14:textId="1D6355FF">
      <w:pPr>
        <w:widowControl/>
      </w:pPr>
      <w:r w:rsidRPr="001072A4">
        <w:t>The Environmental Protection Agency (EPA) developed a model to estimate the number of workers potentially exposed to ionizing radiation in the medical industry.</w:t>
      </w:r>
      <w:r>
        <w:rPr>
          <w:rStyle w:val="FootnoteReference"/>
          <w:vertAlign w:val="superscript"/>
        </w:rPr>
        <w:footnoteReference w:id="14"/>
      </w:r>
      <w:r w:rsidRPr="001072A4">
        <w:t xml:space="preserve">  This model predicts that the number of potentially exposed workers doubles every 14.5 years (i.e., a mean annual growth rate of 5%). </w:t>
      </w:r>
      <w:r w:rsidRPr="001072A4" w:rsidR="001C2A73">
        <w:t xml:space="preserve">Using the logic applied in previous ICRs, the </w:t>
      </w:r>
      <w:r w:rsidRPr="001072A4" w:rsidR="009311E3">
        <w:t>a</w:t>
      </w:r>
      <w:r w:rsidRPr="001072A4" w:rsidR="001C2A73">
        <w:t>gency applied</w:t>
      </w:r>
      <w:r w:rsidRPr="001072A4">
        <w:t xml:space="preserve"> this growth ra</w:t>
      </w:r>
      <w:r w:rsidRPr="001072A4" w:rsidR="005D6E8E">
        <w:t xml:space="preserve">te to the previous estimate of </w:t>
      </w:r>
      <w:r w:rsidRPr="001072A4" w:rsidR="00816854">
        <w:t>5,815,607</w:t>
      </w:r>
      <w:r w:rsidRPr="001072A4" w:rsidR="00A30EF3">
        <w:t xml:space="preserve"> </w:t>
      </w:r>
      <w:r w:rsidRPr="001072A4">
        <w:t>potentially exposed workers</w:t>
      </w:r>
      <w:r w:rsidRPr="001072A4" w:rsidR="00A92346">
        <w:t xml:space="preserve"> </w:t>
      </w:r>
      <w:r w:rsidRPr="001072A4" w:rsidR="00A30EF3">
        <w:t xml:space="preserve">in </w:t>
      </w:r>
      <w:r w:rsidRPr="001072A4" w:rsidR="00A92346">
        <w:t xml:space="preserve">the </w:t>
      </w:r>
      <w:r w:rsidRPr="001072A4" w:rsidR="00A30EF3">
        <w:t>201</w:t>
      </w:r>
      <w:r w:rsidRPr="001072A4" w:rsidR="00816854">
        <w:t>7</w:t>
      </w:r>
      <w:r w:rsidRPr="001072A4" w:rsidR="00AC368A">
        <w:t xml:space="preserve"> ICR</w:t>
      </w:r>
      <w:r w:rsidRPr="001072A4" w:rsidR="00720E8A">
        <w:t xml:space="preserve"> (that ICR is based on the data year 201</w:t>
      </w:r>
      <w:r w:rsidRPr="001072A4" w:rsidR="008A29D2">
        <w:t>5</w:t>
      </w:r>
      <w:r w:rsidRPr="001072A4" w:rsidR="00720E8A">
        <w:t>)</w:t>
      </w:r>
      <w:r w:rsidRPr="001072A4" w:rsidR="001C2A73">
        <w:t>. Therefore,</w:t>
      </w:r>
      <w:r w:rsidRPr="001072A4">
        <w:t xml:space="preserve"> the </w:t>
      </w:r>
      <w:r w:rsidRPr="001072A4" w:rsidR="005D3D49">
        <w:t>a</w:t>
      </w:r>
      <w:r w:rsidRPr="001072A4">
        <w:t xml:space="preserve">gency </w:t>
      </w:r>
      <w:r w:rsidRPr="001072A4" w:rsidR="001C2A73">
        <w:t>estimate</w:t>
      </w:r>
      <w:r w:rsidRPr="001072A4" w:rsidR="00051561">
        <w:t>d</w:t>
      </w:r>
      <w:r w:rsidRPr="001072A4" w:rsidR="001C2A73">
        <w:t xml:space="preserve"> </w:t>
      </w:r>
      <w:r w:rsidRPr="001072A4">
        <w:t>the number o</w:t>
      </w:r>
      <w:r w:rsidRPr="001072A4" w:rsidR="00EF6012">
        <w:t>f</w:t>
      </w:r>
      <w:r w:rsidRPr="001072A4">
        <w:t xml:space="preserve"> workers w</w:t>
      </w:r>
      <w:r w:rsidRPr="001072A4" w:rsidR="00051561">
        <w:t>as</w:t>
      </w:r>
      <w:r w:rsidRPr="001072A4">
        <w:t xml:space="preserve"> about </w:t>
      </w:r>
      <w:r w:rsidRPr="001072A4" w:rsidR="00A23D3C">
        <w:t>6,732,291</w:t>
      </w:r>
      <w:r w:rsidRPr="001072A4" w:rsidR="00A30EF3">
        <w:t xml:space="preserve"> in </w:t>
      </w:r>
      <w:r w:rsidRPr="001072A4" w:rsidR="00A23D3C">
        <w:t>2020</w:t>
      </w:r>
      <w:r w:rsidRPr="001072A4">
        <w:t>.</w:t>
      </w:r>
      <w:r w:rsidRPr="001072A4" w:rsidR="0081185D">
        <w:t xml:space="preserve"> </w:t>
      </w:r>
      <w:r w:rsidRPr="001072A4" w:rsidR="006810B6">
        <w:t>U</w:t>
      </w:r>
      <w:r w:rsidRPr="001072A4" w:rsidR="00FA6F69">
        <w:t>sing the same logic, the agency now estimates</w:t>
      </w:r>
      <w:r w:rsidRPr="001072A4" w:rsidR="00802877">
        <w:t xml:space="preserve"> 8</w:t>
      </w:r>
      <w:r w:rsidRPr="001072A4" w:rsidR="00C5077B">
        <w:t>,183,142</w:t>
      </w:r>
      <w:r w:rsidRPr="001072A4" w:rsidR="009936B9">
        <w:t xml:space="preserve"> in 2024.</w:t>
      </w:r>
      <w:r w:rsidR="009D271A">
        <w:t xml:space="preserve"> </w:t>
      </w:r>
    </w:p>
    <w:p w:rsidR="00BE31B6" w:rsidRPr="001072A4" w:rsidP="00BE31B6" w14:paraId="40779FC7" w14:textId="77777777">
      <w:pPr>
        <w:widowControl/>
      </w:pPr>
    </w:p>
    <w:p w:rsidR="00BE31B6" w:rsidRPr="00CF521B" w:rsidP="00BE31B6" w14:paraId="48397E0B" w14:textId="7FEAE253">
      <w:pPr>
        <w:widowControl/>
      </w:pPr>
      <w:r w:rsidRPr="001072A4">
        <w:t>Previous information obtained from the EPA’s Office of Radiation Programs and the Centaur Report</w:t>
      </w:r>
      <w:r>
        <w:rPr>
          <w:rStyle w:val="FootnoteReference"/>
          <w:vertAlign w:val="superscript"/>
        </w:rPr>
        <w:footnoteReference w:id="15"/>
      </w:r>
      <w:r w:rsidRPr="001072A4">
        <w:t xml:space="preserve"> indicates</w:t>
      </w:r>
      <w:r w:rsidRPr="001072A4" w:rsidR="00A30EF3">
        <w:t xml:space="preserve"> </w:t>
      </w:r>
      <w:r w:rsidRPr="001072A4">
        <w:t xml:space="preserve">that employers monitor less than 42% of potentially exposed workers. </w:t>
      </w:r>
      <w:r w:rsidRPr="001072A4" w:rsidR="00A30EF3">
        <w:t xml:space="preserve">The </w:t>
      </w:r>
      <w:r w:rsidRPr="001072A4" w:rsidR="005D3D49">
        <w:t>a</w:t>
      </w:r>
      <w:r w:rsidRPr="001072A4" w:rsidR="00A30EF3">
        <w:t xml:space="preserve">gency </w:t>
      </w:r>
      <w:r w:rsidRPr="001072A4" w:rsidR="00422B37">
        <w:t>applie</w:t>
      </w:r>
      <w:r w:rsidRPr="001072A4" w:rsidR="00C5609C">
        <w:t>d</w:t>
      </w:r>
      <w:r w:rsidRPr="001072A4" w:rsidR="00A30EF3">
        <w:t xml:space="preserve"> the 42%</w:t>
      </w:r>
      <w:r w:rsidRPr="001072A4" w:rsidR="00C5609C">
        <w:t xml:space="preserve"> rate</w:t>
      </w:r>
      <w:r w:rsidRPr="001072A4" w:rsidR="00A30EF3">
        <w:t xml:space="preserve"> to the </w:t>
      </w:r>
      <w:r w:rsidRPr="001072A4" w:rsidR="00422B37">
        <w:t xml:space="preserve">estimate of </w:t>
      </w:r>
      <w:r w:rsidRPr="001072A4" w:rsidR="00A30EF3">
        <w:t>potentially exposed workers (</w:t>
      </w:r>
      <w:r w:rsidR="004C79B6">
        <w:t>8,183,142</w:t>
      </w:r>
      <w:r w:rsidR="00A30EF3">
        <w:t xml:space="preserve">) to estimate </w:t>
      </w:r>
      <w:r w:rsidR="00580306">
        <w:t>3</w:t>
      </w:r>
      <w:r w:rsidR="000072D6">
        <w:t>,436,920</w:t>
      </w:r>
      <w:r w:rsidR="00A30EF3">
        <w:t xml:space="preserve"> potentially exposed workers monitored.</w:t>
      </w:r>
      <w:r w:rsidRPr="00CF521B">
        <w:t xml:space="preserve"> Although employers usually monitor workers who may receive whole-body radiation </w:t>
      </w:r>
      <w:r w:rsidRPr="00CF521B">
        <w:t>in excess of</w:t>
      </w:r>
      <w:r w:rsidR="005D0B7B">
        <w:t xml:space="preserve"> </w:t>
      </w:r>
      <w:r w:rsidRPr="00CF521B">
        <w:t xml:space="preserve">0.1 rem annually, the Standard requires exposure monitoring only if a worker’s ionizing-radiation exposure may exceed 25% of the </w:t>
      </w:r>
      <w:r w:rsidRPr="00CF521B" w:rsidR="00BE3B50">
        <w:t>maximum</w:t>
      </w:r>
      <w:r w:rsidRPr="00CF521B">
        <w:t xml:space="preserve"> applicable exposure of 1.25 rems in any calendar quarter (i.e., 312.5 </w:t>
      </w:r>
      <w:r w:rsidR="00F02B11">
        <w:t>millirems (m</w:t>
      </w:r>
      <w:r w:rsidRPr="00CF521B">
        <w:t>rem</w:t>
      </w:r>
      <w:r w:rsidR="00F02B11">
        <w:t>)</w:t>
      </w:r>
      <w:r w:rsidRPr="00CF521B">
        <w:t xml:space="preserve">).  Of the </w:t>
      </w:r>
      <w:r w:rsidR="003F6AA0">
        <w:t>3,436,920</w:t>
      </w:r>
      <w:r w:rsidR="00A30EF3">
        <w:t xml:space="preserve"> </w:t>
      </w:r>
      <w:r w:rsidRPr="00CF521B">
        <w:t xml:space="preserve">workers monitored by employers, OSHA estimates that employers monitor </w:t>
      </w:r>
      <w:r w:rsidR="003714DC">
        <w:t>0</w:t>
      </w:r>
      <w:r w:rsidRPr="00CF521B">
        <w:t>.7874% (rounded up to .8%) of these workers (</w:t>
      </w:r>
      <w:r w:rsidR="007E5DF4">
        <w:t>27,49</w:t>
      </w:r>
      <w:r w:rsidR="001C3429">
        <w:t>5</w:t>
      </w:r>
      <w:r w:rsidRPr="00CF521B">
        <w:t>) to comply with the personal-monitoring provisions of the Standard</w:t>
      </w:r>
      <w:r w:rsidR="00DF2797">
        <w:t xml:space="preserve"> </w:t>
      </w:r>
      <w:r w:rsidR="00272332">
        <w:t>(or</w:t>
      </w:r>
      <w:r w:rsidRPr="00272332" w:rsidR="00272332">
        <w:t xml:space="preserve"> </w:t>
      </w:r>
      <w:r w:rsidR="00DF2797">
        <w:t xml:space="preserve">another way to </w:t>
      </w:r>
      <w:r w:rsidRPr="00C22736" w:rsidR="00DF2797">
        <w:t xml:space="preserve">represent the </w:t>
      </w:r>
      <w:r w:rsidRPr="00FA070B" w:rsidR="00A23D3C">
        <w:t>2</w:t>
      </w:r>
      <w:r w:rsidRPr="00C45A81" w:rsidR="00FF04C5">
        <w:t>7,49</w:t>
      </w:r>
      <w:r w:rsidR="00D27AEE">
        <w:t>5</w:t>
      </w:r>
      <w:r w:rsidRPr="00FA070B" w:rsidR="007E5DF4">
        <w:t xml:space="preserve"> </w:t>
      </w:r>
      <w:r w:rsidRPr="00FA070B" w:rsidR="00DF2797">
        <w:t xml:space="preserve">workers is </w:t>
      </w:r>
      <w:r w:rsidRPr="00C45A81" w:rsidR="007E5DF4">
        <w:t>25,631</w:t>
      </w:r>
      <w:r w:rsidRPr="00C45A81" w:rsidR="00C3701D">
        <w:t xml:space="preserve"> </w:t>
      </w:r>
      <w:r w:rsidRPr="00FA070B" w:rsidR="00272332">
        <w:t xml:space="preserve">facilities x </w:t>
      </w:r>
      <w:r w:rsidR="001D40C2">
        <w:t>1.072724</w:t>
      </w:r>
      <w:r w:rsidRPr="00FA070B" w:rsidR="00272332">
        <w:t>)</w:t>
      </w:r>
      <w:r w:rsidRPr="00FA070B">
        <w:t>.</w:t>
      </w:r>
      <w:r>
        <w:rPr>
          <w:rStyle w:val="FootnoteReference"/>
          <w:vertAlign w:val="superscript"/>
        </w:rPr>
        <w:footnoteReference w:id="16"/>
      </w:r>
      <w:r w:rsidRPr="00CF521B">
        <w:t xml:space="preserve"> </w:t>
      </w:r>
    </w:p>
    <w:p w:rsidR="00BE31B6" w:rsidRPr="00CF521B" w:rsidP="00BE31B6" w14:paraId="60A54349" w14:textId="77777777"/>
    <w:p w:rsidR="002B6278" w:rsidP="00BE31B6" w14:paraId="3A644A85" w14:textId="70F98A6D">
      <w:r w:rsidRPr="00CF521B">
        <w:t xml:space="preserve">Employers typically collect personnel-monitoring devices (i.e., film badges) monthly and mail them in batches to a contract laboratory for analysis.  While the exposure data described in the previous paragraph indicate that employers, on average, monitor their workers quarterly, OSHA </w:t>
      </w:r>
      <w:r w:rsidRPr="00CF521B">
        <w:t xml:space="preserve">is assuming that employers with higher exposures will monitor more often. </w:t>
      </w:r>
    </w:p>
    <w:p w:rsidR="002B6278" w:rsidP="00BE31B6" w14:paraId="18F4F59A" w14:textId="77777777"/>
    <w:p w:rsidR="00BE31B6" w:rsidRPr="00CF521B" w:rsidP="00BE31B6" w14:paraId="3F1338D0" w14:textId="3040769A">
      <w:r w:rsidRPr="00CF521B">
        <w:t xml:space="preserve">The </w:t>
      </w:r>
      <w:r w:rsidR="00562633">
        <w:t>a</w:t>
      </w:r>
      <w:r w:rsidRPr="00CF521B">
        <w:t>gency estimates that a supervisor requires about 10 minutes (</w:t>
      </w:r>
      <w:r w:rsidR="00B85FBE">
        <w:t>10/60</w:t>
      </w:r>
      <w:r w:rsidRPr="00CF521B">
        <w:t xml:space="preserve"> hour) each month for distribution, collection, and mailing the film badges.  Therefore, the annual burden hours and cost of this provision are:</w:t>
      </w:r>
    </w:p>
    <w:p w:rsidR="00BE31B6" w:rsidP="00BE31B6" w14:paraId="5F774F9D" w14:textId="70260B83"/>
    <w:p w:rsidR="00DF2797" w:rsidRPr="00C658D1" w:rsidP="00136960" w14:paraId="7A252493" w14:textId="18CC76AE">
      <w:pPr>
        <w:tabs>
          <w:tab w:val="left" w:pos="810"/>
        </w:tabs>
      </w:pPr>
      <w:r w:rsidRPr="00C658D1">
        <w:rPr>
          <w:b/>
          <w:bCs/>
        </w:rPr>
        <w:tab/>
      </w:r>
      <w:r w:rsidRPr="00C658D1" w:rsidR="00BE31B6">
        <w:rPr>
          <w:b/>
          <w:bCs/>
        </w:rPr>
        <w:t>Burden hours</w:t>
      </w:r>
      <w:r w:rsidRPr="00C658D1" w:rsidR="00BE31B6">
        <w:t xml:space="preserve">: </w:t>
      </w:r>
      <w:r w:rsidRPr="00885165" w:rsidR="00885165">
        <w:t xml:space="preserve"> </w:t>
      </w:r>
      <w:r w:rsidR="009E6DA2">
        <w:t>27,495</w:t>
      </w:r>
      <w:r w:rsidR="00AE6FF5">
        <w:t xml:space="preserve"> workers</w:t>
      </w:r>
      <w:r w:rsidR="00885165">
        <w:t xml:space="preserve"> </w:t>
      </w:r>
      <w:r w:rsidRPr="00C658D1" w:rsidR="002B6278">
        <w:t>x 12 months</w:t>
      </w:r>
      <w:r w:rsidRPr="00C658D1" w:rsidR="00AC1814">
        <w:t xml:space="preserve"> </w:t>
      </w:r>
      <w:r w:rsidRPr="00C658D1" w:rsidR="00BE31B6">
        <w:t xml:space="preserve">x </w:t>
      </w:r>
      <w:r w:rsidRPr="00C658D1" w:rsidR="00B85FBE">
        <w:t>10/60</w:t>
      </w:r>
      <w:r w:rsidRPr="00C658D1" w:rsidR="00BE31B6">
        <w:t xml:space="preserve"> hour = </w:t>
      </w:r>
      <w:r w:rsidRPr="00C658D1" w:rsidR="009E0EED">
        <w:t>54,9</w:t>
      </w:r>
      <w:r w:rsidR="00622B95">
        <w:t xml:space="preserve">90 </w:t>
      </w:r>
      <w:r w:rsidRPr="00C658D1" w:rsidR="00BE31B6">
        <w:t>hours</w:t>
      </w:r>
    </w:p>
    <w:p w:rsidR="00BE31B6" w:rsidRPr="00C658D1" w:rsidP="008E3FC4" w14:paraId="6585E160" w14:textId="68EA50E2">
      <w:pPr>
        <w:tabs>
          <w:tab w:val="left" w:pos="810"/>
        </w:tabs>
      </w:pPr>
      <w:r w:rsidRPr="00C658D1">
        <w:rPr>
          <w:b/>
          <w:bCs/>
        </w:rPr>
        <w:tab/>
        <w:t xml:space="preserve">                </w:t>
      </w:r>
      <w:r w:rsidRPr="00C658D1">
        <w:rPr>
          <w:b/>
          <w:bCs/>
        </w:rPr>
        <w:t>Cost</w:t>
      </w:r>
      <w:r w:rsidRPr="00C658D1">
        <w:t xml:space="preserve">:  </w:t>
      </w:r>
      <w:r w:rsidRPr="00C658D1" w:rsidR="009E0EED">
        <w:t>54,</w:t>
      </w:r>
      <w:r w:rsidRPr="00C658D1" w:rsidR="006A2B32">
        <w:t>9</w:t>
      </w:r>
      <w:r w:rsidR="00622B95">
        <w:t>90</w:t>
      </w:r>
      <w:r w:rsidRPr="00C658D1" w:rsidR="00B95AA5">
        <w:t xml:space="preserve"> </w:t>
      </w:r>
      <w:r w:rsidRPr="00C658D1">
        <w:t>hours x $</w:t>
      </w:r>
      <w:r w:rsidR="00007F40">
        <w:t>93.81</w:t>
      </w:r>
      <w:r w:rsidRPr="00C658D1">
        <w:t xml:space="preserve"> = $</w:t>
      </w:r>
      <w:r w:rsidR="006F01A7">
        <w:t>5,158,612</w:t>
      </w:r>
    </w:p>
    <w:p w:rsidR="00737EE4" w:rsidRPr="00C658D1" w:rsidP="00BE31B6" w14:paraId="18FA6D97" w14:textId="77777777">
      <w:pPr>
        <w:rPr>
          <w:u w:val="single"/>
        </w:rPr>
      </w:pPr>
    </w:p>
    <w:p w:rsidR="00BE31B6" w:rsidRPr="009F4233" w:rsidP="00BE31B6" w14:paraId="6F3D6477" w14:textId="1F5E38AE">
      <w:r w:rsidRPr="00C45A81">
        <w:rPr>
          <w:i/>
          <w:iCs/>
          <w:u w:val="single"/>
        </w:rPr>
        <w:t xml:space="preserve">2. </w:t>
      </w:r>
      <w:r w:rsidRPr="00C45A81">
        <w:rPr>
          <w:i/>
          <w:iCs/>
          <w:u w:val="single"/>
        </w:rPr>
        <w:t>Extremity Monitoring</w:t>
      </w:r>
      <w:r w:rsidR="009F4233">
        <w:t>:</w:t>
      </w:r>
    </w:p>
    <w:p w:rsidR="00BE31B6" w:rsidRPr="00C658D1" w:rsidP="00BE31B6" w14:paraId="21440B17" w14:textId="77777777">
      <w:pPr>
        <w:ind w:firstLine="720"/>
      </w:pPr>
    </w:p>
    <w:p w:rsidR="00272332" w:rsidRPr="00C658D1" w:rsidP="00BE31B6" w14:paraId="4A6A2D86" w14:textId="4D279783">
      <w:r w:rsidRPr="00C658D1">
        <w:t xml:space="preserve">The </w:t>
      </w:r>
      <w:r w:rsidRPr="00C658D1" w:rsidR="003A1C3B">
        <w:t>a</w:t>
      </w:r>
      <w:r w:rsidRPr="00C658D1">
        <w:t xml:space="preserve">gency estimates that </w:t>
      </w:r>
      <w:r w:rsidRPr="00C658D1" w:rsidR="00382556">
        <w:t>2,</w:t>
      </w:r>
      <w:r w:rsidRPr="00C658D1" w:rsidR="00825234">
        <w:t>750</w:t>
      </w:r>
      <w:r w:rsidRPr="00C658D1" w:rsidR="008301FC">
        <w:t xml:space="preserve"> </w:t>
      </w:r>
      <w:r w:rsidRPr="00C658D1">
        <w:t>of the monitored workers require extremity monitoring</w:t>
      </w:r>
      <w:r w:rsidRPr="00C658D1">
        <w:t xml:space="preserve"> (</w:t>
      </w:r>
      <w:r w:rsidRPr="00C658D1" w:rsidR="00382556">
        <w:t xml:space="preserve">10 </w:t>
      </w:r>
      <w:r w:rsidRPr="00C45A81" w:rsidR="00641570">
        <w:t>“</w:t>
      </w:r>
      <w:r w:rsidRPr="00C658D1" w:rsidR="00382556">
        <w:t xml:space="preserve">percent of the </w:t>
      </w:r>
      <w:r w:rsidR="00622B95">
        <w:t>27,495</w:t>
      </w:r>
      <w:r w:rsidRPr="00C658D1" w:rsidR="00382556">
        <w:t xml:space="preserve"> workers estimated in the calculation above</w:t>
      </w:r>
      <w:r w:rsidRPr="00C658D1">
        <w:t>).</w:t>
      </w:r>
      <w:r w:rsidRPr="00C658D1">
        <w:t xml:space="preserve"> </w:t>
      </w:r>
      <w:r w:rsidRPr="00C658D1" w:rsidR="00CD3529">
        <w:t xml:space="preserve"> Another way to represent the 2,</w:t>
      </w:r>
      <w:r w:rsidRPr="00C658D1" w:rsidR="003A1C3B">
        <w:t>750</w:t>
      </w:r>
      <w:r w:rsidRPr="00C658D1" w:rsidR="00CD3529">
        <w:t xml:space="preserve"> workers is </w:t>
      </w:r>
      <w:r w:rsidRPr="00C45A81" w:rsidR="007E5DF4">
        <w:t>25,631</w:t>
      </w:r>
      <w:r w:rsidRPr="00C658D1" w:rsidR="00CD3529">
        <w:t xml:space="preserve"> facilities x</w:t>
      </w:r>
      <w:r w:rsidRPr="00C45A81" w:rsidR="00693891">
        <w:t xml:space="preserve"> </w:t>
      </w:r>
      <w:r w:rsidR="001D40C2">
        <w:t>1.072724</w:t>
      </w:r>
      <w:r w:rsidRPr="00C658D1" w:rsidR="00CD3529">
        <w:t xml:space="preserve"> x </w:t>
      </w:r>
      <w:r w:rsidR="002C66F1">
        <w:t>0</w:t>
      </w:r>
      <w:r w:rsidRPr="00C658D1" w:rsidR="00CD3529">
        <w:t>.1.</w:t>
      </w:r>
    </w:p>
    <w:p w:rsidR="00272332" w:rsidRPr="00C658D1" w:rsidP="00BE31B6" w14:paraId="6661420C" w14:textId="77777777"/>
    <w:p w:rsidR="00CB5BCC" w:rsidRPr="00C658D1" w:rsidP="00BE31B6" w14:paraId="3C2FB46E" w14:textId="77777777">
      <w:r w:rsidRPr="00C658D1">
        <w:t xml:space="preserve">According to the Centaur Report, industry representatives indicated that most employers provide film-badge monitoring using two badges because this procedure is least costly.  OSHA </w:t>
      </w:r>
      <w:r w:rsidRPr="00C658D1">
        <w:t>believes</w:t>
      </w:r>
      <w:r w:rsidRPr="00C658D1">
        <w:t xml:space="preserve"> </w:t>
      </w:r>
    </w:p>
    <w:p w:rsidR="00BE31B6" w:rsidRPr="00C658D1" w:rsidP="00BE31B6" w14:paraId="0D29B349" w14:textId="08D456B0">
      <w:r w:rsidRPr="00C658D1">
        <w:t xml:space="preserve">using two badges for extremity monitoring does not increase the </w:t>
      </w:r>
      <w:r w:rsidRPr="00C658D1" w:rsidR="00B85FBE">
        <w:t>10/60</w:t>
      </w:r>
      <w:r w:rsidRPr="00C658D1">
        <w:t>-hour time estimate made above for whole-body monitoring. Accordingly, supervisors collect badges once a month and send them to a consulting service for analysis.  The burden and costs of this paperwork requirement are:</w:t>
      </w:r>
      <w:r w:rsidRPr="00C658D1" w:rsidR="007C3A8C">
        <w:t xml:space="preserve"> </w:t>
      </w:r>
    </w:p>
    <w:p w:rsidR="008039ED" w:rsidRPr="00C658D1" w:rsidP="00BE31B6" w14:paraId="776E8498" w14:textId="77777777"/>
    <w:p w:rsidR="008E3FC4" w:rsidRPr="00C658D1" w:rsidP="008E3FC4" w14:paraId="204AC5E4" w14:textId="69EBF545">
      <w:pPr>
        <w:ind w:firstLine="720"/>
      </w:pPr>
      <w:r w:rsidRPr="00C658D1">
        <w:rPr>
          <w:b/>
          <w:bCs/>
        </w:rPr>
        <w:t>Burden hours</w:t>
      </w:r>
      <w:r w:rsidRPr="00C658D1">
        <w:t xml:space="preserve">: </w:t>
      </w:r>
      <w:r w:rsidR="00F11000">
        <w:t xml:space="preserve"> </w:t>
      </w:r>
      <w:r w:rsidRPr="00C658D1" w:rsidR="002C66F1">
        <w:t>2,</w:t>
      </w:r>
      <w:r w:rsidR="00A0530A">
        <w:t>750</w:t>
      </w:r>
      <w:r w:rsidRPr="00C658D1" w:rsidR="002C66F1">
        <w:t xml:space="preserve"> </w:t>
      </w:r>
      <w:r w:rsidRPr="00C658D1" w:rsidR="00B95AA5">
        <w:t>x 12</w:t>
      </w:r>
      <w:r w:rsidR="008F09C1">
        <w:t xml:space="preserve"> months</w:t>
      </w:r>
      <w:r w:rsidRPr="00C658D1" w:rsidR="00B95AA5">
        <w:t xml:space="preserve"> </w:t>
      </w:r>
      <w:r w:rsidRPr="00C658D1" w:rsidR="007C3A8C">
        <w:t>x 10/60</w:t>
      </w:r>
      <w:r w:rsidRPr="00C658D1">
        <w:t xml:space="preserve"> hour</w:t>
      </w:r>
      <w:r w:rsidRPr="00C658D1" w:rsidR="00DF2797">
        <w:t xml:space="preserve"> </w:t>
      </w:r>
      <w:r w:rsidRPr="00C658D1">
        <w:t xml:space="preserve">= </w:t>
      </w:r>
      <w:r w:rsidRPr="00C658D1" w:rsidR="002E4CE8">
        <w:t>5,</w:t>
      </w:r>
      <w:r w:rsidR="00183398">
        <w:t>500</w:t>
      </w:r>
      <w:r w:rsidRPr="00C658D1" w:rsidR="002E4CE8">
        <w:t xml:space="preserve"> </w:t>
      </w:r>
      <w:r w:rsidRPr="00C658D1">
        <w:t>hour</w:t>
      </w:r>
      <w:r w:rsidRPr="00C658D1" w:rsidR="00926D7D">
        <w:t>s</w:t>
      </w:r>
      <w:r w:rsidRPr="00C658D1">
        <w:t xml:space="preserve"> </w:t>
      </w:r>
    </w:p>
    <w:p w:rsidR="00BE31B6" w:rsidRPr="00CF521B" w:rsidP="00C45A81" w14:paraId="522DC2F6" w14:textId="7C625CB7">
      <w:pPr>
        <w:ind w:left="720" w:firstLine="720"/>
      </w:pPr>
      <w:r>
        <w:rPr>
          <w:b/>
          <w:bCs/>
        </w:rPr>
        <w:t xml:space="preserve">    </w:t>
      </w:r>
      <w:r w:rsidRPr="00C658D1">
        <w:rPr>
          <w:b/>
          <w:bCs/>
        </w:rPr>
        <w:t>Cost</w:t>
      </w:r>
      <w:r w:rsidRPr="00C658D1">
        <w:t>:</w:t>
      </w:r>
      <w:r w:rsidR="00F11000">
        <w:t xml:space="preserve">  </w:t>
      </w:r>
      <w:r w:rsidRPr="00C658D1" w:rsidR="0079688F">
        <w:t>5,</w:t>
      </w:r>
      <w:r w:rsidR="00396244">
        <w:t>500</w:t>
      </w:r>
      <w:r w:rsidRPr="00C658D1" w:rsidR="00EA3578">
        <w:t xml:space="preserve"> </w:t>
      </w:r>
      <w:r w:rsidRPr="00C658D1">
        <w:t>hours x $</w:t>
      </w:r>
      <w:r w:rsidR="00007F40">
        <w:t>93.81</w:t>
      </w:r>
      <w:r w:rsidRPr="00C658D1">
        <w:t xml:space="preserve"> = $</w:t>
      </w:r>
      <w:r w:rsidR="003A4B9E">
        <w:t>515,955</w:t>
      </w:r>
    </w:p>
    <w:p w:rsidR="00EA7748" w:rsidRPr="00CF521B" w:rsidP="00BE31B6" w14:paraId="13D78824" w14:textId="77777777">
      <w:pPr>
        <w:rPr>
          <w:u w:val="single"/>
        </w:rPr>
      </w:pPr>
    </w:p>
    <w:p w:rsidR="00D676F4" w:rsidRPr="00D676F4" w:rsidP="328EA527" w14:paraId="776C802C" w14:textId="3BD7FAB4">
      <w:pPr>
        <w:tabs>
          <w:tab w:val="left" w:pos="3060"/>
        </w:tabs>
        <w:rPr>
          <w:b/>
          <w:bCs/>
          <w:u w:val="single"/>
        </w:rPr>
      </w:pPr>
      <w:r w:rsidRPr="328EA527">
        <w:rPr>
          <w:b/>
          <w:bCs/>
          <w:u w:val="single"/>
        </w:rPr>
        <w:t>(</w:t>
      </w:r>
      <w:r w:rsidRPr="328EA527">
        <w:rPr>
          <w:b/>
          <w:bCs/>
        </w:rPr>
        <w:t>B)</w:t>
      </w:r>
      <w:r>
        <w:t xml:space="preserve"> </w:t>
      </w:r>
      <w:r w:rsidR="0070298D">
        <w:t xml:space="preserve"> </w:t>
      </w:r>
      <w:r w:rsidRPr="328EA527" w:rsidR="00C24C3B">
        <w:rPr>
          <w:b/>
          <w:bCs/>
        </w:rPr>
        <w:t>Ins</w:t>
      </w:r>
      <w:r w:rsidRPr="328EA527" w:rsidR="00EF642F">
        <w:rPr>
          <w:b/>
          <w:bCs/>
        </w:rPr>
        <w:t xml:space="preserve">truction of personnel, posting. </w:t>
      </w:r>
      <w:r w:rsidRPr="328EA527">
        <w:rPr>
          <w:b/>
          <w:bCs/>
        </w:rPr>
        <w:t>(§1910.1096(</w:t>
      </w:r>
      <w:r w:rsidRPr="328EA527">
        <w:rPr>
          <w:b/>
          <w:bCs/>
        </w:rPr>
        <w:t>i</w:t>
      </w:r>
      <w:r w:rsidRPr="328EA527">
        <w:rPr>
          <w:b/>
          <w:bCs/>
        </w:rPr>
        <w:t>))</w:t>
      </w:r>
      <w:r w:rsidRPr="328EA527">
        <w:rPr>
          <w:b/>
          <w:bCs/>
          <w:u w:val="single"/>
        </w:rPr>
        <w:t xml:space="preserve"> </w:t>
      </w:r>
    </w:p>
    <w:p w:rsidR="00D676F4" w:rsidRPr="00D676F4" w:rsidP="00D676F4" w14:paraId="187E18CA" w14:textId="77777777">
      <w:pPr>
        <w:tabs>
          <w:tab w:val="left" w:pos="3060"/>
        </w:tabs>
        <w:rPr>
          <w:b/>
          <w:i/>
          <w:u w:val="single"/>
        </w:rPr>
      </w:pPr>
    </w:p>
    <w:p w:rsidR="00E13B39" w:rsidP="00890A48" w14:paraId="1F28CEF6" w14:textId="65DD79D5">
      <w:r w:rsidRPr="00E662F4">
        <w:t xml:space="preserve">Regarding the requirement </w:t>
      </w:r>
      <w:r w:rsidR="0044127C">
        <w:t xml:space="preserve">for employers </w:t>
      </w:r>
      <w:r w:rsidRPr="00E662F4">
        <w:t xml:space="preserve">to notify workers of current </w:t>
      </w:r>
      <w:r w:rsidRPr="00E662F4" w:rsidR="00EF5429">
        <w:t xml:space="preserve">provisions and </w:t>
      </w:r>
      <w:r w:rsidRPr="00E662F4">
        <w:t xml:space="preserve">operating procedures, the </w:t>
      </w:r>
      <w:r w:rsidRPr="00E662F4" w:rsidR="001759D2">
        <w:t>a</w:t>
      </w:r>
      <w:r w:rsidRPr="00E662F4">
        <w:t>gency assumes that employers meet this requirement</w:t>
      </w:r>
      <w:r w:rsidRPr="00CF521B">
        <w:t xml:space="preserve"> by posting these</w:t>
      </w:r>
      <w:r w:rsidR="001347F0">
        <w:t xml:space="preserve"> provisions and</w:t>
      </w:r>
      <w:r w:rsidRPr="00CF521B">
        <w:t xml:space="preserve"> procedures in a conspicuous location</w:t>
      </w:r>
      <w:r w:rsidR="002D5E3A">
        <w:t xml:space="preserve">. </w:t>
      </w:r>
      <w:r w:rsidRPr="00890A48" w:rsidR="00890A48">
        <w:rPr>
          <w:b/>
          <w:bCs/>
        </w:rPr>
        <w:t xml:space="preserve"> </w:t>
      </w:r>
      <w:r w:rsidRPr="00C45A81">
        <w:t>The agency estimates 2,435 facilities, may post operating procedures.</w:t>
      </w:r>
      <w:r>
        <w:rPr>
          <w:vertAlign w:val="superscript"/>
        </w:rPr>
        <w:footnoteReference w:id="17"/>
      </w:r>
      <w:r w:rsidRPr="00C45A81">
        <w:t xml:space="preserve">  </w:t>
      </w:r>
    </w:p>
    <w:p w:rsidR="00E13B39" w:rsidP="00890A48" w14:paraId="30AC7A48" w14:textId="77777777"/>
    <w:p w:rsidR="00890A48" w:rsidRPr="00890A48" w:rsidP="00890A48" w14:paraId="48CEF947" w14:textId="648BD48F">
      <w:pPr>
        <w:rPr>
          <w:b/>
          <w:bCs/>
        </w:rPr>
      </w:pPr>
      <w:r w:rsidRPr="00C45A81">
        <w:t>To determine the number of new establishments that may have to post the</w:t>
      </w:r>
      <w:r w:rsidR="003C4385">
        <w:t xml:space="preserve">ir </w:t>
      </w:r>
      <w:r w:rsidR="005B4F3A">
        <w:t>procedures</w:t>
      </w:r>
      <w:r w:rsidRPr="00C45A81">
        <w:t xml:space="preserve">, OSHA </w:t>
      </w:r>
      <w:r w:rsidR="00DE519E">
        <w:t>uses</w:t>
      </w:r>
      <w:r w:rsidRPr="00C45A81">
        <w:t xml:space="preserve"> </w:t>
      </w:r>
      <w:r w:rsidR="00DE519E">
        <w:t xml:space="preserve">a </w:t>
      </w:r>
      <w:r w:rsidRPr="00C45A81">
        <w:t>5% growth rate used for workers (discussed under (A) Personal Monitoring</w:t>
      </w:r>
      <w:r w:rsidR="00606225">
        <w:t>)</w:t>
      </w:r>
      <w:r w:rsidRPr="004C0C1D" w:rsidR="004C0C1D">
        <w:t xml:space="preserve"> </w:t>
      </w:r>
      <w:r w:rsidR="004C0C1D">
        <w:t>to</w:t>
      </w:r>
      <w:r w:rsidRPr="00C45A81">
        <w:t xml:space="preserve"> estimate </w:t>
      </w:r>
      <w:r w:rsidR="007E75B0">
        <w:t>there are 1,282</w:t>
      </w:r>
      <w:r w:rsidRPr="00C45A81">
        <w:t xml:space="preserve"> new establishments (</w:t>
      </w:r>
      <w:r w:rsidR="009A5406">
        <w:t>25,631</w:t>
      </w:r>
      <w:r w:rsidRPr="002F43A6">
        <w:rPr>
          <w:b/>
          <w:bCs/>
        </w:rPr>
        <w:t xml:space="preserve"> </w:t>
      </w:r>
      <w:r w:rsidRPr="00C45A81">
        <w:t>x 5%)</w:t>
      </w:r>
      <w:r w:rsidRPr="00C45A81" w:rsidR="009051B8">
        <w:t>.</w:t>
      </w:r>
      <w:r w:rsidR="009051B8">
        <w:rPr>
          <w:b/>
          <w:bCs/>
        </w:rPr>
        <w:t xml:space="preserve"> </w:t>
      </w:r>
      <w:r w:rsidRPr="00C45A81">
        <w:t xml:space="preserve"> </w:t>
      </w:r>
      <w:r w:rsidR="00906495">
        <w:t>Also, t</w:t>
      </w:r>
      <w:r w:rsidR="00931DD3">
        <w:t xml:space="preserve">he agency estimates that </w:t>
      </w:r>
      <w:r w:rsidR="00E13B39">
        <w:t>5</w:t>
      </w:r>
      <w:r w:rsidR="00931DD3">
        <w:t xml:space="preserve">% of existing establishments may need to repost </w:t>
      </w:r>
      <w:r w:rsidRPr="00650F07" w:rsidR="00931DD3">
        <w:t xml:space="preserve">a current copy of its provisions and </w:t>
      </w:r>
      <w:r w:rsidRPr="00650F07" w:rsidR="00DC0423">
        <w:t>operating,</w:t>
      </w:r>
      <w:r w:rsidR="00FE132E">
        <w:t xml:space="preserve"> 25</w:t>
      </w:r>
      <w:r w:rsidR="00CD3B3F">
        <w:t>,631</w:t>
      </w:r>
      <w:r w:rsidR="00B12295">
        <w:t>(total</w:t>
      </w:r>
      <w:r w:rsidR="00D175EC">
        <w:t xml:space="preserve"> establishments</w:t>
      </w:r>
      <w:r w:rsidR="00B12295">
        <w:t>)</w:t>
      </w:r>
      <w:r w:rsidR="00CD3B3F">
        <w:t xml:space="preserve"> – 1,282 (new) =</w:t>
      </w:r>
      <w:r w:rsidR="000451A1">
        <w:t xml:space="preserve"> </w:t>
      </w:r>
      <w:r w:rsidR="00FE132E">
        <w:t>24,349 existing</w:t>
      </w:r>
      <w:r w:rsidR="00AA282C">
        <w:t xml:space="preserve"> establishments</w:t>
      </w:r>
      <w:r w:rsidR="00B12295">
        <w:t xml:space="preserve"> x </w:t>
      </w:r>
      <w:r w:rsidR="00E13B39">
        <w:t>5%</w:t>
      </w:r>
      <w:r w:rsidR="00B12295">
        <w:t xml:space="preserve"> = </w:t>
      </w:r>
      <w:r w:rsidR="00E13B39">
        <w:t xml:space="preserve">1,217 </w:t>
      </w:r>
      <w:r w:rsidR="00E13B39">
        <w:t>existing</w:t>
      </w:r>
      <w:r w:rsidR="00A879F0">
        <w:t xml:space="preserve"> </w:t>
      </w:r>
      <w:r w:rsidR="009051B8">
        <w:t>facilities</w:t>
      </w:r>
      <w:r w:rsidR="00A879F0">
        <w:t xml:space="preserve"> will repost.</w:t>
      </w:r>
      <w:r w:rsidR="0058714B">
        <w:t xml:space="preserve">  The total number of establishments that will post their</w:t>
      </w:r>
      <w:r w:rsidR="00212797">
        <w:t xml:space="preserve"> provisions and operating procedures is 1,282 new +</w:t>
      </w:r>
      <w:r w:rsidR="00237590">
        <w:t xml:space="preserve"> </w:t>
      </w:r>
      <w:r w:rsidR="00E13B39">
        <w:t>1,217</w:t>
      </w:r>
      <w:r w:rsidR="00237590">
        <w:t xml:space="preserve"> existing equals</w:t>
      </w:r>
      <w:r w:rsidR="00A063BC">
        <w:t xml:space="preserve"> = </w:t>
      </w:r>
      <w:r w:rsidR="00E13B39">
        <w:t>2,4</w:t>
      </w:r>
      <w:r w:rsidR="00190B22">
        <w:t>99</w:t>
      </w:r>
      <w:r w:rsidR="004A2FF7">
        <w:t xml:space="preserve"> </w:t>
      </w:r>
      <w:r w:rsidR="00505579">
        <w:t>establishments.</w:t>
      </w:r>
      <w:r w:rsidR="0089071A">
        <w:t xml:space="preserve">  </w:t>
      </w:r>
      <w:r w:rsidRPr="00C45A81">
        <w:t xml:space="preserve">The </w:t>
      </w:r>
      <w:r w:rsidR="00554CC5">
        <w:t>a</w:t>
      </w:r>
      <w:r w:rsidRPr="00C45A81">
        <w:t>gency assumes a clerical staff</w:t>
      </w:r>
      <w:r w:rsidR="00077431">
        <w:t xml:space="preserve"> will take 5 minutes </w:t>
      </w:r>
      <w:r w:rsidR="00F4348B">
        <w:t>(5/60 hour) to</w:t>
      </w:r>
      <w:r w:rsidRPr="00C45A81">
        <w:t xml:space="preserve"> perform these activities</w:t>
      </w:r>
      <w:r w:rsidRPr="00890A48">
        <w:rPr>
          <w:b/>
          <w:bCs/>
        </w:rPr>
        <w:t>.</w:t>
      </w:r>
    </w:p>
    <w:p w:rsidR="00547AD1" w:rsidP="00F26B37" w14:paraId="221C0235" w14:textId="7641343B">
      <w:pPr>
        <w:rPr>
          <w:b/>
          <w:bCs/>
        </w:rPr>
      </w:pPr>
      <w:r w:rsidRPr="00C658D1">
        <w:t>Accordingly, the annual burden hours and cost of this requirement are:</w:t>
      </w:r>
    </w:p>
    <w:p w:rsidR="00F26B37" w:rsidRPr="00C658D1" w:rsidP="00C45A81" w14:paraId="507507FF" w14:textId="77777777">
      <w:pPr>
        <w:rPr>
          <w:b/>
          <w:bCs/>
        </w:rPr>
      </w:pPr>
    </w:p>
    <w:p w:rsidR="00BE31B6" w:rsidRPr="00C658D1" w:rsidP="00382C45" w14:paraId="278D7D01" w14:textId="6B0B214A">
      <w:pPr>
        <w:ind w:left="1440" w:firstLine="720"/>
      </w:pPr>
      <w:r w:rsidRPr="00C658D1">
        <w:rPr>
          <w:b/>
          <w:bCs/>
        </w:rPr>
        <w:t>Burden hours</w:t>
      </w:r>
      <w:r w:rsidRPr="00C658D1">
        <w:t xml:space="preserve">: </w:t>
      </w:r>
      <w:r w:rsidR="00F26B37">
        <w:t xml:space="preserve"> 2,4</w:t>
      </w:r>
      <w:r w:rsidR="00190B22">
        <w:t>99</w:t>
      </w:r>
      <w:r w:rsidR="00F26B37">
        <w:t xml:space="preserve"> </w:t>
      </w:r>
      <w:r w:rsidRPr="00C658D1">
        <w:t>facilities x</w:t>
      </w:r>
      <w:r w:rsidRPr="00C658D1" w:rsidR="00BF67B3">
        <w:t xml:space="preserve"> 5/60</w:t>
      </w:r>
      <w:r w:rsidRPr="00C658D1">
        <w:t xml:space="preserve"> hour </w:t>
      </w:r>
      <w:r w:rsidRPr="00C658D1" w:rsidR="00DC0423">
        <w:t xml:space="preserve">= </w:t>
      </w:r>
      <w:r w:rsidR="00F26B37">
        <w:t>20</w:t>
      </w:r>
      <w:r w:rsidR="00E45C32">
        <w:t>8</w:t>
      </w:r>
      <w:r w:rsidRPr="00C658D1" w:rsidR="002147C8">
        <w:t xml:space="preserve"> </w:t>
      </w:r>
      <w:r w:rsidRPr="00C658D1">
        <w:t>hours</w:t>
      </w:r>
    </w:p>
    <w:p w:rsidR="00BE31B6" w:rsidRPr="00C658D1" w:rsidP="00F979E6" w14:paraId="7A01495B" w14:textId="02B51E33">
      <w:pPr>
        <w:tabs>
          <w:tab w:val="left" w:pos="2970"/>
        </w:tabs>
        <w:ind w:firstLine="2160"/>
      </w:pPr>
      <w:r w:rsidRPr="00C658D1">
        <w:rPr>
          <w:b/>
          <w:bCs/>
        </w:rPr>
        <w:t xml:space="preserve">    </w:t>
      </w:r>
      <w:r w:rsidRPr="00C658D1" w:rsidR="00F979E6">
        <w:rPr>
          <w:b/>
          <w:bCs/>
        </w:rPr>
        <w:tab/>
        <w:t xml:space="preserve">  </w:t>
      </w:r>
      <w:r w:rsidRPr="00C658D1">
        <w:rPr>
          <w:b/>
          <w:bCs/>
        </w:rPr>
        <w:t>Cost</w:t>
      </w:r>
      <w:r w:rsidRPr="00C658D1">
        <w:t xml:space="preserve">:  </w:t>
      </w:r>
      <w:r w:rsidR="00F26B37">
        <w:t>20</w:t>
      </w:r>
      <w:r w:rsidR="00E45C32">
        <w:t>8</w:t>
      </w:r>
      <w:r w:rsidRPr="00C658D1">
        <w:t xml:space="preserve"> hours x $</w:t>
      </w:r>
      <w:r w:rsidR="00C74BAF">
        <w:t>30.98</w:t>
      </w:r>
      <w:r w:rsidRPr="00C658D1">
        <w:t xml:space="preserve"> = $</w:t>
      </w:r>
      <w:r w:rsidR="003A4B9E">
        <w:t>6,</w:t>
      </w:r>
      <w:r w:rsidR="00150877">
        <w:t>444</w:t>
      </w:r>
    </w:p>
    <w:p w:rsidR="00F26B37" w:rsidRPr="00C658D1" w:rsidP="00C45A81" w14:paraId="32BBAA15" w14:textId="77777777"/>
    <w:p w:rsidR="00BE31B6" w:rsidRPr="00C658D1" w:rsidP="00BE31B6" w14:paraId="1A81BF3F" w14:textId="7EAE00DE">
      <w:pPr>
        <w:rPr>
          <w:b/>
          <w:bCs/>
        </w:rPr>
      </w:pPr>
      <w:r w:rsidRPr="00C658D1">
        <w:rPr>
          <w:b/>
          <w:bCs/>
        </w:rPr>
        <w:t>(</w:t>
      </w:r>
      <w:r w:rsidRPr="00C658D1" w:rsidR="00F44FE9">
        <w:rPr>
          <w:b/>
          <w:bCs/>
        </w:rPr>
        <w:t>C</w:t>
      </w:r>
      <w:r w:rsidRPr="00C658D1">
        <w:rPr>
          <w:b/>
          <w:bCs/>
        </w:rPr>
        <w:t xml:space="preserve">)  Notification of incidents (§1910.1096(l)) </w:t>
      </w:r>
    </w:p>
    <w:p w:rsidR="00BE31B6" w:rsidRPr="00C658D1" w:rsidP="00BE31B6" w14:paraId="7E92A34F" w14:textId="77777777">
      <w:pPr>
        <w:rPr>
          <w:b/>
          <w:bCs/>
        </w:rPr>
      </w:pPr>
    </w:p>
    <w:p w:rsidR="00BE31B6" w:rsidRPr="00CF521B" w:rsidP="00BE31B6" w14:paraId="5A8FFC38" w14:textId="658AA400">
      <w:r w:rsidRPr="00C658D1">
        <w:t xml:space="preserve">Based on interviews with </w:t>
      </w:r>
      <w:r w:rsidRPr="00C658D1" w:rsidR="004E20D3">
        <w:t>a</w:t>
      </w:r>
      <w:r w:rsidRPr="00C658D1">
        <w:t xml:space="preserve">gency staff, for purposes of calculating PRA burden hours, OSHA predicts </w:t>
      </w:r>
      <w:r w:rsidRPr="00C658D1" w:rsidR="00141F42">
        <w:t>1</w:t>
      </w:r>
      <w:r w:rsidRPr="00C658D1">
        <w:t xml:space="preserve"> incident</w:t>
      </w:r>
      <w:r w:rsidRPr="00C658D1" w:rsidR="00375409">
        <w:t xml:space="preserve"> </w:t>
      </w:r>
      <w:r w:rsidRPr="00C658D1">
        <w:t>each year that require</w:t>
      </w:r>
      <w:r w:rsidRPr="00C658D1">
        <w:t>s</w:t>
      </w:r>
      <w:r w:rsidRPr="00C658D1">
        <w:t xml:space="preserve"> the notifications and reports specified by provision (l)(1</w:t>
      </w:r>
      <w:r w:rsidR="0071769C">
        <w:t>) (</w:t>
      </w:r>
      <w:r w:rsidRPr="00C45A81" w:rsidR="0071769C">
        <w:rPr>
          <w:i/>
          <w:iCs/>
        </w:rPr>
        <w:t>Immediate notification</w:t>
      </w:r>
      <w:r w:rsidR="0071769C">
        <w:t>).</w:t>
      </w:r>
      <w:r w:rsidR="00B369AC">
        <w:t xml:space="preserve"> </w:t>
      </w:r>
      <w:r>
        <w:t xml:space="preserve">The </w:t>
      </w:r>
      <w:r w:rsidR="00935684">
        <w:t>a</w:t>
      </w:r>
      <w:r w:rsidRPr="00CF521B">
        <w:t xml:space="preserve">gency does not believe any of the new establishments would have any incidents. </w:t>
      </w:r>
      <w:r w:rsidR="00E822E2">
        <w:t xml:space="preserve"> At the present time, the </w:t>
      </w:r>
      <w:r w:rsidR="00BF519E">
        <w:t>a</w:t>
      </w:r>
      <w:r w:rsidR="00E822E2">
        <w:t>gency is not aware of any such inci</w:t>
      </w:r>
      <w:r w:rsidR="00002F5F">
        <w:t xml:space="preserve">dent </w:t>
      </w:r>
      <w:r w:rsidR="00002F5F">
        <w:t>notifications,</w:t>
      </w:r>
      <w:r>
        <w:t xml:space="preserve"> but</w:t>
      </w:r>
      <w:r>
        <w:t xml:space="preserve"> </w:t>
      </w:r>
      <w:r w:rsidR="00002F5F">
        <w:t xml:space="preserve">uses </w:t>
      </w:r>
      <w:r>
        <w:t>this estimate</w:t>
      </w:r>
      <w:r w:rsidR="00E822E2">
        <w:t xml:space="preserve"> </w:t>
      </w:r>
      <w:r w:rsidR="0053521E">
        <w:t>to</w:t>
      </w:r>
      <w:r w:rsidR="00E822E2">
        <w:t xml:space="preserve"> </w:t>
      </w:r>
      <w:r w:rsidR="00DF1A65">
        <w:t xml:space="preserve">maintain </w:t>
      </w:r>
      <w:r w:rsidR="00E822E2">
        <w:t xml:space="preserve">approval </w:t>
      </w:r>
      <w:r w:rsidR="00DF1A65">
        <w:t>under the PRA to collect such notifications in the future</w:t>
      </w:r>
      <w:r w:rsidR="00E822E2">
        <w:t>.</w:t>
      </w:r>
    </w:p>
    <w:p w:rsidR="00BE31B6" w:rsidRPr="00CF521B" w:rsidP="00BE31B6" w14:paraId="60CBC72F" w14:textId="77777777"/>
    <w:p w:rsidR="00BE31B6" w:rsidRPr="00CF521B" w:rsidP="00BE31B6" w14:paraId="04A543EC" w14:textId="12C278B5">
      <w:r w:rsidRPr="00CF521B">
        <w:t>The first</w:t>
      </w:r>
      <w:r w:rsidR="005D12CC">
        <w:t xml:space="preserve"> </w:t>
      </w:r>
      <w:r w:rsidR="009E552F">
        <w:t>information collection requirement</w:t>
      </w:r>
      <w:r w:rsidR="00F26B37">
        <w:t>s</w:t>
      </w:r>
      <w:r w:rsidRPr="00CF521B">
        <w:t>, specified in paragraphs (1)(1) and (l)(2)</w:t>
      </w:r>
      <w:r w:rsidR="0071769C">
        <w:t xml:space="preserve"> “</w:t>
      </w:r>
      <w:r w:rsidRPr="005E1F0B" w:rsidR="005E1F0B">
        <w:rPr>
          <w:i/>
          <w:iCs/>
        </w:rPr>
        <w:t>Twenty-four-hour</w:t>
      </w:r>
      <w:r w:rsidRPr="00C45A81" w:rsidR="0071769C">
        <w:rPr>
          <w:i/>
          <w:iCs/>
        </w:rPr>
        <w:t xml:space="preserve"> notification</w:t>
      </w:r>
      <w:r w:rsidR="0071769C">
        <w:rPr>
          <w:i/>
          <w:iCs/>
        </w:rPr>
        <w:t>”</w:t>
      </w:r>
      <w:r w:rsidR="000F23CE">
        <w:t xml:space="preserve"> </w:t>
      </w:r>
      <w:r w:rsidRPr="00CF521B">
        <w:t>of the Standard, requires employers to contact OSHA immediately or within 24 hours of an incident, depend</w:t>
      </w:r>
      <w:r w:rsidR="00CB2A2F">
        <w:t>ing</w:t>
      </w:r>
      <w:r w:rsidRPr="00CF521B">
        <w:t xml:space="preserve"> on the amount of overexposure an employee receives.  The </w:t>
      </w:r>
      <w:r w:rsidR="000C0FAF">
        <w:t>a</w:t>
      </w:r>
      <w:r w:rsidRPr="00CF521B">
        <w:t>gency estimates that employers will use 5 minutes</w:t>
      </w:r>
      <w:r w:rsidR="00B06E9C">
        <w:t xml:space="preserve"> (</w:t>
      </w:r>
      <w:r w:rsidR="00287AE1">
        <w:t xml:space="preserve">5/60 </w:t>
      </w:r>
      <w:r w:rsidR="00B06E9C">
        <w:t>hour)</w:t>
      </w:r>
      <w:r w:rsidRPr="00CF521B">
        <w:t xml:space="preserve"> of professional time to provide the required notifications.</w:t>
      </w:r>
    </w:p>
    <w:p w:rsidR="00BE31B6" w:rsidRPr="00CF521B" w:rsidP="00BE31B6" w14:paraId="532B7326" w14:textId="77777777">
      <w:pPr>
        <w:rPr>
          <w:b/>
          <w:bCs/>
        </w:rPr>
      </w:pPr>
    </w:p>
    <w:p w:rsidR="00BE31B6" w:rsidRPr="00CF521B" w:rsidP="00BE31B6" w14:paraId="44ED5E68" w14:textId="3ABB78BB">
      <w:pPr>
        <w:ind w:left="720" w:hanging="720"/>
      </w:pPr>
      <w:r w:rsidRPr="00CF521B">
        <w:rPr>
          <w:b/>
          <w:bCs/>
        </w:rPr>
        <w:tab/>
      </w:r>
      <w:r w:rsidRPr="00CF521B" w:rsidR="000F294D">
        <w:rPr>
          <w:b/>
          <w:bCs/>
        </w:rPr>
        <w:tab/>
      </w:r>
      <w:r w:rsidRPr="00CF521B">
        <w:rPr>
          <w:b/>
          <w:bCs/>
        </w:rPr>
        <w:t>Burden hours</w:t>
      </w:r>
      <w:r w:rsidRPr="00CF521B" w:rsidR="003B4821">
        <w:t xml:space="preserve">: </w:t>
      </w:r>
      <w:r w:rsidR="006E3165">
        <w:t xml:space="preserve">1 </w:t>
      </w:r>
      <w:r w:rsidR="00ED4AC1">
        <w:t>facilit</w:t>
      </w:r>
      <w:r w:rsidR="00893923">
        <w:t>y</w:t>
      </w:r>
      <w:r w:rsidR="006E3165">
        <w:t xml:space="preserve"> </w:t>
      </w:r>
      <w:r w:rsidRPr="00CF521B" w:rsidR="003B4821">
        <w:t xml:space="preserve">x </w:t>
      </w:r>
      <w:r w:rsidR="00287AE1">
        <w:t>5/60</w:t>
      </w:r>
      <w:r w:rsidRPr="00CF521B" w:rsidR="003B4821">
        <w:t xml:space="preserve"> hour = </w:t>
      </w:r>
      <w:r w:rsidR="002F4007">
        <w:t>1</w:t>
      </w:r>
      <w:r w:rsidRPr="00CF521B">
        <w:t xml:space="preserve"> hour</w:t>
      </w:r>
      <w:r w:rsidR="002F4007">
        <w:t xml:space="preserve"> </w:t>
      </w:r>
    </w:p>
    <w:p w:rsidR="00BB1CED" w:rsidP="00160A84" w14:paraId="2D783243" w14:textId="2D015EE3">
      <w:pPr>
        <w:tabs>
          <w:tab w:val="left" w:pos="2250"/>
        </w:tabs>
        <w:ind w:left="720" w:hanging="720"/>
      </w:pPr>
      <w:r w:rsidRPr="00CF521B">
        <w:rPr>
          <w:b/>
          <w:bCs/>
        </w:rPr>
        <w:t xml:space="preserve">                          </w:t>
      </w:r>
      <w:r w:rsidRPr="00CF521B" w:rsidR="000F294D">
        <w:rPr>
          <w:b/>
          <w:bCs/>
        </w:rPr>
        <w:tab/>
      </w:r>
      <w:r w:rsidRPr="00CF521B">
        <w:rPr>
          <w:b/>
          <w:bCs/>
        </w:rPr>
        <w:t>Costs</w:t>
      </w:r>
      <w:r w:rsidRPr="00CF521B">
        <w:t xml:space="preserve">:  </w:t>
      </w:r>
      <w:r w:rsidR="002F4007">
        <w:t>1</w:t>
      </w:r>
      <w:r w:rsidRPr="00CF521B">
        <w:t xml:space="preserve"> hour</w:t>
      </w:r>
      <w:r w:rsidR="00F63373">
        <w:t xml:space="preserve"> </w:t>
      </w:r>
      <w:r w:rsidRPr="00CF521B">
        <w:t>x $</w:t>
      </w:r>
      <w:r w:rsidR="00007F40">
        <w:t>93.81</w:t>
      </w:r>
      <w:r w:rsidRPr="00CF521B">
        <w:t xml:space="preserve"> = $</w:t>
      </w:r>
      <w:r w:rsidR="003A4B9E">
        <w:t>94</w:t>
      </w:r>
    </w:p>
    <w:p w:rsidR="007C3A8C" w:rsidRPr="00CF521B" w:rsidP="00160A84" w14:paraId="47EE2219" w14:textId="77777777">
      <w:pPr>
        <w:tabs>
          <w:tab w:val="left" w:pos="2250"/>
        </w:tabs>
        <w:ind w:left="720" w:hanging="720"/>
        <w:rPr>
          <w:b/>
          <w:bCs/>
        </w:rPr>
      </w:pPr>
    </w:p>
    <w:p w:rsidR="00BE31B6" w:rsidRPr="00CF521B" w:rsidP="00BE31B6" w14:paraId="12193F57" w14:textId="29485568">
      <w:pPr>
        <w:rPr>
          <w:b/>
          <w:bCs/>
        </w:rPr>
      </w:pPr>
      <w:r w:rsidRPr="00CF521B">
        <w:rPr>
          <w:b/>
          <w:bCs/>
        </w:rPr>
        <w:t>(</w:t>
      </w:r>
      <w:r w:rsidR="00414CA9">
        <w:rPr>
          <w:b/>
          <w:bCs/>
        </w:rPr>
        <w:t>D</w:t>
      </w:r>
      <w:r w:rsidRPr="00CF521B">
        <w:rPr>
          <w:b/>
          <w:bCs/>
        </w:rPr>
        <w:t>)  Reports of overexposure and excessive levels and concentrations (§1910.1096(m))</w:t>
      </w:r>
    </w:p>
    <w:p w:rsidR="002B561F" w:rsidP="00BE31B6" w14:paraId="55933B37" w14:textId="77777777"/>
    <w:p w:rsidR="002B561F" w:rsidRPr="00C45A81" w:rsidP="00BE31B6" w14:paraId="2074D6DB" w14:textId="6AF87095">
      <w:r w:rsidRPr="00C45A81">
        <w:rPr>
          <w:i/>
          <w:iCs/>
          <w:u w:val="single"/>
        </w:rPr>
        <w:t xml:space="preserve">1. </w:t>
      </w:r>
      <w:r w:rsidRPr="00C45A81">
        <w:rPr>
          <w:i/>
          <w:iCs/>
          <w:u w:val="single"/>
        </w:rPr>
        <w:t>Written Notice to OSHA</w:t>
      </w:r>
      <w:r>
        <w:t>:</w:t>
      </w:r>
    </w:p>
    <w:p w:rsidR="00277571" w:rsidRPr="00C45A81" w:rsidP="00BE31B6" w14:paraId="65BEA67C" w14:textId="77777777">
      <w:pPr>
        <w:rPr>
          <w:u w:val="single"/>
        </w:rPr>
      </w:pPr>
    </w:p>
    <w:p w:rsidR="000D3087" w:rsidRPr="00485168" w:rsidP="00BE31B6" w14:paraId="13A34E3C" w14:textId="660C11A0">
      <w:r w:rsidRPr="00CF521B">
        <w:t xml:space="preserve">Paragraph (m)(1) of the Standard, requires that employers, within 30 days of an incident, provide a written </w:t>
      </w:r>
      <w:r w:rsidRPr="00485168">
        <w:t xml:space="preserve">report of the incident to OSHA. The </w:t>
      </w:r>
      <w:r w:rsidRPr="00485168" w:rsidR="009A04F0">
        <w:t>a</w:t>
      </w:r>
      <w:r w:rsidRPr="00485168">
        <w:t xml:space="preserve">gency estimates that a supervisor will take </w:t>
      </w:r>
      <w:r w:rsidRPr="00485168">
        <w:t>15</w:t>
      </w:r>
      <w:r w:rsidRPr="00485168">
        <w:t xml:space="preserve"> </w:t>
      </w:r>
    </w:p>
    <w:p w:rsidR="00BE31B6" w:rsidRPr="00485168" w:rsidP="00BE31B6" w14:paraId="6D9FAC11" w14:textId="6FBBD33A">
      <w:r w:rsidRPr="00485168">
        <w:t>minutes (</w:t>
      </w:r>
      <w:r w:rsidRPr="00485168" w:rsidR="006B3EC5">
        <w:t>15/60</w:t>
      </w:r>
      <w:r w:rsidRPr="00485168">
        <w:t xml:space="preserve"> hour) to write such a report and submit it to OSHA.</w:t>
      </w:r>
    </w:p>
    <w:p w:rsidR="00BE31B6" w:rsidRPr="00485168" w:rsidP="00BE31B6" w14:paraId="2199029C" w14:textId="77777777"/>
    <w:p w:rsidR="00BE31B6" w:rsidRPr="00CF521B" w:rsidP="00BE31B6" w14:paraId="0605ED06" w14:textId="780D108C">
      <w:r w:rsidRPr="00485168">
        <w:t xml:space="preserve">Based on interviews with </w:t>
      </w:r>
      <w:r w:rsidR="00754FC4">
        <w:t>a</w:t>
      </w:r>
      <w:r w:rsidRPr="00485168">
        <w:t>gency staff, for purposes of calculating PRA burden hours, OSHA predicts</w:t>
      </w:r>
      <w:r w:rsidRPr="00485168" w:rsidR="00771F47">
        <w:t xml:space="preserve"> 10</w:t>
      </w:r>
      <w:r w:rsidRPr="00485168" w:rsidR="00002F5F">
        <w:t xml:space="preserve"> such </w:t>
      </w:r>
      <w:r w:rsidRPr="00485168">
        <w:t>incident</w:t>
      </w:r>
      <w:r w:rsidRPr="00485168" w:rsidR="00002F5F">
        <w:t>s in a year</w:t>
      </w:r>
      <w:r w:rsidRPr="00485168">
        <w:t xml:space="preserve"> and would require a 24-hour overexposure notice as specified in (l)(2).</w:t>
      </w:r>
      <w:r w:rsidRPr="00CF521B">
        <w:t xml:space="preserve">  </w:t>
      </w:r>
    </w:p>
    <w:p w:rsidR="00BE31B6" w:rsidRPr="00CF521B" w:rsidP="00BE31B6" w14:paraId="2C62A432" w14:textId="77777777"/>
    <w:p w:rsidR="00BE31B6" w:rsidRPr="00CF521B" w:rsidP="00BE31B6" w14:paraId="5F41E1A9" w14:textId="28A1FF83">
      <w:r w:rsidRPr="00CF521B">
        <w:tab/>
      </w:r>
      <w:r w:rsidRPr="00CF521B" w:rsidR="000F294D">
        <w:tab/>
      </w:r>
      <w:r w:rsidRPr="00CF521B">
        <w:rPr>
          <w:b/>
        </w:rPr>
        <w:t>Burden hours</w:t>
      </w:r>
      <w:r w:rsidRPr="00CF521B">
        <w:t xml:space="preserve">: </w:t>
      </w:r>
      <w:r w:rsidR="006E3165">
        <w:t>1</w:t>
      </w:r>
      <w:r w:rsidR="00771F47">
        <w:t>0</w:t>
      </w:r>
      <w:r w:rsidR="006E3165">
        <w:t xml:space="preserve"> f</w:t>
      </w:r>
      <w:r w:rsidR="00705B22">
        <w:t>acilit</w:t>
      </w:r>
      <w:r w:rsidR="00771F47">
        <w:t>ies</w:t>
      </w:r>
      <w:r w:rsidR="006E3165">
        <w:t xml:space="preserve"> x</w:t>
      </w:r>
      <w:r w:rsidRPr="00CF521B">
        <w:t xml:space="preserve"> </w:t>
      </w:r>
      <w:r w:rsidR="009A04F0">
        <w:t>15/60</w:t>
      </w:r>
      <w:r w:rsidRPr="00CF521B">
        <w:t xml:space="preserve"> hour = </w:t>
      </w:r>
      <w:r w:rsidR="00007195">
        <w:t>3</w:t>
      </w:r>
      <w:r w:rsidR="00771F47">
        <w:t xml:space="preserve"> hours</w:t>
      </w:r>
    </w:p>
    <w:p w:rsidR="00BE31B6" w:rsidRPr="00CF521B" w:rsidP="000F294D" w14:paraId="7D7B05E1" w14:textId="54DF5CC3">
      <w:pPr>
        <w:tabs>
          <w:tab w:val="left" w:pos="2250"/>
        </w:tabs>
      </w:pPr>
      <w:r w:rsidRPr="00CF521B">
        <w:t xml:space="preserve">                          </w:t>
      </w:r>
      <w:r w:rsidRPr="00CF521B" w:rsidR="000F294D">
        <w:tab/>
      </w:r>
      <w:r w:rsidRPr="00CF521B">
        <w:rPr>
          <w:b/>
        </w:rPr>
        <w:t>Costs</w:t>
      </w:r>
      <w:r w:rsidRPr="00CF521B">
        <w:t xml:space="preserve">:  </w:t>
      </w:r>
      <w:r w:rsidR="00007195">
        <w:t xml:space="preserve">3 </w:t>
      </w:r>
      <w:r w:rsidRPr="00CF521B">
        <w:t>hour</w:t>
      </w:r>
      <w:r w:rsidR="00007195">
        <w:t>s</w:t>
      </w:r>
      <w:r w:rsidRPr="00CF521B">
        <w:t xml:space="preserve"> x $</w:t>
      </w:r>
      <w:r w:rsidR="00007F40">
        <w:t>93.81</w:t>
      </w:r>
      <w:r w:rsidRPr="00CF521B">
        <w:t xml:space="preserve"> = $</w:t>
      </w:r>
      <w:r w:rsidR="003A4B9E">
        <w:t>281</w:t>
      </w:r>
    </w:p>
    <w:p w:rsidR="00BE31B6" w:rsidRPr="00CF521B" w:rsidP="00BE31B6" w14:paraId="739D81BF" w14:textId="77777777"/>
    <w:p w:rsidR="00BE31B6" w:rsidRPr="00C45A81" w:rsidP="00BE31B6" w14:paraId="7C8763B6" w14:textId="0205D939">
      <w:r w:rsidRPr="00C45A81">
        <w:rPr>
          <w:i/>
          <w:iCs/>
          <w:u w:val="single"/>
        </w:rPr>
        <w:t xml:space="preserve">2. </w:t>
      </w:r>
      <w:r w:rsidRPr="00C45A81">
        <w:rPr>
          <w:i/>
          <w:iCs/>
          <w:u w:val="single"/>
        </w:rPr>
        <w:t>Written Incident Notice to Employee</w:t>
      </w:r>
      <w:r>
        <w:t>:</w:t>
      </w:r>
    </w:p>
    <w:p w:rsidR="00BE31B6" w:rsidRPr="00CF521B" w:rsidP="00BE31B6" w14:paraId="71092989" w14:textId="77777777"/>
    <w:p w:rsidR="00D03305" w:rsidP="00BE31B6" w14:paraId="078B66AE" w14:textId="17F67F35">
      <w:r w:rsidRPr="00CF521B">
        <w:t xml:space="preserve">Under paragraph (m)(2), employers must provide written notice to each worker involved in an incident covered by paragraph (l) of the Standard.  The written notice must inform the worker of the extent and characteristics of the overexposure received in the incident and must state that “You should preserve this report for future reference.”  </w:t>
      </w:r>
    </w:p>
    <w:p w:rsidR="00D03305" w:rsidP="00BE31B6" w14:paraId="09EEE912" w14:textId="77777777"/>
    <w:p w:rsidR="00BE31B6" w:rsidRPr="00CF521B" w:rsidP="00BE31B6" w14:paraId="2D70126F" w14:textId="4779A70F">
      <w:r>
        <w:t>Using the number</w:t>
      </w:r>
      <w:r w:rsidR="00771F47">
        <w:t>s</w:t>
      </w:r>
      <w:r>
        <w:t xml:space="preserve"> estimated in the equation above, </w:t>
      </w:r>
      <w:r w:rsidRPr="00CF521B">
        <w:t xml:space="preserve">OSHA assumes a secretary will spend </w:t>
      </w:r>
      <w:r w:rsidR="008623A7">
        <w:t>five minutes (</w:t>
      </w:r>
      <w:r w:rsidRPr="00CF521B">
        <w:t>5</w:t>
      </w:r>
      <w:r w:rsidR="007D7F04">
        <w:t>/60</w:t>
      </w:r>
      <w:r w:rsidRPr="00CF521B">
        <w:t xml:space="preserve"> hour</w:t>
      </w:r>
      <w:r w:rsidR="008623A7">
        <w:t xml:space="preserve">) </w:t>
      </w:r>
      <w:r w:rsidR="007D7F04">
        <w:t>p</w:t>
      </w:r>
      <w:r w:rsidRPr="00CF521B">
        <w:t>roviding this information to each of these workers.</w:t>
      </w:r>
      <w:r w:rsidR="00007195">
        <w:t xml:space="preserve"> The agency assumes one worker per facility.</w:t>
      </w:r>
    </w:p>
    <w:p w:rsidR="00BE31B6" w:rsidRPr="00CF521B" w:rsidP="00BE31B6" w14:paraId="3F7FFD52" w14:textId="77777777"/>
    <w:p w:rsidR="00BE31B6" w:rsidRPr="00CF521B" w:rsidP="00BE31B6" w14:paraId="2C261A31" w14:textId="667AC9FA">
      <w:pPr>
        <w:ind w:firstLine="1440"/>
      </w:pPr>
      <w:r w:rsidRPr="00CF521B">
        <w:rPr>
          <w:b/>
        </w:rPr>
        <w:t>Burden hours</w:t>
      </w:r>
      <w:r w:rsidRPr="00CF521B">
        <w:t xml:space="preserve">: </w:t>
      </w:r>
      <w:r w:rsidR="005C2ECD">
        <w:t xml:space="preserve"> </w:t>
      </w:r>
      <w:r w:rsidR="006E3165">
        <w:t>1</w:t>
      </w:r>
      <w:r w:rsidR="00771F47">
        <w:t>0</w:t>
      </w:r>
      <w:r w:rsidR="006E3165">
        <w:t xml:space="preserve"> facilit</w:t>
      </w:r>
      <w:r w:rsidR="00771F47">
        <w:t>ies</w:t>
      </w:r>
      <w:r w:rsidR="006E3165">
        <w:t xml:space="preserve"> </w:t>
      </w:r>
      <w:r w:rsidRPr="00CF521B">
        <w:t xml:space="preserve">x </w:t>
      </w:r>
      <w:r w:rsidR="000156EE">
        <w:t>5/60</w:t>
      </w:r>
      <w:r w:rsidRPr="00CF521B">
        <w:t xml:space="preserve"> hour = </w:t>
      </w:r>
      <w:r w:rsidR="000C2C06">
        <w:t>1</w:t>
      </w:r>
      <w:r w:rsidR="005C2ECD">
        <w:t xml:space="preserve"> </w:t>
      </w:r>
      <w:r w:rsidRPr="00CF521B">
        <w:t>hour</w:t>
      </w:r>
    </w:p>
    <w:p w:rsidR="00BE31B6" w:rsidRPr="00CF521B" w:rsidP="000F294D" w14:paraId="4CC796C0" w14:textId="0975D66C">
      <w:pPr>
        <w:tabs>
          <w:tab w:val="left" w:pos="2250"/>
        </w:tabs>
        <w:ind w:firstLine="2160"/>
      </w:pPr>
      <w:r w:rsidRPr="00CF521B">
        <w:rPr>
          <w:b/>
          <w:bCs/>
        </w:rPr>
        <w:t xml:space="preserve">   </w:t>
      </w:r>
      <w:r w:rsidRPr="00CF521B">
        <w:rPr>
          <w:b/>
          <w:bCs/>
        </w:rPr>
        <w:t>Cost</w:t>
      </w:r>
      <w:r w:rsidRPr="00CF521B">
        <w:t xml:space="preserve">:  </w:t>
      </w:r>
      <w:r w:rsidR="005C2ECD">
        <w:t>1</w:t>
      </w:r>
      <w:r w:rsidR="003C7D1E">
        <w:t xml:space="preserve"> </w:t>
      </w:r>
      <w:r w:rsidRPr="00CF521B">
        <w:t xml:space="preserve">hour x </w:t>
      </w:r>
      <w:r w:rsidR="005A0B6B">
        <w:t>$</w:t>
      </w:r>
      <w:r w:rsidR="00C74BAF">
        <w:t>30.98</w:t>
      </w:r>
      <w:r w:rsidRPr="00CF521B">
        <w:t xml:space="preserve"> = $</w:t>
      </w:r>
      <w:r w:rsidR="0090597E">
        <w:t>3</w:t>
      </w:r>
      <w:r w:rsidR="003A4B9E">
        <w:t>1</w:t>
      </w:r>
    </w:p>
    <w:p w:rsidR="00BE31B6" w:rsidRPr="00CF521B" w:rsidP="00BE31B6" w14:paraId="1FEF327F" w14:textId="77777777"/>
    <w:p w:rsidR="00BE31B6" w:rsidRPr="00485168" w:rsidP="00BE31B6" w14:paraId="3670F772" w14:textId="1F66F5F3">
      <w:r w:rsidRPr="00485168">
        <w:rPr>
          <w:b/>
          <w:bCs/>
        </w:rPr>
        <w:t>(</w:t>
      </w:r>
      <w:r w:rsidRPr="00485168" w:rsidR="009E380D">
        <w:rPr>
          <w:b/>
          <w:bCs/>
        </w:rPr>
        <w:t>E</w:t>
      </w:r>
      <w:r w:rsidRPr="00485168">
        <w:rPr>
          <w:b/>
          <w:bCs/>
        </w:rPr>
        <w:t>)  Records (§1910.1096(n))</w:t>
      </w:r>
    </w:p>
    <w:p w:rsidR="00BE31B6" w:rsidRPr="00485168" w:rsidP="00BE31B6" w14:paraId="26D1AAEE" w14:textId="77777777"/>
    <w:p w:rsidR="00BE31B6" w:rsidRPr="00485168" w:rsidP="00BE31B6" w14:paraId="5497301F" w14:textId="54257E0B">
      <w:r w:rsidRPr="00485168">
        <w:t>Employers must mai</w:t>
      </w:r>
      <w:r w:rsidRPr="00485168" w:rsidR="001B45B7">
        <w:t xml:space="preserve">ntain exposure records for the </w:t>
      </w:r>
      <w:r w:rsidR="00622B95">
        <w:t>27,495</w:t>
      </w:r>
      <w:r w:rsidRPr="00485168" w:rsidR="007C3A8C">
        <w:t xml:space="preserve"> </w:t>
      </w:r>
      <w:r w:rsidRPr="00485168" w:rsidR="00615C03">
        <w:t>worker</w:t>
      </w:r>
      <w:r w:rsidRPr="00485168">
        <w:t>s who receive personal monitoring in accordance with paragraph (d) of the Standard</w:t>
      </w:r>
      <w:r w:rsidRPr="00485168" w:rsidR="00B369AC">
        <w:t xml:space="preserve"> (</w:t>
      </w:r>
      <w:r w:rsidR="00622B95">
        <w:t>27,495</w:t>
      </w:r>
      <w:r w:rsidRPr="00485168" w:rsidR="007C3A8C">
        <w:t xml:space="preserve"> workers </w:t>
      </w:r>
      <w:r w:rsidRPr="00485168" w:rsidR="00272332">
        <w:t xml:space="preserve">= </w:t>
      </w:r>
      <w:r w:rsidRPr="00C45A81" w:rsidR="007E5DF4">
        <w:t>25,631</w:t>
      </w:r>
      <w:r w:rsidRPr="00485168" w:rsidR="00272332">
        <w:t xml:space="preserve"> facilities x </w:t>
      </w:r>
      <w:r w:rsidR="001D40C2">
        <w:t>1.072724</w:t>
      </w:r>
      <w:r w:rsidRPr="00485168" w:rsidR="00272332">
        <w:t>)</w:t>
      </w:r>
      <w:r w:rsidRPr="00485168">
        <w:t>.  Every year, employers must inform these workers individually of their exposure results.  OSHA estimates that maintaining these exposure records require 5 minutes (</w:t>
      </w:r>
      <w:r w:rsidRPr="00485168" w:rsidR="00326544">
        <w:t>5/60</w:t>
      </w:r>
      <w:r w:rsidRPr="00485168">
        <w:t xml:space="preserve"> hour) of clerical time and that a secretary will spend 15 minutes (</w:t>
      </w:r>
      <w:r w:rsidRPr="00485168" w:rsidR="00326544">
        <w:t>15/60</w:t>
      </w:r>
      <w:r w:rsidRPr="00485168">
        <w:t xml:space="preserve"> hour) compiling the exposure data, and writing and sending each report, for a total of 20 minutes (</w:t>
      </w:r>
      <w:r w:rsidRPr="00485168" w:rsidR="00326544">
        <w:t>20/60</w:t>
      </w:r>
      <w:r w:rsidRPr="00485168">
        <w:t xml:space="preserve"> hour) to complete these tasks.  Therefore, the annual burden hours and cost of these requirements are:</w:t>
      </w:r>
    </w:p>
    <w:p w:rsidR="00BE31B6" w:rsidRPr="00485168" w:rsidP="00BE31B6" w14:paraId="471DEFED" w14:textId="77777777"/>
    <w:p w:rsidR="00BE31B6" w:rsidRPr="00485168" w:rsidP="00BE31B6" w14:paraId="628A28B1" w14:textId="18D525E7">
      <w:pPr>
        <w:ind w:firstLine="1440"/>
      </w:pPr>
      <w:r w:rsidRPr="00485168">
        <w:rPr>
          <w:b/>
          <w:bCs/>
        </w:rPr>
        <w:t>Burden hours</w:t>
      </w:r>
      <w:r w:rsidRPr="00485168" w:rsidR="0053521E">
        <w:t xml:space="preserve">: </w:t>
      </w:r>
      <w:r w:rsidR="00404AFC">
        <w:t>2</w:t>
      </w:r>
      <w:r w:rsidR="00A724A9">
        <w:t>7</w:t>
      </w:r>
      <w:r w:rsidR="00143BF1">
        <w:t>,495</w:t>
      </w:r>
      <w:r w:rsidR="00404AFC">
        <w:t xml:space="preserve"> workers</w:t>
      </w:r>
      <w:r w:rsidRPr="00485168" w:rsidR="00272332">
        <w:t xml:space="preserve"> </w:t>
      </w:r>
      <w:r w:rsidRPr="00485168">
        <w:t xml:space="preserve">x </w:t>
      </w:r>
      <w:r w:rsidRPr="00485168" w:rsidR="00326544">
        <w:t>20/60</w:t>
      </w:r>
      <w:r w:rsidRPr="00485168">
        <w:t xml:space="preserve"> hour =</w:t>
      </w:r>
      <w:r w:rsidRPr="00485168" w:rsidR="001B45B7">
        <w:t xml:space="preserve"> </w:t>
      </w:r>
      <w:r w:rsidRPr="00485168" w:rsidR="00C73C37">
        <w:t>9,16</w:t>
      </w:r>
      <w:r w:rsidR="00CA25D6">
        <w:t>5</w:t>
      </w:r>
      <w:r w:rsidRPr="00485168" w:rsidR="00AF7748">
        <w:t xml:space="preserve"> </w:t>
      </w:r>
      <w:r w:rsidRPr="00485168">
        <w:t>hours</w:t>
      </w:r>
    </w:p>
    <w:p w:rsidR="00AF7748" w:rsidP="00BE31B6" w14:paraId="7C0DFB30" w14:textId="24ADFE25">
      <w:pPr>
        <w:ind w:firstLine="2160"/>
      </w:pPr>
      <w:r w:rsidRPr="00485168">
        <w:rPr>
          <w:b/>
          <w:bCs/>
        </w:rPr>
        <w:t xml:space="preserve">    Cost</w:t>
      </w:r>
      <w:r w:rsidRPr="00485168">
        <w:t xml:space="preserve">:  </w:t>
      </w:r>
      <w:r w:rsidRPr="00485168" w:rsidR="00C73C37">
        <w:t>9,16</w:t>
      </w:r>
      <w:r w:rsidR="00CA25D6">
        <w:t>5</w:t>
      </w:r>
      <w:r w:rsidRPr="00485168" w:rsidR="00DD40CA">
        <w:t xml:space="preserve"> </w:t>
      </w:r>
      <w:r w:rsidRPr="00485168">
        <w:t>hours x $</w:t>
      </w:r>
      <w:r w:rsidR="00C74BAF">
        <w:t>30.98</w:t>
      </w:r>
      <w:r w:rsidRPr="00485168" w:rsidR="00BB1CED">
        <w:t xml:space="preserve"> = $</w:t>
      </w:r>
      <w:r w:rsidR="003A4B9E">
        <w:t>283,932</w:t>
      </w:r>
    </w:p>
    <w:p w:rsidR="00BE31B6" w:rsidRPr="00CF521B" w:rsidP="00BE31B6" w14:paraId="0B44A958" w14:textId="77777777">
      <w:pPr>
        <w:ind w:firstLine="2160"/>
      </w:pPr>
    </w:p>
    <w:p w:rsidR="00BE31B6" w:rsidRPr="00CF521B" w:rsidP="00BE31B6" w14:paraId="642139FB" w14:textId="78CFD021">
      <w:r w:rsidRPr="00CF521B">
        <w:rPr>
          <w:b/>
        </w:rPr>
        <w:t>(</w:t>
      </w:r>
      <w:r w:rsidR="00EC4578">
        <w:rPr>
          <w:b/>
        </w:rPr>
        <w:t>F</w:t>
      </w:r>
      <w:r w:rsidRPr="00CF521B">
        <w:rPr>
          <w:b/>
          <w:bCs/>
        </w:rPr>
        <w:t>)  Records disclosure to former employees</w:t>
      </w:r>
      <w:r w:rsidRPr="00CF521B">
        <w:t xml:space="preserve"> </w:t>
      </w:r>
      <w:r w:rsidRPr="00CF521B">
        <w:rPr>
          <w:b/>
          <w:bCs/>
        </w:rPr>
        <w:t>(§1910.1096(o))</w:t>
      </w:r>
    </w:p>
    <w:p w:rsidR="00BE31B6" w:rsidRPr="00CF521B" w:rsidP="00BE31B6" w14:paraId="69BA480B" w14:textId="77777777"/>
    <w:p w:rsidR="00423BE1" w:rsidP="00BE31B6" w14:paraId="6A806FC9" w14:textId="6BF53EEA">
      <w:r w:rsidRPr="00CF521B">
        <w:t xml:space="preserve">Employers must provide former workers, on request, with a report of their radiation-exposure history.  The Agency assumes that 10% of the </w:t>
      </w:r>
      <w:r w:rsidR="00622B95">
        <w:t>27,495</w:t>
      </w:r>
      <w:r w:rsidR="001914D7">
        <w:t xml:space="preserve"> </w:t>
      </w:r>
      <w:r w:rsidRPr="00CF521B">
        <w:t>workers (</w:t>
      </w:r>
      <w:r w:rsidR="00AF7748">
        <w:t>2,</w:t>
      </w:r>
      <w:r w:rsidR="001914D7">
        <w:t>750</w:t>
      </w:r>
      <w:r w:rsidRPr="00CF521B">
        <w:t>)</w:t>
      </w:r>
      <w:r w:rsidRPr="00272332">
        <w:t xml:space="preserve"> </w:t>
      </w:r>
      <w:r w:rsidRPr="00CF521B">
        <w:t>will request this information each year</w:t>
      </w:r>
      <w:r w:rsidR="00B369AC">
        <w:t xml:space="preserve"> (</w:t>
      </w:r>
      <w:r w:rsidR="00AF7748">
        <w:t>2,</w:t>
      </w:r>
      <w:r w:rsidR="001914D7">
        <w:t>7</w:t>
      </w:r>
      <w:r w:rsidR="0004283A">
        <w:t>50</w:t>
      </w:r>
      <w:r w:rsidR="00404AFC">
        <w:t xml:space="preserve"> </w:t>
      </w:r>
      <w:r w:rsidRPr="00485168" w:rsidR="00AF7748">
        <w:t xml:space="preserve">workers </w:t>
      </w:r>
      <w:r w:rsidRPr="00485168" w:rsidR="00272332">
        <w:t xml:space="preserve">= </w:t>
      </w:r>
      <w:r w:rsidRPr="00C45A81" w:rsidR="007E5DF4">
        <w:t>25,631</w:t>
      </w:r>
      <w:r w:rsidRPr="00485168" w:rsidR="00272332">
        <w:t xml:space="preserve"> facilities x </w:t>
      </w:r>
      <w:r w:rsidR="001D40C2">
        <w:t>1.072724</w:t>
      </w:r>
      <w:r w:rsidRPr="00485168" w:rsidR="00AF7748">
        <w:t xml:space="preserve"> x .1</w:t>
      </w:r>
      <w:r w:rsidRPr="00485168" w:rsidR="00272332">
        <w:t>)</w:t>
      </w:r>
      <w:r w:rsidRPr="00485168">
        <w:t>.</w:t>
      </w:r>
      <w:r w:rsidRPr="00CF521B">
        <w:t xml:space="preserve">  OSHA estimates a clerk will take 15 minutes (</w:t>
      </w:r>
      <w:r w:rsidR="00326544">
        <w:t>15/60</w:t>
      </w:r>
      <w:r w:rsidRPr="00CF521B">
        <w:t xml:space="preserve"> hour) to compile the exposure data and provide the report to</w:t>
      </w:r>
    </w:p>
    <w:p w:rsidR="00423BE1" w:rsidRPr="00423BE1" w:rsidP="00423BE1" w14:paraId="32440488" w14:textId="77777777">
      <w:r w:rsidRPr="00423BE1">
        <w:t>each worker who makes such a request.  The annual burden hours and cost of this requirement are:</w:t>
      </w:r>
    </w:p>
    <w:p w:rsidR="00404AFC" w:rsidP="00423BE1" w14:paraId="5F77183B" w14:textId="77777777">
      <w:pPr>
        <w:rPr>
          <w:b/>
          <w:bCs/>
        </w:rPr>
      </w:pPr>
    </w:p>
    <w:p w:rsidR="00423BE1" w:rsidRPr="00423BE1" w:rsidP="00C45A81" w14:paraId="766EB23D" w14:textId="038DE9E6">
      <w:pPr>
        <w:ind w:firstLine="720"/>
      </w:pPr>
      <w:r w:rsidRPr="00423BE1">
        <w:rPr>
          <w:b/>
          <w:bCs/>
        </w:rPr>
        <w:t>Burden hours</w:t>
      </w:r>
      <w:r w:rsidRPr="00423BE1">
        <w:t xml:space="preserve">:  </w:t>
      </w:r>
      <w:r w:rsidR="00404AFC">
        <w:t xml:space="preserve">  2,</w:t>
      </w:r>
      <w:r w:rsidR="00CB3A3D">
        <w:t>750</w:t>
      </w:r>
      <w:r w:rsidRPr="00423BE1">
        <w:t xml:space="preserve"> x 15/60 hour = </w:t>
      </w:r>
      <w:r w:rsidRPr="00423BE1" w:rsidR="003A4B9E">
        <w:t>68</w:t>
      </w:r>
      <w:r w:rsidR="003A4B9E">
        <w:t>8</w:t>
      </w:r>
      <w:r w:rsidRPr="00423BE1" w:rsidR="003A4B9E">
        <w:t xml:space="preserve"> </w:t>
      </w:r>
      <w:r w:rsidR="003A4B9E">
        <w:t>hours</w:t>
      </w:r>
    </w:p>
    <w:p w:rsidR="007C24BF" w:rsidP="007C24BF" w14:paraId="40363D20" w14:textId="64483A74">
      <w:r>
        <w:rPr>
          <w:b/>
          <w:bCs/>
        </w:rPr>
        <w:tab/>
        <w:t xml:space="preserve">     Cost</w:t>
      </w:r>
      <w:r w:rsidRPr="00C45A81">
        <w:t xml:space="preserve">: </w:t>
      </w:r>
      <w:r>
        <w:rPr>
          <w:b/>
          <w:bCs/>
        </w:rPr>
        <w:t xml:space="preserve"> </w:t>
      </w:r>
      <w:r w:rsidR="00404AFC">
        <w:rPr>
          <w:b/>
          <w:bCs/>
        </w:rPr>
        <w:tab/>
        <w:t xml:space="preserve">     </w:t>
      </w:r>
      <w:r w:rsidRPr="00C45A81" w:rsidR="00FD3525">
        <w:t>68</w:t>
      </w:r>
      <w:r w:rsidR="00477E5F">
        <w:t>8</w:t>
      </w:r>
      <w:r w:rsidRPr="00C45A81" w:rsidR="00FD3525">
        <w:t xml:space="preserve"> hours x $</w:t>
      </w:r>
      <w:r w:rsidR="00C74BAF">
        <w:t>30.98</w:t>
      </w:r>
      <w:r w:rsidRPr="00C45A81" w:rsidR="00FD3525">
        <w:t xml:space="preserve"> = $</w:t>
      </w:r>
      <w:r w:rsidR="003A4B9E">
        <w:t>21,314</w:t>
      </w:r>
    </w:p>
    <w:p w:rsidR="00F7477E" w:rsidP="007C24BF" w14:paraId="0BB4BA64" w14:textId="77777777"/>
    <w:p w:rsidR="00174936" w:rsidP="002D6D39" w14:paraId="3B0CA92E" w14:textId="77777777">
      <w:pPr>
        <w:widowControl/>
        <w:autoSpaceDE/>
        <w:adjustRightInd/>
        <w:jc w:val="center"/>
        <w:rPr>
          <w:rFonts w:eastAsia="Calibri"/>
          <w:b/>
        </w:rPr>
      </w:pPr>
    </w:p>
    <w:p w:rsidR="00174936" w:rsidP="002D6D39" w14:paraId="3E7E13B2" w14:textId="77777777">
      <w:pPr>
        <w:widowControl/>
        <w:autoSpaceDE/>
        <w:adjustRightInd/>
        <w:jc w:val="center"/>
        <w:rPr>
          <w:rFonts w:eastAsia="Calibri"/>
          <w:b/>
        </w:rPr>
      </w:pPr>
    </w:p>
    <w:p w:rsidR="00174936" w:rsidP="002D6D39" w14:paraId="58DF38E1" w14:textId="77777777">
      <w:pPr>
        <w:widowControl/>
        <w:autoSpaceDE/>
        <w:adjustRightInd/>
        <w:jc w:val="center"/>
        <w:rPr>
          <w:rFonts w:eastAsia="Calibri"/>
          <w:b/>
        </w:rPr>
      </w:pPr>
    </w:p>
    <w:p w:rsidR="00174936" w:rsidP="002D6D39" w14:paraId="7A0054F7" w14:textId="77777777">
      <w:pPr>
        <w:widowControl/>
        <w:autoSpaceDE/>
        <w:adjustRightInd/>
        <w:jc w:val="center"/>
        <w:rPr>
          <w:rFonts w:eastAsia="Calibri"/>
          <w:b/>
        </w:rPr>
      </w:pPr>
    </w:p>
    <w:p w:rsidR="00174936" w:rsidP="002D6D39" w14:paraId="22E5BD01" w14:textId="77777777">
      <w:pPr>
        <w:widowControl/>
        <w:autoSpaceDE/>
        <w:adjustRightInd/>
        <w:jc w:val="center"/>
        <w:rPr>
          <w:rFonts w:eastAsia="Calibri"/>
          <w:b/>
        </w:rPr>
      </w:pPr>
    </w:p>
    <w:p w:rsidR="00174936" w:rsidP="002D6D39" w14:paraId="468D7452" w14:textId="77777777">
      <w:pPr>
        <w:widowControl/>
        <w:autoSpaceDE/>
        <w:adjustRightInd/>
        <w:jc w:val="center"/>
        <w:rPr>
          <w:rFonts w:eastAsia="Calibri"/>
          <w:b/>
        </w:rPr>
      </w:pPr>
    </w:p>
    <w:p w:rsidR="00174936" w:rsidP="002D6D39" w14:paraId="4DD82A3D" w14:textId="77777777">
      <w:pPr>
        <w:widowControl/>
        <w:autoSpaceDE/>
        <w:adjustRightInd/>
        <w:jc w:val="center"/>
        <w:rPr>
          <w:rFonts w:eastAsia="Calibri"/>
          <w:b/>
        </w:rPr>
      </w:pPr>
    </w:p>
    <w:p w:rsidR="002D6D39" w:rsidP="00C45A81" w14:paraId="5B6377CD" w14:textId="23F47318">
      <w:pPr>
        <w:widowControl/>
        <w:autoSpaceDE/>
        <w:adjustRightInd/>
        <w:jc w:val="center"/>
        <w:rPr>
          <w:rFonts w:eastAsia="Calibri"/>
        </w:rPr>
      </w:pPr>
      <w:r>
        <w:rPr>
          <w:rFonts w:eastAsia="Calibri"/>
          <w:b/>
        </w:rPr>
        <w:t xml:space="preserve">Table </w:t>
      </w:r>
      <w:r w:rsidR="00E8044F">
        <w:rPr>
          <w:rFonts w:eastAsia="Calibri"/>
          <w:b/>
        </w:rPr>
        <w:t>4</w:t>
      </w:r>
      <w:r>
        <w:rPr>
          <w:rFonts w:eastAsia="Calibri"/>
          <w:b/>
        </w:rPr>
        <w:t xml:space="preserve"> - Estimated Annualized Respondent Burden Hours and Costs</w:t>
      </w:r>
      <w:r w:rsidR="00165EEE">
        <w:rPr>
          <w:rFonts w:eastAsia="Calibri"/>
          <w:b/>
        </w:rPr>
        <w:t>*</w:t>
      </w:r>
    </w:p>
    <w:tbl>
      <w:tblPr>
        <w:tblpPr w:leftFromText="180" w:rightFromText="180" w:vertAnchor="text" w:tblpX="-537" w:tblpY="1"/>
        <w:tblOverlap w:val="never"/>
        <w:tblW w:w="109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810"/>
        <w:gridCol w:w="1505"/>
        <w:gridCol w:w="1465"/>
        <w:gridCol w:w="1235"/>
        <w:gridCol w:w="1195"/>
        <w:gridCol w:w="1170"/>
        <w:gridCol w:w="990"/>
        <w:gridCol w:w="1535"/>
      </w:tblGrid>
      <w:tr w14:paraId="1AC6C085" w14:textId="77777777" w:rsidTr="00C45A81">
        <w:tblPrEx>
          <w:tblW w:w="109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Ex>
        <w:trPr>
          <w:cantSplit/>
          <w:tblHeader/>
        </w:trPr>
        <w:tc>
          <w:tcPr>
            <w:tcW w:w="1810" w:type="dxa"/>
            <w:shd w:val="clear" w:color="auto" w:fill="65D7FF"/>
            <w:vAlign w:val="center"/>
            <w:hideMark/>
          </w:tcPr>
          <w:p w:rsidR="002D6D39" w:rsidRPr="00C655A9" w:rsidP="00860F9C" w14:paraId="11F7DC4D" w14:textId="77777777">
            <w:pPr>
              <w:widowControl/>
              <w:autoSpaceDE/>
              <w:adjustRightInd/>
              <w:spacing w:line="276" w:lineRule="auto"/>
              <w:jc w:val="center"/>
              <w:rPr>
                <w:b/>
                <w:bCs/>
                <w:color w:val="000000"/>
                <w:sz w:val="20"/>
                <w:szCs w:val="20"/>
              </w:rPr>
            </w:pPr>
            <w:r w:rsidRPr="00C655A9">
              <w:rPr>
                <w:b/>
                <w:bCs/>
                <w:color w:val="000000"/>
                <w:sz w:val="20"/>
                <w:szCs w:val="20"/>
              </w:rPr>
              <w:t>Information Collection Requirements</w:t>
            </w:r>
          </w:p>
        </w:tc>
        <w:tc>
          <w:tcPr>
            <w:tcW w:w="1505" w:type="dxa"/>
            <w:shd w:val="clear" w:color="auto" w:fill="65D7FF"/>
            <w:vAlign w:val="center"/>
            <w:hideMark/>
          </w:tcPr>
          <w:p w:rsidR="002D6D39" w:rsidRPr="00D3767D" w:rsidP="00860F9C" w14:paraId="6CCB2DDE" w14:textId="77777777">
            <w:pPr>
              <w:widowControl/>
              <w:autoSpaceDE/>
              <w:adjustRightInd/>
              <w:spacing w:line="276" w:lineRule="auto"/>
              <w:jc w:val="center"/>
              <w:rPr>
                <w:b/>
                <w:bCs/>
                <w:color w:val="000000"/>
                <w:sz w:val="20"/>
                <w:szCs w:val="20"/>
              </w:rPr>
            </w:pPr>
            <w:r w:rsidRPr="00D3767D">
              <w:rPr>
                <w:b/>
                <w:bCs/>
                <w:color w:val="000000"/>
                <w:sz w:val="20"/>
                <w:szCs w:val="20"/>
              </w:rPr>
              <w:t xml:space="preserve">No. of </w:t>
            </w:r>
          </w:p>
          <w:p w:rsidR="002D6D39" w:rsidRPr="00D3767D" w:rsidP="00860F9C" w14:paraId="49AB8AD2" w14:textId="77777777">
            <w:pPr>
              <w:widowControl/>
              <w:autoSpaceDE/>
              <w:adjustRightInd/>
              <w:spacing w:line="276" w:lineRule="auto"/>
              <w:jc w:val="center"/>
              <w:rPr>
                <w:b/>
                <w:bCs/>
                <w:color w:val="000000"/>
                <w:sz w:val="18"/>
                <w:szCs w:val="18"/>
              </w:rPr>
            </w:pPr>
            <w:r w:rsidRPr="00D3767D">
              <w:rPr>
                <w:b/>
                <w:bCs/>
                <w:color w:val="000000"/>
                <w:sz w:val="20"/>
                <w:szCs w:val="20"/>
              </w:rPr>
              <w:t xml:space="preserve">Respondents </w:t>
            </w:r>
            <w:r w:rsidRPr="00D3767D">
              <w:rPr>
                <w:b/>
                <w:bCs/>
                <w:color w:val="000000"/>
                <w:sz w:val="18"/>
                <w:szCs w:val="18"/>
              </w:rPr>
              <w:t>Employers/</w:t>
            </w:r>
          </w:p>
          <w:p w:rsidR="002D6D39" w:rsidRPr="00D3767D" w:rsidP="00860F9C" w14:paraId="54F966CA" w14:textId="77777777">
            <w:pPr>
              <w:widowControl/>
              <w:autoSpaceDE/>
              <w:adjustRightInd/>
              <w:spacing w:line="276" w:lineRule="auto"/>
              <w:jc w:val="center"/>
              <w:rPr>
                <w:b/>
                <w:bCs/>
                <w:color w:val="000000"/>
                <w:sz w:val="20"/>
                <w:szCs w:val="20"/>
              </w:rPr>
            </w:pPr>
            <w:r w:rsidRPr="00D3767D">
              <w:rPr>
                <w:b/>
                <w:bCs/>
                <w:color w:val="000000"/>
                <w:sz w:val="18"/>
                <w:szCs w:val="18"/>
              </w:rPr>
              <w:t>Facilities</w:t>
            </w:r>
          </w:p>
        </w:tc>
        <w:tc>
          <w:tcPr>
            <w:tcW w:w="1465" w:type="dxa"/>
            <w:shd w:val="clear" w:color="auto" w:fill="65D7FF"/>
            <w:vAlign w:val="center"/>
            <w:hideMark/>
          </w:tcPr>
          <w:p w:rsidR="002D6D39" w:rsidRPr="00D3767D" w:rsidP="00860F9C" w14:paraId="7EE93EAD" w14:textId="73F0331C">
            <w:pPr>
              <w:widowControl/>
              <w:autoSpaceDE/>
              <w:adjustRightInd/>
              <w:spacing w:line="276" w:lineRule="auto"/>
              <w:jc w:val="center"/>
              <w:rPr>
                <w:b/>
                <w:bCs/>
                <w:color w:val="000000"/>
                <w:sz w:val="20"/>
                <w:szCs w:val="20"/>
              </w:rPr>
            </w:pPr>
            <w:r w:rsidRPr="00D3767D">
              <w:rPr>
                <w:b/>
                <w:bCs/>
                <w:color w:val="000000"/>
                <w:sz w:val="20"/>
                <w:szCs w:val="20"/>
              </w:rPr>
              <w:t>N</w:t>
            </w:r>
            <w:r w:rsidRPr="00D3767D" w:rsidR="007C1271">
              <w:rPr>
                <w:b/>
                <w:bCs/>
                <w:color w:val="000000"/>
                <w:sz w:val="20"/>
                <w:szCs w:val="20"/>
              </w:rPr>
              <w:t>umber</w:t>
            </w:r>
            <w:r w:rsidRPr="00D3767D">
              <w:rPr>
                <w:b/>
                <w:bCs/>
                <w:color w:val="000000"/>
                <w:sz w:val="20"/>
                <w:szCs w:val="20"/>
              </w:rPr>
              <w:t xml:space="preserve"> of Responses per Respondent</w:t>
            </w:r>
          </w:p>
        </w:tc>
        <w:tc>
          <w:tcPr>
            <w:tcW w:w="1235" w:type="dxa"/>
            <w:shd w:val="clear" w:color="auto" w:fill="65D7FF"/>
            <w:vAlign w:val="center"/>
            <w:hideMark/>
          </w:tcPr>
          <w:p w:rsidR="002D6D39" w:rsidRPr="00D3767D" w:rsidP="00860F9C" w14:paraId="5516773F" w14:textId="60E5BFBE">
            <w:pPr>
              <w:widowControl/>
              <w:autoSpaceDE/>
              <w:adjustRightInd/>
              <w:spacing w:line="276" w:lineRule="auto"/>
              <w:jc w:val="center"/>
              <w:rPr>
                <w:b/>
                <w:bCs/>
                <w:color w:val="000000"/>
                <w:sz w:val="20"/>
                <w:szCs w:val="20"/>
              </w:rPr>
            </w:pPr>
            <w:r w:rsidRPr="00D3767D">
              <w:rPr>
                <w:b/>
                <w:bCs/>
                <w:color w:val="000000"/>
                <w:sz w:val="20"/>
                <w:szCs w:val="20"/>
              </w:rPr>
              <w:t>Total N</w:t>
            </w:r>
            <w:r w:rsidR="009F404A">
              <w:rPr>
                <w:b/>
                <w:bCs/>
                <w:color w:val="000000"/>
                <w:sz w:val="20"/>
                <w:szCs w:val="20"/>
              </w:rPr>
              <w:t>um</w:t>
            </w:r>
            <w:r w:rsidR="005A180C">
              <w:rPr>
                <w:b/>
                <w:bCs/>
                <w:color w:val="000000"/>
                <w:sz w:val="20"/>
                <w:szCs w:val="20"/>
              </w:rPr>
              <w:t>ber</w:t>
            </w:r>
            <w:r w:rsidRPr="00D3767D">
              <w:rPr>
                <w:b/>
                <w:bCs/>
                <w:color w:val="000000"/>
                <w:sz w:val="20"/>
                <w:szCs w:val="20"/>
              </w:rPr>
              <w:t xml:space="preserve"> of Responses</w:t>
            </w:r>
          </w:p>
        </w:tc>
        <w:tc>
          <w:tcPr>
            <w:tcW w:w="1195" w:type="dxa"/>
            <w:shd w:val="clear" w:color="auto" w:fill="65D7FF"/>
            <w:vAlign w:val="center"/>
            <w:hideMark/>
          </w:tcPr>
          <w:p w:rsidR="002D6D39" w:rsidRPr="00D3767D" w:rsidP="00860F9C" w14:paraId="202E981A" w14:textId="2D316CBF">
            <w:pPr>
              <w:widowControl/>
              <w:autoSpaceDE/>
              <w:adjustRightInd/>
              <w:spacing w:line="276" w:lineRule="auto"/>
              <w:jc w:val="center"/>
              <w:rPr>
                <w:b/>
                <w:bCs/>
                <w:color w:val="000000"/>
                <w:sz w:val="20"/>
                <w:szCs w:val="20"/>
              </w:rPr>
            </w:pPr>
            <w:r>
              <w:rPr>
                <w:b/>
                <w:bCs/>
                <w:color w:val="000000"/>
                <w:sz w:val="20"/>
                <w:szCs w:val="20"/>
              </w:rPr>
              <w:t>Time</w:t>
            </w:r>
            <w:r w:rsidRPr="00D3767D">
              <w:rPr>
                <w:b/>
                <w:bCs/>
                <w:color w:val="000000"/>
                <w:sz w:val="20"/>
                <w:szCs w:val="20"/>
              </w:rPr>
              <w:t xml:space="preserve"> per Response</w:t>
            </w:r>
          </w:p>
          <w:p w:rsidR="002D6D39" w:rsidRPr="00D3767D" w:rsidP="00860F9C" w14:paraId="368DE441" w14:textId="4D256AA0">
            <w:pPr>
              <w:widowControl/>
              <w:autoSpaceDE/>
              <w:adjustRightInd/>
              <w:spacing w:line="276" w:lineRule="auto"/>
              <w:jc w:val="center"/>
              <w:rPr>
                <w:b/>
                <w:bCs/>
                <w:color w:val="000000"/>
                <w:sz w:val="20"/>
                <w:szCs w:val="20"/>
              </w:rPr>
            </w:pPr>
            <w:r w:rsidRPr="00D3767D">
              <w:rPr>
                <w:b/>
                <w:bCs/>
                <w:color w:val="000000"/>
                <w:sz w:val="20"/>
                <w:szCs w:val="20"/>
              </w:rPr>
              <w:t>(</w:t>
            </w:r>
            <w:r w:rsidR="00552C90">
              <w:rPr>
                <w:b/>
                <w:bCs/>
                <w:color w:val="000000"/>
                <w:sz w:val="20"/>
                <w:szCs w:val="20"/>
              </w:rPr>
              <w:t>i</w:t>
            </w:r>
            <w:r w:rsidRPr="00D3767D">
              <w:rPr>
                <w:b/>
                <w:bCs/>
                <w:color w:val="000000"/>
                <w:sz w:val="20"/>
                <w:szCs w:val="20"/>
              </w:rPr>
              <w:t xml:space="preserve">n </w:t>
            </w:r>
            <w:r w:rsidR="00552C90">
              <w:rPr>
                <w:b/>
                <w:bCs/>
                <w:color w:val="000000"/>
                <w:sz w:val="20"/>
                <w:szCs w:val="20"/>
              </w:rPr>
              <w:t>Hou</w:t>
            </w:r>
            <w:r w:rsidRPr="00D3767D">
              <w:rPr>
                <w:b/>
                <w:bCs/>
                <w:color w:val="000000"/>
                <w:sz w:val="20"/>
                <w:szCs w:val="20"/>
              </w:rPr>
              <w:t>rs)</w:t>
            </w:r>
          </w:p>
        </w:tc>
        <w:tc>
          <w:tcPr>
            <w:tcW w:w="1170" w:type="dxa"/>
            <w:shd w:val="clear" w:color="auto" w:fill="65D7FF"/>
            <w:vAlign w:val="center"/>
            <w:hideMark/>
          </w:tcPr>
          <w:p w:rsidR="002D6D39" w:rsidRPr="00D3767D" w:rsidP="00860F9C" w14:paraId="7C7A5E09" w14:textId="5ADF5114">
            <w:pPr>
              <w:widowControl/>
              <w:autoSpaceDE/>
              <w:adjustRightInd/>
              <w:spacing w:line="276" w:lineRule="auto"/>
              <w:jc w:val="center"/>
              <w:rPr>
                <w:b/>
                <w:bCs/>
                <w:color w:val="000000"/>
                <w:sz w:val="20"/>
                <w:szCs w:val="20"/>
              </w:rPr>
            </w:pPr>
            <w:r w:rsidRPr="00D3767D">
              <w:rPr>
                <w:b/>
                <w:bCs/>
                <w:color w:val="000000"/>
                <w:sz w:val="20"/>
                <w:szCs w:val="20"/>
              </w:rPr>
              <w:t xml:space="preserve"> </w:t>
            </w:r>
            <w:r w:rsidR="00724585">
              <w:rPr>
                <w:b/>
                <w:bCs/>
                <w:color w:val="000000"/>
                <w:sz w:val="20"/>
                <w:szCs w:val="20"/>
              </w:rPr>
              <w:t xml:space="preserve">Total </w:t>
            </w:r>
            <w:r w:rsidRPr="00D3767D">
              <w:rPr>
                <w:b/>
                <w:bCs/>
                <w:color w:val="000000"/>
                <w:sz w:val="20"/>
                <w:szCs w:val="20"/>
              </w:rPr>
              <w:t>Burden Hours</w:t>
            </w:r>
          </w:p>
        </w:tc>
        <w:tc>
          <w:tcPr>
            <w:tcW w:w="990" w:type="dxa"/>
            <w:shd w:val="clear" w:color="auto" w:fill="65D7FF"/>
            <w:vAlign w:val="center"/>
            <w:hideMark/>
          </w:tcPr>
          <w:p w:rsidR="002D6D39" w:rsidRPr="00D3767D" w:rsidP="00860F9C" w14:paraId="7D7689F5" w14:textId="67489FD9">
            <w:pPr>
              <w:widowControl/>
              <w:autoSpaceDE/>
              <w:adjustRightInd/>
              <w:spacing w:line="276" w:lineRule="auto"/>
              <w:jc w:val="center"/>
              <w:rPr>
                <w:b/>
                <w:bCs/>
                <w:color w:val="000000"/>
                <w:sz w:val="20"/>
                <w:szCs w:val="20"/>
              </w:rPr>
            </w:pPr>
            <w:r w:rsidRPr="00D3767D">
              <w:rPr>
                <w:b/>
                <w:bCs/>
                <w:color w:val="000000"/>
                <w:sz w:val="20"/>
                <w:szCs w:val="20"/>
              </w:rPr>
              <w:t>Loaded Hourly</w:t>
            </w:r>
            <w:r w:rsidRPr="00D3767D">
              <w:rPr>
                <w:b/>
                <w:bCs/>
                <w:color w:val="000000"/>
                <w:sz w:val="20"/>
                <w:szCs w:val="20"/>
              </w:rPr>
              <w:t xml:space="preserve"> Wage </w:t>
            </w:r>
          </w:p>
        </w:tc>
        <w:tc>
          <w:tcPr>
            <w:tcW w:w="1535" w:type="dxa"/>
            <w:shd w:val="clear" w:color="auto" w:fill="65D7FF"/>
            <w:vAlign w:val="center"/>
            <w:hideMark/>
          </w:tcPr>
          <w:p w:rsidR="002D6D39" w:rsidP="00860F9C" w14:paraId="46D81992" w14:textId="1E6E9B9A">
            <w:pPr>
              <w:widowControl/>
              <w:autoSpaceDE/>
              <w:adjustRightInd/>
              <w:spacing w:line="276" w:lineRule="auto"/>
              <w:jc w:val="center"/>
              <w:rPr>
                <w:b/>
                <w:bCs/>
                <w:color w:val="000000"/>
                <w:sz w:val="20"/>
                <w:szCs w:val="20"/>
              </w:rPr>
            </w:pPr>
            <w:r w:rsidRPr="00D3767D">
              <w:rPr>
                <w:b/>
                <w:bCs/>
                <w:color w:val="000000"/>
                <w:sz w:val="20"/>
                <w:szCs w:val="20"/>
              </w:rPr>
              <w:t xml:space="preserve"> </w:t>
            </w:r>
            <w:r w:rsidR="00724585">
              <w:rPr>
                <w:b/>
                <w:bCs/>
                <w:color w:val="000000"/>
                <w:sz w:val="20"/>
                <w:szCs w:val="20"/>
              </w:rPr>
              <w:t xml:space="preserve">Total </w:t>
            </w:r>
            <w:r w:rsidRPr="00D3767D">
              <w:rPr>
                <w:b/>
                <w:bCs/>
                <w:color w:val="000000"/>
                <w:sz w:val="20"/>
                <w:szCs w:val="20"/>
              </w:rPr>
              <w:t>Burden Costs</w:t>
            </w:r>
          </w:p>
          <w:p w:rsidR="009F2120" w:rsidRPr="00D3767D" w:rsidP="00860F9C" w14:paraId="47978499" w14:textId="27E3831A">
            <w:pPr>
              <w:widowControl/>
              <w:autoSpaceDE/>
              <w:adjustRightInd/>
              <w:spacing w:line="276" w:lineRule="auto"/>
              <w:jc w:val="center"/>
              <w:rPr>
                <w:bCs/>
                <w:color w:val="000000"/>
                <w:sz w:val="20"/>
                <w:szCs w:val="20"/>
              </w:rPr>
            </w:pPr>
            <w:r>
              <w:rPr>
                <w:b/>
                <w:bCs/>
                <w:color w:val="000000"/>
                <w:sz w:val="20"/>
                <w:szCs w:val="20"/>
              </w:rPr>
              <w:t>(rounded)</w:t>
            </w:r>
          </w:p>
        </w:tc>
      </w:tr>
      <w:tr w14:paraId="780EE924" w14:textId="77777777" w:rsidTr="00C45A81">
        <w:tblPrEx>
          <w:tblW w:w="10905" w:type="dxa"/>
          <w:tblLayout w:type="fixed"/>
          <w:tblLook w:val="04A0"/>
        </w:tblPrEx>
        <w:tc>
          <w:tcPr>
            <w:tcW w:w="10905" w:type="dxa"/>
            <w:gridSpan w:val="8"/>
            <w:shd w:val="clear" w:color="auto" w:fill="CDF2FF"/>
            <w:hideMark/>
          </w:tcPr>
          <w:p w:rsidR="001A6CB9" w:rsidRPr="00D3767D" w:rsidP="00860F9C" w14:paraId="04EFA162" w14:textId="3A382FEE">
            <w:pPr>
              <w:rPr>
                <w:sz w:val="22"/>
                <w:szCs w:val="22"/>
              </w:rPr>
            </w:pPr>
            <w:r w:rsidRPr="00C45A81">
              <w:rPr>
                <w:b/>
                <w:bCs/>
                <w:sz w:val="20"/>
                <w:szCs w:val="20"/>
              </w:rPr>
              <w:t>(A)  Precautionary procedures and personal monitoring</w:t>
            </w:r>
          </w:p>
        </w:tc>
      </w:tr>
      <w:tr w14:paraId="1366F9BA" w14:textId="77777777" w:rsidTr="00C45A81">
        <w:tblPrEx>
          <w:tblW w:w="10905" w:type="dxa"/>
          <w:tblLayout w:type="fixed"/>
          <w:tblLook w:val="04A0"/>
        </w:tblPrEx>
        <w:trPr>
          <w:trHeight w:val="542"/>
        </w:trPr>
        <w:tc>
          <w:tcPr>
            <w:tcW w:w="1810" w:type="dxa"/>
            <w:vAlign w:val="bottom"/>
            <w:hideMark/>
          </w:tcPr>
          <w:p w:rsidR="002D6D39" w:rsidRPr="00C655A9" w:rsidP="00860F9C" w14:paraId="6F130149" w14:textId="77777777">
            <w:pPr>
              <w:rPr>
                <w:i/>
                <w:sz w:val="20"/>
                <w:szCs w:val="20"/>
              </w:rPr>
            </w:pPr>
            <w:r w:rsidRPr="00C655A9">
              <w:rPr>
                <w:bCs/>
                <w:i/>
                <w:sz w:val="20"/>
                <w:szCs w:val="20"/>
              </w:rPr>
              <w:t>1. Whole Body Monitoring</w:t>
            </w:r>
          </w:p>
        </w:tc>
        <w:tc>
          <w:tcPr>
            <w:tcW w:w="1505" w:type="dxa"/>
            <w:vAlign w:val="center"/>
          </w:tcPr>
          <w:p w:rsidR="002D6D39" w:rsidRPr="00C45A81" w:rsidP="00F7477E" w14:paraId="7D180478" w14:textId="266059DB">
            <w:pPr>
              <w:jc w:val="center"/>
              <w:rPr>
                <w:sz w:val="20"/>
                <w:szCs w:val="20"/>
              </w:rPr>
            </w:pPr>
            <w:r w:rsidRPr="00C45A81">
              <w:rPr>
                <w:sz w:val="20"/>
                <w:szCs w:val="20"/>
              </w:rPr>
              <w:t>27,495</w:t>
            </w:r>
          </w:p>
        </w:tc>
        <w:tc>
          <w:tcPr>
            <w:tcW w:w="1465" w:type="dxa"/>
            <w:vAlign w:val="center"/>
            <w:hideMark/>
          </w:tcPr>
          <w:p w:rsidR="002D6D39" w:rsidRPr="00C45A81" w:rsidP="00F7477E" w14:paraId="1D706070" w14:textId="544203BB">
            <w:pPr>
              <w:jc w:val="center"/>
              <w:rPr>
                <w:sz w:val="20"/>
                <w:szCs w:val="20"/>
              </w:rPr>
            </w:pPr>
            <w:r>
              <w:rPr>
                <w:sz w:val="20"/>
                <w:szCs w:val="20"/>
              </w:rPr>
              <w:t>12</w:t>
            </w:r>
          </w:p>
        </w:tc>
        <w:tc>
          <w:tcPr>
            <w:tcW w:w="1235" w:type="dxa"/>
            <w:vAlign w:val="center"/>
            <w:hideMark/>
          </w:tcPr>
          <w:p w:rsidR="002D6D39" w:rsidRPr="00C45A81" w:rsidP="00F7477E" w14:paraId="7B307171" w14:textId="0395FC9F">
            <w:pPr>
              <w:jc w:val="center"/>
              <w:rPr>
                <w:sz w:val="20"/>
                <w:szCs w:val="20"/>
              </w:rPr>
            </w:pPr>
            <w:r w:rsidRPr="00C45A81">
              <w:rPr>
                <w:sz w:val="20"/>
                <w:szCs w:val="20"/>
              </w:rPr>
              <w:t>329</w:t>
            </w:r>
            <w:r w:rsidRPr="00C45A81" w:rsidR="00FF2254">
              <w:rPr>
                <w:sz w:val="20"/>
                <w:szCs w:val="20"/>
              </w:rPr>
              <w:t>,9</w:t>
            </w:r>
            <w:r w:rsidR="00D9335D">
              <w:rPr>
                <w:sz w:val="20"/>
                <w:szCs w:val="20"/>
              </w:rPr>
              <w:t>40</w:t>
            </w:r>
          </w:p>
        </w:tc>
        <w:tc>
          <w:tcPr>
            <w:tcW w:w="1195" w:type="dxa"/>
            <w:vAlign w:val="center"/>
            <w:hideMark/>
          </w:tcPr>
          <w:p w:rsidR="002D6D39" w:rsidRPr="00C45A81" w:rsidP="00F7477E" w14:paraId="0C7CE434" w14:textId="02B498B5">
            <w:pPr>
              <w:jc w:val="center"/>
              <w:rPr>
                <w:sz w:val="20"/>
                <w:szCs w:val="20"/>
              </w:rPr>
            </w:pPr>
            <w:r w:rsidRPr="00C45A81">
              <w:rPr>
                <w:sz w:val="20"/>
                <w:szCs w:val="20"/>
              </w:rPr>
              <w:t>10/60</w:t>
            </w:r>
          </w:p>
        </w:tc>
        <w:tc>
          <w:tcPr>
            <w:tcW w:w="1170" w:type="dxa"/>
            <w:vAlign w:val="center"/>
            <w:hideMark/>
          </w:tcPr>
          <w:p w:rsidR="002D6D39" w:rsidRPr="00C45A81" w:rsidP="00F7477E" w14:paraId="2E4B64F3" w14:textId="2C091184">
            <w:pPr>
              <w:jc w:val="center"/>
              <w:rPr>
                <w:sz w:val="20"/>
                <w:szCs w:val="20"/>
              </w:rPr>
            </w:pPr>
            <w:r w:rsidRPr="00C45A81">
              <w:rPr>
                <w:sz w:val="20"/>
                <w:szCs w:val="20"/>
              </w:rPr>
              <w:t>54,9</w:t>
            </w:r>
            <w:r w:rsidR="00D9335D">
              <w:rPr>
                <w:sz w:val="20"/>
                <w:szCs w:val="20"/>
              </w:rPr>
              <w:t>90</w:t>
            </w:r>
          </w:p>
        </w:tc>
        <w:tc>
          <w:tcPr>
            <w:tcW w:w="990" w:type="dxa"/>
            <w:vAlign w:val="center"/>
            <w:hideMark/>
          </w:tcPr>
          <w:p w:rsidR="002D6D39" w:rsidRPr="00C45A81" w:rsidP="00F7477E" w14:paraId="1D6C91C0" w14:textId="4920D4B7">
            <w:pPr>
              <w:jc w:val="center"/>
              <w:rPr>
                <w:sz w:val="20"/>
                <w:szCs w:val="20"/>
              </w:rPr>
            </w:pPr>
            <w:r w:rsidRPr="00C45A81">
              <w:rPr>
                <w:sz w:val="20"/>
                <w:szCs w:val="20"/>
              </w:rPr>
              <w:t>$</w:t>
            </w:r>
            <w:r w:rsidR="00007F40">
              <w:rPr>
                <w:sz w:val="20"/>
                <w:szCs w:val="20"/>
              </w:rPr>
              <w:t>93.81</w:t>
            </w:r>
          </w:p>
        </w:tc>
        <w:tc>
          <w:tcPr>
            <w:tcW w:w="1535" w:type="dxa"/>
            <w:vAlign w:val="center"/>
            <w:hideMark/>
          </w:tcPr>
          <w:p w:rsidR="002D6D39" w:rsidRPr="00C45A81" w:rsidP="00F7477E" w14:paraId="69203390" w14:textId="46ED3783">
            <w:pPr>
              <w:jc w:val="center"/>
              <w:rPr>
                <w:sz w:val="20"/>
                <w:szCs w:val="20"/>
              </w:rPr>
            </w:pPr>
            <w:r w:rsidRPr="00C45A81">
              <w:rPr>
                <w:sz w:val="20"/>
                <w:szCs w:val="20"/>
              </w:rPr>
              <w:t>$</w:t>
            </w:r>
            <w:r w:rsidR="006F01A7">
              <w:rPr>
                <w:sz w:val="20"/>
                <w:szCs w:val="20"/>
              </w:rPr>
              <w:t>5,158,612</w:t>
            </w:r>
          </w:p>
        </w:tc>
      </w:tr>
      <w:tr w14:paraId="5F696A2D" w14:textId="77777777" w:rsidTr="00C45A81">
        <w:tblPrEx>
          <w:tblW w:w="10905" w:type="dxa"/>
          <w:tblLayout w:type="fixed"/>
          <w:tblLook w:val="04A0"/>
        </w:tblPrEx>
        <w:tc>
          <w:tcPr>
            <w:tcW w:w="1810" w:type="dxa"/>
            <w:vAlign w:val="bottom"/>
            <w:hideMark/>
          </w:tcPr>
          <w:p w:rsidR="002D6D39" w:rsidRPr="00C655A9" w:rsidP="00860F9C" w14:paraId="708702F3" w14:textId="77777777">
            <w:pPr>
              <w:rPr>
                <w:i/>
                <w:sz w:val="20"/>
                <w:szCs w:val="20"/>
              </w:rPr>
            </w:pPr>
            <w:r w:rsidRPr="00C655A9">
              <w:rPr>
                <w:bCs/>
                <w:i/>
                <w:sz w:val="20"/>
                <w:szCs w:val="20"/>
              </w:rPr>
              <w:t>2. Extremity Monitoring</w:t>
            </w:r>
          </w:p>
        </w:tc>
        <w:tc>
          <w:tcPr>
            <w:tcW w:w="1505" w:type="dxa"/>
            <w:vAlign w:val="center"/>
            <w:hideMark/>
          </w:tcPr>
          <w:p w:rsidR="002D6D39" w:rsidRPr="00C45A81" w:rsidP="00F7477E" w14:paraId="06890ED4" w14:textId="34CE0F47">
            <w:pPr>
              <w:jc w:val="center"/>
              <w:rPr>
                <w:sz w:val="20"/>
                <w:szCs w:val="20"/>
              </w:rPr>
            </w:pPr>
            <w:r w:rsidRPr="00C45A81">
              <w:rPr>
                <w:sz w:val="20"/>
                <w:szCs w:val="20"/>
              </w:rPr>
              <w:t>2</w:t>
            </w:r>
            <w:r w:rsidR="00674B6A">
              <w:rPr>
                <w:sz w:val="20"/>
                <w:szCs w:val="20"/>
              </w:rPr>
              <w:t>,</w:t>
            </w:r>
            <w:r w:rsidR="00AE6C2C">
              <w:rPr>
                <w:sz w:val="20"/>
                <w:szCs w:val="20"/>
              </w:rPr>
              <w:t>750</w:t>
            </w:r>
          </w:p>
        </w:tc>
        <w:tc>
          <w:tcPr>
            <w:tcW w:w="1465" w:type="dxa"/>
            <w:vAlign w:val="center"/>
            <w:hideMark/>
          </w:tcPr>
          <w:p w:rsidR="002D6D39" w:rsidRPr="00C45A81" w:rsidP="00F7477E" w14:paraId="530A99E1" w14:textId="3BA43640">
            <w:pPr>
              <w:jc w:val="center"/>
              <w:rPr>
                <w:sz w:val="20"/>
                <w:szCs w:val="20"/>
              </w:rPr>
            </w:pPr>
            <w:r>
              <w:rPr>
                <w:sz w:val="20"/>
                <w:szCs w:val="20"/>
              </w:rPr>
              <w:t>12</w:t>
            </w:r>
          </w:p>
        </w:tc>
        <w:tc>
          <w:tcPr>
            <w:tcW w:w="1235" w:type="dxa"/>
            <w:vAlign w:val="center"/>
            <w:hideMark/>
          </w:tcPr>
          <w:p w:rsidR="002D6D39" w:rsidRPr="00C45A81" w:rsidP="00F7477E" w14:paraId="58BE35C9" w14:textId="5E36C997">
            <w:pPr>
              <w:jc w:val="center"/>
              <w:rPr>
                <w:sz w:val="20"/>
                <w:szCs w:val="20"/>
              </w:rPr>
            </w:pPr>
            <w:r w:rsidRPr="00C45A81">
              <w:rPr>
                <w:sz w:val="20"/>
                <w:szCs w:val="20"/>
              </w:rPr>
              <w:t>3</w:t>
            </w:r>
            <w:r w:rsidR="00E408D2">
              <w:rPr>
                <w:sz w:val="20"/>
                <w:szCs w:val="20"/>
              </w:rPr>
              <w:t>3,000</w:t>
            </w:r>
          </w:p>
        </w:tc>
        <w:tc>
          <w:tcPr>
            <w:tcW w:w="1195" w:type="dxa"/>
            <w:vAlign w:val="center"/>
            <w:hideMark/>
          </w:tcPr>
          <w:p w:rsidR="002D6D39" w:rsidRPr="00C45A81" w:rsidP="00F7477E" w14:paraId="14225330" w14:textId="2EADC42F">
            <w:pPr>
              <w:jc w:val="center"/>
              <w:rPr>
                <w:sz w:val="20"/>
                <w:szCs w:val="20"/>
              </w:rPr>
            </w:pPr>
            <w:r w:rsidRPr="00C45A81">
              <w:rPr>
                <w:sz w:val="20"/>
                <w:szCs w:val="20"/>
              </w:rPr>
              <w:t>10/60</w:t>
            </w:r>
          </w:p>
        </w:tc>
        <w:tc>
          <w:tcPr>
            <w:tcW w:w="1170" w:type="dxa"/>
            <w:vAlign w:val="center"/>
            <w:hideMark/>
          </w:tcPr>
          <w:p w:rsidR="002D6D39" w:rsidRPr="00C45A81" w:rsidP="00F7477E" w14:paraId="03DE12E3" w14:textId="333339AD">
            <w:pPr>
              <w:jc w:val="center"/>
              <w:rPr>
                <w:sz w:val="20"/>
                <w:szCs w:val="20"/>
              </w:rPr>
            </w:pPr>
            <w:r w:rsidRPr="00C45A81">
              <w:rPr>
                <w:sz w:val="20"/>
                <w:szCs w:val="20"/>
              </w:rPr>
              <w:t>5,</w:t>
            </w:r>
            <w:r w:rsidR="003926EE">
              <w:rPr>
                <w:sz w:val="20"/>
                <w:szCs w:val="20"/>
              </w:rPr>
              <w:t>500</w:t>
            </w:r>
          </w:p>
        </w:tc>
        <w:tc>
          <w:tcPr>
            <w:tcW w:w="990" w:type="dxa"/>
            <w:vAlign w:val="center"/>
            <w:hideMark/>
          </w:tcPr>
          <w:p w:rsidR="002D6D39" w:rsidRPr="00C45A81" w:rsidP="00F7477E" w14:paraId="798735A6" w14:textId="1577783B">
            <w:pPr>
              <w:jc w:val="center"/>
              <w:rPr>
                <w:sz w:val="20"/>
                <w:szCs w:val="20"/>
              </w:rPr>
            </w:pPr>
            <w:r w:rsidRPr="00C45A81">
              <w:rPr>
                <w:sz w:val="20"/>
                <w:szCs w:val="20"/>
              </w:rPr>
              <w:t>$</w:t>
            </w:r>
            <w:r w:rsidR="00007F40">
              <w:rPr>
                <w:sz w:val="20"/>
                <w:szCs w:val="20"/>
              </w:rPr>
              <w:t>93.81</w:t>
            </w:r>
          </w:p>
        </w:tc>
        <w:tc>
          <w:tcPr>
            <w:tcW w:w="1535" w:type="dxa"/>
            <w:vAlign w:val="center"/>
            <w:hideMark/>
          </w:tcPr>
          <w:p w:rsidR="002D6D39" w:rsidRPr="00C45A81" w:rsidP="00F7477E" w14:paraId="5322216E" w14:textId="3BBBAC9E">
            <w:pPr>
              <w:jc w:val="center"/>
              <w:rPr>
                <w:sz w:val="20"/>
                <w:szCs w:val="20"/>
              </w:rPr>
            </w:pPr>
            <w:r w:rsidRPr="00C45A81">
              <w:rPr>
                <w:sz w:val="20"/>
                <w:szCs w:val="20"/>
              </w:rPr>
              <w:t>$</w:t>
            </w:r>
            <w:r w:rsidR="003A4B9E">
              <w:rPr>
                <w:sz w:val="20"/>
                <w:szCs w:val="20"/>
              </w:rPr>
              <w:t>515,955</w:t>
            </w:r>
          </w:p>
        </w:tc>
      </w:tr>
      <w:tr w14:paraId="55C40F3F" w14:textId="77777777" w:rsidTr="00C45A81">
        <w:tblPrEx>
          <w:tblW w:w="10905" w:type="dxa"/>
          <w:tblLayout w:type="fixed"/>
          <w:tblLook w:val="04A0"/>
        </w:tblPrEx>
        <w:tc>
          <w:tcPr>
            <w:tcW w:w="1810" w:type="dxa"/>
            <w:shd w:val="clear" w:color="auto" w:fill="F2F2F2" w:themeFill="background1" w:themeFillShade="F2"/>
            <w:hideMark/>
          </w:tcPr>
          <w:p w:rsidR="002D6D39" w:rsidRPr="00C655A9" w:rsidP="00860F9C" w14:paraId="6A1B2BCB" w14:textId="77777777">
            <w:pPr>
              <w:rPr>
                <w:b/>
                <w:sz w:val="22"/>
                <w:szCs w:val="22"/>
              </w:rPr>
            </w:pPr>
            <w:r w:rsidRPr="00C45A81">
              <w:rPr>
                <w:b/>
                <w:sz w:val="20"/>
                <w:szCs w:val="20"/>
              </w:rPr>
              <w:t>Total for A</w:t>
            </w:r>
            <w:r w:rsidRPr="00C655A9">
              <w:rPr>
                <w:b/>
                <w:sz w:val="22"/>
                <w:szCs w:val="22"/>
              </w:rPr>
              <w:t>.</w:t>
            </w:r>
          </w:p>
        </w:tc>
        <w:tc>
          <w:tcPr>
            <w:tcW w:w="1505" w:type="dxa"/>
            <w:shd w:val="clear" w:color="auto" w:fill="F2F2F2" w:themeFill="background1" w:themeFillShade="F2"/>
            <w:vAlign w:val="center"/>
            <w:hideMark/>
          </w:tcPr>
          <w:p w:rsidR="002D6D39" w:rsidRPr="00C45A81" w:rsidP="00F7477E" w14:paraId="2F6BF6B8" w14:textId="77777777">
            <w:pPr>
              <w:jc w:val="center"/>
              <w:rPr>
                <w:b/>
                <w:sz w:val="20"/>
                <w:szCs w:val="20"/>
              </w:rPr>
            </w:pPr>
            <w:r w:rsidRPr="00C45A81">
              <w:rPr>
                <w:b/>
                <w:sz w:val="20"/>
                <w:szCs w:val="20"/>
              </w:rPr>
              <w:t>-</w:t>
            </w:r>
          </w:p>
        </w:tc>
        <w:tc>
          <w:tcPr>
            <w:tcW w:w="1465" w:type="dxa"/>
            <w:shd w:val="clear" w:color="auto" w:fill="F2F2F2" w:themeFill="background1" w:themeFillShade="F2"/>
            <w:vAlign w:val="center"/>
          </w:tcPr>
          <w:p w:rsidR="002D6D39" w:rsidRPr="00C45A81" w:rsidP="00F7477E" w14:paraId="5BE4C0DE" w14:textId="77777777">
            <w:pPr>
              <w:jc w:val="center"/>
              <w:rPr>
                <w:b/>
                <w:sz w:val="20"/>
                <w:szCs w:val="20"/>
              </w:rPr>
            </w:pPr>
          </w:p>
        </w:tc>
        <w:tc>
          <w:tcPr>
            <w:tcW w:w="1235" w:type="dxa"/>
            <w:shd w:val="clear" w:color="auto" w:fill="F2F2F2" w:themeFill="background1" w:themeFillShade="F2"/>
            <w:vAlign w:val="center"/>
            <w:hideMark/>
          </w:tcPr>
          <w:p w:rsidR="002D6D39" w:rsidRPr="008A1781" w:rsidP="00F7477E" w14:paraId="71C7DE2F" w14:textId="508050FC">
            <w:pPr>
              <w:jc w:val="center"/>
              <w:rPr>
                <w:b/>
                <w:sz w:val="20"/>
                <w:szCs w:val="20"/>
              </w:rPr>
            </w:pPr>
            <w:r w:rsidRPr="008A1781">
              <w:rPr>
                <w:b/>
                <w:sz w:val="20"/>
                <w:szCs w:val="20"/>
              </w:rPr>
              <w:t>362,</w:t>
            </w:r>
            <w:r w:rsidRPr="008A1781" w:rsidR="00FD79F0">
              <w:rPr>
                <w:b/>
                <w:sz w:val="20"/>
                <w:szCs w:val="20"/>
              </w:rPr>
              <w:t>9</w:t>
            </w:r>
            <w:r w:rsidRPr="008A1781" w:rsidR="005B647C">
              <w:rPr>
                <w:b/>
                <w:sz w:val="20"/>
                <w:szCs w:val="20"/>
              </w:rPr>
              <w:t>40</w:t>
            </w:r>
          </w:p>
        </w:tc>
        <w:tc>
          <w:tcPr>
            <w:tcW w:w="1195" w:type="dxa"/>
            <w:shd w:val="clear" w:color="auto" w:fill="F2F2F2" w:themeFill="background1" w:themeFillShade="F2"/>
            <w:vAlign w:val="center"/>
          </w:tcPr>
          <w:p w:rsidR="002D6D39" w:rsidRPr="00C45A81" w:rsidP="00F7477E" w14:paraId="1BA3B39A" w14:textId="77777777">
            <w:pPr>
              <w:jc w:val="center"/>
              <w:rPr>
                <w:bCs/>
                <w:sz w:val="20"/>
                <w:szCs w:val="20"/>
              </w:rPr>
            </w:pPr>
          </w:p>
        </w:tc>
        <w:tc>
          <w:tcPr>
            <w:tcW w:w="1170" w:type="dxa"/>
            <w:shd w:val="clear" w:color="auto" w:fill="F2F2F2" w:themeFill="background1" w:themeFillShade="F2"/>
            <w:vAlign w:val="center"/>
            <w:hideMark/>
          </w:tcPr>
          <w:p w:rsidR="002D6D39" w:rsidRPr="008A1781" w:rsidP="00F7477E" w14:paraId="722DDE9A" w14:textId="35253AED">
            <w:pPr>
              <w:jc w:val="center"/>
              <w:rPr>
                <w:b/>
                <w:sz w:val="20"/>
                <w:szCs w:val="20"/>
              </w:rPr>
            </w:pPr>
            <w:r w:rsidRPr="008A1781">
              <w:rPr>
                <w:b/>
                <w:sz w:val="20"/>
                <w:szCs w:val="20"/>
              </w:rPr>
              <w:t>60,4</w:t>
            </w:r>
            <w:r w:rsidRPr="008A1781" w:rsidR="001F5CEE">
              <w:rPr>
                <w:b/>
                <w:sz w:val="20"/>
                <w:szCs w:val="20"/>
              </w:rPr>
              <w:t>90</w:t>
            </w:r>
          </w:p>
        </w:tc>
        <w:tc>
          <w:tcPr>
            <w:tcW w:w="990" w:type="dxa"/>
            <w:shd w:val="clear" w:color="auto" w:fill="F2F2F2" w:themeFill="background1" w:themeFillShade="F2"/>
            <w:vAlign w:val="center"/>
          </w:tcPr>
          <w:p w:rsidR="002D6D39" w:rsidRPr="00C45A81" w:rsidP="00F7477E" w14:paraId="64C1BAF8" w14:textId="77777777">
            <w:pPr>
              <w:jc w:val="center"/>
              <w:rPr>
                <w:bCs/>
                <w:sz w:val="20"/>
                <w:szCs w:val="20"/>
              </w:rPr>
            </w:pPr>
          </w:p>
        </w:tc>
        <w:tc>
          <w:tcPr>
            <w:tcW w:w="1535" w:type="dxa"/>
            <w:shd w:val="clear" w:color="auto" w:fill="F2F2F2" w:themeFill="background1" w:themeFillShade="F2"/>
            <w:vAlign w:val="center"/>
            <w:hideMark/>
          </w:tcPr>
          <w:p w:rsidR="002D6D39" w:rsidRPr="008A1781" w:rsidP="00F7477E" w14:paraId="772EB433" w14:textId="2B56715C">
            <w:pPr>
              <w:jc w:val="center"/>
              <w:rPr>
                <w:b/>
                <w:sz w:val="20"/>
                <w:szCs w:val="20"/>
              </w:rPr>
            </w:pPr>
            <w:r w:rsidRPr="008A1781">
              <w:rPr>
                <w:b/>
                <w:sz w:val="20"/>
                <w:szCs w:val="20"/>
              </w:rPr>
              <w:t>$</w:t>
            </w:r>
            <w:r w:rsidRPr="008A1781" w:rsidR="002B08C2">
              <w:rPr>
                <w:b/>
                <w:sz w:val="20"/>
                <w:szCs w:val="20"/>
              </w:rPr>
              <w:t>5,</w:t>
            </w:r>
            <w:r w:rsidRPr="008A1781" w:rsidR="003A4B9E">
              <w:rPr>
                <w:b/>
                <w:sz w:val="20"/>
                <w:szCs w:val="20"/>
              </w:rPr>
              <w:t>674,567</w:t>
            </w:r>
          </w:p>
        </w:tc>
      </w:tr>
      <w:tr w14:paraId="3899EEFB" w14:textId="77777777" w:rsidTr="00C45A81">
        <w:tblPrEx>
          <w:tblW w:w="10905" w:type="dxa"/>
          <w:tblLayout w:type="fixed"/>
          <w:tblLook w:val="04A0"/>
        </w:tblPrEx>
        <w:trPr>
          <w:cantSplit/>
          <w:trHeight w:val="174"/>
        </w:trPr>
        <w:tc>
          <w:tcPr>
            <w:tcW w:w="10905" w:type="dxa"/>
            <w:gridSpan w:val="8"/>
            <w:shd w:val="clear" w:color="auto" w:fill="CDF2FF"/>
            <w:vAlign w:val="center"/>
          </w:tcPr>
          <w:p w:rsidR="001A6CB9" w:rsidRPr="001A6CB9" w:rsidP="00C45A81" w14:paraId="15E62158" w14:textId="1163C9BE">
            <w:pPr>
              <w:rPr>
                <w:sz w:val="20"/>
                <w:szCs w:val="20"/>
              </w:rPr>
            </w:pPr>
            <w:r w:rsidRPr="00166D31">
              <w:rPr>
                <w:b/>
                <w:sz w:val="20"/>
                <w:szCs w:val="20"/>
              </w:rPr>
              <w:t>(B)  Instruction of personnel, posting</w:t>
            </w:r>
          </w:p>
        </w:tc>
      </w:tr>
      <w:tr w14:paraId="0A228CDF" w14:textId="77777777" w:rsidTr="00C45A81">
        <w:tblPrEx>
          <w:tblW w:w="10905" w:type="dxa"/>
          <w:tblLayout w:type="fixed"/>
          <w:tblLook w:val="04A0"/>
        </w:tblPrEx>
        <w:trPr>
          <w:cantSplit/>
          <w:trHeight w:val="431"/>
        </w:trPr>
        <w:tc>
          <w:tcPr>
            <w:tcW w:w="1810" w:type="dxa"/>
            <w:vAlign w:val="bottom"/>
          </w:tcPr>
          <w:p w:rsidR="004109A2" w:rsidRPr="00C45A81" w:rsidP="00860F9C" w14:paraId="14873906" w14:textId="381AFA9F">
            <w:pPr>
              <w:rPr>
                <w:b/>
                <w:sz w:val="22"/>
                <w:szCs w:val="22"/>
              </w:rPr>
            </w:pPr>
          </w:p>
        </w:tc>
        <w:tc>
          <w:tcPr>
            <w:tcW w:w="1505" w:type="dxa"/>
            <w:shd w:val="clear" w:color="auto" w:fill="auto"/>
            <w:vAlign w:val="center"/>
          </w:tcPr>
          <w:p w:rsidR="004109A2" w:rsidRPr="00C45A81" w:rsidP="00F7477E" w14:paraId="22A35BFF" w14:textId="2E47A699">
            <w:pPr>
              <w:jc w:val="center"/>
              <w:rPr>
                <w:sz w:val="20"/>
                <w:szCs w:val="20"/>
              </w:rPr>
            </w:pPr>
            <w:r>
              <w:rPr>
                <w:sz w:val="20"/>
                <w:szCs w:val="20"/>
              </w:rPr>
              <w:t>2,4</w:t>
            </w:r>
            <w:r w:rsidR="006561D2">
              <w:rPr>
                <w:sz w:val="20"/>
                <w:szCs w:val="20"/>
              </w:rPr>
              <w:t>99</w:t>
            </w:r>
          </w:p>
        </w:tc>
        <w:tc>
          <w:tcPr>
            <w:tcW w:w="1465" w:type="dxa"/>
            <w:shd w:val="clear" w:color="auto" w:fill="auto"/>
            <w:vAlign w:val="center"/>
          </w:tcPr>
          <w:p w:rsidR="004109A2" w:rsidRPr="00C45A81" w:rsidP="00F7477E" w14:paraId="700CFDAE" w14:textId="33173F84">
            <w:pPr>
              <w:jc w:val="center"/>
              <w:rPr>
                <w:sz w:val="20"/>
                <w:szCs w:val="20"/>
              </w:rPr>
            </w:pPr>
            <w:r w:rsidRPr="00C45A81">
              <w:rPr>
                <w:sz w:val="20"/>
                <w:szCs w:val="20"/>
              </w:rPr>
              <w:t>1</w:t>
            </w:r>
          </w:p>
        </w:tc>
        <w:tc>
          <w:tcPr>
            <w:tcW w:w="1235" w:type="dxa"/>
            <w:shd w:val="clear" w:color="auto" w:fill="auto"/>
            <w:vAlign w:val="center"/>
          </w:tcPr>
          <w:p w:rsidR="004109A2" w:rsidRPr="00C45A81" w:rsidP="00F7477E" w14:paraId="3D6CF752" w14:textId="0DCEFCB3">
            <w:pPr>
              <w:jc w:val="center"/>
              <w:rPr>
                <w:sz w:val="20"/>
                <w:szCs w:val="20"/>
              </w:rPr>
            </w:pPr>
            <w:r>
              <w:rPr>
                <w:sz w:val="20"/>
                <w:szCs w:val="20"/>
              </w:rPr>
              <w:t>2,4</w:t>
            </w:r>
            <w:r w:rsidR="006561D2">
              <w:rPr>
                <w:sz w:val="20"/>
                <w:szCs w:val="20"/>
              </w:rPr>
              <w:t>99</w:t>
            </w:r>
          </w:p>
        </w:tc>
        <w:tc>
          <w:tcPr>
            <w:tcW w:w="1195" w:type="dxa"/>
            <w:shd w:val="clear" w:color="auto" w:fill="auto"/>
            <w:vAlign w:val="center"/>
          </w:tcPr>
          <w:p w:rsidR="004109A2" w:rsidRPr="00C45A81" w:rsidP="00F7477E" w14:paraId="1858C90D" w14:textId="327FD2F5">
            <w:pPr>
              <w:jc w:val="center"/>
              <w:rPr>
                <w:sz w:val="20"/>
                <w:szCs w:val="20"/>
              </w:rPr>
            </w:pPr>
            <w:r w:rsidRPr="00C45A81">
              <w:rPr>
                <w:sz w:val="20"/>
                <w:szCs w:val="20"/>
              </w:rPr>
              <w:t>5/60</w:t>
            </w:r>
          </w:p>
        </w:tc>
        <w:tc>
          <w:tcPr>
            <w:tcW w:w="1170" w:type="dxa"/>
            <w:shd w:val="clear" w:color="auto" w:fill="auto"/>
            <w:vAlign w:val="center"/>
          </w:tcPr>
          <w:p w:rsidR="004109A2" w:rsidRPr="00C45A81" w:rsidP="00F7477E" w14:paraId="2125BD68" w14:textId="58C10C95">
            <w:pPr>
              <w:jc w:val="center"/>
              <w:rPr>
                <w:sz w:val="20"/>
                <w:szCs w:val="20"/>
              </w:rPr>
            </w:pPr>
            <w:r>
              <w:rPr>
                <w:sz w:val="20"/>
                <w:szCs w:val="20"/>
              </w:rPr>
              <w:t>20</w:t>
            </w:r>
            <w:r w:rsidR="006561D2">
              <w:rPr>
                <w:sz w:val="20"/>
                <w:szCs w:val="20"/>
              </w:rPr>
              <w:t>8</w:t>
            </w:r>
          </w:p>
        </w:tc>
        <w:tc>
          <w:tcPr>
            <w:tcW w:w="990" w:type="dxa"/>
            <w:shd w:val="clear" w:color="auto" w:fill="auto"/>
            <w:vAlign w:val="center"/>
          </w:tcPr>
          <w:p w:rsidR="004109A2" w:rsidRPr="00C45A81" w:rsidP="00F7477E" w14:paraId="3FE015C6" w14:textId="010C9AC2">
            <w:pPr>
              <w:jc w:val="center"/>
              <w:rPr>
                <w:sz w:val="20"/>
                <w:szCs w:val="20"/>
              </w:rPr>
            </w:pPr>
            <w:r w:rsidRPr="00C45A81">
              <w:rPr>
                <w:sz w:val="20"/>
                <w:szCs w:val="20"/>
              </w:rPr>
              <w:t>$</w:t>
            </w:r>
            <w:r w:rsidR="00C74BAF">
              <w:rPr>
                <w:sz w:val="20"/>
                <w:szCs w:val="20"/>
              </w:rPr>
              <w:t>30.98</w:t>
            </w:r>
          </w:p>
        </w:tc>
        <w:tc>
          <w:tcPr>
            <w:tcW w:w="1535" w:type="dxa"/>
            <w:shd w:val="clear" w:color="auto" w:fill="auto"/>
            <w:vAlign w:val="center"/>
          </w:tcPr>
          <w:p w:rsidR="004109A2" w:rsidRPr="00C45A81" w:rsidP="00F7477E" w14:paraId="12B0225A" w14:textId="302DA01B">
            <w:pPr>
              <w:jc w:val="center"/>
              <w:rPr>
                <w:sz w:val="20"/>
                <w:szCs w:val="20"/>
              </w:rPr>
            </w:pPr>
            <w:r w:rsidRPr="00C45A81">
              <w:rPr>
                <w:sz w:val="20"/>
                <w:szCs w:val="20"/>
              </w:rPr>
              <w:t>$</w:t>
            </w:r>
            <w:r w:rsidR="003A4B9E">
              <w:rPr>
                <w:sz w:val="20"/>
                <w:szCs w:val="20"/>
              </w:rPr>
              <w:t>6,</w:t>
            </w:r>
            <w:r w:rsidR="006561D2">
              <w:rPr>
                <w:sz w:val="20"/>
                <w:szCs w:val="20"/>
              </w:rPr>
              <w:t>444</w:t>
            </w:r>
          </w:p>
        </w:tc>
      </w:tr>
      <w:tr w14:paraId="10ECDBA3" w14:textId="77777777" w:rsidTr="00C45A81">
        <w:tblPrEx>
          <w:tblW w:w="10905" w:type="dxa"/>
          <w:tblLayout w:type="fixed"/>
          <w:tblLook w:val="04A0"/>
        </w:tblPrEx>
        <w:trPr>
          <w:cantSplit/>
        </w:trPr>
        <w:tc>
          <w:tcPr>
            <w:tcW w:w="10905" w:type="dxa"/>
            <w:gridSpan w:val="8"/>
            <w:shd w:val="clear" w:color="auto" w:fill="CDF2FF"/>
            <w:vAlign w:val="center"/>
          </w:tcPr>
          <w:p w:rsidR="00860F9C" w:rsidRPr="00C45A81" w:rsidP="00C45A81" w14:paraId="79B71739" w14:textId="09907542">
            <w:pPr>
              <w:rPr>
                <w:sz w:val="20"/>
                <w:szCs w:val="20"/>
              </w:rPr>
            </w:pPr>
            <w:r w:rsidRPr="00166D31">
              <w:rPr>
                <w:b/>
                <w:bCs/>
                <w:iCs/>
                <w:sz w:val="20"/>
                <w:szCs w:val="20"/>
              </w:rPr>
              <w:t>(C)</w:t>
            </w:r>
            <w:r w:rsidRPr="00C655A9">
              <w:rPr>
                <w:b/>
                <w:bCs/>
                <w:iCs/>
                <w:sz w:val="20"/>
                <w:szCs w:val="20"/>
              </w:rPr>
              <w:t xml:space="preserve">  </w:t>
            </w:r>
            <w:r w:rsidRPr="00166D31">
              <w:rPr>
                <w:b/>
                <w:bCs/>
                <w:iCs/>
                <w:sz w:val="20"/>
                <w:szCs w:val="20"/>
              </w:rPr>
              <w:t>Notification of incidents</w:t>
            </w:r>
          </w:p>
        </w:tc>
      </w:tr>
      <w:tr w14:paraId="349E110E" w14:textId="77777777" w:rsidTr="00C45A81">
        <w:tblPrEx>
          <w:tblW w:w="10905" w:type="dxa"/>
          <w:tblLayout w:type="fixed"/>
          <w:tblLook w:val="04A0"/>
        </w:tblPrEx>
        <w:trPr>
          <w:cantSplit/>
          <w:trHeight w:val="377"/>
        </w:trPr>
        <w:tc>
          <w:tcPr>
            <w:tcW w:w="1810" w:type="dxa"/>
            <w:vAlign w:val="bottom"/>
          </w:tcPr>
          <w:p w:rsidR="00860F9C" w:rsidRPr="00C45A81" w:rsidP="00860F9C" w14:paraId="17B48204" w14:textId="6198AB28">
            <w:pPr>
              <w:rPr>
                <w:b/>
                <w:bCs/>
                <w:iCs/>
                <w:sz w:val="22"/>
                <w:szCs w:val="22"/>
              </w:rPr>
            </w:pPr>
          </w:p>
        </w:tc>
        <w:tc>
          <w:tcPr>
            <w:tcW w:w="1505" w:type="dxa"/>
            <w:vAlign w:val="center"/>
          </w:tcPr>
          <w:p w:rsidR="00860F9C" w:rsidRPr="00C45A81" w:rsidP="00F7477E" w14:paraId="02EC7F4A" w14:textId="53811EB8">
            <w:pPr>
              <w:jc w:val="center"/>
              <w:rPr>
                <w:sz w:val="20"/>
                <w:szCs w:val="20"/>
              </w:rPr>
            </w:pPr>
            <w:r w:rsidRPr="00C45A81">
              <w:rPr>
                <w:sz w:val="20"/>
                <w:szCs w:val="20"/>
              </w:rPr>
              <w:t>1</w:t>
            </w:r>
          </w:p>
        </w:tc>
        <w:tc>
          <w:tcPr>
            <w:tcW w:w="1465" w:type="dxa"/>
            <w:vAlign w:val="center"/>
          </w:tcPr>
          <w:p w:rsidR="00860F9C" w:rsidRPr="00C45A81" w:rsidP="00F7477E" w14:paraId="45DBF753" w14:textId="1B84608C">
            <w:pPr>
              <w:jc w:val="center"/>
              <w:rPr>
                <w:sz w:val="20"/>
                <w:szCs w:val="20"/>
              </w:rPr>
            </w:pPr>
            <w:r w:rsidRPr="00C45A81">
              <w:rPr>
                <w:sz w:val="20"/>
                <w:szCs w:val="20"/>
              </w:rPr>
              <w:t>1</w:t>
            </w:r>
          </w:p>
        </w:tc>
        <w:tc>
          <w:tcPr>
            <w:tcW w:w="1235" w:type="dxa"/>
            <w:vAlign w:val="center"/>
          </w:tcPr>
          <w:p w:rsidR="00860F9C" w:rsidRPr="00C45A81" w:rsidP="00F7477E" w14:paraId="22AC02E6" w14:textId="40789D52">
            <w:pPr>
              <w:jc w:val="center"/>
              <w:rPr>
                <w:sz w:val="20"/>
                <w:szCs w:val="20"/>
              </w:rPr>
            </w:pPr>
            <w:r w:rsidRPr="00C45A81">
              <w:rPr>
                <w:sz w:val="20"/>
                <w:szCs w:val="20"/>
              </w:rPr>
              <w:t>1</w:t>
            </w:r>
          </w:p>
        </w:tc>
        <w:tc>
          <w:tcPr>
            <w:tcW w:w="1195" w:type="dxa"/>
            <w:vAlign w:val="center"/>
          </w:tcPr>
          <w:p w:rsidR="00860F9C" w:rsidRPr="00C45A81" w:rsidP="00F7477E" w14:paraId="3BF7F092" w14:textId="25EB794C">
            <w:pPr>
              <w:jc w:val="center"/>
              <w:rPr>
                <w:sz w:val="20"/>
                <w:szCs w:val="20"/>
              </w:rPr>
            </w:pPr>
            <w:r w:rsidRPr="00C45A81">
              <w:rPr>
                <w:sz w:val="20"/>
                <w:szCs w:val="20"/>
              </w:rPr>
              <w:t>5/60</w:t>
            </w:r>
          </w:p>
        </w:tc>
        <w:tc>
          <w:tcPr>
            <w:tcW w:w="1170" w:type="dxa"/>
            <w:vAlign w:val="center"/>
          </w:tcPr>
          <w:p w:rsidR="00860F9C" w:rsidRPr="00C45A81" w:rsidP="00F7477E" w14:paraId="31D4E1AA" w14:textId="7CBE8687">
            <w:pPr>
              <w:jc w:val="center"/>
              <w:rPr>
                <w:sz w:val="20"/>
                <w:szCs w:val="20"/>
              </w:rPr>
            </w:pPr>
            <w:r w:rsidRPr="00C45A81">
              <w:rPr>
                <w:sz w:val="20"/>
                <w:szCs w:val="20"/>
              </w:rPr>
              <w:t>1</w:t>
            </w:r>
          </w:p>
        </w:tc>
        <w:tc>
          <w:tcPr>
            <w:tcW w:w="990" w:type="dxa"/>
            <w:vAlign w:val="center"/>
          </w:tcPr>
          <w:p w:rsidR="00860F9C" w:rsidRPr="00C45A81" w:rsidP="00F7477E" w14:paraId="4EE1FB51" w14:textId="6163E653">
            <w:pPr>
              <w:jc w:val="center"/>
              <w:rPr>
                <w:sz w:val="20"/>
                <w:szCs w:val="20"/>
              </w:rPr>
            </w:pPr>
            <w:r w:rsidRPr="00C45A81">
              <w:rPr>
                <w:sz w:val="20"/>
                <w:szCs w:val="20"/>
              </w:rPr>
              <w:t>$</w:t>
            </w:r>
            <w:r w:rsidR="00007F40">
              <w:rPr>
                <w:sz w:val="20"/>
                <w:szCs w:val="20"/>
              </w:rPr>
              <w:t>93.81</w:t>
            </w:r>
          </w:p>
        </w:tc>
        <w:tc>
          <w:tcPr>
            <w:tcW w:w="1535" w:type="dxa"/>
            <w:vAlign w:val="center"/>
          </w:tcPr>
          <w:p w:rsidR="00860F9C" w:rsidRPr="00C45A81" w:rsidP="00F7477E" w14:paraId="4E7333FB" w14:textId="5087F909">
            <w:pPr>
              <w:jc w:val="center"/>
              <w:rPr>
                <w:sz w:val="20"/>
                <w:szCs w:val="20"/>
              </w:rPr>
            </w:pPr>
            <w:r w:rsidRPr="00C45A81">
              <w:rPr>
                <w:sz w:val="20"/>
                <w:szCs w:val="20"/>
              </w:rPr>
              <w:t>$</w:t>
            </w:r>
            <w:r w:rsidR="003A4B9E">
              <w:rPr>
                <w:sz w:val="20"/>
                <w:szCs w:val="20"/>
              </w:rPr>
              <w:t>94</w:t>
            </w:r>
          </w:p>
        </w:tc>
      </w:tr>
      <w:tr w14:paraId="48D9262A" w14:textId="77777777" w:rsidTr="00C45A81">
        <w:tblPrEx>
          <w:tblW w:w="10905" w:type="dxa"/>
          <w:tblLayout w:type="fixed"/>
          <w:tblLook w:val="04A0"/>
        </w:tblPrEx>
        <w:trPr>
          <w:cantSplit/>
        </w:trPr>
        <w:tc>
          <w:tcPr>
            <w:tcW w:w="10905" w:type="dxa"/>
            <w:gridSpan w:val="8"/>
            <w:shd w:val="clear" w:color="auto" w:fill="CDF2FF"/>
            <w:vAlign w:val="center"/>
          </w:tcPr>
          <w:p w:rsidR="00860F9C" w:rsidRPr="00C45A81" w:rsidP="00C45A81" w14:paraId="6B1CBF05" w14:textId="065A939A">
            <w:pPr>
              <w:rPr>
                <w:sz w:val="20"/>
                <w:szCs w:val="20"/>
              </w:rPr>
            </w:pPr>
            <w:r w:rsidRPr="00C655A9">
              <w:rPr>
                <w:bCs/>
                <w:sz w:val="20"/>
                <w:szCs w:val="20"/>
              </w:rPr>
              <w:t>(</w:t>
            </w:r>
            <w:r w:rsidRPr="00166D31">
              <w:rPr>
                <w:b/>
                <w:sz w:val="20"/>
                <w:szCs w:val="20"/>
              </w:rPr>
              <w:t>D)  Reports of overexposure and excessive levels and concentrations</w:t>
            </w:r>
          </w:p>
        </w:tc>
      </w:tr>
      <w:tr w14:paraId="20B8269F" w14:textId="77777777" w:rsidTr="00C45A81">
        <w:tblPrEx>
          <w:tblW w:w="10905" w:type="dxa"/>
          <w:tblLayout w:type="fixed"/>
          <w:tblLook w:val="04A0"/>
        </w:tblPrEx>
        <w:trPr>
          <w:cantSplit/>
        </w:trPr>
        <w:tc>
          <w:tcPr>
            <w:tcW w:w="1810" w:type="dxa"/>
            <w:vAlign w:val="bottom"/>
            <w:hideMark/>
          </w:tcPr>
          <w:p w:rsidR="00860F9C" w:rsidRPr="00C655A9" w:rsidP="00860F9C" w14:paraId="1DC7018F" w14:textId="77777777">
            <w:pPr>
              <w:rPr>
                <w:i/>
                <w:sz w:val="22"/>
                <w:szCs w:val="22"/>
              </w:rPr>
            </w:pPr>
            <w:r w:rsidRPr="00C655A9">
              <w:rPr>
                <w:bCs/>
                <w:i/>
                <w:sz w:val="20"/>
                <w:szCs w:val="20"/>
              </w:rPr>
              <w:t>1. Written Notice to OSHA</w:t>
            </w:r>
          </w:p>
        </w:tc>
        <w:tc>
          <w:tcPr>
            <w:tcW w:w="1505" w:type="dxa"/>
            <w:vAlign w:val="center"/>
          </w:tcPr>
          <w:p w:rsidR="00860F9C" w:rsidRPr="00C45A81" w:rsidP="00F7477E" w14:paraId="7693A011" w14:textId="7676AD41">
            <w:pPr>
              <w:jc w:val="center"/>
              <w:rPr>
                <w:sz w:val="20"/>
                <w:szCs w:val="20"/>
              </w:rPr>
            </w:pPr>
            <w:r w:rsidRPr="00C45A81">
              <w:rPr>
                <w:sz w:val="20"/>
                <w:szCs w:val="20"/>
              </w:rPr>
              <w:t>10</w:t>
            </w:r>
          </w:p>
        </w:tc>
        <w:tc>
          <w:tcPr>
            <w:tcW w:w="1465" w:type="dxa"/>
            <w:vAlign w:val="center"/>
          </w:tcPr>
          <w:p w:rsidR="00860F9C" w:rsidRPr="00C45A81" w:rsidP="00F7477E" w14:paraId="18709334" w14:textId="41E19D09">
            <w:pPr>
              <w:jc w:val="center"/>
              <w:rPr>
                <w:sz w:val="20"/>
                <w:szCs w:val="20"/>
              </w:rPr>
            </w:pPr>
            <w:r w:rsidRPr="00C45A81">
              <w:rPr>
                <w:sz w:val="20"/>
                <w:szCs w:val="20"/>
              </w:rPr>
              <w:t>1</w:t>
            </w:r>
          </w:p>
        </w:tc>
        <w:tc>
          <w:tcPr>
            <w:tcW w:w="1235" w:type="dxa"/>
            <w:vAlign w:val="center"/>
          </w:tcPr>
          <w:p w:rsidR="00860F9C" w:rsidRPr="00C45A81" w:rsidP="00F7477E" w14:paraId="31CC0271" w14:textId="07523704">
            <w:pPr>
              <w:jc w:val="center"/>
              <w:rPr>
                <w:sz w:val="20"/>
                <w:szCs w:val="20"/>
              </w:rPr>
            </w:pPr>
            <w:r w:rsidRPr="00C45A81">
              <w:rPr>
                <w:sz w:val="20"/>
                <w:szCs w:val="20"/>
              </w:rPr>
              <w:t>10</w:t>
            </w:r>
          </w:p>
        </w:tc>
        <w:tc>
          <w:tcPr>
            <w:tcW w:w="1195" w:type="dxa"/>
            <w:vAlign w:val="center"/>
          </w:tcPr>
          <w:p w:rsidR="00860F9C" w:rsidRPr="00C45A81" w:rsidP="00C45A81" w14:paraId="7A8666A3" w14:textId="0B69A3EB">
            <w:pPr>
              <w:jc w:val="center"/>
              <w:rPr>
                <w:sz w:val="20"/>
                <w:szCs w:val="20"/>
              </w:rPr>
            </w:pPr>
            <w:r w:rsidRPr="00C45A81">
              <w:rPr>
                <w:sz w:val="20"/>
                <w:szCs w:val="20"/>
              </w:rPr>
              <w:t>15/60</w:t>
            </w:r>
          </w:p>
        </w:tc>
        <w:tc>
          <w:tcPr>
            <w:tcW w:w="1170" w:type="dxa"/>
            <w:vAlign w:val="center"/>
          </w:tcPr>
          <w:p w:rsidR="00860F9C" w:rsidRPr="00C45A81" w:rsidP="00F7477E" w14:paraId="111C8742" w14:textId="65F64A4B">
            <w:pPr>
              <w:jc w:val="center"/>
              <w:rPr>
                <w:sz w:val="20"/>
                <w:szCs w:val="20"/>
              </w:rPr>
            </w:pPr>
            <w:r w:rsidRPr="00C45A81">
              <w:rPr>
                <w:sz w:val="20"/>
                <w:szCs w:val="20"/>
              </w:rPr>
              <w:t>3</w:t>
            </w:r>
          </w:p>
        </w:tc>
        <w:tc>
          <w:tcPr>
            <w:tcW w:w="990" w:type="dxa"/>
            <w:vAlign w:val="center"/>
          </w:tcPr>
          <w:p w:rsidR="00860F9C" w:rsidRPr="00C45A81" w:rsidP="00F7477E" w14:paraId="0E7DB530" w14:textId="6EC21315">
            <w:pPr>
              <w:jc w:val="center"/>
              <w:rPr>
                <w:sz w:val="20"/>
                <w:szCs w:val="20"/>
              </w:rPr>
            </w:pPr>
            <w:r w:rsidRPr="00C45A81">
              <w:rPr>
                <w:sz w:val="20"/>
                <w:szCs w:val="20"/>
              </w:rPr>
              <w:t>$</w:t>
            </w:r>
            <w:r w:rsidR="00007F40">
              <w:rPr>
                <w:sz w:val="20"/>
                <w:szCs w:val="20"/>
              </w:rPr>
              <w:t>93.81</w:t>
            </w:r>
          </w:p>
        </w:tc>
        <w:tc>
          <w:tcPr>
            <w:tcW w:w="1535" w:type="dxa"/>
            <w:vAlign w:val="center"/>
          </w:tcPr>
          <w:p w:rsidR="00860F9C" w:rsidRPr="00C45A81" w:rsidP="00F7477E" w14:paraId="079CAD7C" w14:textId="26630CFC">
            <w:pPr>
              <w:jc w:val="center"/>
              <w:rPr>
                <w:sz w:val="20"/>
                <w:szCs w:val="20"/>
              </w:rPr>
            </w:pPr>
            <w:r w:rsidRPr="00C45A81">
              <w:rPr>
                <w:sz w:val="20"/>
                <w:szCs w:val="20"/>
              </w:rPr>
              <w:t>$</w:t>
            </w:r>
            <w:r w:rsidR="003A4B9E">
              <w:rPr>
                <w:sz w:val="20"/>
                <w:szCs w:val="20"/>
              </w:rPr>
              <w:t>281</w:t>
            </w:r>
          </w:p>
        </w:tc>
      </w:tr>
      <w:tr w14:paraId="6D92936E" w14:textId="77777777" w:rsidTr="00C45A81">
        <w:tblPrEx>
          <w:tblW w:w="10905" w:type="dxa"/>
          <w:tblLayout w:type="fixed"/>
          <w:tblLook w:val="04A0"/>
        </w:tblPrEx>
        <w:trPr>
          <w:cantSplit/>
        </w:trPr>
        <w:tc>
          <w:tcPr>
            <w:tcW w:w="1810" w:type="dxa"/>
            <w:vAlign w:val="bottom"/>
            <w:hideMark/>
          </w:tcPr>
          <w:p w:rsidR="00860F9C" w:rsidRPr="00C655A9" w:rsidP="00860F9C" w14:paraId="53AE5A8E" w14:textId="77777777">
            <w:pPr>
              <w:rPr>
                <w:i/>
                <w:sz w:val="22"/>
                <w:szCs w:val="22"/>
              </w:rPr>
            </w:pPr>
            <w:r w:rsidRPr="00C655A9">
              <w:rPr>
                <w:bCs/>
                <w:i/>
                <w:sz w:val="20"/>
                <w:szCs w:val="20"/>
              </w:rPr>
              <w:t>2. Written Incident Notice to Employee</w:t>
            </w:r>
          </w:p>
        </w:tc>
        <w:tc>
          <w:tcPr>
            <w:tcW w:w="1505" w:type="dxa"/>
            <w:vAlign w:val="center"/>
            <w:hideMark/>
          </w:tcPr>
          <w:p w:rsidR="00860F9C" w:rsidRPr="00C45A81" w:rsidP="00F7477E" w14:paraId="62D4EDA6" w14:textId="77777777">
            <w:pPr>
              <w:jc w:val="center"/>
              <w:rPr>
                <w:sz w:val="20"/>
                <w:szCs w:val="20"/>
              </w:rPr>
            </w:pPr>
            <w:r w:rsidRPr="00C45A81">
              <w:rPr>
                <w:sz w:val="20"/>
                <w:szCs w:val="20"/>
              </w:rPr>
              <w:t>10</w:t>
            </w:r>
          </w:p>
        </w:tc>
        <w:tc>
          <w:tcPr>
            <w:tcW w:w="1465" w:type="dxa"/>
            <w:vAlign w:val="center"/>
            <w:hideMark/>
          </w:tcPr>
          <w:p w:rsidR="00860F9C" w:rsidRPr="00C45A81" w:rsidP="00F7477E" w14:paraId="1DADE102" w14:textId="77777777">
            <w:pPr>
              <w:jc w:val="center"/>
              <w:rPr>
                <w:sz w:val="20"/>
                <w:szCs w:val="20"/>
              </w:rPr>
            </w:pPr>
            <w:r w:rsidRPr="00C45A81">
              <w:rPr>
                <w:sz w:val="20"/>
                <w:szCs w:val="20"/>
              </w:rPr>
              <w:t>1</w:t>
            </w:r>
          </w:p>
        </w:tc>
        <w:tc>
          <w:tcPr>
            <w:tcW w:w="1235" w:type="dxa"/>
            <w:vAlign w:val="center"/>
            <w:hideMark/>
          </w:tcPr>
          <w:p w:rsidR="00860F9C" w:rsidRPr="00C45A81" w:rsidP="00F7477E" w14:paraId="329DCC30" w14:textId="77777777">
            <w:pPr>
              <w:jc w:val="center"/>
              <w:rPr>
                <w:sz w:val="20"/>
                <w:szCs w:val="20"/>
              </w:rPr>
            </w:pPr>
            <w:r w:rsidRPr="00C45A81">
              <w:rPr>
                <w:sz w:val="20"/>
                <w:szCs w:val="20"/>
              </w:rPr>
              <w:t>10</w:t>
            </w:r>
          </w:p>
        </w:tc>
        <w:tc>
          <w:tcPr>
            <w:tcW w:w="1195" w:type="dxa"/>
            <w:vAlign w:val="center"/>
            <w:hideMark/>
          </w:tcPr>
          <w:p w:rsidR="00860F9C" w:rsidRPr="00C45A81" w:rsidP="00F7477E" w14:paraId="6AAF2BB2" w14:textId="77777777">
            <w:pPr>
              <w:jc w:val="center"/>
              <w:rPr>
                <w:sz w:val="20"/>
                <w:szCs w:val="20"/>
              </w:rPr>
            </w:pPr>
            <w:r w:rsidRPr="00C45A81">
              <w:rPr>
                <w:sz w:val="20"/>
                <w:szCs w:val="20"/>
              </w:rPr>
              <w:t>5/60</w:t>
            </w:r>
          </w:p>
        </w:tc>
        <w:tc>
          <w:tcPr>
            <w:tcW w:w="1170" w:type="dxa"/>
            <w:vAlign w:val="center"/>
            <w:hideMark/>
          </w:tcPr>
          <w:p w:rsidR="00860F9C" w:rsidRPr="00C45A81" w:rsidP="00F7477E" w14:paraId="5D2C38D5" w14:textId="5300C3AC">
            <w:pPr>
              <w:jc w:val="center"/>
              <w:rPr>
                <w:sz w:val="20"/>
                <w:szCs w:val="20"/>
              </w:rPr>
            </w:pPr>
            <w:r w:rsidRPr="00C45A81">
              <w:rPr>
                <w:sz w:val="20"/>
                <w:szCs w:val="20"/>
              </w:rPr>
              <w:t>1</w:t>
            </w:r>
          </w:p>
        </w:tc>
        <w:tc>
          <w:tcPr>
            <w:tcW w:w="990" w:type="dxa"/>
            <w:vAlign w:val="center"/>
            <w:hideMark/>
          </w:tcPr>
          <w:p w:rsidR="00860F9C" w:rsidRPr="00C45A81" w:rsidP="00F7477E" w14:paraId="048D362C" w14:textId="40F5D8DE">
            <w:pPr>
              <w:jc w:val="center"/>
              <w:rPr>
                <w:sz w:val="20"/>
                <w:szCs w:val="20"/>
              </w:rPr>
            </w:pPr>
            <w:r w:rsidRPr="00C45A81">
              <w:rPr>
                <w:sz w:val="20"/>
                <w:szCs w:val="20"/>
              </w:rPr>
              <w:t>$</w:t>
            </w:r>
            <w:r w:rsidR="00C74BAF">
              <w:rPr>
                <w:sz w:val="20"/>
                <w:szCs w:val="20"/>
              </w:rPr>
              <w:t>30.98</w:t>
            </w:r>
          </w:p>
        </w:tc>
        <w:tc>
          <w:tcPr>
            <w:tcW w:w="1535" w:type="dxa"/>
            <w:vAlign w:val="center"/>
            <w:hideMark/>
          </w:tcPr>
          <w:p w:rsidR="00860F9C" w:rsidRPr="00C45A81" w:rsidP="00F7477E" w14:paraId="3863F3F3" w14:textId="328D94C4">
            <w:pPr>
              <w:jc w:val="center"/>
              <w:rPr>
                <w:sz w:val="20"/>
                <w:szCs w:val="20"/>
              </w:rPr>
            </w:pPr>
            <w:r w:rsidRPr="00C45A81">
              <w:rPr>
                <w:sz w:val="20"/>
                <w:szCs w:val="20"/>
              </w:rPr>
              <w:t>$3</w:t>
            </w:r>
            <w:r w:rsidR="003A4B9E">
              <w:rPr>
                <w:sz w:val="20"/>
                <w:szCs w:val="20"/>
              </w:rPr>
              <w:t>1</w:t>
            </w:r>
          </w:p>
        </w:tc>
      </w:tr>
      <w:tr w14:paraId="10359C94" w14:textId="77777777" w:rsidTr="00C45A81">
        <w:tblPrEx>
          <w:tblW w:w="10905" w:type="dxa"/>
          <w:tblLayout w:type="fixed"/>
          <w:tblLook w:val="04A0"/>
        </w:tblPrEx>
        <w:trPr>
          <w:cantSplit/>
        </w:trPr>
        <w:tc>
          <w:tcPr>
            <w:tcW w:w="1810" w:type="dxa"/>
            <w:shd w:val="clear" w:color="auto" w:fill="F2F2F2" w:themeFill="background1" w:themeFillShade="F2"/>
            <w:hideMark/>
          </w:tcPr>
          <w:p w:rsidR="00860F9C" w:rsidRPr="00C45A81" w:rsidP="00860F9C" w14:paraId="2B2EE137" w14:textId="4914CB46">
            <w:pPr>
              <w:rPr>
                <w:b/>
                <w:sz w:val="20"/>
                <w:szCs w:val="20"/>
              </w:rPr>
            </w:pPr>
            <w:r w:rsidRPr="00C45A81">
              <w:rPr>
                <w:b/>
                <w:sz w:val="20"/>
                <w:szCs w:val="20"/>
              </w:rPr>
              <w:t>Total for D.</w:t>
            </w:r>
          </w:p>
        </w:tc>
        <w:tc>
          <w:tcPr>
            <w:tcW w:w="1505" w:type="dxa"/>
            <w:shd w:val="clear" w:color="auto" w:fill="F2F2F2" w:themeFill="background1" w:themeFillShade="F2"/>
            <w:hideMark/>
          </w:tcPr>
          <w:p w:rsidR="00860F9C" w:rsidRPr="00C45A81" w:rsidP="00860F9C" w14:paraId="4082D75E" w14:textId="77777777">
            <w:pPr>
              <w:jc w:val="center"/>
              <w:rPr>
                <w:b/>
                <w:sz w:val="20"/>
                <w:szCs w:val="20"/>
              </w:rPr>
            </w:pPr>
            <w:r w:rsidRPr="00C45A81">
              <w:rPr>
                <w:b/>
                <w:sz w:val="20"/>
                <w:szCs w:val="20"/>
              </w:rPr>
              <w:t>-</w:t>
            </w:r>
          </w:p>
        </w:tc>
        <w:tc>
          <w:tcPr>
            <w:tcW w:w="1465" w:type="dxa"/>
            <w:shd w:val="clear" w:color="auto" w:fill="F2F2F2" w:themeFill="background1" w:themeFillShade="F2"/>
          </w:tcPr>
          <w:p w:rsidR="00860F9C" w:rsidRPr="00C45A81" w:rsidP="00860F9C" w14:paraId="768D0990" w14:textId="77777777">
            <w:pPr>
              <w:jc w:val="center"/>
              <w:rPr>
                <w:b/>
                <w:sz w:val="20"/>
                <w:szCs w:val="20"/>
              </w:rPr>
            </w:pPr>
          </w:p>
        </w:tc>
        <w:tc>
          <w:tcPr>
            <w:tcW w:w="1235" w:type="dxa"/>
            <w:shd w:val="clear" w:color="auto" w:fill="F2F2F2" w:themeFill="background1" w:themeFillShade="F2"/>
            <w:hideMark/>
          </w:tcPr>
          <w:p w:rsidR="00860F9C" w:rsidRPr="00C45A81" w:rsidP="00860F9C" w14:paraId="1BB4C00B" w14:textId="77777777">
            <w:pPr>
              <w:jc w:val="center"/>
              <w:rPr>
                <w:b/>
                <w:sz w:val="20"/>
                <w:szCs w:val="20"/>
              </w:rPr>
            </w:pPr>
            <w:r w:rsidRPr="00C45A81">
              <w:rPr>
                <w:b/>
                <w:sz w:val="20"/>
                <w:szCs w:val="20"/>
              </w:rPr>
              <w:t>20</w:t>
            </w:r>
          </w:p>
        </w:tc>
        <w:tc>
          <w:tcPr>
            <w:tcW w:w="1195" w:type="dxa"/>
            <w:shd w:val="clear" w:color="auto" w:fill="F2F2F2" w:themeFill="background1" w:themeFillShade="F2"/>
          </w:tcPr>
          <w:p w:rsidR="00860F9C" w:rsidRPr="00C45A81" w:rsidP="00860F9C" w14:paraId="00381AAD" w14:textId="77777777">
            <w:pPr>
              <w:jc w:val="center"/>
              <w:rPr>
                <w:b/>
                <w:sz w:val="20"/>
                <w:szCs w:val="20"/>
              </w:rPr>
            </w:pPr>
          </w:p>
        </w:tc>
        <w:tc>
          <w:tcPr>
            <w:tcW w:w="1170" w:type="dxa"/>
            <w:shd w:val="clear" w:color="auto" w:fill="F2F2F2" w:themeFill="background1" w:themeFillShade="F2"/>
            <w:hideMark/>
          </w:tcPr>
          <w:p w:rsidR="00860F9C" w:rsidRPr="00C45A81" w:rsidP="00860F9C" w14:paraId="03640690" w14:textId="1EB62797">
            <w:pPr>
              <w:jc w:val="center"/>
              <w:rPr>
                <w:b/>
                <w:sz w:val="20"/>
                <w:szCs w:val="20"/>
              </w:rPr>
            </w:pPr>
            <w:r w:rsidRPr="00C45A81">
              <w:rPr>
                <w:b/>
                <w:sz w:val="20"/>
                <w:szCs w:val="20"/>
              </w:rPr>
              <w:t>4</w:t>
            </w:r>
          </w:p>
        </w:tc>
        <w:tc>
          <w:tcPr>
            <w:tcW w:w="990" w:type="dxa"/>
            <w:shd w:val="clear" w:color="auto" w:fill="F2F2F2" w:themeFill="background1" w:themeFillShade="F2"/>
          </w:tcPr>
          <w:p w:rsidR="00860F9C" w:rsidRPr="00C45A81" w:rsidP="00860F9C" w14:paraId="2F5C8022" w14:textId="77777777">
            <w:pPr>
              <w:jc w:val="center"/>
              <w:rPr>
                <w:b/>
                <w:sz w:val="20"/>
                <w:szCs w:val="20"/>
              </w:rPr>
            </w:pPr>
          </w:p>
        </w:tc>
        <w:tc>
          <w:tcPr>
            <w:tcW w:w="1535" w:type="dxa"/>
            <w:shd w:val="clear" w:color="auto" w:fill="F2F2F2" w:themeFill="background1" w:themeFillShade="F2"/>
            <w:hideMark/>
          </w:tcPr>
          <w:p w:rsidR="00860F9C" w:rsidRPr="00C45A81" w:rsidP="00860F9C" w14:paraId="0AAC5495" w14:textId="7C90EE0E">
            <w:pPr>
              <w:jc w:val="center"/>
              <w:rPr>
                <w:b/>
                <w:sz w:val="20"/>
                <w:szCs w:val="20"/>
              </w:rPr>
            </w:pPr>
            <w:r w:rsidRPr="00C45A81">
              <w:rPr>
                <w:b/>
                <w:sz w:val="20"/>
                <w:szCs w:val="20"/>
              </w:rPr>
              <w:t>$</w:t>
            </w:r>
            <w:r w:rsidR="003A4B9E">
              <w:rPr>
                <w:b/>
                <w:sz w:val="20"/>
                <w:szCs w:val="20"/>
              </w:rPr>
              <w:t>312</w:t>
            </w:r>
          </w:p>
        </w:tc>
      </w:tr>
      <w:tr w14:paraId="519630FD" w14:textId="77777777" w:rsidTr="00C45A81">
        <w:tblPrEx>
          <w:tblW w:w="10905" w:type="dxa"/>
          <w:tblLayout w:type="fixed"/>
          <w:tblLook w:val="04A0"/>
        </w:tblPrEx>
        <w:trPr>
          <w:cantSplit/>
        </w:trPr>
        <w:tc>
          <w:tcPr>
            <w:tcW w:w="10905" w:type="dxa"/>
            <w:gridSpan w:val="8"/>
            <w:shd w:val="clear" w:color="auto" w:fill="CDF2FF"/>
          </w:tcPr>
          <w:p w:rsidR="0047385E" w:rsidRPr="00D3767D" w:rsidP="00C45A81" w14:paraId="4DC9CBA4" w14:textId="4C732B14">
            <w:pPr>
              <w:rPr>
                <w:sz w:val="22"/>
                <w:szCs w:val="22"/>
              </w:rPr>
            </w:pPr>
            <w:r w:rsidRPr="00850E05">
              <w:rPr>
                <w:b/>
                <w:sz w:val="20"/>
                <w:szCs w:val="20"/>
              </w:rPr>
              <w:t>(E)</w:t>
            </w:r>
            <w:r w:rsidRPr="00C655A9">
              <w:rPr>
                <w:b/>
                <w:sz w:val="20"/>
                <w:szCs w:val="20"/>
              </w:rPr>
              <w:t xml:space="preserve"> </w:t>
            </w:r>
            <w:r w:rsidRPr="00850E05">
              <w:rPr>
                <w:b/>
                <w:sz w:val="20"/>
                <w:szCs w:val="20"/>
              </w:rPr>
              <w:t xml:space="preserve"> Records (§1910.1096(n))</w:t>
            </w:r>
          </w:p>
        </w:tc>
      </w:tr>
      <w:tr w14:paraId="558F9CFD" w14:textId="77777777" w:rsidTr="00C45A81">
        <w:tblPrEx>
          <w:tblW w:w="10905" w:type="dxa"/>
          <w:tblLayout w:type="fixed"/>
          <w:tblLook w:val="04A0"/>
        </w:tblPrEx>
        <w:trPr>
          <w:cantSplit/>
        </w:trPr>
        <w:tc>
          <w:tcPr>
            <w:tcW w:w="1810" w:type="dxa"/>
          </w:tcPr>
          <w:p w:rsidR="0047385E" w:rsidRPr="00C45A81" w:rsidP="0047385E" w14:paraId="09E23A1F" w14:textId="2C573234">
            <w:pPr>
              <w:rPr>
                <w:b/>
                <w:sz w:val="20"/>
                <w:szCs w:val="20"/>
              </w:rPr>
            </w:pPr>
          </w:p>
        </w:tc>
        <w:tc>
          <w:tcPr>
            <w:tcW w:w="1505" w:type="dxa"/>
          </w:tcPr>
          <w:p w:rsidR="0047385E" w:rsidRPr="00C45A81" w:rsidP="0047385E" w14:paraId="46DC736E" w14:textId="282DB7E1">
            <w:pPr>
              <w:jc w:val="center"/>
              <w:rPr>
                <w:b/>
                <w:sz w:val="20"/>
                <w:szCs w:val="20"/>
              </w:rPr>
            </w:pPr>
            <w:r>
              <w:rPr>
                <w:sz w:val="20"/>
                <w:szCs w:val="20"/>
              </w:rPr>
              <w:t>2</w:t>
            </w:r>
            <w:r w:rsidR="00042044">
              <w:rPr>
                <w:sz w:val="20"/>
                <w:szCs w:val="20"/>
              </w:rPr>
              <w:t>7</w:t>
            </w:r>
            <w:r>
              <w:rPr>
                <w:sz w:val="20"/>
                <w:szCs w:val="20"/>
              </w:rPr>
              <w:t>,</w:t>
            </w:r>
            <w:r w:rsidR="00A600CC">
              <w:rPr>
                <w:sz w:val="20"/>
                <w:szCs w:val="20"/>
              </w:rPr>
              <w:t>495</w:t>
            </w:r>
          </w:p>
        </w:tc>
        <w:tc>
          <w:tcPr>
            <w:tcW w:w="1465" w:type="dxa"/>
          </w:tcPr>
          <w:p w:rsidR="0047385E" w:rsidRPr="00C45A81" w:rsidP="0047385E" w14:paraId="12451755" w14:textId="360CC40C">
            <w:pPr>
              <w:jc w:val="center"/>
              <w:rPr>
                <w:b/>
                <w:sz w:val="20"/>
                <w:szCs w:val="20"/>
              </w:rPr>
            </w:pPr>
            <w:r>
              <w:rPr>
                <w:sz w:val="20"/>
                <w:szCs w:val="20"/>
              </w:rPr>
              <w:t>1</w:t>
            </w:r>
          </w:p>
        </w:tc>
        <w:tc>
          <w:tcPr>
            <w:tcW w:w="1235" w:type="dxa"/>
          </w:tcPr>
          <w:p w:rsidR="0047385E" w:rsidRPr="00C45A81" w:rsidP="0047385E" w14:paraId="7F9CDF95" w14:textId="22C9CF69">
            <w:pPr>
              <w:jc w:val="center"/>
              <w:rPr>
                <w:b/>
                <w:sz w:val="20"/>
                <w:szCs w:val="20"/>
              </w:rPr>
            </w:pPr>
            <w:r>
              <w:rPr>
                <w:sz w:val="20"/>
                <w:szCs w:val="20"/>
              </w:rPr>
              <w:t>27,495</w:t>
            </w:r>
          </w:p>
        </w:tc>
        <w:tc>
          <w:tcPr>
            <w:tcW w:w="1195" w:type="dxa"/>
          </w:tcPr>
          <w:p w:rsidR="0047385E" w:rsidRPr="00C45A81" w:rsidP="0047385E" w14:paraId="403A50D0" w14:textId="08DABF2E">
            <w:pPr>
              <w:jc w:val="center"/>
              <w:rPr>
                <w:bCs/>
                <w:sz w:val="20"/>
                <w:szCs w:val="20"/>
              </w:rPr>
            </w:pPr>
            <w:r w:rsidRPr="00C45A81">
              <w:rPr>
                <w:bCs/>
                <w:sz w:val="20"/>
                <w:szCs w:val="20"/>
              </w:rPr>
              <w:t>20/60</w:t>
            </w:r>
          </w:p>
        </w:tc>
        <w:tc>
          <w:tcPr>
            <w:tcW w:w="1170" w:type="dxa"/>
          </w:tcPr>
          <w:p w:rsidR="0047385E" w:rsidRPr="00C45A81" w:rsidP="0047385E" w14:paraId="183B14CE" w14:textId="3326BAD3">
            <w:pPr>
              <w:jc w:val="center"/>
              <w:rPr>
                <w:b/>
                <w:sz w:val="20"/>
                <w:szCs w:val="20"/>
              </w:rPr>
            </w:pPr>
            <w:r w:rsidRPr="00C45A81">
              <w:rPr>
                <w:sz w:val="20"/>
                <w:szCs w:val="20"/>
              </w:rPr>
              <w:t>9,16</w:t>
            </w:r>
            <w:r>
              <w:rPr>
                <w:sz w:val="20"/>
                <w:szCs w:val="20"/>
              </w:rPr>
              <w:t>5</w:t>
            </w:r>
          </w:p>
        </w:tc>
        <w:tc>
          <w:tcPr>
            <w:tcW w:w="990" w:type="dxa"/>
          </w:tcPr>
          <w:p w:rsidR="0047385E" w:rsidRPr="00C45A81" w:rsidP="0047385E" w14:paraId="2D99E320" w14:textId="5F097A88">
            <w:pPr>
              <w:jc w:val="center"/>
              <w:rPr>
                <w:b/>
                <w:sz w:val="20"/>
                <w:szCs w:val="20"/>
              </w:rPr>
            </w:pPr>
            <w:r w:rsidRPr="00C45A81">
              <w:rPr>
                <w:sz w:val="20"/>
                <w:szCs w:val="20"/>
              </w:rPr>
              <w:t>$</w:t>
            </w:r>
            <w:r w:rsidR="00C74BAF">
              <w:rPr>
                <w:sz w:val="20"/>
                <w:szCs w:val="20"/>
              </w:rPr>
              <w:t>30.98</w:t>
            </w:r>
            <w:r w:rsidRPr="00C45A81">
              <w:rPr>
                <w:sz w:val="20"/>
                <w:szCs w:val="20"/>
              </w:rPr>
              <w:t xml:space="preserve"> </w:t>
            </w:r>
          </w:p>
        </w:tc>
        <w:tc>
          <w:tcPr>
            <w:tcW w:w="1535" w:type="dxa"/>
          </w:tcPr>
          <w:p w:rsidR="0047385E" w:rsidRPr="00C45A81" w:rsidP="0047385E" w14:paraId="03AB16A0" w14:textId="0B2ADC02">
            <w:pPr>
              <w:jc w:val="center"/>
              <w:rPr>
                <w:b/>
                <w:sz w:val="20"/>
                <w:szCs w:val="20"/>
              </w:rPr>
            </w:pPr>
            <w:r w:rsidRPr="00C45A81">
              <w:rPr>
                <w:sz w:val="20"/>
                <w:szCs w:val="20"/>
              </w:rPr>
              <w:t>$</w:t>
            </w:r>
            <w:r w:rsidR="003A4B9E">
              <w:rPr>
                <w:sz w:val="20"/>
                <w:szCs w:val="20"/>
              </w:rPr>
              <w:t>283,932</w:t>
            </w:r>
            <w:r w:rsidRPr="00C45A81">
              <w:rPr>
                <w:sz w:val="20"/>
                <w:szCs w:val="20"/>
              </w:rPr>
              <w:t xml:space="preserve"> </w:t>
            </w:r>
          </w:p>
        </w:tc>
      </w:tr>
      <w:tr w14:paraId="741C837C" w14:textId="77777777" w:rsidTr="003D7CC9">
        <w:tblPrEx>
          <w:tblW w:w="10905" w:type="dxa"/>
          <w:tblLayout w:type="fixed"/>
          <w:tblLook w:val="04A0"/>
        </w:tblPrEx>
        <w:trPr>
          <w:cantSplit/>
        </w:trPr>
        <w:tc>
          <w:tcPr>
            <w:tcW w:w="10905" w:type="dxa"/>
            <w:gridSpan w:val="8"/>
            <w:shd w:val="clear" w:color="auto" w:fill="CDF2FF"/>
            <w:vAlign w:val="center"/>
          </w:tcPr>
          <w:p w:rsidR="0047385E" w:rsidRPr="00D3767D" w:rsidP="0047385E" w14:paraId="4BF54E30" w14:textId="2E44BB2D">
            <w:pPr>
              <w:rPr>
                <w:sz w:val="22"/>
                <w:szCs w:val="22"/>
              </w:rPr>
            </w:pPr>
            <w:r w:rsidRPr="00850E05">
              <w:rPr>
                <w:b/>
                <w:sz w:val="20"/>
                <w:szCs w:val="20"/>
              </w:rPr>
              <w:t>(I)  Records Disclosure</w:t>
            </w:r>
          </w:p>
        </w:tc>
      </w:tr>
      <w:tr w14:paraId="3C78E0C5" w14:textId="77777777" w:rsidTr="00C45A81">
        <w:tblPrEx>
          <w:tblW w:w="10905" w:type="dxa"/>
          <w:tblLayout w:type="fixed"/>
          <w:tblLook w:val="04A0"/>
        </w:tblPrEx>
        <w:trPr>
          <w:cantSplit/>
        </w:trPr>
        <w:tc>
          <w:tcPr>
            <w:tcW w:w="1810" w:type="dxa"/>
          </w:tcPr>
          <w:p w:rsidR="0047385E" w:rsidRPr="00C45A81" w:rsidP="0047385E" w14:paraId="01867DD7" w14:textId="17B23967">
            <w:pPr>
              <w:rPr>
                <w:b/>
                <w:sz w:val="20"/>
                <w:szCs w:val="20"/>
              </w:rPr>
            </w:pPr>
          </w:p>
        </w:tc>
        <w:tc>
          <w:tcPr>
            <w:tcW w:w="1505" w:type="dxa"/>
          </w:tcPr>
          <w:p w:rsidR="0047385E" w:rsidRPr="00C45A81" w:rsidP="0047385E" w14:paraId="1F96521C" w14:textId="2B50D233">
            <w:pPr>
              <w:jc w:val="center"/>
              <w:rPr>
                <w:b/>
                <w:sz w:val="20"/>
                <w:szCs w:val="20"/>
              </w:rPr>
            </w:pPr>
            <w:r>
              <w:rPr>
                <w:sz w:val="20"/>
                <w:szCs w:val="20"/>
              </w:rPr>
              <w:t>2,</w:t>
            </w:r>
            <w:r w:rsidR="00A600CC">
              <w:rPr>
                <w:sz w:val="20"/>
                <w:szCs w:val="20"/>
              </w:rPr>
              <w:t>750</w:t>
            </w:r>
          </w:p>
        </w:tc>
        <w:tc>
          <w:tcPr>
            <w:tcW w:w="1465" w:type="dxa"/>
          </w:tcPr>
          <w:p w:rsidR="0047385E" w:rsidRPr="00C45A81" w:rsidP="0047385E" w14:paraId="64D8CE11" w14:textId="7391C39C">
            <w:pPr>
              <w:jc w:val="center"/>
              <w:rPr>
                <w:b/>
                <w:sz w:val="20"/>
                <w:szCs w:val="20"/>
              </w:rPr>
            </w:pPr>
            <w:r>
              <w:rPr>
                <w:sz w:val="20"/>
                <w:szCs w:val="20"/>
              </w:rPr>
              <w:t>1</w:t>
            </w:r>
          </w:p>
        </w:tc>
        <w:tc>
          <w:tcPr>
            <w:tcW w:w="1235" w:type="dxa"/>
          </w:tcPr>
          <w:p w:rsidR="0047385E" w:rsidRPr="00C45A81" w:rsidP="0047385E" w14:paraId="6C665BF8" w14:textId="31F22205">
            <w:pPr>
              <w:jc w:val="center"/>
              <w:rPr>
                <w:b/>
                <w:sz w:val="20"/>
                <w:szCs w:val="20"/>
              </w:rPr>
            </w:pPr>
            <w:r w:rsidRPr="00C45A81">
              <w:rPr>
                <w:sz w:val="20"/>
                <w:szCs w:val="20"/>
              </w:rPr>
              <w:t>2,</w:t>
            </w:r>
            <w:r>
              <w:rPr>
                <w:sz w:val="20"/>
                <w:szCs w:val="20"/>
              </w:rPr>
              <w:t>7</w:t>
            </w:r>
            <w:r w:rsidR="009536AC">
              <w:rPr>
                <w:sz w:val="20"/>
                <w:szCs w:val="20"/>
              </w:rPr>
              <w:t>50</w:t>
            </w:r>
          </w:p>
        </w:tc>
        <w:tc>
          <w:tcPr>
            <w:tcW w:w="1195" w:type="dxa"/>
          </w:tcPr>
          <w:p w:rsidR="0047385E" w:rsidRPr="00C45A81" w:rsidP="0047385E" w14:paraId="2DE32FEE" w14:textId="310FF7C7">
            <w:pPr>
              <w:jc w:val="center"/>
              <w:rPr>
                <w:b/>
                <w:sz w:val="20"/>
                <w:szCs w:val="20"/>
              </w:rPr>
            </w:pPr>
            <w:r w:rsidRPr="00C45A81">
              <w:rPr>
                <w:sz w:val="20"/>
                <w:szCs w:val="20"/>
              </w:rPr>
              <w:t>15/60</w:t>
            </w:r>
          </w:p>
        </w:tc>
        <w:tc>
          <w:tcPr>
            <w:tcW w:w="1170" w:type="dxa"/>
          </w:tcPr>
          <w:p w:rsidR="0047385E" w:rsidRPr="00C45A81" w:rsidP="0047385E" w14:paraId="7FB29A98" w14:textId="4CA15E97">
            <w:pPr>
              <w:jc w:val="center"/>
              <w:rPr>
                <w:b/>
                <w:sz w:val="20"/>
                <w:szCs w:val="20"/>
              </w:rPr>
            </w:pPr>
            <w:r w:rsidRPr="00C45A81">
              <w:rPr>
                <w:sz w:val="20"/>
                <w:szCs w:val="20"/>
              </w:rPr>
              <w:t>68</w:t>
            </w:r>
            <w:r w:rsidR="006F12D7">
              <w:rPr>
                <w:sz w:val="20"/>
                <w:szCs w:val="20"/>
              </w:rPr>
              <w:t>8</w:t>
            </w:r>
          </w:p>
        </w:tc>
        <w:tc>
          <w:tcPr>
            <w:tcW w:w="990" w:type="dxa"/>
          </w:tcPr>
          <w:p w:rsidR="0047385E" w:rsidRPr="00C45A81" w:rsidP="0047385E" w14:paraId="01E1B0F5" w14:textId="0646E3AA">
            <w:pPr>
              <w:jc w:val="center"/>
              <w:rPr>
                <w:b/>
                <w:sz w:val="20"/>
                <w:szCs w:val="20"/>
              </w:rPr>
            </w:pPr>
            <w:r w:rsidRPr="00C45A81">
              <w:rPr>
                <w:sz w:val="20"/>
                <w:szCs w:val="20"/>
              </w:rPr>
              <w:t>$</w:t>
            </w:r>
            <w:r w:rsidR="00C74BAF">
              <w:rPr>
                <w:sz w:val="20"/>
                <w:szCs w:val="20"/>
              </w:rPr>
              <w:t>30.98</w:t>
            </w:r>
            <w:r w:rsidRPr="00C45A81">
              <w:rPr>
                <w:sz w:val="20"/>
                <w:szCs w:val="20"/>
              </w:rPr>
              <w:t xml:space="preserve"> </w:t>
            </w:r>
          </w:p>
        </w:tc>
        <w:tc>
          <w:tcPr>
            <w:tcW w:w="1535" w:type="dxa"/>
            <w:vAlign w:val="center"/>
          </w:tcPr>
          <w:p w:rsidR="0047385E" w:rsidRPr="00C45A81" w:rsidP="00C45A81" w14:paraId="4A4E64AB" w14:textId="43573E2B">
            <w:pPr>
              <w:jc w:val="center"/>
              <w:rPr>
                <w:b/>
                <w:sz w:val="20"/>
                <w:szCs w:val="20"/>
              </w:rPr>
            </w:pPr>
            <w:r w:rsidRPr="00C45A81">
              <w:rPr>
                <w:sz w:val="20"/>
                <w:szCs w:val="20"/>
              </w:rPr>
              <w:t>$</w:t>
            </w:r>
            <w:r w:rsidR="003A4B9E">
              <w:rPr>
                <w:sz w:val="20"/>
                <w:szCs w:val="20"/>
              </w:rPr>
              <w:t>21,314</w:t>
            </w:r>
          </w:p>
        </w:tc>
      </w:tr>
      <w:tr w14:paraId="4E6BB87D" w14:textId="77777777" w:rsidTr="00C45A81">
        <w:tblPrEx>
          <w:tblW w:w="10905" w:type="dxa"/>
          <w:tblLayout w:type="fixed"/>
          <w:tblLook w:val="04A0"/>
        </w:tblPrEx>
        <w:trPr>
          <w:cantSplit/>
        </w:trPr>
        <w:tc>
          <w:tcPr>
            <w:tcW w:w="1810" w:type="dxa"/>
            <w:tcBorders>
              <w:bottom w:val="single" w:sz="4" w:space="0" w:color="auto"/>
            </w:tcBorders>
            <w:shd w:val="clear" w:color="auto" w:fill="A3E7FF"/>
          </w:tcPr>
          <w:p w:rsidR="0047385E" w:rsidRPr="00C655A9" w:rsidP="0047385E" w14:paraId="102D7514" w14:textId="77777777">
            <w:pPr>
              <w:rPr>
                <w:b/>
                <w:sz w:val="22"/>
                <w:szCs w:val="22"/>
              </w:rPr>
            </w:pPr>
          </w:p>
        </w:tc>
        <w:tc>
          <w:tcPr>
            <w:tcW w:w="1505" w:type="dxa"/>
            <w:tcBorders>
              <w:bottom w:val="single" w:sz="4" w:space="0" w:color="auto"/>
            </w:tcBorders>
            <w:shd w:val="clear" w:color="auto" w:fill="A3E7FF"/>
          </w:tcPr>
          <w:p w:rsidR="0047385E" w:rsidRPr="00D3767D" w:rsidP="0047385E" w14:paraId="3AF12EDF" w14:textId="77777777">
            <w:pPr>
              <w:jc w:val="center"/>
              <w:rPr>
                <w:b/>
                <w:sz w:val="22"/>
                <w:szCs w:val="22"/>
              </w:rPr>
            </w:pPr>
          </w:p>
        </w:tc>
        <w:tc>
          <w:tcPr>
            <w:tcW w:w="1465" w:type="dxa"/>
            <w:tcBorders>
              <w:bottom w:val="single" w:sz="4" w:space="0" w:color="auto"/>
            </w:tcBorders>
            <w:shd w:val="clear" w:color="auto" w:fill="A3E7FF"/>
          </w:tcPr>
          <w:p w:rsidR="0047385E" w:rsidRPr="00D3767D" w:rsidP="0047385E" w14:paraId="519FFA1A" w14:textId="77777777">
            <w:pPr>
              <w:jc w:val="center"/>
              <w:rPr>
                <w:b/>
                <w:sz w:val="22"/>
                <w:szCs w:val="22"/>
              </w:rPr>
            </w:pPr>
          </w:p>
        </w:tc>
        <w:tc>
          <w:tcPr>
            <w:tcW w:w="1235" w:type="dxa"/>
            <w:tcBorders>
              <w:bottom w:val="single" w:sz="4" w:space="0" w:color="auto"/>
            </w:tcBorders>
            <w:shd w:val="clear" w:color="auto" w:fill="A3E7FF"/>
          </w:tcPr>
          <w:p w:rsidR="0047385E" w:rsidRPr="00D3767D" w:rsidP="0047385E" w14:paraId="014A902A" w14:textId="77777777">
            <w:pPr>
              <w:jc w:val="center"/>
              <w:rPr>
                <w:sz w:val="22"/>
                <w:szCs w:val="22"/>
              </w:rPr>
            </w:pPr>
          </w:p>
        </w:tc>
        <w:tc>
          <w:tcPr>
            <w:tcW w:w="1195" w:type="dxa"/>
            <w:tcBorders>
              <w:bottom w:val="single" w:sz="4" w:space="0" w:color="auto"/>
            </w:tcBorders>
            <w:shd w:val="clear" w:color="auto" w:fill="A3E7FF"/>
          </w:tcPr>
          <w:p w:rsidR="0047385E" w:rsidRPr="00D3767D" w:rsidP="0047385E" w14:paraId="24895122" w14:textId="77777777">
            <w:pPr>
              <w:jc w:val="center"/>
              <w:rPr>
                <w:b/>
                <w:sz w:val="22"/>
                <w:szCs w:val="22"/>
              </w:rPr>
            </w:pPr>
          </w:p>
        </w:tc>
        <w:tc>
          <w:tcPr>
            <w:tcW w:w="1170" w:type="dxa"/>
            <w:tcBorders>
              <w:bottom w:val="single" w:sz="4" w:space="0" w:color="auto"/>
            </w:tcBorders>
            <w:shd w:val="clear" w:color="auto" w:fill="A3E7FF"/>
          </w:tcPr>
          <w:p w:rsidR="0047385E" w:rsidRPr="00D3767D" w:rsidP="0047385E" w14:paraId="42FA4FD5" w14:textId="77777777">
            <w:pPr>
              <w:jc w:val="center"/>
              <w:rPr>
                <w:sz w:val="22"/>
                <w:szCs w:val="22"/>
              </w:rPr>
            </w:pPr>
          </w:p>
        </w:tc>
        <w:tc>
          <w:tcPr>
            <w:tcW w:w="990" w:type="dxa"/>
            <w:tcBorders>
              <w:bottom w:val="single" w:sz="4" w:space="0" w:color="auto"/>
            </w:tcBorders>
            <w:shd w:val="clear" w:color="auto" w:fill="A3E7FF"/>
          </w:tcPr>
          <w:p w:rsidR="0047385E" w:rsidRPr="00D3767D" w:rsidP="0047385E" w14:paraId="17D5727D" w14:textId="77777777">
            <w:pPr>
              <w:jc w:val="center"/>
              <w:rPr>
                <w:b/>
                <w:sz w:val="22"/>
                <w:szCs w:val="22"/>
              </w:rPr>
            </w:pPr>
          </w:p>
        </w:tc>
        <w:tc>
          <w:tcPr>
            <w:tcW w:w="1535" w:type="dxa"/>
            <w:tcBorders>
              <w:bottom w:val="single" w:sz="4" w:space="0" w:color="auto"/>
            </w:tcBorders>
            <w:shd w:val="clear" w:color="auto" w:fill="A3E7FF"/>
          </w:tcPr>
          <w:p w:rsidR="0047385E" w:rsidRPr="00D3767D" w:rsidP="0047385E" w14:paraId="7295E7F2" w14:textId="77777777">
            <w:pPr>
              <w:jc w:val="center"/>
              <w:rPr>
                <w:sz w:val="22"/>
                <w:szCs w:val="22"/>
              </w:rPr>
            </w:pPr>
          </w:p>
        </w:tc>
      </w:tr>
      <w:tr w14:paraId="55A66EF2" w14:textId="77777777" w:rsidTr="00C45A81">
        <w:tblPrEx>
          <w:tblW w:w="10905" w:type="dxa"/>
          <w:tblLayout w:type="fixed"/>
          <w:tblLook w:val="04A0"/>
        </w:tblPrEx>
        <w:trPr>
          <w:cantSplit/>
        </w:trPr>
        <w:tc>
          <w:tcPr>
            <w:tcW w:w="1810" w:type="dxa"/>
            <w:tcBorders>
              <w:top w:val="single" w:sz="4" w:space="0" w:color="auto"/>
              <w:bottom w:val="double" w:sz="6" w:space="0" w:color="auto"/>
            </w:tcBorders>
            <w:hideMark/>
          </w:tcPr>
          <w:p w:rsidR="0047385E" w:rsidRPr="00C655A9" w:rsidP="0047385E" w14:paraId="0453BE96" w14:textId="77777777">
            <w:pPr>
              <w:rPr>
                <w:bCs/>
                <w:sz w:val="20"/>
                <w:szCs w:val="20"/>
              </w:rPr>
            </w:pPr>
            <w:r w:rsidRPr="00C45A81">
              <w:rPr>
                <w:b/>
                <w:sz w:val="20"/>
                <w:szCs w:val="20"/>
              </w:rPr>
              <w:t>Grand Totals</w:t>
            </w:r>
          </w:p>
        </w:tc>
        <w:tc>
          <w:tcPr>
            <w:tcW w:w="1505" w:type="dxa"/>
            <w:tcBorders>
              <w:top w:val="single" w:sz="4" w:space="0" w:color="auto"/>
              <w:bottom w:val="double" w:sz="6" w:space="0" w:color="auto"/>
            </w:tcBorders>
            <w:hideMark/>
          </w:tcPr>
          <w:p w:rsidR="0047385E" w:rsidRPr="00C45A81" w:rsidP="0047385E" w14:paraId="1BC32BE1" w14:textId="6E04FBDA">
            <w:pPr>
              <w:jc w:val="center"/>
              <w:rPr>
                <w:b/>
                <w:sz w:val="20"/>
                <w:szCs w:val="20"/>
              </w:rPr>
            </w:pPr>
          </w:p>
        </w:tc>
        <w:tc>
          <w:tcPr>
            <w:tcW w:w="1465" w:type="dxa"/>
            <w:tcBorders>
              <w:top w:val="single" w:sz="4" w:space="0" w:color="auto"/>
              <w:bottom w:val="double" w:sz="6" w:space="0" w:color="auto"/>
            </w:tcBorders>
          </w:tcPr>
          <w:p w:rsidR="0047385E" w:rsidRPr="00C655A9" w:rsidP="0047385E" w14:paraId="297710BC" w14:textId="77777777">
            <w:pPr>
              <w:jc w:val="center"/>
              <w:rPr>
                <w:b/>
                <w:sz w:val="22"/>
                <w:szCs w:val="22"/>
              </w:rPr>
            </w:pPr>
          </w:p>
        </w:tc>
        <w:tc>
          <w:tcPr>
            <w:tcW w:w="1235" w:type="dxa"/>
            <w:tcBorders>
              <w:top w:val="single" w:sz="4" w:space="0" w:color="auto"/>
              <w:bottom w:val="double" w:sz="6" w:space="0" w:color="auto"/>
            </w:tcBorders>
            <w:vAlign w:val="center"/>
          </w:tcPr>
          <w:p w:rsidR="0047385E" w:rsidRPr="00C45A81" w:rsidP="00C45A81" w14:paraId="57C9C666" w14:textId="04F8C181">
            <w:pPr>
              <w:jc w:val="center"/>
              <w:rPr>
                <w:b/>
                <w:bCs/>
                <w:sz w:val="20"/>
                <w:szCs w:val="20"/>
              </w:rPr>
            </w:pPr>
            <w:r>
              <w:rPr>
                <w:b/>
                <w:bCs/>
                <w:sz w:val="20"/>
                <w:szCs w:val="20"/>
              </w:rPr>
              <w:t>3</w:t>
            </w:r>
            <w:r w:rsidR="006A5378">
              <w:rPr>
                <w:b/>
                <w:bCs/>
                <w:sz w:val="20"/>
                <w:szCs w:val="20"/>
              </w:rPr>
              <w:t>95,</w:t>
            </w:r>
            <w:r w:rsidR="006561D2">
              <w:rPr>
                <w:b/>
                <w:bCs/>
                <w:sz w:val="20"/>
                <w:szCs w:val="20"/>
              </w:rPr>
              <w:t>705</w:t>
            </w:r>
          </w:p>
        </w:tc>
        <w:tc>
          <w:tcPr>
            <w:tcW w:w="1195" w:type="dxa"/>
            <w:tcBorders>
              <w:top w:val="single" w:sz="4" w:space="0" w:color="auto"/>
              <w:bottom w:val="double" w:sz="6" w:space="0" w:color="auto"/>
            </w:tcBorders>
            <w:vAlign w:val="center"/>
          </w:tcPr>
          <w:p w:rsidR="0047385E" w:rsidRPr="00C45A81" w:rsidP="00165EEE" w14:paraId="72CD298B" w14:textId="77777777">
            <w:pPr>
              <w:jc w:val="center"/>
              <w:rPr>
                <w:b/>
                <w:bCs/>
                <w:sz w:val="20"/>
                <w:szCs w:val="20"/>
              </w:rPr>
            </w:pPr>
          </w:p>
        </w:tc>
        <w:tc>
          <w:tcPr>
            <w:tcW w:w="1170" w:type="dxa"/>
            <w:tcBorders>
              <w:top w:val="single" w:sz="4" w:space="0" w:color="auto"/>
              <w:bottom w:val="double" w:sz="6" w:space="0" w:color="auto"/>
            </w:tcBorders>
            <w:vAlign w:val="center"/>
          </w:tcPr>
          <w:p w:rsidR="0047385E" w:rsidRPr="00C45A81" w:rsidP="00165EEE" w14:paraId="43BFA851" w14:textId="56242916">
            <w:pPr>
              <w:jc w:val="center"/>
              <w:rPr>
                <w:b/>
                <w:bCs/>
                <w:sz w:val="20"/>
                <w:szCs w:val="20"/>
              </w:rPr>
            </w:pPr>
            <w:r>
              <w:rPr>
                <w:b/>
                <w:bCs/>
                <w:sz w:val="20"/>
                <w:szCs w:val="20"/>
              </w:rPr>
              <w:t>70,55</w:t>
            </w:r>
            <w:r w:rsidR="006B1CCA">
              <w:rPr>
                <w:b/>
                <w:bCs/>
                <w:sz w:val="20"/>
                <w:szCs w:val="20"/>
              </w:rPr>
              <w:t>6</w:t>
            </w:r>
          </w:p>
        </w:tc>
        <w:tc>
          <w:tcPr>
            <w:tcW w:w="990" w:type="dxa"/>
            <w:tcBorders>
              <w:top w:val="single" w:sz="4" w:space="0" w:color="auto"/>
              <w:bottom w:val="double" w:sz="6" w:space="0" w:color="auto"/>
            </w:tcBorders>
            <w:vAlign w:val="center"/>
          </w:tcPr>
          <w:p w:rsidR="0047385E" w:rsidRPr="00C45A81" w:rsidP="00165EEE" w14:paraId="2AA8F7C8" w14:textId="77777777">
            <w:pPr>
              <w:jc w:val="center"/>
              <w:rPr>
                <w:b/>
                <w:bCs/>
                <w:sz w:val="20"/>
                <w:szCs w:val="20"/>
              </w:rPr>
            </w:pPr>
          </w:p>
        </w:tc>
        <w:tc>
          <w:tcPr>
            <w:tcW w:w="1535" w:type="dxa"/>
            <w:tcBorders>
              <w:top w:val="single" w:sz="4" w:space="0" w:color="auto"/>
              <w:bottom w:val="double" w:sz="6" w:space="0" w:color="auto"/>
            </w:tcBorders>
            <w:vAlign w:val="center"/>
          </w:tcPr>
          <w:p w:rsidR="0047385E" w:rsidRPr="00C45A81" w:rsidP="00165EEE" w14:paraId="2F366AA8" w14:textId="48A6DC2D">
            <w:pPr>
              <w:jc w:val="center"/>
              <w:rPr>
                <w:b/>
                <w:bCs/>
                <w:sz w:val="20"/>
                <w:szCs w:val="20"/>
              </w:rPr>
            </w:pPr>
            <w:r>
              <w:rPr>
                <w:b/>
                <w:bCs/>
                <w:sz w:val="20"/>
                <w:szCs w:val="20"/>
              </w:rPr>
              <w:t>$</w:t>
            </w:r>
            <w:r w:rsidR="003A4B9E">
              <w:rPr>
                <w:b/>
                <w:bCs/>
                <w:sz w:val="20"/>
                <w:szCs w:val="20"/>
              </w:rPr>
              <w:t>5,986,</w:t>
            </w:r>
            <w:r w:rsidR="0071161A">
              <w:rPr>
                <w:b/>
                <w:bCs/>
                <w:sz w:val="20"/>
                <w:szCs w:val="20"/>
              </w:rPr>
              <w:t>663</w:t>
            </w:r>
            <w:r w:rsidR="003A4B9E">
              <w:rPr>
                <w:b/>
                <w:bCs/>
                <w:sz w:val="20"/>
                <w:szCs w:val="20"/>
              </w:rPr>
              <w:t xml:space="preserve"> </w:t>
            </w:r>
          </w:p>
        </w:tc>
      </w:tr>
    </w:tbl>
    <w:p w:rsidR="00A54663" w:rsidRPr="00C45A81" w:rsidP="002D6D39" w14:paraId="427F0E10" w14:textId="7B4BB44B">
      <w:pPr>
        <w:rPr>
          <w:sz w:val="22"/>
          <w:szCs w:val="22"/>
        </w:rPr>
      </w:pPr>
      <w:r w:rsidRPr="00C45A81">
        <w:rPr>
          <w:sz w:val="22"/>
          <w:szCs w:val="22"/>
        </w:rPr>
        <w:t>*</w:t>
      </w:r>
      <w:r w:rsidRPr="00C45A81" w:rsidR="00F22EDC">
        <w:rPr>
          <w:sz w:val="22"/>
          <w:szCs w:val="22"/>
        </w:rPr>
        <w:t xml:space="preserve">The </w:t>
      </w:r>
      <w:r w:rsidRPr="00C45A81" w:rsidR="00EF26DD">
        <w:rPr>
          <w:sz w:val="22"/>
          <w:szCs w:val="22"/>
        </w:rPr>
        <w:t xml:space="preserve">number of </w:t>
      </w:r>
      <w:r w:rsidRPr="00C45A81" w:rsidR="00606395">
        <w:rPr>
          <w:sz w:val="22"/>
          <w:szCs w:val="22"/>
        </w:rPr>
        <w:t>affected establishments</w:t>
      </w:r>
      <w:r w:rsidRPr="00C45A81" w:rsidR="00EF26DD">
        <w:rPr>
          <w:sz w:val="22"/>
          <w:szCs w:val="22"/>
        </w:rPr>
        <w:t xml:space="preserve"> is </w:t>
      </w:r>
      <w:r w:rsidRPr="00C45A81" w:rsidR="00E20E2E">
        <w:rPr>
          <w:sz w:val="22"/>
          <w:szCs w:val="22"/>
        </w:rPr>
        <w:t>25</w:t>
      </w:r>
      <w:r w:rsidRPr="00C45A81" w:rsidR="00606395">
        <w:rPr>
          <w:sz w:val="22"/>
          <w:szCs w:val="22"/>
        </w:rPr>
        <w:t>,631</w:t>
      </w:r>
      <w:r w:rsidRPr="00C45A81" w:rsidR="00EF26DD">
        <w:rPr>
          <w:sz w:val="22"/>
          <w:szCs w:val="22"/>
        </w:rPr>
        <w:t>.</w:t>
      </w:r>
    </w:p>
    <w:p w:rsidR="00860F9C" w:rsidP="002D6D39" w14:paraId="5A8FFD34" w14:textId="77777777"/>
    <w:p w:rsidR="00BE31B6" w:rsidRPr="00C45A81" w:rsidP="00C45A81" w14:paraId="3E07447F" w14:textId="3D011819">
      <w:pPr>
        <w:ind w:left="360" w:hanging="360"/>
        <w:rPr>
          <w:b/>
          <w:bCs/>
        </w:rPr>
      </w:pPr>
      <w:r w:rsidRPr="00C45A81">
        <w:rPr>
          <w:b/>
          <w:bCs/>
        </w:rPr>
        <w:t>13.</w:t>
      </w:r>
      <w:r w:rsidR="00E17C5B">
        <w:rPr>
          <w:b/>
          <w:bCs/>
        </w:rPr>
        <w:t xml:space="preserve">  </w:t>
      </w:r>
      <w:r w:rsidRPr="00C45A81">
        <w:rPr>
          <w:b/>
          <w:bCs/>
        </w:rPr>
        <w:t>Provide an estimate of the total annual cost burden to respondents or recordkeepers resulting</w:t>
      </w:r>
      <w:r w:rsidR="00E17C5B">
        <w:rPr>
          <w:b/>
          <w:bCs/>
        </w:rPr>
        <w:t xml:space="preserve"> </w:t>
      </w:r>
      <w:r w:rsidRPr="00C45A81">
        <w:rPr>
          <w:b/>
          <w:bCs/>
        </w:rPr>
        <w:t>from the collection of information.  (Do not include the cost of any hour burden shown in</w:t>
      </w:r>
      <w:r w:rsidR="00E17C5B">
        <w:rPr>
          <w:b/>
          <w:bCs/>
        </w:rPr>
        <w:t xml:space="preserve"> </w:t>
      </w:r>
      <w:r w:rsidRPr="00C45A81">
        <w:rPr>
          <w:b/>
          <w:bCs/>
        </w:rPr>
        <w:t>Items 12 and 14).</w:t>
      </w:r>
    </w:p>
    <w:p w:rsidR="00BE31B6" w:rsidRPr="00C45A81" w:rsidP="00BE31B6" w14:paraId="37DB98D3" w14:textId="77777777">
      <w:pPr>
        <w:ind w:left="990" w:hanging="270"/>
        <w:rPr>
          <w:b/>
          <w:bCs/>
        </w:rPr>
      </w:pPr>
    </w:p>
    <w:p w:rsidR="00DB2868" w:rsidRPr="00C45A81" w:rsidP="009653CB" w14:paraId="7E82A493" w14:textId="44597BDF">
      <w:pPr>
        <w:numPr>
          <w:ilvl w:val="0"/>
          <w:numId w:val="12"/>
        </w:numPr>
        <w:rPr>
          <w:b/>
          <w:bCs/>
        </w:rPr>
      </w:pPr>
      <w:r w:rsidRPr="00C45A81">
        <w:rPr>
          <w:b/>
          <w:bCs/>
        </w:rPr>
        <w:t>The cost estimate should be split into two components: (a) a total capital and start-</w:t>
      </w:r>
      <w:r w:rsidRPr="00C45A81">
        <w:rPr>
          <w:b/>
          <w:bCs/>
        </w:rPr>
        <w:t xml:space="preserve">up cost component (annualized over its expected useful life); and (b) a total operation and maintenance and purchase of services component.  The estimates should </w:t>
      </w:r>
      <w:r w:rsidRPr="00C45A81">
        <w:rPr>
          <w:b/>
          <w:bCs/>
        </w:rPr>
        <w:t>take into account</w:t>
      </w:r>
      <w:r w:rsidRPr="00C45A81">
        <w:rPr>
          <w:b/>
          <w:bCs/>
        </w:rPr>
        <w:t xml:space="preserve"> costs associated with generating, maintaining, and disclosing or providing the information.  Include descriptions of methods used to estimate major cost factors including system and technology acquisition, </w:t>
      </w:r>
      <w:r w:rsidRPr="00C45A81">
        <w:rPr>
          <w:b/>
          <w:bCs/>
        </w:rPr>
        <w:t>expected</w:t>
      </w:r>
      <w:r w:rsidRPr="00C45A81">
        <w:rPr>
          <w:b/>
          <w:bCs/>
        </w:rPr>
        <w:t xml:space="preserve"> </w:t>
      </w:r>
    </w:p>
    <w:p w:rsidR="00BE31B6" w:rsidRPr="00295A38" w:rsidP="00DB2868" w14:paraId="74F09801" w14:textId="77777777">
      <w:pPr>
        <w:ind w:left="720"/>
      </w:pPr>
      <w:r w:rsidRPr="00C45A81">
        <w:rPr>
          <w:b/>
          <w:bCs/>
        </w:rPr>
        <w:t xml:space="preserve">useful life of capital equipment, the discount rate(s), and the </w:t>
      </w:r>
      <w:r w:rsidRPr="00C45A81">
        <w:rPr>
          <w:b/>
          <w:bCs/>
        </w:rPr>
        <w:t>time period</w:t>
      </w:r>
      <w:r w:rsidRPr="00C45A81">
        <w:rPr>
          <w:b/>
          <w:bCs/>
        </w:rPr>
        <w:t xml:space="preserve"> over which costs will be incurred.  Capital and start-up costs include, among other items, preparations for collecting information such as purchasing computers and software; monitoring, sampling, </w:t>
      </w:r>
      <w:r w:rsidRPr="00C45A81">
        <w:rPr>
          <w:b/>
          <w:bCs/>
        </w:rPr>
        <w:t>drilling</w:t>
      </w:r>
      <w:r w:rsidRPr="00C45A81">
        <w:rPr>
          <w:b/>
          <w:bCs/>
        </w:rPr>
        <w:t xml:space="preserve"> and testing equipment; and record storage facilities</w:t>
      </w:r>
      <w:r w:rsidRPr="00C45A81">
        <w:t>.</w:t>
      </w:r>
    </w:p>
    <w:p w:rsidR="00BE31B6" w:rsidRPr="00295A38" w:rsidP="00BE31B6" w14:paraId="4D046143" w14:textId="77777777"/>
    <w:p w:rsidR="00BE31B6" w:rsidRPr="00C45A81" w:rsidP="009653CB" w14:paraId="3C142DC4" w14:textId="37F1E577">
      <w:pPr>
        <w:numPr>
          <w:ilvl w:val="0"/>
          <w:numId w:val="12"/>
        </w:numPr>
      </w:pPr>
      <w:r w:rsidRPr="00C45A81">
        <w:rPr>
          <w:b/>
          <w:bCs/>
        </w:rPr>
        <w:t>If cost estimates are expected to vary widely, agencies should present ranges of cost burdens and explain the reasons for the variance.  The cost of purchasing or contracting out information collection services should</w:t>
      </w:r>
      <w:r w:rsidR="005A4DD6">
        <w:rPr>
          <w:b/>
          <w:bCs/>
        </w:rPr>
        <w:t xml:space="preserve"> </w:t>
      </w:r>
      <w:r w:rsidRPr="00C45A81">
        <w:rPr>
          <w:b/>
          <w:bCs/>
        </w:rPr>
        <w:t>be a part of this cost burden estimate.  In developing cost burden estimates, agencies may consult with a sample of respondents (fewer than 10), utilize the 60-day pre-OMB submission public comment process</w:t>
      </w:r>
      <w:r w:rsidR="001C3CEB">
        <w:rPr>
          <w:b/>
          <w:bCs/>
        </w:rPr>
        <w:t>,</w:t>
      </w:r>
      <w:r w:rsidRPr="00C45A81">
        <w:rPr>
          <w:b/>
          <w:bCs/>
        </w:rPr>
        <w:t xml:space="preserve"> and use existing economic or regulatory impact analysis associated with the rulemaking containing the information collection, as appropriate</w:t>
      </w:r>
      <w:r w:rsidRPr="00C45A81">
        <w:t>.</w:t>
      </w:r>
    </w:p>
    <w:p w:rsidR="00BE31B6" w:rsidRPr="00C45A81" w:rsidP="00BE31B6" w14:paraId="6D2C9DA7" w14:textId="77777777"/>
    <w:p w:rsidR="00BE31B6" w:rsidRPr="00C45A81" w:rsidP="009653CB" w14:paraId="63A90D9F" w14:textId="55FCDCB2">
      <w:pPr>
        <w:numPr>
          <w:ilvl w:val="0"/>
          <w:numId w:val="12"/>
        </w:numPr>
      </w:pPr>
      <w:r w:rsidRPr="00C45A81">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C45A81">
        <w:t>.</w:t>
      </w:r>
    </w:p>
    <w:p w:rsidR="00BE31B6" w:rsidRPr="00295A38" w:rsidP="00BE31B6" w14:paraId="677C73A3" w14:textId="77777777"/>
    <w:p w:rsidR="00BE31B6" w:rsidRPr="00CF521B" w:rsidP="00BE31B6" w14:paraId="2C6D1D1E" w14:textId="1A818735">
      <w:r w:rsidRPr="00CF521B">
        <w:t xml:space="preserve">OSHA estimates that the combined purchase and analysis cost for each whole-body monitoring badge </w:t>
      </w:r>
      <w:r w:rsidRPr="009B592C">
        <w:t>is $</w:t>
      </w:r>
      <w:r w:rsidRPr="009B592C" w:rsidR="00B707EB">
        <w:t>2</w:t>
      </w:r>
      <w:r w:rsidRPr="00C45A81" w:rsidR="00F50CAD">
        <w:t>8</w:t>
      </w:r>
      <w:r w:rsidRPr="009B592C" w:rsidR="00B707EB">
        <w:t>.</w:t>
      </w:r>
      <w:r w:rsidRPr="00C45A81" w:rsidR="00F50CAD">
        <w:t>85</w:t>
      </w:r>
      <w:r w:rsidRPr="009B592C" w:rsidR="003C7D1E">
        <w:t xml:space="preserve"> </w:t>
      </w:r>
      <w:r w:rsidRPr="009B592C">
        <w:t>and is $</w:t>
      </w:r>
      <w:r w:rsidRPr="009B592C" w:rsidR="00B707EB">
        <w:t>2</w:t>
      </w:r>
      <w:r w:rsidRPr="00C45A81" w:rsidR="00F50CAD">
        <w:t>9</w:t>
      </w:r>
      <w:r w:rsidRPr="00C45A81" w:rsidR="0069553B">
        <w:t>.43</w:t>
      </w:r>
      <w:r w:rsidR="003C7D1E">
        <w:t xml:space="preserve"> </w:t>
      </w:r>
      <w:r w:rsidRPr="00CF521B">
        <w:t>for an extremity-monitoring badge</w:t>
      </w:r>
      <w:r w:rsidRPr="00B963CB">
        <w:t xml:space="preserve">.  </w:t>
      </w:r>
      <w:r w:rsidRPr="00B963CB" w:rsidR="00C312F2">
        <w:t xml:space="preserve">The </w:t>
      </w:r>
      <w:r w:rsidRPr="00B963CB" w:rsidR="00BF5EBE">
        <w:t>a</w:t>
      </w:r>
      <w:r w:rsidRPr="00B963CB" w:rsidR="00C312F2">
        <w:t xml:space="preserve">gency used estimates from the previous ICR, </w:t>
      </w:r>
      <w:r w:rsidRPr="00B963CB" w:rsidR="0092793B">
        <w:t xml:space="preserve">which were based on discussions with several laboratories that analyzed film badges to determine radiation </w:t>
      </w:r>
      <w:r w:rsidRPr="00B963CB" w:rsidR="005A64F1">
        <w:t>exposures and</w:t>
      </w:r>
      <w:r w:rsidRPr="00B963CB" w:rsidR="0092793B">
        <w:t xml:space="preserve"> updated those estimates </w:t>
      </w:r>
      <w:r w:rsidRPr="00B963CB" w:rsidR="00C312F2">
        <w:t xml:space="preserve">using </w:t>
      </w:r>
      <w:r w:rsidRPr="00B963CB" w:rsidR="0092793B">
        <w:t>the Consumer Price Index for medical care c</w:t>
      </w:r>
      <w:r w:rsidRPr="00B963CB" w:rsidR="00C312F2">
        <w:t>ommodities</w:t>
      </w:r>
      <w:r w:rsidRPr="00B963CB" w:rsidR="0092793B">
        <w:t xml:space="preserve">, </w:t>
      </w:r>
      <w:r w:rsidRPr="0016149A" w:rsidR="00B707EB">
        <w:t>3.96</w:t>
      </w:r>
      <w:r w:rsidRPr="0016149A" w:rsidR="0092793B">
        <w:t>%, from 201</w:t>
      </w:r>
      <w:r w:rsidRPr="0016149A" w:rsidR="009B592C">
        <w:t>9</w:t>
      </w:r>
      <w:r w:rsidRPr="0016149A" w:rsidR="0092793B">
        <w:t>-20</w:t>
      </w:r>
      <w:r w:rsidRPr="0016149A" w:rsidR="009B592C">
        <w:t>24</w:t>
      </w:r>
      <w:r w:rsidRPr="0016149A" w:rsidR="0092793B">
        <w:t xml:space="preserve"> (BLS 20</w:t>
      </w:r>
      <w:r w:rsidRPr="0016149A" w:rsidR="00C30C03">
        <w:t>24</w:t>
      </w:r>
      <w:r w:rsidRPr="0016149A" w:rsidR="0092793B">
        <w:t>)</w:t>
      </w:r>
      <w:r w:rsidRPr="0016149A" w:rsidR="00C312F2">
        <w:t>.</w:t>
      </w:r>
      <w:r w:rsidR="00C312F2">
        <w:t xml:space="preserve">  </w:t>
      </w:r>
      <w:r w:rsidR="0092793B">
        <w:t xml:space="preserve">The </w:t>
      </w:r>
      <w:r w:rsidRPr="00CF521B">
        <w:t>total annual cost for employers to conduct monthly personal monitoring and extremity monitoring of their workers is:</w:t>
      </w:r>
    </w:p>
    <w:p w:rsidR="00BE31B6" w:rsidRPr="00CF521B" w:rsidP="00BE31B6" w14:paraId="7102C6C3" w14:textId="77777777"/>
    <w:p w:rsidR="00BE31B6" w:rsidRPr="00D3767D" w:rsidP="00C45A81" w14:paraId="12900FE4" w14:textId="1147713E">
      <w:pPr>
        <w:ind w:firstLine="720"/>
      </w:pPr>
      <w:r w:rsidRPr="00D3767D">
        <w:rPr>
          <w:b/>
          <w:bCs/>
        </w:rPr>
        <w:t>Cost</w:t>
      </w:r>
      <w:r w:rsidRPr="00D3767D">
        <w:t xml:space="preserve">:  </w:t>
      </w:r>
      <w:r w:rsidR="00041D05">
        <w:tab/>
      </w:r>
      <w:r w:rsidRPr="00D3767D">
        <w:t xml:space="preserve">Whole-body monitoring:  </w:t>
      </w:r>
      <w:r w:rsidR="00622B95">
        <w:t>27,495</w:t>
      </w:r>
      <w:r w:rsidRPr="00D3767D" w:rsidR="003C7D1E">
        <w:t xml:space="preserve"> </w:t>
      </w:r>
      <w:r w:rsidRPr="00D3767D">
        <w:t>employees x 12 months x $</w:t>
      </w:r>
      <w:r w:rsidRPr="00D3767D" w:rsidR="00B707EB">
        <w:t>2</w:t>
      </w:r>
      <w:r w:rsidRPr="00C45A81" w:rsidR="00984C11">
        <w:t>8</w:t>
      </w:r>
      <w:r w:rsidRPr="00C45A81" w:rsidR="00405327">
        <w:t>.85</w:t>
      </w:r>
      <w:r w:rsidRPr="00D3767D" w:rsidR="005D12CC">
        <w:t xml:space="preserve"> =</w:t>
      </w:r>
      <w:r w:rsidRPr="00D3767D">
        <w:t xml:space="preserve"> $</w:t>
      </w:r>
      <w:r w:rsidRPr="00C45A81" w:rsidR="00DC7580">
        <w:t>9,51</w:t>
      </w:r>
      <w:r w:rsidR="002B1B10">
        <w:t>8,7</w:t>
      </w:r>
      <w:r w:rsidR="00855EBC">
        <w:t>69</w:t>
      </w:r>
    </w:p>
    <w:p w:rsidR="00BE31B6" w:rsidRPr="00D3767D" w:rsidP="00360E5F" w14:paraId="3BBE6AC8" w14:textId="2A2248A1">
      <w:r w:rsidRPr="00D3767D">
        <w:t xml:space="preserve">           </w:t>
      </w:r>
      <w:r w:rsidR="00041D05">
        <w:tab/>
      </w:r>
      <w:r w:rsidR="00041D05">
        <w:tab/>
      </w:r>
      <w:r w:rsidRPr="00D3767D">
        <w:t xml:space="preserve">Extremity Monitoring:  </w:t>
      </w:r>
      <w:r w:rsidRPr="00D3767D" w:rsidR="00B707EB">
        <w:t>2,</w:t>
      </w:r>
      <w:r w:rsidRPr="00D3767D" w:rsidR="00244CED">
        <w:t>750</w:t>
      </w:r>
      <w:r w:rsidRPr="00D3767D" w:rsidR="00615C03">
        <w:t xml:space="preserve"> </w:t>
      </w:r>
      <w:r w:rsidRPr="00D3767D">
        <w:t>x 2 badges x 12 months x $</w:t>
      </w:r>
      <w:r w:rsidRPr="00D3767D" w:rsidR="00B707EB">
        <w:t>2</w:t>
      </w:r>
      <w:r w:rsidRPr="00C45A81" w:rsidR="00405327">
        <w:t>9.43</w:t>
      </w:r>
      <w:r w:rsidRPr="00D3767D">
        <w:t>= $</w:t>
      </w:r>
      <w:r w:rsidRPr="00D3767D" w:rsidR="00B707EB">
        <w:t>1,</w:t>
      </w:r>
      <w:r w:rsidRPr="00C45A81" w:rsidR="001C10E1">
        <w:t>942,380</w:t>
      </w:r>
    </w:p>
    <w:p w:rsidR="0025385F" w:rsidRPr="00D3767D" w:rsidP="00BE31B6" w14:paraId="1313430A" w14:textId="77777777">
      <w:pPr>
        <w:ind w:firstLine="2880"/>
      </w:pPr>
      <w:r w:rsidRPr="00D3767D">
        <w:t xml:space="preserve">      </w:t>
      </w:r>
    </w:p>
    <w:p w:rsidR="00BE31B6" w:rsidRPr="0025385F" w:rsidP="00BE31B6" w14:paraId="64FF9BF1" w14:textId="24443D81">
      <w:pPr>
        <w:ind w:firstLine="2880"/>
        <w:rPr>
          <w:b/>
        </w:rPr>
      </w:pPr>
      <w:r w:rsidRPr="00D3767D">
        <w:rPr>
          <w:b/>
        </w:rPr>
        <w:t xml:space="preserve">Total:  </w:t>
      </w:r>
      <w:r w:rsidRPr="00D3767D">
        <w:t>$</w:t>
      </w:r>
      <w:r w:rsidRPr="00C45A81" w:rsidR="00C70E40">
        <w:t>9</w:t>
      </w:r>
      <w:r w:rsidRPr="00C45A81" w:rsidR="0081076B">
        <w:t>,51</w:t>
      </w:r>
      <w:r w:rsidR="00BD3A49">
        <w:t>8</w:t>
      </w:r>
      <w:r w:rsidR="005F45A1">
        <w:t>,769</w:t>
      </w:r>
      <w:r w:rsidRPr="00D3767D" w:rsidR="004010E2">
        <w:t xml:space="preserve"> </w:t>
      </w:r>
      <w:r w:rsidRPr="00D3767D">
        <w:t>+ $</w:t>
      </w:r>
      <w:r w:rsidRPr="00C45A81" w:rsidR="0081076B">
        <w:t>1,942,380</w:t>
      </w:r>
      <w:r w:rsidRPr="00D3767D" w:rsidR="00615C03">
        <w:t xml:space="preserve"> =</w:t>
      </w:r>
      <w:r w:rsidRPr="00D3767D" w:rsidR="00615C03">
        <w:rPr>
          <w:b/>
        </w:rPr>
        <w:t xml:space="preserve"> </w:t>
      </w:r>
      <w:r w:rsidRPr="00C45A81" w:rsidR="00615C03">
        <w:rPr>
          <w:bCs/>
        </w:rPr>
        <w:t>$</w:t>
      </w:r>
      <w:r w:rsidRPr="00C45A81" w:rsidR="007B7EB6">
        <w:rPr>
          <w:b/>
        </w:rPr>
        <w:t>11,46</w:t>
      </w:r>
      <w:r w:rsidRPr="00C45A81" w:rsidR="0078271E">
        <w:rPr>
          <w:b/>
        </w:rPr>
        <w:t>1,149</w:t>
      </w:r>
    </w:p>
    <w:p w:rsidR="00BE31B6" w:rsidRPr="00CF521B" w:rsidP="00BE31B6" w14:paraId="3D0E4711" w14:textId="77777777"/>
    <w:p w:rsidR="00BE31B6" w:rsidRPr="00005229" w:rsidP="00C45A81" w14:paraId="26D4E9BE" w14:textId="7377FF46">
      <w:pPr>
        <w:ind w:left="450" w:hanging="450"/>
      </w:pPr>
      <w:r w:rsidRPr="00C45A81">
        <w:rPr>
          <w:b/>
          <w:bCs/>
        </w:rPr>
        <w:t>14.</w:t>
      </w:r>
      <w:r w:rsidRPr="00C45A81">
        <w:rPr>
          <w:b/>
          <w:bCs/>
        </w:rPr>
        <w:tab/>
        <w:t>Provide estimates of annualized cost to the Federal government.  Also, provide a description of the method use</w:t>
      </w:r>
      <w:r w:rsidR="00276C80">
        <w:rPr>
          <w:b/>
          <w:bCs/>
        </w:rPr>
        <w:t>d</w:t>
      </w:r>
      <w:r w:rsidRPr="00C45A81">
        <w:rPr>
          <w:b/>
          <w:bCs/>
        </w:rPr>
        <w:t xml:space="preserve"> to estimate cost, which should include quantification of </w:t>
      </w:r>
      <w:r w:rsidRPr="00C45A81">
        <w:rPr>
          <w:b/>
          <w:bCs/>
        </w:rPr>
        <w:t>hours, operational expenses</w:t>
      </w:r>
      <w:r w:rsidR="00005229">
        <w:rPr>
          <w:b/>
          <w:bCs/>
        </w:rPr>
        <w:t xml:space="preserve"> </w:t>
      </w:r>
      <w:r w:rsidRPr="00C45A81">
        <w:rPr>
          <w:b/>
          <w:bCs/>
        </w:rPr>
        <w:t>(such as equipment, overhead, printing, and support staff), and any other expense that would not have</w:t>
      </w:r>
      <w:r w:rsidR="00005229">
        <w:rPr>
          <w:b/>
          <w:bCs/>
        </w:rPr>
        <w:t xml:space="preserve"> </w:t>
      </w:r>
      <w:r w:rsidRPr="00C45A81">
        <w:rPr>
          <w:b/>
          <w:bCs/>
        </w:rPr>
        <w:t>been incurred without this collection of information.  Agencies also may aggregate cost estimates from</w:t>
      </w:r>
      <w:r w:rsidR="00005229">
        <w:rPr>
          <w:b/>
          <w:bCs/>
        </w:rPr>
        <w:t xml:space="preserve"> </w:t>
      </w:r>
      <w:r w:rsidRPr="00C45A81">
        <w:rPr>
          <w:b/>
          <w:bCs/>
        </w:rPr>
        <w:t>Items 12, 13, and 14 in a single table</w:t>
      </w:r>
      <w:r w:rsidRPr="00C45A81">
        <w:t>.</w:t>
      </w:r>
      <w:r w:rsidR="00005229">
        <w:t xml:space="preserve"> </w:t>
      </w:r>
    </w:p>
    <w:p w:rsidR="00BE31B6" w:rsidRPr="00005229" w:rsidP="00BE31B6" w14:paraId="5117F4DD" w14:textId="77777777"/>
    <w:p w:rsidR="00BE31B6" w:rsidRPr="00CF521B" w:rsidP="00BE31B6" w14:paraId="1F19B022" w14:textId="6CC52840">
      <w:r w:rsidRPr="00CF521B">
        <w:t>Under the Standard, the Federal government would incur a cost whenever employers provide OSHA with reports of overexpo</w:t>
      </w:r>
      <w:r w:rsidRPr="00CF521B" w:rsidR="001B45B7">
        <w:t xml:space="preserve">sure incidents </w:t>
      </w:r>
      <w:r w:rsidRPr="00CF521B" w:rsidR="003B4821">
        <w:t>(see paragraph</w:t>
      </w:r>
      <w:r w:rsidR="00F7040E">
        <w:t>s</w:t>
      </w:r>
      <w:r w:rsidRPr="00CF521B" w:rsidR="003B4821">
        <w:t xml:space="preserve"> (l</w:t>
      </w:r>
      <w:r w:rsidRPr="00CF521B">
        <w:t>)(1)</w:t>
      </w:r>
      <w:r w:rsidR="00F7040E">
        <w:t xml:space="preserve"> and (m)(1))</w:t>
      </w:r>
      <w:r w:rsidRPr="00CF521B">
        <w:t xml:space="preserve"> of the Standard).  </w:t>
      </w:r>
      <w:r w:rsidR="00471E3A">
        <w:t xml:space="preserve">For PRA purposes only, </w:t>
      </w:r>
      <w:r w:rsidRPr="00CF521B">
        <w:t xml:space="preserve">OSHA </w:t>
      </w:r>
      <w:r w:rsidR="00471E3A">
        <w:t xml:space="preserve">predicts </w:t>
      </w:r>
      <w:r w:rsidRPr="00CF521B">
        <w:t xml:space="preserve">that it receives </w:t>
      </w:r>
      <w:r w:rsidRPr="00C140E7" w:rsidR="00471E3A">
        <w:t>1</w:t>
      </w:r>
      <w:r w:rsidRPr="00C45A81" w:rsidR="00F12312">
        <w:t>1</w:t>
      </w:r>
      <w:r w:rsidRPr="00C140E7" w:rsidR="00471E3A">
        <w:t xml:space="preserve"> </w:t>
      </w:r>
      <w:r w:rsidRPr="00C140E7">
        <w:t>such report</w:t>
      </w:r>
      <w:r w:rsidR="001E476E">
        <w:t>s</w:t>
      </w:r>
      <w:r w:rsidRPr="00CF521B">
        <w:t xml:space="preserve"> of overexposure each year, and that an OSHA compliance officer (GS-12, step 5), at a wage rate of $</w:t>
      </w:r>
      <w:r w:rsidR="00AA48A8">
        <w:t>47.22</w:t>
      </w:r>
      <w:r>
        <w:rPr>
          <w:rStyle w:val="FootnoteReference"/>
          <w:sz w:val="20"/>
          <w:szCs w:val="20"/>
          <w:vertAlign w:val="superscript"/>
        </w:rPr>
        <w:footnoteReference w:id="18"/>
      </w:r>
      <w:r w:rsidRPr="00CF521B">
        <w:rPr>
          <w:vertAlign w:val="superscript"/>
        </w:rPr>
        <w:t xml:space="preserve"> </w:t>
      </w:r>
      <w:r w:rsidRPr="00CF521B">
        <w:t>per hour, spends 1 hour reviewing and processing each report.  In making this cost determination, the Agency does not account for other occupational costs (e.g., equipment, overhead, and support staff expenses) since these costs are normal expenses and would occur without this requirement.  Therefore, the total annual cost for the Federal government to review the required incident reports is:</w:t>
      </w:r>
    </w:p>
    <w:p w:rsidR="00BE31B6" w:rsidRPr="00CF521B" w:rsidP="00BE31B6" w14:paraId="3786C6C5" w14:textId="77777777"/>
    <w:p w:rsidR="00BE31B6" w:rsidRPr="00D6507C" w:rsidP="00BE31B6" w14:paraId="488432CE" w14:textId="40FBE660">
      <w:pPr>
        <w:ind w:left="1440"/>
        <w:rPr>
          <w:b/>
        </w:rPr>
      </w:pPr>
      <w:r w:rsidRPr="00CF521B">
        <w:rPr>
          <w:b/>
          <w:bCs/>
        </w:rPr>
        <w:t>Cost</w:t>
      </w:r>
      <w:r w:rsidRPr="00CF521B">
        <w:t>:  1</w:t>
      </w:r>
      <w:r w:rsidR="001B1340">
        <w:t>1</w:t>
      </w:r>
      <w:r w:rsidRPr="00CF521B">
        <w:t xml:space="preserve"> report</w:t>
      </w:r>
      <w:r w:rsidR="001B1340">
        <w:t>s</w:t>
      </w:r>
      <w:r w:rsidRPr="00CF521B">
        <w:t xml:space="preserve"> x 1 hour x $</w:t>
      </w:r>
      <w:r w:rsidR="00AA48A8">
        <w:t>47.22</w:t>
      </w:r>
      <w:r w:rsidR="00A10A0A">
        <w:t xml:space="preserve"> </w:t>
      </w:r>
      <w:r w:rsidRPr="00CF521B" w:rsidR="00EF6A2C">
        <w:t xml:space="preserve">= </w:t>
      </w:r>
      <w:r w:rsidR="003F6C2B">
        <w:t>$</w:t>
      </w:r>
      <w:r w:rsidR="0066423E">
        <w:t>519</w:t>
      </w:r>
    </w:p>
    <w:p w:rsidR="00302D0E" w:rsidRPr="00CF521B" w:rsidP="009653CB" w14:paraId="129DEE5E" w14:textId="77777777">
      <w:pPr>
        <w:ind w:left="450" w:hanging="450"/>
        <w:rPr>
          <w:b/>
          <w:bCs/>
          <w:sz w:val="20"/>
          <w:szCs w:val="20"/>
        </w:rPr>
      </w:pPr>
    </w:p>
    <w:p w:rsidR="00BE31B6" w:rsidRPr="00C45A81" w:rsidP="009653CB" w14:paraId="4FCE4458" w14:textId="77777777">
      <w:pPr>
        <w:ind w:left="450" w:hanging="450"/>
      </w:pPr>
      <w:r w:rsidRPr="00C45A81">
        <w:rPr>
          <w:b/>
          <w:bCs/>
        </w:rPr>
        <w:t>15.</w:t>
      </w:r>
      <w:r w:rsidRPr="00C45A81">
        <w:rPr>
          <w:b/>
          <w:bCs/>
        </w:rPr>
        <w:tab/>
        <w:t>Explain the reasons for any program changes or adjustments</w:t>
      </w:r>
      <w:r w:rsidRPr="00C45A81">
        <w:t>.</w:t>
      </w:r>
    </w:p>
    <w:p w:rsidR="00F974C7" w:rsidRPr="00CF521B" w:rsidP="00BE31B6" w14:paraId="6150B47F" w14:textId="77777777">
      <w:pPr>
        <w:rPr>
          <w:sz w:val="20"/>
          <w:szCs w:val="20"/>
        </w:rPr>
      </w:pPr>
    </w:p>
    <w:p w:rsidR="00D758E2" w:rsidRPr="00D3767D" w:rsidP="00F974C7" w14:paraId="6BF9DA05" w14:textId="2FDB27EE">
      <w:r w:rsidRPr="00C45A81">
        <w:t>T</w:t>
      </w:r>
      <w:r w:rsidRPr="00D3767D" w:rsidR="00F06329">
        <w:t xml:space="preserve">he </w:t>
      </w:r>
      <w:r w:rsidRPr="00D3767D" w:rsidR="00466E8B">
        <w:t>a</w:t>
      </w:r>
      <w:r w:rsidRPr="00D3767D" w:rsidR="00F06329">
        <w:t>gency is requesting an</w:t>
      </w:r>
      <w:r w:rsidRPr="00D3767D" w:rsidR="00F06329">
        <w:rPr>
          <w:rFonts w:ascii="Arial" w:hAnsi="Arial" w:cs="Arial"/>
          <w:color w:val="0000FF"/>
          <w:sz w:val="20"/>
          <w:szCs w:val="20"/>
        </w:rPr>
        <w:t> </w:t>
      </w:r>
      <w:r w:rsidRPr="00D3767D" w:rsidR="00F06329">
        <w:rPr>
          <w:color w:val="000000"/>
        </w:rPr>
        <w:t>adjustment</w:t>
      </w:r>
      <w:r w:rsidRPr="00D3767D" w:rsidR="00F06329">
        <w:t xml:space="preserve"> </w:t>
      </w:r>
      <w:r w:rsidRPr="00D3767D" w:rsidR="002F459E">
        <w:t xml:space="preserve">increase of </w:t>
      </w:r>
      <w:r w:rsidRPr="00D3767D" w:rsidR="00DC21CE">
        <w:t>1</w:t>
      </w:r>
      <w:r w:rsidRPr="00D3767D" w:rsidR="00157092">
        <w:t>1</w:t>
      </w:r>
      <w:r w:rsidR="00B95047">
        <w:t>,47</w:t>
      </w:r>
      <w:r w:rsidR="00DA41E2">
        <w:t>9</w:t>
      </w:r>
      <w:r w:rsidRPr="00D3767D" w:rsidR="009F3361">
        <w:t xml:space="preserve"> </w:t>
      </w:r>
      <w:r w:rsidRPr="00D3767D" w:rsidR="00F06329">
        <w:t xml:space="preserve">burden hours from </w:t>
      </w:r>
      <w:r w:rsidRPr="00D3767D" w:rsidR="00B70C86">
        <w:t>5</w:t>
      </w:r>
      <w:r w:rsidRPr="00D3767D" w:rsidR="006A26B8">
        <w:t>9,077</w:t>
      </w:r>
      <w:r w:rsidRPr="00D3767D" w:rsidR="00F06329">
        <w:t xml:space="preserve"> to </w:t>
      </w:r>
      <w:r w:rsidRPr="00C45A81" w:rsidR="006A26B8">
        <w:t>7</w:t>
      </w:r>
      <w:r w:rsidRPr="00FD01ED" w:rsidR="003D0E36">
        <w:t>0,</w:t>
      </w:r>
      <w:r w:rsidRPr="00FD01ED" w:rsidR="008B6475">
        <w:t>5</w:t>
      </w:r>
      <w:r w:rsidR="00A06CD2">
        <w:t>5</w:t>
      </w:r>
      <w:r w:rsidR="00AF0F9C">
        <w:t>6</w:t>
      </w:r>
      <w:r w:rsidRPr="00D3767D" w:rsidR="006A26B8">
        <w:rPr>
          <w:b/>
          <w:bCs/>
        </w:rPr>
        <w:t xml:space="preserve"> </w:t>
      </w:r>
      <w:r w:rsidRPr="00D3767D" w:rsidR="00F06329">
        <w:t xml:space="preserve">hours.  </w:t>
      </w:r>
      <w:r w:rsidRPr="00D3767D" w:rsidR="004C3E9A">
        <w:t xml:space="preserve">This increase is primarily due </w:t>
      </w:r>
      <w:r w:rsidRPr="00D3767D" w:rsidR="00874E34">
        <w:t>to increasing</w:t>
      </w:r>
      <w:r w:rsidRPr="00D3767D" w:rsidR="00E17BF4">
        <w:t xml:space="preserve"> the </w:t>
      </w:r>
      <w:r w:rsidRPr="00D3767D" w:rsidR="00023060">
        <w:t>percentage</w:t>
      </w:r>
      <w:r w:rsidRPr="00D3767D" w:rsidR="00BB1FF8">
        <w:t xml:space="preserve"> of </w:t>
      </w:r>
      <w:r w:rsidRPr="00D3767D" w:rsidR="00427A4D">
        <w:t>affected</w:t>
      </w:r>
      <w:r w:rsidRPr="00D3767D" w:rsidR="00546E74">
        <w:t xml:space="preserve"> </w:t>
      </w:r>
      <w:r w:rsidRPr="00D3767D" w:rsidR="005849E6">
        <w:t>establishments</w:t>
      </w:r>
      <w:r w:rsidRPr="00D3767D" w:rsidR="001527FF">
        <w:t xml:space="preserve"> that may be using ionizing radiation</w:t>
      </w:r>
      <w:r w:rsidRPr="00D3767D" w:rsidR="00421C7B">
        <w:t xml:space="preserve"> </w:t>
      </w:r>
      <w:r w:rsidRPr="00D3767D" w:rsidR="00E40B7B">
        <w:t>in</w:t>
      </w:r>
      <w:r w:rsidRPr="00D3767D" w:rsidR="00F03EA9">
        <w:t xml:space="preserve"> each industry</w:t>
      </w:r>
      <w:r w:rsidR="003756FD">
        <w:t>.</w:t>
      </w:r>
      <w:r w:rsidRPr="00D3767D" w:rsidR="00E40B7B">
        <w:t xml:space="preserve"> </w:t>
      </w:r>
    </w:p>
    <w:p w:rsidR="005D2C25" w:rsidRPr="00D3767D" w:rsidP="00C45A81" w14:paraId="6605BC21" w14:textId="5F5A0FF2"/>
    <w:p w:rsidR="005D2C25" w:rsidRPr="00D3767D" w:rsidP="005D2C25" w14:paraId="018DBCDC" w14:textId="5102B9A5">
      <w:pPr>
        <w:widowControl/>
        <w:autoSpaceDE/>
        <w:autoSpaceDN/>
        <w:adjustRightInd/>
      </w:pPr>
      <w:r w:rsidRPr="00D3767D">
        <w:t xml:space="preserve">The operation and maintenance costs have increased from $8,892,917 </w:t>
      </w:r>
      <w:r w:rsidRPr="00D3767D" w:rsidR="00120561">
        <w:t>to</w:t>
      </w:r>
      <w:r w:rsidRPr="00D3767D" w:rsidR="00A161AC">
        <w:t xml:space="preserve"> </w:t>
      </w:r>
      <w:r w:rsidRPr="00C45A81" w:rsidR="00A161AC">
        <w:t>$</w:t>
      </w:r>
      <w:r w:rsidRPr="00C45A81" w:rsidR="00EB631F">
        <w:t>11,</w:t>
      </w:r>
      <w:r w:rsidRPr="00C45A81" w:rsidR="003532A4">
        <w:t>461,149</w:t>
      </w:r>
      <w:r w:rsidR="008161AD">
        <w:t>,</w:t>
      </w:r>
      <w:r w:rsidRPr="00D3767D" w:rsidR="00A161AC">
        <w:rPr>
          <w:b/>
          <w:bCs/>
        </w:rPr>
        <w:t xml:space="preserve"> </w:t>
      </w:r>
      <w:r w:rsidRPr="00D3767D">
        <w:t>a total increase of $</w:t>
      </w:r>
      <w:r w:rsidRPr="00D3767D" w:rsidR="00FC2783">
        <w:t>2,568</w:t>
      </w:r>
      <w:r w:rsidRPr="00C45A81" w:rsidR="00D84977">
        <w:t>,</w:t>
      </w:r>
      <w:r w:rsidRPr="00D3767D" w:rsidR="00FC2783">
        <w:t>232</w:t>
      </w:r>
      <w:r w:rsidRPr="00D3767D">
        <w:t xml:space="preserve">, </w:t>
      </w:r>
      <w:r w:rsidRPr="00D3767D" w:rsidR="00F00266">
        <w:t>because of</w:t>
      </w:r>
      <w:r w:rsidRPr="00D3767D">
        <w:t xml:space="preserve"> increases in</w:t>
      </w:r>
      <w:r w:rsidRPr="00D3767D" w:rsidR="003078A5">
        <w:t xml:space="preserve"> both the</w:t>
      </w:r>
      <w:r w:rsidRPr="00D3767D" w:rsidR="001D05E8">
        <w:t xml:space="preserve"> estimated </w:t>
      </w:r>
      <w:r w:rsidRPr="00D3767D" w:rsidR="00641BA3">
        <w:t xml:space="preserve">number </w:t>
      </w:r>
      <w:r w:rsidR="00BD3136">
        <w:t xml:space="preserve">of </w:t>
      </w:r>
      <w:r w:rsidRPr="00D3767D" w:rsidR="001D05E8">
        <w:t>employees</w:t>
      </w:r>
      <w:r w:rsidRPr="00D3767D" w:rsidR="001D2573">
        <w:t xml:space="preserve"> being </w:t>
      </w:r>
      <w:r w:rsidRPr="00D3767D" w:rsidR="00305DAC">
        <w:t>monitored and</w:t>
      </w:r>
      <w:r w:rsidRPr="00D3767D" w:rsidR="001D05E8">
        <w:t xml:space="preserve"> </w:t>
      </w:r>
      <w:r w:rsidRPr="00D3767D" w:rsidR="003078A5">
        <w:t xml:space="preserve">the </w:t>
      </w:r>
      <w:r w:rsidRPr="00D3767D">
        <w:t>costs for exposure monitoring badges.</w:t>
      </w:r>
    </w:p>
    <w:p w:rsidR="00CC6E0F" w:rsidRPr="00D3767D" w:rsidP="00BE31B6" w14:paraId="47913680" w14:textId="77777777"/>
    <w:p w:rsidR="00BE31B6" w14:paraId="77A5A3E3" w14:textId="337046FD">
      <w:pPr>
        <w:ind w:left="450" w:hanging="450"/>
      </w:pPr>
      <w:r w:rsidRPr="00C45A81">
        <w:rPr>
          <w:b/>
          <w:bCs/>
        </w:rPr>
        <w:t>16.</w:t>
      </w:r>
      <w:r w:rsidRPr="00C45A81">
        <w:rPr>
          <w:b/>
          <w:bCs/>
        </w:rPr>
        <w:tab/>
        <w:t>For collections of information whose results will be published, outline plans for tabulation, and publication.  Address any complex analytical techniques that will be used.  Provide the time schedule for</w:t>
      </w:r>
      <w:r w:rsidR="003869C3">
        <w:rPr>
          <w:b/>
          <w:bCs/>
        </w:rPr>
        <w:t xml:space="preserve"> </w:t>
      </w:r>
      <w:r w:rsidRPr="00C45A81">
        <w:rPr>
          <w:b/>
          <w:bCs/>
        </w:rPr>
        <w:t>the entire project, including beginning and ending dates of the collection of information, completion of report, publication dates, and other actions</w:t>
      </w:r>
      <w:r w:rsidRPr="00C45A81">
        <w:t>.</w:t>
      </w:r>
    </w:p>
    <w:p w:rsidR="00BE31B6" w:rsidRPr="00CF521B" w:rsidP="00BE31B6" w14:paraId="288D2CAF" w14:textId="77777777">
      <w:pPr>
        <w:ind w:firstLine="7920"/>
      </w:pPr>
    </w:p>
    <w:p w:rsidR="00BE31B6" w:rsidRPr="00CF521B" w:rsidP="00BE31B6" w14:paraId="4AF7FABC" w14:textId="77777777">
      <w:r w:rsidRPr="00CF521B">
        <w:t>OSHA will not publish the information collected under the Standard.</w:t>
      </w:r>
    </w:p>
    <w:p w:rsidR="00BE31B6" w:rsidRPr="00CF521B" w:rsidP="00BE31B6" w14:paraId="265ACAE0" w14:textId="77777777"/>
    <w:p w:rsidR="00BE31B6" w:rsidRPr="00AE68B0" w:rsidP="009653CB" w14:paraId="3727E0B5" w14:textId="4CE3E7CD">
      <w:pPr>
        <w:ind w:left="450" w:hanging="450"/>
      </w:pPr>
      <w:r w:rsidRPr="00C45A81">
        <w:rPr>
          <w:b/>
          <w:bCs/>
        </w:rPr>
        <w:t>17.</w:t>
      </w:r>
      <w:r w:rsidRPr="00C45A81">
        <w:rPr>
          <w:b/>
          <w:bCs/>
        </w:rPr>
        <w:tab/>
        <w:t>If seeking approval to not display the expiration date for OMB approval of the information collection, explain the reasons that display would be inappropriate</w:t>
      </w:r>
      <w:r w:rsidRPr="00C45A81">
        <w:t>.</w:t>
      </w:r>
    </w:p>
    <w:p w:rsidR="00625982" w:rsidRPr="00CF521B" w:rsidP="00625982" w14:paraId="0FE45866" w14:textId="77777777">
      <w:pPr>
        <w:adjustRightInd/>
        <w:spacing w:before="252"/>
      </w:pPr>
      <w:r w:rsidRPr="00CF521B">
        <w:t xml:space="preserve">OSHA lists current valid control numbers in §§1910.8, </w:t>
      </w:r>
      <w:r w:rsidRPr="00CF521B" w:rsidR="00146F54">
        <w:t xml:space="preserve">1915.8, </w:t>
      </w:r>
      <w:r w:rsidRPr="00CF521B">
        <w:t>1917.4</w:t>
      </w:r>
      <w:r w:rsidRPr="00CF521B" w:rsidR="00146F54">
        <w:t xml:space="preserve">, 1918.4, </w:t>
      </w:r>
      <w:r w:rsidRPr="00CF521B">
        <w:t xml:space="preserve">and 1926.5 and publishes the expiration date in the Federal Register notice announcing OMB approval of the </w:t>
      </w:r>
      <w:r w:rsidR="009E552F">
        <w:t>information collection requirement</w:t>
      </w:r>
      <w:r w:rsidRPr="00CF521B">
        <w:t>. (See 5 CFR 1320.3(f)(3)).  OSHA believes that this is the most appropriate and accurate mechanism to inform interested parties of these expiration dates.</w:t>
      </w:r>
    </w:p>
    <w:p w:rsidR="00BE31B6" w:rsidRPr="00CF521B" w:rsidP="00BE31B6" w14:paraId="461FEFF6" w14:textId="77777777"/>
    <w:p w:rsidR="00BE31B6" w:rsidRPr="00AE68B0" w:rsidP="009653CB" w14:paraId="52457EF7" w14:textId="77777777">
      <w:pPr>
        <w:ind w:left="450" w:hanging="450"/>
      </w:pPr>
      <w:r w:rsidRPr="00C45A81">
        <w:rPr>
          <w:b/>
          <w:bCs/>
        </w:rPr>
        <w:t>18.</w:t>
      </w:r>
      <w:r w:rsidRPr="00C45A81">
        <w:rPr>
          <w:b/>
          <w:bCs/>
        </w:rPr>
        <w:tab/>
        <w:t>Explain each exception to the certification statement</w:t>
      </w:r>
      <w:r w:rsidRPr="00C45A81">
        <w:t>.</w:t>
      </w:r>
    </w:p>
    <w:p w:rsidR="00BE31B6" w:rsidRPr="00AE68B0" w:rsidP="00BE31B6" w14:paraId="4F24B853" w14:textId="77777777"/>
    <w:p w:rsidR="00BE31B6" w:rsidRPr="00CF521B" w:rsidP="00BE31B6" w14:paraId="4EC025E3" w14:textId="77777777">
      <w:r w:rsidRPr="00CF521B">
        <w:t>OSHA is not seeking an exception to the c</w:t>
      </w:r>
      <w:r w:rsidRPr="00CF521B" w:rsidR="00D74AD5">
        <w:t>ertification statement</w:t>
      </w:r>
      <w:r w:rsidRPr="00CF521B">
        <w:t>.</w:t>
      </w:r>
    </w:p>
    <w:p w:rsidR="00BE31B6" w:rsidRPr="00CF521B" w:rsidP="00BE31B6" w14:paraId="3C7A5839" w14:textId="77777777"/>
    <w:p w:rsidR="00D74AD5" w:rsidRPr="00CF521B" w:rsidP="00D74AD5" w14:paraId="3C97459E" w14:textId="77777777">
      <w:pPr>
        <w:rPr>
          <w:b/>
        </w:rPr>
      </w:pPr>
      <w:r w:rsidRPr="00CF521B">
        <w:rPr>
          <w:b/>
        </w:rPr>
        <w:t>B. COLLECTION OF INFORMATION EMPLOYING STATISTICAL METHODS</w:t>
      </w:r>
    </w:p>
    <w:p w:rsidR="00D74AD5" w:rsidRPr="00CF521B" w:rsidP="00D74AD5" w14:paraId="1256A01C" w14:textId="77777777">
      <w:pPr>
        <w:rPr>
          <w:b/>
        </w:rPr>
      </w:pPr>
    </w:p>
    <w:p w:rsidR="00D74AD5" w:rsidRPr="00CF521B" w:rsidP="00D74AD5" w14:paraId="20490041" w14:textId="77777777">
      <w:r w:rsidRPr="00CF521B">
        <w:t>This Supporting Statement does not contain any collection of information requirements that employ statistical methods.</w:t>
      </w:r>
    </w:p>
    <w:bookmarkEnd w:id="0"/>
    <w:bookmarkEnd w:id="1"/>
    <w:p w:rsidR="00343A9F" w:rsidP="009805A4" w14:paraId="44A57DD8" w14:textId="77777777">
      <w:pPr>
        <w:jc w:val="center"/>
      </w:pPr>
    </w:p>
    <w:p w:rsidR="0046619C" w:rsidP="009805A4" w14:paraId="2ECE8D47" w14:textId="77777777">
      <w:pPr>
        <w:jc w:val="center"/>
      </w:pPr>
    </w:p>
    <w:p w:rsidR="0046619C" w:rsidP="009805A4" w14:paraId="5DB296DA" w14:textId="77777777">
      <w:pPr>
        <w:jc w:val="center"/>
      </w:pPr>
    </w:p>
    <w:sectPr w:rsidSect="00F432B0">
      <w:headerReference w:type="default" r:id="rId12"/>
      <w:footerReference w:type="default" r:id="rId13"/>
      <w:headerReference w:type="first" r:id="rId14"/>
      <w:footerReference w:type="first" r:id="rId15"/>
      <w:pgSz w:w="12240" w:h="15840"/>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21053AFF" w:usb1="0000008D" w:usb2="00000000" w:usb3="00000000" w:csb0="006609FF" w:csb1="00BD5CC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E89" w14:paraId="1238EA43" w14:textId="77777777">
    <w:pPr>
      <w:spacing w:line="240" w:lineRule="exact"/>
    </w:pPr>
  </w:p>
  <w:p w:rsidR="00835E89" w14:paraId="2C7FC909" w14:textId="61624A84">
    <w:pPr>
      <w:framePr w:w="9361" w:wrap="notBeside" w:vAnchor="text" w:hAnchor="text" w:x="1" w:y="1"/>
      <w:jc w:val="center"/>
    </w:pPr>
    <w:r>
      <w:fldChar w:fldCharType="begin"/>
    </w:r>
    <w:r>
      <w:instrText xml:space="preserve">PAGE </w:instrText>
    </w:r>
    <w:r>
      <w:fldChar w:fldCharType="separate"/>
    </w:r>
    <w:r w:rsidR="004F1553">
      <w:rPr>
        <w:noProof/>
      </w:rPr>
      <w:t>24</w:t>
    </w:r>
    <w:r>
      <w:fldChar w:fldCharType="end"/>
    </w:r>
  </w:p>
  <w:p w:rsidR="00835E89" w14:paraId="3D5016B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57DB089" w14:textId="77777777" w:rsidTr="00080CE5">
      <w:tblPrEx>
        <w:tblW w:w="0" w:type="auto"/>
        <w:tblLayout w:type="fixed"/>
        <w:tblLook w:val="06A0"/>
      </w:tblPrEx>
      <w:trPr>
        <w:trHeight w:val="300"/>
      </w:trPr>
      <w:tc>
        <w:tcPr>
          <w:tcW w:w="3120" w:type="dxa"/>
        </w:tcPr>
        <w:p w:rsidR="439398FA" w:rsidP="00080CE5" w14:paraId="1CD6585A" w14:textId="60BC86F2">
          <w:pPr>
            <w:pStyle w:val="Header"/>
            <w:ind w:left="-115"/>
          </w:pPr>
        </w:p>
      </w:tc>
      <w:tc>
        <w:tcPr>
          <w:tcW w:w="3120" w:type="dxa"/>
        </w:tcPr>
        <w:p w:rsidR="439398FA" w:rsidP="00080CE5" w14:paraId="4299E1DE" w14:textId="35BA5978">
          <w:pPr>
            <w:pStyle w:val="Header"/>
            <w:jc w:val="center"/>
          </w:pPr>
        </w:p>
      </w:tc>
      <w:tc>
        <w:tcPr>
          <w:tcW w:w="3120" w:type="dxa"/>
        </w:tcPr>
        <w:p w:rsidR="439398FA" w:rsidP="00080CE5" w14:paraId="343D7CC9" w14:textId="49DE2032">
          <w:pPr>
            <w:pStyle w:val="Header"/>
            <w:ind w:right="-115"/>
            <w:jc w:val="right"/>
          </w:pPr>
        </w:p>
      </w:tc>
    </w:tr>
  </w:tbl>
  <w:p w:rsidR="00F97497" w14:paraId="368D2D75" w14:textId="4AC9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055A" w14:paraId="6E339381" w14:textId="77777777">
      <w:r>
        <w:separator/>
      </w:r>
    </w:p>
  </w:footnote>
  <w:footnote w:type="continuationSeparator" w:id="1">
    <w:p w:rsidR="005F055A" w14:paraId="0563F8B0" w14:textId="77777777">
      <w:r>
        <w:continuationSeparator/>
      </w:r>
    </w:p>
  </w:footnote>
  <w:footnote w:type="continuationNotice" w:id="2">
    <w:p w:rsidR="005F055A" w14:paraId="5776EA84" w14:textId="77777777"/>
  </w:footnote>
  <w:footnote w:id="3">
    <w:p w:rsidR="00835E89" w:rsidRPr="00174987" w:rsidP="00BE31B6" w14:paraId="3C2B9F0D" w14:textId="74E8B13F">
      <w:pPr>
        <w:spacing w:after="240"/>
        <w:ind w:firstLine="720"/>
      </w:pPr>
      <w:r w:rsidRPr="00174987">
        <w:rPr>
          <w:rStyle w:val="FootnoteReference"/>
          <w:vertAlign w:val="superscript"/>
        </w:rPr>
        <w:footnoteRef/>
      </w:r>
      <w:r>
        <w:rPr>
          <w:sz w:val="20"/>
          <w:szCs w:val="20"/>
        </w:rPr>
        <w:t xml:space="preserve"> </w:t>
      </w:r>
      <w:r w:rsidRPr="00174987">
        <w:rPr>
          <w:sz w:val="20"/>
          <w:szCs w:val="20"/>
        </w:rPr>
        <w:t>The purpose of this Supporting Statement is to analyze and describe the burden hours and costs associated with provisions of the standard that contain paperwork requirements, and does not provide information, advice, or guidance on how to comply with or to enforce the Standard.</w:t>
      </w:r>
    </w:p>
  </w:footnote>
  <w:footnote w:id="4">
    <w:p w:rsidR="00835E89" w:rsidRPr="00174987" w:rsidP="00BE31B6" w14:paraId="70817FD3" w14:textId="39BAA546">
      <w:pPr>
        <w:spacing w:after="240"/>
        <w:ind w:firstLine="720"/>
        <w:rPr>
          <w:sz w:val="20"/>
          <w:szCs w:val="20"/>
        </w:rPr>
      </w:pPr>
      <w:r w:rsidRPr="00174987">
        <w:rPr>
          <w:rStyle w:val="FootnoteReference"/>
          <w:vertAlign w:val="superscript"/>
        </w:rPr>
        <w:footnoteRef/>
      </w:r>
      <w:r>
        <w:rPr>
          <w:sz w:val="20"/>
          <w:szCs w:val="20"/>
        </w:rPr>
        <w:t xml:space="preserve"> </w:t>
      </w:r>
      <w:r w:rsidRPr="00174987">
        <w:rPr>
          <w:sz w:val="20"/>
          <w:szCs w:val="20"/>
        </w:rPr>
        <w:t xml:space="preserve">The term “radiation” does not include sound or radio waves, or visible, infrared, or ultraviolet light.  (See paragraph (a)(1) of the Standard.) </w:t>
      </w:r>
    </w:p>
  </w:footnote>
  <w:footnote w:id="5">
    <w:p w:rsidR="00835E89" w:rsidRPr="00174987" w:rsidP="00BE31B6" w14:paraId="3311B425" w14:textId="77777777">
      <w:pPr>
        <w:widowControl/>
        <w:autoSpaceDE/>
        <w:autoSpaceDN/>
        <w:adjustRightInd/>
      </w:pPr>
      <w:r w:rsidRPr="00174987">
        <w:tab/>
      </w:r>
      <w:r w:rsidRPr="00174987">
        <w:rPr>
          <w:rStyle w:val="FootnoteReference"/>
          <w:vertAlign w:val="superscript"/>
        </w:rPr>
        <w:footnoteRef/>
      </w:r>
      <w:r w:rsidRPr="00174987">
        <w:t xml:space="preserve"> </w:t>
      </w:r>
      <w:r w:rsidRPr="00174987">
        <w:rPr>
          <w:sz w:val="20"/>
          <w:szCs w:val="20"/>
        </w:rPr>
        <w:t>“</w:t>
      </w:r>
      <w:r w:rsidRPr="00174987">
        <w:rPr>
          <w:bCs/>
          <w:i/>
          <w:iCs/>
          <w:sz w:val="20"/>
          <w:szCs w:val="20"/>
        </w:rPr>
        <w:t>Personnel monitoring equipment”</w:t>
      </w:r>
      <w:r w:rsidRPr="00174987">
        <w:rPr>
          <w:bCs/>
          <w:i/>
          <w:iCs/>
        </w:rPr>
        <w:t xml:space="preserve"> </w:t>
      </w:r>
      <w:r w:rsidRPr="00174987">
        <w:rPr>
          <w:sz w:val="20"/>
          <w:szCs w:val="20"/>
        </w:rPr>
        <w:t>means devices designed to be worn or carried by an individual for the purpose of measuring the dose received (e.g., film badges, pocket chambers, pocket dosimeters, film rings, etc.).</w:t>
      </w:r>
    </w:p>
    <w:p w:rsidR="00835E89" w:rsidRPr="005E3AF1" w:rsidP="00BE31B6" w14:paraId="4938B7E6" w14:textId="77777777">
      <w:pPr>
        <w:pStyle w:val="FootnoteText"/>
        <w:ind w:left="720" w:hanging="720"/>
      </w:pPr>
    </w:p>
  </w:footnote>
  <w:footnote w:id="6">
    <w:p w:rsidR="00835E89" w:rsidRPr="00174987" w:rsidP="00187D5E" w14:paraId="1FF3BED5" w14:textId="77777777">
      <w:pPr>
        <w:spacing w:after="240"/>
        <w:ind w:firstLine="720"/>
        <w:rPr>
          <w:sz w:val="20"/>
          <w:szCs w:val="20"/>
        </w:rPr>
      </w:pPr>
      <w:r w:rsidRPr="00174987">
        <w:rPr>
          <w:rStyle w:val="FootnoteReference"/>
          <w:vertAlign w:val="superscript"/>
        </w:rPr>
        <w:footnoteRef/>
      </w:r>
      <w:r w:rsidRPr="00174987">
        <w:rPr>
          <w:sz w:val="20"/>
          <w:szCs w:val="20"/>
        </w:rPr>
        <w:t>A “restricted area,” according to paragraph (a)(</w:t>
      </w:r>
      <w:r>
        <w:rPr>
          <w:sz w:val="20"/>
          <w:szCs w:val="20"/>
        </w:rPr>
        <w:t>3</w:t>
      </w:r>
      <w:r w:rsidRPr="00174987">
        <w:rPr>
          <w:sz w:val="20"/>
          <w:szCs w:val="20"/>
        </w:rPr>
        <w:t>) of the Standard means “any area access to which is controlled by the employer for the purposes of protection of individuals from exposure to radiation or radioactive materials.”</w:t>
      </w:r>
    </w:p>
  </w:footnote>
  <w:footnote w:id="7">
    <w:p w:rsidR="00835E89" w:rsidRPr="00174987" w:rsidP="00BE31B6" w14:paraId="64ECC7C5" w14:textId="7FBF1468">
      <w:pPr>
        <w:widowControl/>
        <w:autoSpaceDE/>
        <w:autoSpaceDN/>
        <w:adjustRightInd/>
      </w:pPr>
      <w:r>
        <w:rPr>
          <w:vertAlign w:val="superscript"/>
        </w:rPr>
        <w:tab/>
      </w:r>
      <w:r w:rsidRPr="00174987">
        <w:rPr>
          <w:rStyle w:val="FootnoteReference"/>
          <w:vertAlign w:val="superscript"/>
        </w:rPr>
        <w:footnoteRef/>
      </w:r>
      <w:r w:rsidRPr="00174987">
        <w:rPr>
          <w:vertAlign w:val="superscript"/>
        </w:rPr>
        <w:t xml:space="preserve"> “</w:t>
      </w:r>
      <w:r w:rsidRPr="00174987">
        <w:rPr>
          <w:bCs/>
          <w:i/>
          <w:iCs/>
          <w:sz w:val="20"/>
          <w:szCs w:val="20"/>
        </w:rPr>
        <w:t>High radiation area</w:t>
      </w:r>
      <w:r w:rsidRPr="00174987">
        <w:rPr>
          <w:bCs/>
          <w:i/>
          <w:iCs/>
        </w:rPr>
        <w:t>”</w:t>
      </w:r>
      <w:r w:rsidR="000A52EE">
        <w:rPr>
          <w:bCs/>
          <w:i/>
          <w:iCs/>
        </w:rPr>
        <w:t xml:space="preserve"> </w:t>
      </w:r>
      <w:r w:rsidRPr="00174987">
        <w:rPr>
          <w:sz w:val="20"/>
          <w:szCs w:val="20"/>
        </w:rPr>
        <w:t xml:space="preserve">means any area, accessible to personnel, in which there exists radiation at such levels that a major portion of the body could receive in any one hour a dose </w:t>
      </w:r>
      <w:r w:rsidRPr="00174987">
        <w:rPr>
          <w:sz w:val="20"/>
          <w:szCs w:val="20"/>
        </w:rPr>
        <w:t>in excess of</w:t>
      </w:r>
      <w:r w:rsidRPr="00174987">
        <w:rPr>
          <w:sz w:val="20"/>
          <w:szCs w:val="20"/>
        </w:rPr>
        <w:t xml:space="preserve"> 100 millirem.</w:t>
      </w:r>
    </w:p>
    <w:p w:rsidR="00835E89" w:rsidRPr="00174987" w:rsidP="00BE31B6" w14:paraId="6AB8BAF6" w14:textId="77777777">
      <w:pPr>
        <w:pStyle w:val="FootnoteText"/>
        <w:ind w:firstLine="720"/>
        <w:rPr>
          <w:sz w:val="24"/>
          <w:szCs w:val="24"/>
          <w:vertAlign w:val="superscript"/>
        </w:rPr>
      </w:pPr>
    </w:p>
  </w:footnote>
  <w:footnote w:id="8">
    <w:p w:rsidR="007E47C5" w:rsidRPr="00C45A81" w:rsidP="007E47C5" w14:paraId="3003B05A" w14:textId="768531A8">
      <w:pPr>
        <w:widowControl/>
        <w:tabs>
          <w:tab w:val="left" w:pos="360"/>
        </w:tabs>
        <w:rPr>
          <w:sz w:val="20"/>
          <w:szCs w:val="20"/>
        </w:rPr>
      </w:pPr>
      <w:r>
        <w:rPr>
          <w:vertAlign w:val="superscript"/>
        </w:rPr>
        <w:tab/>
      </w:r>
      <w:r>
        <w:rPr>
          <w:vertAlign w:val="superscript"/>
        </w:rPr>
        <w:tab/>
      </w:r>
      <w:r w:rsidRPr="00C45A81" w:rsidR="00E25174">
        <w:rPr>
          <w:rStyle w:val="FootnoteReference"/>
          <w:vertAlign w:val="superscript"/>
        </w:rPr>
        <w:footnoteRef/>
      </w:r>
      <w:r w:rsidRPr="00C45A81" w:rsidR="00E25174">
        <w:rPr>
          <w:vertAlign w:val="superscript"/>
        </w:rPr>
        <w:t xml:space="preserve"> </w:t>
      </w:r>
      <w:r>
        <w:rPr>
          <w:vertAlign w:val="superscript"/>
        </w:rPr>
        <w:t xml:space="preserve"> </w:t>
      </w:r>
      <w:r w:rsidRPr="00C45A81" w:rsidR="00592DFA">
        <w:rPr>
          <w:sz w:val="20"/>
          <w:szCs w:val="20"/>
        </w:rPr>
        <w:t>S</w:t>
      </w:r>
      <w:r w:rsidRPr="00C45A81">
        <w:rPr>
          <w:sz w:val="20"/>
          <w:szCs w:val="20"/>
        </w:rPr>
        <w:t>ee rule entitled “Controlling Paperwork Burden on the Public 5 CFR 1320.5 (c)(2)</w:t>
      </w:r>
    </w:p>
    <w:p w:rsidR="007E47C5" w:rsidP="007E47C5" w14:paraId="189129D7" w14:textId="0E95B6AE">
      <w:pPr>
        <w:widowControl/>
        <w:tabs>
          <w:tab w:val="left" w:pos="360"/>
        </w:tabs>
        <w:rPr>
          <w:b/>
          <w:bCs/>
        </w:rPr>
      </w:pPr>
      <w:hyperlink r:id="rId1" w:history="1">
        <w:r w:rsidRPr="00C45A81">
          <w:rPr>
            <w:rStyle w:val="Hyperlink"/>
            <w:i/>
            <w:iCs/>
            <w:sz w:val="20"/>
            <w:szCs w:val="20"/>
          </w:rPr>
          <w:t>https://www.ecfr.gov/current/title-5/chapter-III/subchapter-B/part-1320</w:t>
        </w:r>
      </w:hyperlink>
      <w:r w:rsidR="00592DFA">
        <w:rPr>
          <w:i/>
          <w:iCs/>
        </w:rPr>
        <w:t>.</w:t>
      </w:r>
    </w:p>
    <w:p w:rsidR="00E25174" w:rsidRPr="00E25174" w14:paraId="64B2075D" w14:textId="32D6A751">
      <w:pPr>
        <w:pStyle w:val="FootnoteText"/>
      </w:pPr>
    </w:p>
  </w:footnote>
  <w:footnote w:id="9">
    <w:p w:rsidR="004B41D5" w:rsidP="00080CE5" w14:paraId="79A67670" w14:textId="1D368AE8">
      <w:pPr>
        <w:pStyle w:val="FootnoteText"/>
        <w:ind w:firstLine="720"/>
      </w:pPr>
      <w:r w:rsidRPr="00080CE5">
        <w:rPr>
          <w:rStyle w:val="FootnoteReference"/>
          <w:vertAlign w:val="superscript"/>
        </w:rPr>
        <w:footnoteRef/>
      </w:r>
      <w:r>
        <w:t xml:space="preserve"> </w:t>
      </w:r>
      <w:r w:rsidRPr="00174987" w:rsidR="0097002B">
        <w:t xml:space="preserve">“Airborne radioactivity area” means: </w:t>
      </w:r>
      <w:r w:rsidRPr="00174987" w:rsidR="0097002B">
        <w:rPr>
          <w:bCs/>
        </w:rPr>
        <w:t>§1910.1096(e)(4)(</w:t>
      </w:r>
      <w:r w:rsidRPr="00174987" w:rsidR="0097002B">
        <w:rPr>
          <w:bCs/>
        </w:rPr>
        <w:t>i</w:t>
      </w:r>
      <w:r w:rsidRPr="00174987" w:rsidR="0097002B">
        <w:rPr>
          <w:bCs/>
        </w:rPr>
        <w:t>)(a)</w:t>
      </w:r>
      <w:r w:rsidRPr="00174987" w:rsidR="0097002B">
        <w:t xml:space="preserve"> Any room, enclosure, or operating area in which airborne radioactive materials</w:t>
      </w:r>
      <w:r w:rsidRPr="00F91D7C" w:rsidR="0097002B">
        <w:t xml:space="preserve">, composed wholly or partly of radioactive material, exist in concentrations in excess of the amounts specified in column 1 of Table 1 of appendix B to 10 CFR part 20; or </w:t>
      </w:r>
      <w:bookmarkStart w:id="35" w:name="1910.1096(e)(4)(i)(b)"/>
      <w:bookmarkEnd w:id="35"/>
      <w:r w:rsidRPr="0044791B" w:rsidR="0097002B">
        <w:rPr>
          <w:bCs/>
        </w:rPr>
        <w:t>§</w:t>
      </w:r>
      <w:r w:rsidRPr="00F91D7C" w:rsidR="0097002B">
        <w:rPr>
          <w:bCs/>
        </w:rPr>
        <w:t>1910.1096(e)(4)(</w:t>
      </w:r>
      <w:r w:rsidRPr="00F91D7C" w:rsidR="0097002B">
        <w:rPr>
          <w:bCs/>
        </w:rPr>
        <w:t>i</w:t>
      </w:r>
      <w:r w:rsidRPr="00F91D7C" w:rsidR="0097002B">
        <w:rPr>
          <w:bCs/>
        </w:rPr>
        <w:t>)(b)</w:t>
      </w:r>
      <w:r w:rsidRPr="00F91D7C" w:rsidR="0097002B">
        <w:rPr>
          <w:b/>
          <w:bCs/>
        </w:rPr>
        <w:t xml:space="preserve"> </w:t>
      </w:r>
      <w:r w:rsidRPr="00EC622A" w:rsidR="0097002B">
        <w:rPr>
          <w:bCs/>
        </w:rPr>
        <w:t>A</w:t>
      </w:r>
      <w:r w:rsidRPr="00F91D7C" w:rsidR="0097002B">
        <w:t>ny room, enclosure, or operating area in which airborne radioactive materials exist in concentrations which, averaged over the number of hours in any week during which individuals are in the area, exceed 25 percent of the amounts specified in column 1 of Table 1 of appendix B to 10 CFR part 20.</w:t>
      </w:r>
    </w:p>
  </w:footnote>
  <w:footnote w:id="10">
    <w:p w:rsidR="00835E89" w:rsidP="009B7893" w14:paraId="5D830C71" w14:textId="31719FFB">
      <w:pPr>
        <w:spacing w:after="240"/>
        <w:ind w:firstLine="720"/>
      </w:pPr>
      <w:r w:rsidRPr="00CF521B">
        <w:rPr>
          <w:rStyle w:val="FootnoteReference"/>
          <w:vertAlign w:val="superscript"/>
        </w:rPr>
        <w:footnoteRef/>
      </w:r>
      <w:r w:rsidR="00F57C7F">
        <w:rPr>
          <w:sz w:val="20"/>
          <w:szCs w:val="20"/>
        </w:rPr>
        <w:t xml:space="preserve"> </w:t>
      </w:r>
      <w:r w:rsidRPr="00AF12F6" w:rsidR="00AF12F6">
        <w:rPr>
          <w:sz w:val="20"/>
          <w:szCs w:val="20"/>
        </w:rPr>
        <w:t>The agency utilized the 2011 U.S. Census Bureau County Business Patterns to update the</w:t>
      </w:r>
      <w:r w:rsidR="00F07585">
        <w:rPr>
          <w:sz w:val="20"/>
          <w:szCs w:val="20"/>
        </w:rPr>
        <w:t xml:space="preserve"> total</w:t>
      </w:r>
      <w:r w:rsidRPr="00AF12F6" w:rsidR="00AF12F6">
        <w:rPr>
          <w:sz w:val="20"/>
          <w:szCs w:val="20"/>
        </w:rPr>
        <w:t xml:space="preserve"> number of establishments </w:t>
      </w:r>
      <w:r w:rsidR="00F07585">
        <w:rPr>
          <w:sz w:val="20"/>
          <w:szCs w:val="20"/>
        </w:rPr>
        <w:t>in</w:t>
      </w:r>
      <w:r w:rsidRPr="00AF12F6" w:rsidR="00AF12F6">
        <w:rPr>
          <w:sz w:val="20"/>
          <w:szCs w:val="20"/>
        </w:rPr>
        <w:t xml:space="preserve"> industries</w:t>
      </w:r>
      <w:r w:rsidR="00F07585">
        <w:rPr>
          <w:sz w:val="20"/>
          <w:szCs w:val="20"/>
        </w:rPr>
        <w:t xml:space="preserve"> </w:t>
      </w:r>
      <w:r w:rsidR="00BF3161">
        <w:rPr>
          <w:sz w:val="20"/>
          <w:szCs w:val="20"/>
        </w:rPr>
        <w:t>that may use ionizing radiation</w:t>
      </w:r>
      <w:r w:rsidRPr="00AF12F6" w:rsidR="00AF12F6">
        <w:rPr>
          <w:sz w:val="20"/>
          <w:szCs w:val="20"/>
        </w:rPr>
        <w:t xml:space="preserve">. </w:t>
      </w:r>
      <w:r w:rsidR="00BF3161">
        <w:rPr>
          <w:sz w:val="20"/>
          <w:szCs w:val="20"/>
        </w:rPr>
        <w:t xml:space="preserve"> The agency then </w:t>
      </w:r>
      <w:r w:rsidRPr="00AF12F6" w:rsidR="00AF12F6">
        <w:rPr>
          <w:sz w:val="20"/>
          <w:szCs w:val="20"/>
        </w:rPr>
        <w:t>revised the percentage of facilities potentially using ionizing radiation within each industry</w:t>
      </w:r>
      <w:r w:rsidR="00B278CB">
        <w:rPr>
          <w:sz w:val="20"/>
          <w:szCs w:val="20"/>
        </w:rPr>
        <w:t>.</w:t>
      </w:r>
    </w:p>
  </w:footnote>
  <w:footnote w:id="11">
    <w:p w:rsidR="00835E89" w:rsidP="00BC5143" w14:paraId="07813228" w14:textId="19047EFE">
      <w:pPr>
        <w:spacing w:after="240"/>
        <w:ind w:firstLine="720"/>
      </w:pPr>
      <w:r w:rsidRPr="00CF521B">
        <w:rPr>
          <w:rStyle w:val="FootnoteReference"/>
          <w:vertAlign w:val="superscript"/>
        </w:rPr>
        <w:footnoteRef/>
      </w:r>
      <w:r>
        <w:rPr>
          <w:sz w:val="20"/>
          <w:szCs w:val="20"/>
        </w:rPr>
        <w:t xml:space="preserve"> </w:t>
      </w:r>
      <w:r w:rsidRPr="00CF521B">
        <w:rPr>
          <w:sz w:val="20"/>
          <w:szCs w:val="20"/>
        </w:rPr>
        <w:t>NORM refers to “</w:t>
      </w:r>
      <w:r w:rsidRPr="00CF521B">
        <w:rPr>
          <w:sz w:val="20"/>
          <w:szCs w:val="20"/>
        </w:rPr>
        <w:t>naturally-occurring</w:t>
      </w:r>
      <w:r w:rsidRPr="00CF521B">
        <w:rPr>
          <w:sz w:val="20"/>
          <w:szCs w:val="20"/>
        </w:rPr>
        <w:t xml:space="preserve"> radioactive material,” and TENORM designates to “technologically-enhanced, naturally-occurring radioactive material.”</w:t>
      </w:r>
    </w:p>
  </w:footnote>
  <w:footnote w:id="12">
    <w:p w:rsidR="00835E89" w:rsidP="00136960" w14:paraId="600EB392" w14:textId="53C977FA">
      <w:pPr>
        <w:pStyle w:val="FootnoteText"/>
        <w:ind w:firstLine="720"/>
      </w:pPr>
      <w:r w:rsidRPr="00C61768">
        <w:rPr>
          <w:rStyle w:val="FootnoteReference"/>
          <w:vertAlign w:val="superscript"/>
        </w:rPr>
        <w:footnoteRef/>
      </w:r>
      <w:r>
        <w:t xml:space="preserve"> According to previous ICRs, the number of existing facilities covered by the standard was 1.43 percent of the total number of facilities in the different industries identified in Table </w:t>
      </w:r>
      <w:r w:rsidR="00F209A8">
        <w:t>2</w:t>
      </w:r>
      <w:r>
        <w:t xml:space="preserve">. This same ratio of ‘existing facilities covered by the standard’ to the ‘total number of facilities in the industries’ was applied to the updated number of total facilities in the different industries (i.e. 918,546) to obtain the new number of existing facilities covered by the standard </w:t>
      </w:r>
      <w:r w:rsidRPr="00E8164A">
        <w:t>(</w:t>
      </w:r>
      <w:r w:rsidRPr="00C45A81" w:rsidR="00E8164A">
        <w:t>1,792,367</w:t>
      </w:r>
      <w:r w:rsidR="00E8164A">
        <w:t xml:space="preserve"> </w:t>
      </w:r>
      <w:r w:rsidRPr="00E8164A">
        <w:t>*</w:t>
      </w:r>
      <w:r>
        <w:t xml:space="preserve"> 1.43% = </w:t>
      </w:r>
      <w:r w:rsidR="00FC15D3">
        <w:t>25,63</w:t>
      </w:r>
      <w:r w:rsidR="00A966E0">
        <w:t>1</w:t>
      </w:r>
      <w:r w:rsidR="00271FFE">
        <w:t>).</w:t>
      </w:r>
      <w:r>
        <w:t xml:space="preserve"> </w:t>
      </w:r>
    </w:p>
  </w:footnote>
  <w:footnote w:id="13">
    <w:p w:rsidR="00835E89" w:rsidP="008503EC" w14:paraId="026DD99D" w14:textId="4683FD8C">
      <w:pPr>
        <w:pStyle w:val="FootnoteText"/>
        <w:ind w:firstLine="720"/>
      </w:pPr>
      <w:r w:rsidRPr="008503EC">
        <w:rPr>
          <w:rStyle w:val="FootnoteReference"/>
          <w:sz w:val="24"/>
          <w:szCs w:val="24"/>
          <w:vertAlign w:val="superscript"/>
        </w:rPr>
        <w:footnoteRef/>
      </w:r>
      <w:r>
        <w:t xml:space="preserve"> </w:t>
      </w:r>
      <w:r w:rsidRPr="00DB6BF2">
        <w:t>From “Phase I:  Study of Ionizing Radiation,” Centaur Associates, Inc., August 1980 (amended Oct</w:t>
      </w:r>
      <w:r w:rsidR="00BC07A6">
        <w:t xml:space="preserve">ober </w:t>
      </w:r>
      <w:r w:rsidRPr="00DB6BF2">
        <w:t>1980); exhibits 6-14, 6-19, 6-22, 6-27, and 6-28.</w:t>
      </w:r>
    </w:p>
    <w:p w:rsidR="00835E89" w:rsidP="008503EC" w14:paraId="4B420E89" w14:textId="544DE753">
      <w:pPr>
        <w:pStyle w:val="FootnoteText"/>
        <w:ind w:firstLine="720"/>
      </w:pPr>
    </w:p>
  </w:footnote>
  <w:footnote w:id="14">
    <w:p w:rsidR="00835E89" w:rsidRPr="00C658D1" w:rsidP="00AE680F" w14:paraId="403487F2" w14:textId="7AD1ADBE">
      <w:pPr>
        <w:spacing w:after="240"/>
        <w:ind w:firstLine="720"/>
        <w:rPr>
          <w:color w:val="FF0000"/>
        </w:rPr>
      </w:pPr>
      <w:r w:rsidRPr="00DB6BF2">
        <w:rPr>
          <w:rStyle w:val="FootnoteReference"/>
          <w:vertAlign w:val="superscript"/>
        </w:rPr>
        <w:footnoteRef/>
      </w:r>
      <w:r>
        <w:rPr>
          <w:sz w:val="20"/>
          <w:szCs w:val="20"/>
        </w:rPr>
        <w:t xml:space="preserve"> </w:t>
      </w:r>
      <w:r w:rsidRPr="00DB6BF2">
        <w:rPr>
          <w:sz w:val="20"/>
          <w:szCs w:val="20"/>
        </w:rPr>
        <w:t xml:space="preserve">“Occupational Exposure to Ionizing Radiation in the United States:  A Comprehensive Review for the Year 1980 and </w:t>
      </w:r>
      <w:r w:rsidRPr="00C658D1">
        <w:rPr>
          <w:sz w:val="20"/>
          <w:szCs w:val="20"/>
        </w:rPr>
        <w:t>a Summary of Trends for the Years 1960 to 1985,” EPA 520/1/84-005, September 1985.</w:t>
      </w:r>
    </w:p>
  </w:footnote>
  <w:footnote w:id="15">
    <w:p w:rsidR="00835E89" w:rsidRPr="00C658D1" w:rsidP="00E574EE" w14:paraId="3A502828" w14:textId="0636A9C6">
      <w:pPr>
        <w:spacing w:after="240"/>
        <w:ind w:firstLine="720"/>
      </w:pPr>
      <w:r w:rsidRPr="00C658D1">
        <w:rPr>
          <w:rStyle w:val="FootnoteReference"/>
          <w:sz w:val="20"/>
          <w:szCs w:val="20"/>
          <w:vertAlign w:val="superscript"/>
        </w:rPr>
        <w:footnoteRef/>
      </w:r>
      <w:r w:rsidRPr="00C658D1">
        <w:rPr>
          <w:sz w:val="20"/>
          <w:szCs w:val="20"/>
        </w:rPr>
        <w:t xml:space="preserve"> From “Phase I:  Study of Ionizing Radiation,” Centaur Associates, Inc., August 1980 (amended Oct1980); exhibits 6-14, 6-19, 6-22, 6-27, and 6-28.</w:t>
      </w:r>
    </w:p>
  </w:footnote>
  <w:footnote w:id="16">
    <w:p w:rsidR="00835E89" w:rsidP="00DF2797" w14:paraId="3F4769CC" w14:textId="63A0FF20">
      <w:pPr>
        <w:pStyle w:val="FootnoteText"/>
        <w:ind w:firstLine="720"/>
      </w:pPr>
      <w:r w:rsidRPr="00C658D1">
        <w:rPr>
          <w:rStyle w:val="FootnoteReference"/>
          <w:sz w:val="22"/>
          <w:szCs w:val="24"/>
          <w:vertAlign w:val="superscript"/>
        </w:rPr>
        <w:footnoteRef/>
      </w:r>
      <w:r w:rsidRPr="00C658D1">
        <w:rPr>
          <w:rStyle w:val="FootnoteReference"/>
          <w:sz w:val="22"/>
          <w:szCs w:val="24"/>
          <w:vertAlign w:val="superscript"/>
        </w:rPr>
        <w:t xml:space="preserve"> </w:t>
      </w:r>
      <w:r w:rsidRPr="00C658D1">
        <w:t>For PRA analysis purposes only, to calculate a ratio for the number of responses per respondent (employer), the agency divides the estimated number of affected workers by the number of facilities. (</w:t>
      </w:r>
      <w:r w:rsidRPr="00C658D1" w:rsidR="007E5DF4">
        <w:t>27,49</w:t>
      </w:r>
      <w:r w:rsidR="00DD03D1">
        <w:t>5</w:t>
      </w:r>
      <w:r w:rsidRPr="00C658D1">
        <w:t xml:space="preserve"> workers/</w:t>
      </w:r>
      <w:r w:rsidRPr="00C658D1" w:rsidR="007E5DF4">
        <w:t>25,631</w:t>
      </w:r>
      <w:r w:rsidRPr="00C658D1">
        <w:t xml:space="preserve"> facilities = </w:t>
      </w:r>
      <w:r w:rsidR="001D40C2">
        <w:t>1.072724</w:t>
      </w:r>
      <w:r w:rsidR="00643468">
        <w:t>)</w:t>
      </w:r>
    </w:p>
  </w:footnote>
  <w:footnote w:id="17">
    <w:p w:rsidR="00E13B39" w:rsidP="00E13B39" w14:paraId="57C51B91" w14:textId="77777777">
      <w:pPr>
        <w:pStyle w:val="FootnoteText"/>
        <w:ind w:firstLine="720"/>
      </w:pPr>
      <w:r w:rsidRPr="006117E1">
        <w:rPr>
          <w:rStyle w:val="FootnoteReference"/>
          <w:vertAlign w:val="superscript"/>
        </w:rPr>
        <w:footnoteRef/>
      </w:r>
      <w:r>
        <w:t xml:space="preserve"> </w:t>
      </w:r>
      <w:r w:rsidRPr="006117E1">
        <w:t xml:space="preserve">Report prepared by Advance Technologies and Laboratories International, Inc. titled “Background Information Report for an Occupational Ionizing </w:t>
      </w:r>
      <w:r>
        <w:t>Radiation Protection Standard,”</w:t>
      </w:r>
      <w:r w:rsidRPr="006117E1">
        <w:t xml:space="preserve"> vol. 6, September 2000.</w:t>
      </w:r>
    </w:p>
  </w:footnote>
  <w:footnote w:id="18">
    <w:p w:rsidR="00835E89" w:rsidRPr="00160A84" w:rsidP="004A2B94" w14:paraId="22454DC0" w14:textId="32684C36">
      <w:pPr>
        <w:pStyle w:val="FootnoteText"/>
        <w:ind w:firstLine="720"/>
        <w:rPr>
          <w:vertAlign w:val="subscript"/>
        </w:rPr>
      </w:pPr>
      <w:r w:rsidRPr="004A2B94">
        <w:rPr>
          <w:rStyle w:val="FootnoteReference"/>
          <w:sz w:val="18"/>
          <w:szCs w:val="18"/>
          <w:vertAlign w:val="superscript"/>
        </w:rPr>
        <w:footnoteRef/>
      </w:r>
      <w:r w:rsidRPr="004A2B94">
        <w:rPr>
          <w:sz w:val="18"/>
          <w:szCs w:val="18"/>
          <w:vertAlign w:val="superscript"/>
        </w:rPr>
        <w:t xml:space="preserve">  </w:t>
      </w:r>
      <w:r w:rsidRPr="00160A84">
        <w:t>Source:  U.S. Office of Personnel Management, General Schedule and Locality tables, Salary Table 2020-RUS,</w:t>
      </w:r>
      <w:r w:rsidRPr="00474C3E">
        <w:t xml:space="preserve"> </w:t>
      </w:r>
      <w:hyperlink r:id="rId2" w:history="1">
        <w:r w:rsidR="002442B2">
          <w:rPr>
            <w:rStyle w:val="Hyperlink"/>
          </w:rPr>
          <w:t>Pay &amp; Leave : Salaries &amp; Wages - OPM.gov</w:t>
        </w:r>
      </w:hyperlink>
      <w:r w:rsidRPr="00160A8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6B9" w:rsidRPr="001E66E9" w:rsidP="002646B9" w14:paraId="0BBC5568" w14:textId="77777777">
    <w:pPr>
      <w:tabs>
        <w:tab w:val="center" w:pos="4680"/>
        <w:tab w:val="right" w:pos="9360"/>
      </w:tabs>
      <w:rPr>
        <w:rFonts w:eastAsiaTheme="minorEastAsia"/>
        <w:sz w:val="20"/>
        <w:szCs w:val="20"/>
      </w:rPr>
    </w:pPr>
    <w:r>
      <w:rPr>
        <w:rFonts w:eastAsiaTheme="minorEastAsia"/>
        <w:sz w:val="20"/>
        <w:szCs w:val="20"/>
      </w:rPr>
      <w:t>Ionizing Radiation Standard (29 CFR 1910.1096)</w:t>
    </w:r>
  </w:p>
  <w:p w:rsidR="002646B9" w:rsidP="002646B9" w14:paraId="532533B2" w14:textId="77777777">
    <w:pPr>
      <w:tabs>
        <w:tab w:val="center" w:pos="4680"/>
        <w:tab w:val="right" w:pos="9360"/>
      </w:tabs>
      <w:rPr>
        <w:rFonts w:eastAsiaTheme="minorEastAsia"/>
        <w:sz w:val="20"/>
        <w:szCs w:val="20"/>
      </w:rPr>
    </w:pPr>
    <w:r>
      <w:rPr>
        <w:rFonts w:eastAsiaTheme="minorEastAsia"/>
        <w:sz w:val="20"/>
        <w:szCs w:val="20"/>
      </w:rPr>
      <w:t>OMB Control Number – 1218-0103</w:t>
    </w:r>
  </w:p>
  <w:p w:rsidR="002646B9" w:rsidRPr="001E66E9" w:rsidP="002646B9" w14:paraId="553D275A" w14:textId="77777777">
    <w:pPr>
      <w:tabs>
        <w:tab w:val="center" w:pos="4680"/>
        <w:tab w:val="right" w:pos="9360"/>
      </w:tabs>
      <w:rPr>
        <w:rFonts w:eastAsiaTheme="minorEastAsia"/>
        <w:sz w:val="20"/>
        <w:szCs w:val="20"/>
      </w:rPr>
    </w:pPr>
    <w:r>
      <w:rPr>
        <w:rFonts w:eastAsiaTheme="minorEastAsia"/>
        <w:sz w:val="20"/>
        <w:szCs w:val="20"/>
      </w:rPr>
      <w:t>Expiration Date: August 31, 2024</w:t>
    </w:r>
  </w:p>
  <w:p w:rsidR="00835E89" w:rsidRPr="004A7DCC" w:rsidP="00E43F35" w14:paraId="6AA79A95" w14:textId="77777777">
    <w:pPr>
      <w:pStyle w:val="Header"/>
      <w:tabs>
        <w:tab w:val="left" w:pos="3510"/>
        <w:tab w:val="clear" w:pos="4680"/>
        <w:tab w:val="left" w:pos="5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E89" w:rsidRPr="001E66E9" w:rsidP="00CB0A0A" w14:paraId="0934B1CE" w14:textId="62E1A53C">
    <w:pPr>
      <w:tabs>
        <w:tab w:val="center" w:pos="4680"/>
        <w:tab w:val="right" w:pos="9360"/>
      </w:tabs>
      <w:rPr>
        <w:rFonts w:eastAsiaTheme="minorEastAsia"/>
        <w:sz w:val="20"/>
        <w:szCs w:val="20"/>
      </w:rPr>
    </w:pPr>
    <w:r>
      <w:rPr>
        <w:rFonts w:eastAsiaTheme="minorEastAsia"/>
        <w:sz w:val="20"/>
        <w:szCs w:val="20"/>
      </w:rPr>
      <w:t>Ioniz</w:t>
    </w:r>
    <w:r w:rsidR="00B87234">
      <w:rPr>
        <w:rFonts w:eastAsiaTheme="minorEastAsia"/>
        <w:sz w:val="20"/>
        <w:szCs w:val="20"/>
      </w:rPr>
      <w:t>ing Radiation Standard (29 CFR 1910.1096</w:t>
    </w:r>
    <w:r w:rsidR="00513177">
      <w:rPr>
        <w:rFonts w:eastAsiaTheme="minorEastAsia"/>
        <w:sz w:val="20"/>
        <w:szCs w:val="20"/>
      </w:rPr>
      <w:t>)</w:t>
    </w:r>
  </w:p>
  <w:p w:rsidR="00835E89" w:rsidP="00CB0A0A" w14:paraId="4595D1F9" w14:textId="55B035FD">
    <w:pPr>
      <w:tabs>
        <w:tab w:val="center" w:pos="4680"/>
        <w:tab w:val="right" w:pos="9360"/>
      </w:tabs>
      <w:rPr>
        <w:rFonts w:eastAsiaTheme="minorEastAsia"/>
        <w:sz w:val="20"/>
        <w:szCs w:val="20"/>
      </w:rPr>
    </w:pPr>
    <w:r>
      <w:rPr>
        <w:rFonts w:eastAsiaTheme="minorEastAsia"/>
        <w:sz w:val="20"/>
        <w:szCs w:val="20"/>
      </w:rPr>
      <w:t>OMB Control Number – 1218-0</w:t>
    </w:r>
    <w:r w:rsidR="00E30035">
      <w:rPr>
        <w:rFonts w:eastAsiaTheme="minorEastAsia"/>
        <w:sz w:val="20"/>
        <w:szCs w:val="20"/>
      </w:rPr>
      <w:t>103</w:t>
    </w:r>
  </w:p>
  <w:p w:rsidR="00835E89" w:rsidRPr="001E66E9" w:rsidP="00CB0A0A" w14:paraId="1FA528C2" w14:textId="48850E7B">
    <w:pPr>
      <w:tabs>
        <w:tab w:val="center" w:pos="4680"/>
        <w:tab w:val="right" w:pos="9360"/>
      </w:tabs>
      <w:rPr>
        <w:rFonts w:eastAsiaTheme="minorEastAsia"/>
        <w:sz w:val="20"/>
        <w:szCs w:val="20"/>
      </w:rPr>
    </w:pPr>
    <w:r>
      <w:rPr>
        <w:rFonts w:eastAsiaTheme="minorEastAsia"/>
        <w:sz w:val="20"/>
        <w:szCs w:val="20"/>
      </w:rPr>
      <w:t xml:space="preserve">Expiration Date: </w:t>
    </w:r>
    <w:r w:rsidR="002646B9">
      <w:rPr>
        <w:rFonts w:eastAsiaTheme="minorEastAsia"/>
        <w:sz w:val="20"/>
        <w:szCs w:val="20"/>
      </w:rPr>
      <w:t>August 31, 2024</w:t>
    </w:r>
  </w:p>
  <w:p w:rsidR="00835E89" w:rsidRPr="004A7DCC" w:rsidP="00360E5F" w14:paraId="4EC31C3B" w14:textId="72B17F7B">
    <w:pPr>
      <w:pStyle w:val="Header"/>
    </w:pPr>
    <w:r w:rsidRPr="004A7DCC">
      <w:tab/>
    </w:r>
    <w:r w:rsidRPr="004A7DCC">
      <w:tab/>
    </w:r>
  </w:p>
  <w:p w:rsidR="00835E89" w14:paraId="676A2E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3534"/>
    <w:multiLevelType w:val="hybridMultilevel"/>
    <w:tmpl w:val="FDD2F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A70E8B"/>
    <w:multiLevelType w:val="hybridMultilevel"/>
    <w:tmpl w:val="DBBEAEA2"/>
    <w:lvl w:ilvl="0">
      <w:start w:val="5"/>
      <w:numFmt w:val="upperLetter"/>
      <w:lvlText w:val="(%1)"/>
      <w:lvlJc w:val="left"/>
      <w:pPr>
        <w:tabs>
          <w:tab w:val="num" w:pos="945"/>
        </w:tabs>
        <w:ind w:left="945" w:hanging="4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
    <w:nsid w:val="11F47AC3"/>
    <w:multiLevelType w:val="hybridMultilevel"/>
    <w:tmpl w:val="6950B08E"/>
    <w:lvl w:ilvl="0">
      <w:start w:val="6"/>
      <w:numFmt w:val="upp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nsid w:val="124E5BED"/>
    <w:multiLevelType w:val="hybridMultilevel"/>
    <w:tmpl w:val="0B4E330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
    <w:nsid w:val="194D4F67"/>
    <w:multiLevelType w:val="hybridMultilevel"/>
    <w:tmpl w:val="0F64BD22"/>
    <w:lvl w:ilvl="0">
      <w:start w:val="3"/>
      <w:numFmt w:val="upperLetter"/>
      <w:lvlText w:val="%1."/>
      <w:lvlJc w:val="left"/>
      <w:pPr>
        <w:tabs>
          <w:tab w:val="num" w:pos="720"/>
        </w:tabs>
        <w:ind w:left="720" w:hanging="36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3564411"/>
    <w:multiLevelType w:val="hybridMultilevel"/>
    <w:tmpl w:val="E3189D66"/>
    <w:lvl w:ilvl="0">
      <w:start w:val="7"/>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C11779"/>
    <w:multiLevelType w:val="hybridMultilevel"/>
    <w:tmpl w:val="4992D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7A386C"/>
    <w:multiLevelType w:val="hybridMultilevel"/>
    <w:tmpl w:val="9AA431AC"/>
    <w:lvl w:ilvl="0">
      <w:start w:val="1"/>
      <w:numFmt w:val="decimal"/>
      <w:lvlText w:val="%1."/>
      <w:lvlJc w:val="left"/>
      <w:pPr>
        <w:ind w:left="720" w:hanging="672"/>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8">
    <w:nsid w:val="4C343A98"/>
    <w:multiLevelType w:val="multilevel"/>
    <w:tmpl w:val="6950B08E"/>
    <w:lvl w:ilvl="0">
      <w:start w:val="6"/>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nsid w:val="71A04E88"/>
    <w:multiLevelType w:val="hybridMultilevel"/>
    <w:tmpl w:val="1B4E00B8"/>
    <w:lvl w:ilvl="0">
      <w:start w:val="7"/>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33E5337"/>
    <w:multiLevelType w:val="hybridMultilevel"/>
    <w:tmpl w:val="30603A72"/>
    <w:lvl w:ilvl="0">
      <w:start w:val="6"/>
      <w:numFmt w:val="upperLetter"/>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4DF5628"/>
    <w:multiLevelType w:val="hybridMultilevel"/>
    <w:tmpl w:val="E896424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1D71B4"/>
    <w:multiLevelType w:val="hybridMultilevel"/>
    <w:tmpl w:val="3B300464"/>
    <w:lvl w:ilvl="0">
      <w:start w:val="2"/>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91531660">
    <w:abstractNumId w:val="4"/>
  </w:num>
  <w:num w:numId="2" w16cid:durableId="1675959457">
    <w:abstractNumId w:val="1"/>
  </w:num>
  <w:num w:numId="3" w16cid:durableId="1528828967">
    <w:abstractNumId w:val="2"/>
  </w:num>
  <w:num w:numId="4" w16cid:durableId="2122873723">
    <w:abstractNumId w:val="8"/>
  </w:num>
  <w:num w:numId="5" w16cid:durableId="1265110834">
    <w:abstractNumId w:val="5"/>
  </w:num>
  <w:num w:numId="6" w16cid:durableId="1750926068">
    <w:abstractNumId w:val="9"/>
  </w:num>
  <w:num w:numId="7" w16cid:durableId="256207829">
    <w:abstractNumId w:val="10"/>
  </w:num>
  <w:num w:numId="8" w16cid:durableId="2124768318">
    <w:abstractNumId w:val="12"/>
  </w:num>
  <w:num w:numId="9" w16cid:durableId="1555849642">
    <w:abstractNumId w:val="3"/>
  </w:num>
  <w:num w:numId="10" w16cid:durableId="1112439712">
    <w:abstractNumId w:val="7"/>
  </w:num>
  <w:num w:numId="11" w16cid:durableId="1417942909">
    <w:abstractNumId w:val="11"/>
  </w:num>
  <w:num w:numId="12" w16cid:durableId="1820341729">
    <w:abstractNumId w:val="0"/>
  </w:num>
  <w:num w:numId="13" w16cid:durableId="2068339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1B6"/>
    <w:rsid w:val="00000464"/>
    <w:rsid w:val="00000EF2"/>
    <w:rsid w:val="00001387"/>
    <w:rsid w:val="00002F5F"/>
    <w:rsid w:val="000039A5"/>
    <w:rsid w:val="000043B1"/>
    <w:rsid w:val="000048C5"/>
    <w:rsid w:val="00005092"/>
    <w:rsid w:val="00005229"/>
    <w:rsid w:val="00006007"/>
    <w:rsid w:val="0000651B"/>
    <w:rsid w:val="00007195"/>
    <w:rsid w:val="000072D6"/>
    <w:rsid w:val="00007845"/>
    <w:rsid w:val="00007A8E"/>
    <w:rsid w:val="00007F40"/>
    <w:rsid w:val="0001319C"/>
    <w:rsid w:val="000137E5"/>
    <w:rsid w:val="00014625"/>
    <w:rsid w:val="000156EE"/>
    <w:rsid w:val="0001577F"/>
    <w:rsid w:val="00015A73"/>
    <w:rsid w:val="00020278"/>
    <w:rsid w:val="00020945"/>
    <w:rsid w:val="000215FF"/>
    <w:rsid w:val="00021B40"/>
    <w:rsid w:val="00023060"/>
    <w:rsid w:val="00025333"/>
    <w:rsid w:val="00025933"/>
    <w:rsid w:val="00025C44"/>
    <w:rsid w:val="00027003"/>
    <w:rsid w:val="00027D9F"/>
    <w:rsid w:val="00030BFB"/>
    <w:rsid w:val="00030DDA"/>
    <w:rsid w:val="00032F3F"/>
    <w:rsid w:val="000333BF"/>
    <w:rsid w:val="00033D5F"/>
    <w:rsid w:val="00034085"/>
    <w:rsid w:val="00034283"/>
    <w:rsid w:val="000347EB"/>
    <w:rsid w:val="000350E3"/>
    <w:rsid w:val="00040ADB"/>
    <w:rsid w:val="000414ED"/>
    <w:rsid w:val="00041D05"/>
    <w:rsid w:val="00042044"/>
    <w:rsid w:val="0004283A"/>
    <w:rsid w:val="00044D9A"/>
    <w:rsid w:val="000451A1"/>
    <w:rsid w:val="00046E30"/>
    <w:rsid w:val="00050849"/>
    <w:rsid w:val="00051561"/>
    <w:rsid w:val="000527F6"/>
    <w:rsid w:val="0005353E"/>
    <w:rsid w:val="0005472E"/>
    <w:rsid w:val="00057190"/>
    <w:rsid w:val="0006035E"/>
    <w:rsid w:val="000615A9"/>
    <w:rsid w:val="0006395D"/>
    <w:rsid w:val="00064B23"/>
    <w:rsid w:val="00066D23"/>
    <w:rsid w:val="00066ED6"/>
    <w:rsid w:val="0006742B"/>
    <w:rsid w:val="000732CA"/>
    <w:rsid w:val="00073D0F"/>
    <w:rsid w:val="00074488"/>
    <w:rsid w:val="00075710"/>
    <w:rsid w:val="00076283"/>
    <w:rsid w:val="00077431"/>
    <w:rsid w:val="00080CC3"/>
    <w:rsid w:val="00080CE5"/>
    <w:rsid w:val="00081C2D"/>
    <w:rsid w:val="000836AC"/>
    <w:rsid w:val="00083F46"/>
    <w:rsid w:val="00086A0E"/>
    <w:rsid w:val="00086A38"/>
    <w:rsid w:val="00086F07"/>
    <w:rsid w:val="00087FB6"/>
    <w:rsid w:val="00090401"/>
    <w:rsid w:val="0009160A"/>
    <w:rsid w:val="00091C50"/>
    <w:rsid w:val="00092ECF"/>
    <w:rsid w:val="00095A28"/>
    <w:rsid w:val="00096249"/>
    <w:rsid w:val="000964E6"/>
    <w:rsid w:val="000969E4"/>
    <w:rsid w:val="00097786"/>
    <w:rsid w:val="00097DF6"/>
    <w:rsid w:val="000A3259"/>
    <w:rsid w:val="000A3CCC"/>
    <w:rsid w:val="000A52EE"/>
    <w:rsid w:val="000A59A8"/>
    <w:rsid w:val="000B11CE"/>
    <w:rsid w:val="000B3C41"/>
    <w:rsid w:val="000B4F5F"/>
    <w:rsid w:val="000B606E"/>
    <w:rsid w:val="000C0DB7"/>
    <w:rsid w:val="000C0FAF"/>
    <w:rsid w:val="000C2610"/>
    <w:rsid w:val="000C2C06"/>
    <w:rsid w:val="000C3FAF"/>
    <w:rsid w:val="000C4EA7"/>
    <w:rsid w:val="000C5AB8"/>
    <w:rsid w:val="000C63F6"/>
    <w:rsid w:val="000C7381"/>
    <w:rsid w:val="000C7B81"/>
    <w:rsid w:val="000D035F"/>
    <w:rsid w:val="000D3087"/>
    <w:rsid w:val="000D3B69"/>
    <w:rsid w:val="000D5C80"/>
    <w:rsid w:val="000D746E"/>
    <w:rsid w:val="000D7AB1"/>
    <w:rsid w:val="000D7EE5"/>
    <w:rsid w:val="000E0664"/>
    <w:rsid w:val="000E2473"/>
    <w:rsid w:val="000E265C"/>
    <w:rsid w:val="000E283C"/>
    <w:rsid w:val="000E44E5"/>
    <w:rsid w:val="000E477B"/>
    <w:rsid w:val="000E4832"/>
    <w:rsid w:val="000E490F"/>
    <w:rsid w:val="000E74CB"/>
    <w:rsid w:val="000E7FD4"/>
    <w:rsid w:val="000F00B3"/>
    <w:rsid w:val="000F23CE"/>
    <w:rsid w:val="000F294D"/>
    <w:rsid w:val="000F3826"/>
    <w:rsid w:val="000F4631"/>
    <w:rsid w:val="000F4858"/>
    <w:rsid w:val="00100DF2"/>
    <w:rsid w:val="00100FC9"/>
    <w:rsid w:val="00101A3E"/>
    <w:rsid w:val="00101E76"/>
    <w:rsid w:val="00102EE7"/>
    <w:rsid w:val="00103100"/>
    <w:rsid w:val="00103A24"/>
    <w:rsid w:val="001060EE"/>
    <w:rsid w:val="0010638E"/>
    <w:rsid w:val="00106C2B"/>
    <w:rsid w:val="001072A4"/>
    <w:rsid w:val="0011198B"/>
    <w:rsid w:val="00111D20"/>
    <w:rsid w:val="00113EE4"/>
    <w:rsid w:val="00114ECF"/>
    <w:rsid w:val="001150BF"/>
    <w:rsid w:val="001155F9"/>
    <w:rsid w:val="0011597F"/>
    <w:rsid w:val="00115A30"/>
    <w:rsid w:val="00115E02"/>
    <w:rsid w:val="00116986"/>
    <w:rsid w:val="00120561"/>
    <w:rsid w:val="001208AD"/>
    <w:rsid w:val="00123001"/>
    <w:rsid w:val="00123084"/>
    <w:rsid w:val="00124264"/>
    <w:rsid w:val="00125A0E"/>
    <w:rsid w:val="0012628F"/>
    <w:rsid w:val="00126495"/>
    <w:rsid w:val="0013007A"/>
    <w:rsid w:val="00130BE9"/>
    <w:rsid w:val="001347F0"/>
    <w:rsid w:val="00135515"/>
    <w:rsid w:val="00136175"/>
    <w:rsid w:val="00136960"/>
    <w:rsid w:val="001403C6"/>
    <w:rsid w:val="00141F42"/>
    <w:rsid w:val="00142355"/>
    <w:rsid w:val="001423AD"/>
    <w:rsid w:val="00143156"/>
    <w:rsid w:val="00143BF1"/>
    <w:rsid w:val="001448C4"/>
    <w:rsid w:val="00144980"/>
    <w:rsid w:val="00146922"/>
    <w:rsid w:val="00146CD2"/>
    <w:rsid w:val="00146F54"/>
    <w:rsid w:val="00150877"/>
    <w:rsid w:val="00151386"/>
    <w:rsid w:val="0015144C"/>
    <w:rsid w:val="001525F0"/>
    <w:rsid w:val="001527FF"/>
    <w:rsid w:val="001528BD"/>
    <w:rsid w:val="00154320"/>
    <w:rsid w:val="001548E4"/>
    <w:rsid w:val="00154B2C"/>
    <w:rsid w:val="00157092"/>
    <w:rsid w:val="00157479"/>
    <w:rsid w:val="001603AB"/>
    <w:rsid w:val="00160A84"/>
    <w:rsid w:val="001613EC"/>
    <w:rsid w:val="0016149A"/>
    <w:rsid w:val="00161B13"/>
    <w:rsid w:val="00161BC7"/>
    <w:rsid w:val="001627BE"/>
    <w:rsid w:val="0016299E"/>
    <w:rsid w:val="0016445D"/>
    <w:rsid w:val="00164881"/>
    <w:rsid w:val="001658DD"/>
    <w:rsid w:val="00165EEE"/>
    <w:rsid w:val="00166D31"/>
    <w:rsid w:val="00167AE4"/>
    <w:rsid w:val="00170B5D"/>
    <w:rsid w:val="00170CDD"/>
    <w:rsid w:val="00172ABC"/>
    <w:rsid w:val="0017328B"/>
    <w:rsid w:val="00174285"/>
    <w:rsid w:val="00174936"/>
    <w:rsid w:val="00174987"/>
    <w:rsid w:val="00175605"/>
    <w:rsid w:val="001757B4"/>
    <w:rsid w:val="001759D2"/>
    <w:rsid w:val="00175CC6"/>
    <w:rsid w:val="001764D2"/>
    <w:rsid w:val="0017685B"/>
    <w:rsid w:val="00181626"/>
    <w:rsid w:val="00183398"/>
    <w:rsid w:val="0018368A"/>
    <w:rsid w:val="00183E5A"/>
    <w:rsid w:val="00184799"/>
    <w:rsid w:val="001871D6"/>
    <w:rsid w:val="00187D5E"/>
    <w:rsid w:val="0019017F"/>
    <w:rsid w:val="0019036A"/>
    <w:rsid w:val="001903D4"/>
    <w:rsid w:val="00190B22"/>
    <w:rsid w:val="001914D7"/>
    <w:rsid w:val="00192388"/>
    <w:rsid w:val="00194084"/>
    <w:rsid w:val="00194AE4"/>
    <w:rsid w:val="00194AF8"/>
    <w:rsid w:val="0019507A"/>
    <w:rsid w:val="001A1291"/>
    <w:rsid w:val="001A3006"/>
    <w:rsid w:val="001A3055"/>
    <w:rsid w:val="001A4839"/>
    <w:rsid w:val="001A6966"/>
    <w:rsid w:val="001A6CB9"/>
    <w:rsid w:val="001B0869"/>
    <w:rsid w:val="001B0B4C"/>
    <w:rsid w:val="001B1340"/>
    <w:rsid w:val="001B24A9"/>
    <w:rsid w:val="001B257C"/>
    <w:rsid w:val="001B3E28"/>
    <w:rsid w:val="001B45B7"/>
    <w:rsid w:val="001B73A1"/>
    <w:rsid w:val="001B7D26"/>
    <w:rsid w:val="001C0029"/>
    <w:rsid w:val="001C00B2"/>
    <w:rsid w:val="001C10E1"/>
    <w:rsid w:val="001C16D1"/>
    <w:rsid w:val="001C2A73"/>
    <w:rsid w:val="001C2AC6"/>
    <w:rsid w:val="001C301D"/>
    <w:rsid w:val="001C3429"/>
    <w:rsid w:val="001C3CEB"/>
    <w:rsid w:val="001C465D"/>
    <w:rsid w:val="001C56C6"/>
    <w:rsid w:val="001C7445"/>
    <w:rsid w:val="001D05E8"/>
    <w:rsid w:val="001D116E"/>
    <w:rsid w:val="001D168C"/>
    <w:rsid w:val="001D1D8A"/>
    <w:rsid w:val="001D2573"/>
    <w:rsid w:val="001D3865"/>
    <w:rsid w:val="001D40C2"/>
    <w:rsid w:val="001D5517"/>
    <w:rsid w:val="001D56CD"/>
    <w:rsid w:val="001D70E3"/>
    <w:rsid w:val="001D7C1F"/>
    <w:rsid w:val="001E0640"/>
    <w:rsid w:val="001E1604"/>
    <w:rsid w:val="001E1B75"/>
    <w:rsid w:val="001E1FEE"/>
    <w:rsid w:val="001E2673"/>
    <w:rsid w:val="001E2A2F"/>
    <w:rsid w:val="001E313B"/>
    <w:rsid w:val="001E476E"/>
    <w:rsid w:val="001E4D2F"/>
    <w:rsid w:val="001E5341"/>
    <w:rsid w:val="001E66E9"/>
    <w:rsid w:val="001E69CC"/>
    <w:rsid w:val="001E7171"/>
    <w:rsid w:val="001E758D"/>
    <w:rsid w:val="001E7F89"/>
    <w:rsid w:val="001F1412"/>
    <w:rsid w:val="001F5339"/>
    <w:rsid w:val="001F5A29"/>
    <w:rsid w:val="001F5CEE"/>
    <w:rsid w:val="001F5D49"/>
    <w:rsid w:val="001F6C7B"/>
    <w:rsid w:val="001F6DF1"/>
    <w:rsid w:val="001F7E9C"/>
    <w:rsid w:val="00201C3A"/>
    <w:rsid w:val="00201D88"/>
    <w:rsid w:val="002020B3"/>
    <w:rsid w:val="002039E2"/>
    <w:rsid w:val="00203B54"/>
    <w:rsid w:val="00203D90"/>
    <w:rsid w:val="00204859"/>
    <w:rsid w:val="00205227"/>
    <w:rsid w:val="0021059D"/>
    <w:rsid w:val="00212797"/>
    <w:rsid w:val="002137C9"/>
    <w:rsid w:val="00213DE0"/>
    <w:rsid w:val="00213F00"/>
    <w:rsid w:val="002147C8"/>
    <w:rsid w:val="002151AC"/>
    <w:rsid w:val="002231EC"/>
    <w:rsid w:val="0022386A"/>
    <w:rsid w:val="002244B2"/>
    <w:rsid w:val="002250CD"/>
    <w:rsid w:val="00232098"/>
    <w:rsid w:val="00233AF2"/>
    <w:rsid w:val="002347DC"/>
    <w:rsid w:val="00234A7E"/>
    <w:rsid w:val="00237375"/>
    <w:rsid w:val="00237590"/>
    <w:rsid w:val="00240DD1"/>
    <w:rsid w:val="002413BE"/>
    <w:rsid w:val="002442B2"/>
    <w:rsid w:val="0024470C"/>
    <w:rsid w:val="00244CED"/>
    <w:rsid w:val="00245C34"/>
    <w:rsid w:val="00246E22"/>
    <w:rsid w:val="00250EC3"/>
    <w:rsid w:val="00251197"/>
    <w:rsid w:val="00251CD6"/>
    <w:rsid w:val="00252A33"/>
    <w:rsid w:val="0025385F"/>
    <w:rsid w:val="00255978"/>
    <w:rsid w:val="00261E71"/>
    <w:rsid w:val="002628B8"/>
    <w:rsid w:val="00263145"/>
    <w:rsid w:val="002646B9"/>
    <w:rsid w:val="00265175"/>
    <w:rsid w:val="002652DB"/>
    <w:rsid w:val="002657D6"/>
    <w:rsid w:val="002661A6"/>
    <w:rsid w:val="002669CC"/>
    <w:rsid w:val="00270453"/>
    <w:rsid w:val="0027089D"/>
    <w:rsid w:val="00271724"/>
    <w:rsid w:val="00271FFE"/>
    <w:rsid w:val="00272332"/>
    <w:rsid w:val="002751BF"/>
    <w:rsid w:val="00275EBC"/>
    <w:rsid w:val="002764F0"/>
    <w:rsid w:val="00276C80"/>
    <w:rsid w:val="00277571"/>
    <w:rsid w:val="0027796E"/>
    <w:rsid w:val="00277A3D"/>
    <w:rsid w:val="00280368"/>
    <w:rsid w:val="00281BC3"/>
    <w:rsid w:val="002843AF"/>
    <w:rsid w:val="00284668"/>
    <w:rsid w:val="002856C3"/>
    <w:rsid w:val="00287AE1"/>
    <w:rsid w:val="00287BAC"/>
    <w:rsid w:val="00287DD6"/>
    <w:rsid w:val="0029038E"/>
    <w:rsid w:val="00291A2B"/>
    <w:rsid w:val="0029208F"/>
    <w:rsid w:val="0029253E"/>
    <w:rsid w:val="002930CE"/>
    <w:rsid w:val="002931DB"/>
    <w:rsid w:val="00293745"/>
    <w:rsid w:val="002942C2"/>
    <w:rsid w:val="00294717"/>
    <w:rsid w:val="00295A38"/>
    <w:rsid w:val="002969C4"/>
    <w:rsid w:val="00297FB2"/>
    <w:rsid w:val="002A07FF"/>
    <w:rsid w:val="002A19D0"/>
    <w:rsid w:val="002A2A23"/>
    <w:rsid w:val="002A5313"/>
    <w:rsid w:val="002A577A"/>
    <w:rsid w:val="002A6D0C"/>
    <w:rsid w:val="002A7464"/>
    <w:rsid w:val="002B08C2"/>
    <w:rsid w:val="002B0D73"/>
    <w:rsid w:val="002B1B10"/>
    <w:rsid w:val="002B2BF3"/>
    <w:rsid w:val="002B561F"/>
    <w:rsid w:val="002B6278"/>
    <w:rsid w:val="002B6A47"/>
    <w:rsid w:val="002B7110"/>
    <w:rsid w:val="002C1BF4"/>
    <w:rsid w:val="002C1D9F"/>
    <w:rsid w:val="002C2903"/>
    <w:rsid w:val="002C539C"/>
    <w:rsid w:val="002C66F1"/>
    <w:rsid w:val="002C6F63"/>
    <w:rsid w:val="002C715C"/>
    <w:rsid w:val="002C7839"/>
    <w:rsid w:val="002D10E7"/>
    <w:rsid w:val="002D16DE"/>
    <w:rsid w:val="002D3101"/>
    <w:rsid w:val="002D4745"/>
    <w:rsid w:val="002D4CFD"/>
    <w:rsid w:val="002D5E3A"/>
    <w:rsid w:val="002D5E65"/>
    <w:rsid w:val="002D5E9F"/>
    <w:rsid w:val="002D6627"/>
    <w:rsid w:val="002D6D39"/>
    <w:rsid w:val="002D75D7"/>
    <w:rsid w:val="002D7EB3"/>
    <w:rsid w:val="002E00E1"/>
    <w:rsid w:val="002E0830"/>
    <w:rsid w:val="002E0BD8"/>
    <w:rsid w:val="002E0BDB"/>
    <w:rsid w:val="002E278F"/>
    <w:rsid w:val="002E433F"/>
    <w:rsid w:val="002E4418"/>
    <w:rsid w:val="002E4B3D"/>
    <w:rsid w:val="002E4CE8"/>
    <w:rsid w:val="002E54C2"/>
    <w:rsid w:val="002E55E5"/>
    <w:rsid w:val="002E625A"/>
    <w:rsid w:val="002E65AB"/>
    <w:rsid w:val="002E6B54"/>
    <w:rsid w:val="002E7145"/>
    <w:rsid w:val="002E764C"/>
    <w:rsid w:val="002F1337"/>
    <w:rsid w:val="002F29F5"/>
    <w:rsid w:val="002F4007"/>
    <w:rsid w:val="002F43A6"/>
    <w:rsid w:val="002F459E"/>
    <w:rsid w:val="002F4E44"/>
    <w:rsid w:val="002F7B3F"/>
    <w:rsid w:val="002F7D04"/>
    <w:rsid w:val="002F7FC3"/>
    <w:rsid w:val="00301D7E"/>
    <w:rsid w:val="003028BC"/>
    <w:rsid w:val="00302953"/>
    <w:rsid w:val="00302D0E"/>
    <w:rsid w:val="003031CF"/>
    <w:rsid w:val="003032AD"/>
    <w:rsid w:val="00303E88"/>
    <w:rsid w:val="00304D39"/>
    <w:rsid w:val="003058EE"/>
    <w:rsid w:val="00305DAC"/>
    <w:rsid w:val="003062DA"/>
    <w:rsid w:val="00306CD7"/>
    <w:rsid w:val="003078A5"/>
    <w:rsid w:val="00312C3B"/>
    <w:rsid w:val="00313911"/>
    <w:rsid w:val="003143FA"/>
    <w:rsid w:val="0031572A"/>
    <w:rsid w:val="00315859"/>
    <w:rsid w:val="00315D05"/>
    <w:rsid w:val="00316E1A"/>
    <w:rsid w:val="003172A5"/>
    <w:rsid w:val="00317C49"/>
    <w:rsid w:val="00321633"/>
    <w:rsid w:val="00325AAF"/>
    <w:rsid w:val="00326544"/>
    <w:rsid w:val="00331728"/>
    <w:rsid w:val="00331BB2"/>
    <w:rsid w:val="00331D38"/>
    <w:rsid w:val="00332B74"/>
    <w:rsid w:val="00334D27"/>
    <w:rsid w:val="0033555E"/>
    <w:rsid w:val="003361B7"/>
    <w:rsid w:val="0033740C"/>
    <w:rsid w:val="00337EB3"/>
    <w:rsid w:val="003404DD"/>
    <w:rsid w:val="00341584"/>
    <w:rsid w:val="003439D7"/>
    <w:rsid w:val="00343A9F"/>
    <w:rsid w:val="00343E6B"/>
    <w:rsid w:val="003446AB"/>
    <w:rsid w:val="00345280"/>
    <w:rsid w:val="00345AB8"/>
    <w:rsid w:val="00345CFF"/>
    <w:rsid w:val="003467D7"/>
    <w:rsid w:val="003477C9"/>
    <w:rsid w:val="00351451"/>
    <w:rsid w:val="00351EB2"/>
    <w:rsid w:val="003526FF"/>
    <w:rsid w:val="003532A4"/>
    <w:rsid w:val="00353F1D"/>
    <w:rsid w:val="003540F6"/>
    <w:rsid w:val="00354ED6"/>
    <w:rsid w:val="00355B39"/>
    <w:rsid w:val="00355C3F"/>
    <w:rsid w:val="0035615A"/>
    <w:rsid w:val="00356EED"/>
    <w:rsid w:val="00360E5F"/>
    <w:rsid w:val="0036141A"/>
    <w:rsid w:val="00361731"/>
    <w:rsid w:val="00361E05"/>
    <w:rsid w:val="00362B5C"/>
    <w:rsid w:val="00364050"/>
    <w:rsid w:val="00364A41"/>
    <w:rsid w:val="00365773"/>
    <w:rsid w:val="003670E2"/>
    <w:rsid w:val="003671DA"/>
    <w:rsid w:val="00367695"/>
    <w:rsid w:val="00370A77"/>
    <w:rsid w:val="003714DC"/>
    <w:rsid w:val="00371BA5"/>
    <w:rsid w:val="0037203D"/>
    <w:rsid w:val="0037236E"/>
    <w:rsid w:val="00372A46"/>
    <w:rsid w:val="0037389D"/>
    <w:rsid w:val="00374D5C"/>
    <w:rsid w:val="00375409"/>
    <w:rsid w:val="003756FD"/>
    <w:rsid w:val="00376D0D"/>
    <w:rsid w:val="00377175"/>
    <w:rsid w:val="00377977"/>
    <w:rsid w:val="00380929"/>
    <w:rsid w:val="00382556"/>
    <w:rsid w:val="00382C45"/>
    <w:rsid w:val="0038359F"/>
    <w:rsid w:val="003841CA"/>
    <w:rsid w:val="00386087"/>
    <w:rsid w:val="003869C3"/>
    <w:rsid w:val="00386BC5"/>
    <w:rsid w:val="00390FD2"/>
    <w:rsid w:val="003912B6"/>
    <w:rsid w:val="003916E8"/>
    <w:rsid w:val="0039183D"/>
    <w:rsid w:val="003924AE"/>
    <w:rsid w:val="003926EE"/>
    <w:rsid w:val="00392F4B"/>
    <w:rsid w:val="00394527"/>
    <w:rsid w:val="00395054"/>
    <w:rsid w:val="00395CD4"/>
    <w:rsid w:val="00395E08"/>
    <w:rsid w:val="00396244"/>
    <w:rsid w:val="003968A0"/>
    <w:rsid w:val="00396BB3"/>
    <w:rsid w:val="003973E5"/>
    <w:rsid w:val="00397A8C"/>
    <w:rsid w:val="00397EFE"/>
    <w:rsid w:val="003A1C3B"/>
    <w:rsid w:val="003A2072"/>
    <w:rsid w:val="003A2309"/>
    <w:rsid w:val="003A28EA"/>
    <w:rsid w:val="003A38DC"/>
    <w:rsid w:val="003A4808"/>
    <w:rsid w:val="003A4B9E"/>
    <w:rsid w:val="003A6A82"/>
    <w:rsid w:val="003B0F12"/>
    <w:rsid w:val="003B2F1F"/>
    <w:rsid w:val="003B3487"/>
    <w:rsid w:val="003B35B3"/>
    <w:rsid w:val="003B4296"/>
    <w:rsid w:val="003B4821"/>
    <w:rsid w:val="003B4AA0"/>
    <w:rsid w:val="003B6ACA"/>
    <w:rsid w:val="003B7463"/>
    <w:rsid w:val="003C07D0"/>
    <w:rsid w:val="003C141A"/>
    <w:rsid w:val="003C3481"/>
    <w:rsid w:val="003C3A1B"/>
    <w:rsid w:val="003C3B88"/>
    <w:rsid w:val="003C4141"/>
    <w:rsid w:val="003C4353"/>
    <w:rsid w:val="003C4385"/>
    <w:rsid w:val="003C4E9F"/>
    <w:rsid w:val="003C7B03"/>
    <w:rsid w:val="003C7D1E"/>
    <w:rsid w:val="003D0E36"/>
    <w:rsid w:val="003D1F94"/>
    <w:rsid w:val="003D2BAF"/>
    <w:rsid w:val="003D36DF"/>
    <w:rsid w:val="003D77F4"/>
    <w:rsid w:val="003E0490"/>
    <w:rsid w:val="003E3E24"/>
    <w:rsid w:val="003E4BBB"/>
    <w:rsid w:val="003E65EB"/>
    <w:rsid w:val="003E6A2E"/>
    <w:rsid w:val="003E6C5E"/>
    <w:rsid w:val="003E6FDD"/>
    <w:rsid w:val="003F0394"/>
    <w:rsid w:val="003F07FF"/>
    <w:rsid w:val="003F1C8C"/>
    <w:rsid w:val="003F2874"/>
    <w:rsid w:val="003F2F8F"/>
    <w:rsid w:val="003F32DD"/>
    <w:rsid w:val="003F4911"/>
    <w:rsid w:val="003F539F"/>
    <w:rsid w:val="003F6AA0"/>
    <w:rsid w:val="003F6BCC"/>
    <w:rsid w:val="003F6C2B"/>
    <w:rsid w:val="003F721E"/>
    <w:rsid w:val="003F73DC"/>
    <w:rsid w:val="003F75FA"/>
    <w:rsid w:val="003F7C8F"/>
    <w:rsid w:val="004010E2"/>
    <w:rsid w:val="00401952"/>
    <w:rsid w:val="00401C20"/>
    <w:rsid w:val="00402160"/>
    <w:rsid w:val="004022C1"/>
    <w:rsid w:val="00404AFC"/>
    <w:rsid w:val="00405327"/>
    <w:rsid w:val="00407512"/>
    <w:rsid w:val="00407EAB"/>
    <w:rsid w:val="004109A2"/>
    <w:rsid w:val="00412B44"/>
    <w:rsid w:val="00413E64"/>
    <w:rsid w:val="00413E85"/>
    <w:rsid w:val="00414CA9"/>
    <w:rsid w:val="00416FA6"/>
    <w:rsid w:val="00417CE0"/>
    <w:rsid w:val="00420B12"/>
    <w:rsid w:val="004214AE"/>
    <w:rsid w:val="0042171E"/>
    <w:rsid w:val="00421C7B"/>
    <w:rsid w:val="00421EAF"/>
    <w:rsid w:val="00422B37"/>
    <w:rsid w:val="00423081"/>
    <w:rsid w:val="00423420"/>
    <w:rsid w:val="00423485"/>
    <w:rsid w:val="00423BE1"/>
    <w:rsid w:val="00424BC3"/>
    <w:rsid w:val="0042793F"/>
    <w:rsid w:val="00427A4D"/>
    <w:rsid w:val="0043037C"/>
    <w:rsid w:val="00430942"/>
    <w:rsid w:val="00430E9E"/>
    <w:rsid w:val="00431666"/>
    <w:rsid w:val="00432E2C"/>
    <w:rsid w:val="00433416"/>
    <w:rsid w:val="00433D5F"/>
    <w:rsid w:val="0043444F"/>
    <w:rsid w:val="004347AC"/>
    <w:rsid w:val="004347FF"/>
    <w:rsid w:val="004359E2"/>
    <w:rsid w:val="00435AAC"/>
    <w:rsid w:val="00435B8B"/>
    <w:rsid w:val="00436378"/>
    <w:rsid w:val="00436D88"/>
    <w:rsid w:val="00436FF2"/>
    <w:rsid w:val="004409C3"/>
    <w:rsid w:val="00440A0D"/>
    <w:rsid w:val="00440E59"/>
    <w:rsid w:val="0044127C"/>
    <w:rsid w:val="004415FF"/>
    <w:rsid w:val="0044374C"/>
    <w:rsid w:val="00445600"/>
    <w:rsid w:val="004457C4"/>
    <w:rsid w:val="0044791B"/>
    <w:rsid w:val="00450C43"/>
    <w:rsid w:val="004522C0"/>
    <w:rsid w:val="004533CF"/>
    <w:rsid w:val="00453DA6"/>
    <w:rsid w:val="00454853"/>
    <w:rsid w:val="00454EFF"/>
    <w:rsid w:val="00457BE5"/>
    <w:rsid w:val="00464042"/>
    <w:rsid w:val="004644A6"/>
    <w:rsid w:val="00464FAB"/>
    <w:rsid w:val="00465E75"/>
    <w:rsid w:val="0046619C"/>
    <w:rsid w:val="00466AFD"/>
    <w:rsid w:val="00466E8B"/>
    <w:rsid w:val="00471518"/>
    <w:rsid w:val="0047195E"/>
    <w:rsid w:val="00471E3A"/>
    <w:rsid w:val="004728B6"/>
    <w:rsid w:val="0047385E"/>
    <w:rsid w:val="00473E2B"/>
    <w:rsid w:val="004740F6"/>
    <w:rsid w:val="00474C3E"/>
    <w:rsid w:val="00474D2D"/>
    <w:rsid w:val="00476A4A"/>
    <w:rsid w:val="00477E5F"/>
    <w:rsid w:val="00480937"/>
    <w:rsid w:val="004834EC"/>
    <w:rsid w:val="00485168"/>
    <w:rsid w:val="0048647B"/>
    <w:rsid w:val="00487B8B"/>
    <w:rsid w:val="00487D6A"/>
    <w:rsid w:val="004906A0"/>
    <w:rsid w:val="00491399"/>
    <w:rsid w:val="004924C1"/>
    <w:rsid w:val="00492B2E"/>
    <w:rsid w:val="00495181"/>
    <w:rsid w:val="004A0846"/>
    <w:rsid w:val="004A2586"/>
    <w:rsid w:val="004A2B19"/>
    <w:rsid w:val="004A2B94"/>
    <w:rsid w:val="004A2FF7"/>
    <w:rsid w:val="004A38BC"/>
    <w:rsid w:val="004A3AC5"/>
    <w:rsid w:val="004A46B7"/>
    <w:rsid w:val="004A4CA7"/>
    <w:rsid w:val="004A521D"/>
    <w:rsid w:val="004A58CE"/>
    <w:rsid w:val="004A7DCC"/>
    <w:rsid w:val="004B04A4"/>
    <w:rsid w:val="004B1617"/>
    <w:rsid w:val="004B192C"/>
    <w:rsid w:val="004B1FE9"/>
    <w:rsid w:val="004B21D7"/>
    <w:rsid w:val="004B381B"/>
    <w:rsid w:val="004B38B6"/>
    <w:rsid w:val="004B3ED8"/>
    <w:rsid w:val="004B41D5"/>
    <w:rsid w:val="004B6E54"/>
    <w:rsid w:val="004B7DAF"/>
    <w:rsid w:val="004C0C1D"/>
    <w:rsid w:val="004C1425"/>
    <w:rsid w:val="004C1739"/>
    <w:rsid w:val="004C1FFD"/>
    <w:rsid w:val="004C3E9A"/>
    <w:rsid w:val="004C4420"/>
    <w:rsid w:val="004C516C"/>
    <w:rsid w:val="004C5E7E"/>
    <w:rsid w:val="004C664B"/>
    <w:rsid w:val="004C7663"/>
    <w:rsid w:val="004C79B6"/>
    <w:rsid w:val="004C79FA"/>
    <w:rsid w:val="004C7F2E"/>
    <w:rsid w:val="004D25C4"/>
    <w:rsid w:val="004D359B"/>
    <w:rsid w:val="004D5212"/>
    <w:rsid w:val="004D5457"/>
    <w:rsid w:val="004D5A76"/>
    <w:rsid w:val="004D744C"/>
    <w:rsid w:val="004E0191"/>
    <w:rsid w:val="004E20BD"/>
    <w:rsid w:val="004E20D3"/>
    <w:rsid w:val="004E2A29"/>
    <w:rsid w:val="004E3C51"/>
    <w:rsid w:val="004E3F6D"/>
    <w:rsid w:val="004E4EB2"/>
    <w:rsid w:val="004E4EE1"/>
    <w:rsid w:val="004E77ED"/>
    <w:rsid w:val="004F00CA"/>
    <w:rsid w:val="004F03E6"/>
    <w:rsid w:val="004F127A"/>
    <w:rsid w:val="004F1553"/>
    <w:rsid w:val="004F3D66"/>
    <w:rsid w:val="00501767"/>
    <w:rsid w:val="00503B21"/>
    <w:rsid w:val="00503D81"/>
    <w:rsid w:val="00504347"/>
    <w:rsid w:val="00504EFF"/>
    <w:rsid w:val="00505579"/>
    <w:rsid w:val="0050724D"/>
    <w:rsid w:val="00513177"/>
    <w:rsid w:val="005139E9"/>
    <w:rsid w:val="005155B2"/>
    <w:rsid w:val="00516A68"/>
    <w:rsid w:val="005171A3"/>
    <w:rsid w:val="00517D58"/>
    <w:rsid w:val="005208CB"/>
    <w:rsid w:val="00520A4D"/>
    <w:rsid w:val="0052130C"/>
    <w:rsid w:val="005218B0"/>
    <w:rsid w:val="005222BE"/>
    <w:rsid w:val="00523DEF"/>
    <w:rsid w:val="00524565"/>
    <w:rsid w:val="0052523F"/>
    <w:rsid w:val="00525AB3"/>
    <w:rsid w:val="00525BB1"/>
    <w:rsid w:val="00526EF7"/>
    <w:rsid w:val="0053051E"/>
    <w:rsid w:val="00530E00"/>
    <w:rsid w:val="00532DF5"/>
    <w:rsid w:val="00533720"/>
    <w:rsid w:val="00534954"/>
    <w:rsid w:val="0053521E"/>
    <w:rsid w:val="00537225"/>
    <w:rsid w:val="0054159B"/>
    <w:rsid w:val="00541F83"/>
    <w:rsid w:val="00545815"/>
    <w:rsid w:val="0054644F"/>
    <w:rsid w:val="00546E74"/>
    <w:rsid w:val="00547AD1"/>
    <w:rsid w:val="005512CD"/>
    <w:rsid w:val="005513F0"/>
    <w:rsid w:val="00552293"/>
    <w:rsid w:val="0055296F"/>
    <w:rsid w:val="00552C90"/>
    <w:rsid w:val="00553365"/>
    <w:rsid w:val="00554CC5"/>
    <w:rsid w:val="00556D1D"/>
    <w:rsid w:val="00556F24"/>
    <w:rsid w:val="005603E4"/>
    <w:rsid w:val="00560600"/>
    <w:rsid w:val="00562633"/>
    <w:rsid w:val="00562966"/>
    <w:rsid w:val="00564DE3"/>
    <w:rsid w:val="005656E4"/>
    <w:rsid w:val="00567D9E"/>
    <w:rsid w:val="005712C9"/>
    <w:rsid w:val="0057171F"/>
    <w:rsid w:val="00571EDE"/>
    <w:rsid w:val="00573D56"/>
    <w:rsid w:val="0057451A"/>
    <w:rsid w:val="00574BB8"/>
    <w:rsid w:val="00574DCF"/>
    <w:rsid w:val="00576DFD"/>
    <w:rsid w:val="00577C40"/>
    <w:rsid w:val="00580306"/>
    <w:rsid w:val="0058081D"/>
    <w:rsid w:val="00582D36"/>
    <w:rsid w:val="00582E11"/>
    <w:rsid w:val="00583537"/>
    <w:rsid w:val="00583898"/>
    <w:rsid w:val="005849E6"/>
    <w:rsid w:val="0058660A"/>
    <w:rsid w:val="0058714B"/>
    <w:rsid w:val="00590472"/>
    <w:rsid w:val="00591F1C"/>
    <w:rsid w:val="00592337"/>
    <w:rsid w:val="00592DFA"/>
    <w:rsid w:val="0059559B"/>
    <w:rsid w:val="00595BC7"/>
    <w:rsid w:val="005A0B6B"/>
    <w:rsid w:val="005A0BE1"/>
    <w:rsid w:val="005A1605"/>
    <w:rsid w:val="005A16DD"/>
    <w:rsid w:val="005A180C"/>
    <w:rsid w:val="005A2E3F"/>
    <w:rsid w:val="005A3962"/>
    <w:rsid w:val="005A3A5E"/>
    <w:rsid w:val="005A44A0"/>
    <w:rsid w:val="005A4800"/>
    <w:rsid w:val="005A4818"/>
    <w:rsid w:val="005A4DD6"/>
    <w:rsid w:val="005A55EE"/>
    <w:rsid w:val="005A61F0"/>
    <w:rsid w:val="005A64F1"/>
    <w:rsid w:val="005A6A20"/>
    <w:rsid w:val="005A6AE5"/>
    <w:rsid w:val="005A6D39"/>
    <w:rsid w:val="005B05D7"/>
    <w:rsid w:val="005B4010"/>
    <w:rsid w:val="005B486B"/>
    <w:rsid w:val="005B4F3A"/>
    <w:rsid w:val="005B5119"/>
    <w:rsid w:val="005B5295"/>
    <w:rsid w:val="005B5304"/>
    <w:rsid w:val="005B647C"/>
    <w:rsid w:val="005B68F6"/>
    <w:rsid w:val="005B7D75"/>
    <w:rsid w:val="005C02A3"/>
    <w:rsid w:val="005C2486"/>
    <w:rsid w:val="005C2C1F"/>
    <w:rsid w:val="005C2ECD"/>
    <w:rsid w:val="005C5DC4"/>
    <w:rsid w:val="005D0B7B"/>
    <w:rsid w:val="005D12CC"/>
    <w:rsid w:val="005D1A5E"/>
    <w:rsid w:val="005D2C25"/>
    <w:rsid w:val="005D32DA"/>
    <w:rsid w:val="005D3D49"/>
    <w:rsid w:val="005D449D"/>
    <w:rsid w:val="005D4929"/>
    <w:rsid w:val="005D4F3B"/>
    <w:rsid w:val="005D5BD8"/>
    <w:rsid w:val="005D66CC"/>
    <w:rsid w:val="005D6E8E"/>
    <w:rsid w:val="005D7BFD"/>
    <w:rsid w:val="005D7D8D"/>
    <w:rsid w:val="005E0795"/>
    <w:rsid w:val="005E15A8"/>
    <w:rsid w:val="005E1F0B"/>
    <w:rsid w:val="005E24E9"/>
    <w:rsid w:val="005E3AF1"/>
    <w:rsid w:val="005E564C"/>
    <w:rsid w:val="005E7EE7"/>
    <w:rsid w:val="005F024F"/>
    <w:rsid w:val="005F025C"/>
    <w:rsid w:val="005F055A"/>
    <w:rsid w:val="005F106B"/>
    <w:rsid w:val="005F1A7D"/>
    <w:rsid w:val="005F283B"/>
    <w:rsid w:val="005F3DC0"/>
    <w:rsid w:val="005F45A1"/>
    <w:rsid w:val="005F4BD2"/>
    <w:rsid w:val="005F4E05"/>
    <w:rsid w:val="005F6329"/>
    <w:rsid w:val="0060089E"/>
    <w:rsid w:val="00602904"/>
    <w:rsid w:val="00602DC9"/>
    <w:rsid w:val="00604C5B"/>
    <w:rsid w:val="0060580A"/>
    <w:rsid w:val="00606225"/>
    <w:rsid w:val="00606395"/>
    <w:rsid w:val="00606B3C"/>
    <w:rsid w:val="00606CBA"/>
    <w:rsid w:val="0060793C"/>
    <w:rsid w:val="00611770"/>
    <w:rsid w:val="006117E1"/>
    <w:rsid w:val="00612F86"/>
    <w:rsid w:val="00614946"/>
    <w:rsid w:val="006150D9"/>
    <w:rsid w:val="006153DD"/>
    <w:rsid w:val="00615C03"/>
    <w:rsid w:val="00615D20"/>
    <w:rsid w:val="006167F3"/>
    <w:rsid w:val="0061692C"/>
    <w:rsid w:val="006169B9"/>
    <w:rsid w:val="00617750"/>
    <w:rsid w:val="006179EA"/>
    <w:rsid w:val="00617E20"/>
    <w:rsid w:val="006226FB"/>
    <w:rsid w:val="00622B95"/>
    <w:rsid w:val="00622BD4"/>
    <w:rsid w:val="00625982"/>
    <w:rsid w:val="006270F4"/>
    <w:rsid w:val="00627D0C"/>
    <w:rsid w:val="00630030"/>
    <w:rsid w:val="00632500"/>
    <w:rsid w:val="006332C4"/>
    <w:rsid w:val="00633325"/>
    <w:rsid w:val="00633876"/>
    <w:rsid w:val="00633A28"/>
    <w:rsid w:val="00633B42"/>
    <w:rsid w:val="00634AAF"/>
    <w:rsid w:val="00634F4F"/>
    <w:rsid w:val="0063703D"/>
    <w:rsid w:val="0063798F"/>
    <w:rsid w:val="00641570"/>
    <w:rsid w:val="006419A2"/>
    <w:rsid w:val="00641BA3"/>
    <w:rsid w:val="00642354"/>
    <w:rsid w:val="006426BE"/>
    <w:rsid w:val="00643468"/>
    <w:rsid w:val="006452F9"/>
    <w:rsid w:val="00646022"/>
    <w:rsid w:val="0064697E"/>
    <w:rsid w:val="00647486"/>
    <w:rsid w:val="00647533"/>
    <w:rsid w:val="0065042B"/>
    <w:rsid w:val="0065085F"/>
    <w:rsid w:val="00650F07"/>
    <w:rsid w:val="00652659"/>
    <w:rsid w:val="006528AE"/>
    <w:rsid w:val="00653BE2"/>
    <w:rsid w:val="0065487A"/>
    <w:rsid w:val="006561D2"/>
    <w:rsid w:val="00656D50"/>
    <w:rsid w:val="00656F5C"/>
    <w:rsid w:val="00657574"/>
    <w:rsid w:val="0066087A"/>
    <w:rsid w:val="006633E6"/>
    <w:rsid w:val="0066423E"/>
    <w:rsid w:val="00665D80"/>
    <w:rsid w:val="00672002"/>
    <w:rsid w:val="0067339F"/>
    <w:rsid w:val="00674A15"/>
    <w:rsid w:val="00674B6A"/>
    <w:rsid w:val="00674C53"/>
    <w:rsid w:val="00675641"/>
    <w:rsid w:val="006800F1"/>
    <w:rsid w:val="00680604"/>
    <w:rsid w:val="00680F37"/>
    <w:rsid w:val="00681017"/>
    <w:rsid w:val="006810B6"/>
    <w:rsid w:val="006817AF"/>
    <w:rsid w:val="00682777"/>
    <w:rsid w:val="00686340"/>
    <w:rsid w:val="00686821"/>
    <w:rsid w:val="00686F9F"/>
    <w:rsid w:val="00687B4D"/>
    <w:rsid w:val="00687F9C"/>
    <w:rsid w:val="00690994"/>
    <w:rsid w:val="00690DAC"/>
    <w:rsid w:val="00691A5B"/>
    <w:rsid w:val="00692356"/>
    <w:rsid w:val="0069261C"/>
    <w:rsid w:val="00692849"/>
    <w:rsid w:val="00693891"/>
    <w:rsid w:val="0069442D"/>
    <w:rsid w:val="00694BEE"/>
    <w:rsid w:val="006952A9"/>
    <w:rsid w:val="0069553B"/>
    <w:rsid w:val="0069616B"/>
    <w:rsid w:val="00696315"/>
    <w:rsid w:val="006A0E93"/>
    <w:rsid w:val="006A15A0"/>
    <w:rsid w:val="006A1DF6"/>
    <w:rsid w:val="006A26B8"/>
    <w:rsid w:val="006A2B32"/>
    <w:rsid w:val="006A5378"/>
    <w:rsid w:val="006A60CF"/>
    <w:rsid w:val="006A76AD"/>
    <w:rsid w:val="006A7F61"/>
    <w:rsid w:val="006B1CCA"/>
    <w:rsid w:val="006B2487"/>
    <w:rsid w:val="006B31C6"/>
    <w:rsid w:val="006B3EC5"/>
    <w:rsid w:val="006B5107"/>
    <w:rsid w:val="006B689B"/>
    <w:rsid w:val="006B6ACE"/>
    <w:rsid w:val="006C045D"/>
    <w:rsid w:val="006C1035"/>
    <w:rsid w:val="006C36CE"/>
    <w:rsid w:val="006C51AF"/>
    <w:rsid w:val="006C5508"/>
    <w:rsid w:val="006C6FA4"/>
    <w:rsid w:val="006D0E12"/>
    <w:rsid w:val="006D29A7"/>
    <w:rsid w:val="006D6AA0"/>
    <w:rsid w:val="006E1F9E"/>
    <w:rsid w:val="006E2BAF"/>
    <w:rsid w:val="006E3165"/>
    <w:rsid w:val="006E3720"/>
    <w:rsid w:val="006E4494"/>
    <w:rsid w:val="006E5515"/>
    <w:rsid w:val="006E6E01"/>
    <w:rsid w:val="006E7F3A"/>
    <w:rsid w:val="006F01A7"/>
    <w:rsid w:val="006F1284"/>
    <w:rsid w:val="006F12D7"/>
    <w:rsid w:val="006F36C0"/>
    <w:rsid w:val="00700DC6"/>
    <w:rsid w:val="007011DF"/>
    <w:rsid w:val="0070298D"/>
    <w:rsid w:val="007042A7"/>
    <w:rsid w:val="00705494"/>
    <w:rsid w:val="007054B8"/>
    <w:rsid w:val="0070563F"/>
    <w:rsid w:val="00705B22"/>
    <w:rsid w:val="007105B3"/>
    <w:rsid w:val="007106DC"/>
    <w:rsid w:val="0071161A"/>
    <w:rsid w:val="0071228B"/>
    <w:rsid w:val="007122BC"/>
    <w:rsid w:val="00713B04"/>
    <w:rsid w:val="00714092"/>
    <w:rsid w:val="0071465B"/>
    <w:rsid w:val="00714E5A"/>
    <w:rsid w:val="00715803"/>
    <w:rsid w:val="00716C28"/>
    <w:rsid w:val="0071769C"/>
    <w:rsid w:val="00720E8A"/>
    <w:rsid w:val="0072116B"/>
    <w:rsid w:val="00724555"/>
    <w:rsid w:val="00724585"/>
    <w:rsid w:val="007256E6"/>
    <w:rsid w:val="00725DFE"/>
    <w:rsid w:val="00726B82"/>
    <w:rsid w:val="0073024F"/>
    <w:rsid w:val="00730AA1"/>
    <w:rsid w:val="00732D61"/>
    <w:rsid w:val="007334A4"/>
    <w:rsid w:val="00733C8E"/>
    <w:rsid w:val="00733FD0"/>
    <w:rsid w:val="0073454B"/>
    <w:rsid w:val="00734675"/>
    <w:rsid w:val="00734E47"/>
    <w:rsid w:val="00736032"/>
    <w:rsid w:val="00736A4D"/>
    <w:rsid w:val="00736ED1"/>
    <w:rsid w:val="00737B98"/>
    <w:rsid w:val="00737EE4"/>
    <w:rsid w:val="00740B6F"/>
    <w:rsid w:val="00741F8C"/>
    <w:rsid w:val="0074365F"/>
    <w:rsid w:val="00743746"/>
    <w:rsid w:val="007443AE"/>
    <w:rsid w:val="00746E27"/>
    <w:rsid w:val="0074789A"/>
    <w:rsid w:val="00747EC1"/>
    <w:rsid w:val="007503CF"/>
    <w:rsid w:val="00750D9A"/>
    <w:rsid w:val="00751B7F"/>
    <w:rsid w:val="00751DE5"/>
    <w:rsid w:val="00753FB1"/>
    <w:rsid w:val="007545C9"/>
    <w:rsid w:val="00754FC4"/>
    <w:rsid w:val="00757434"/>
    <w:rsid w:val="00757822"/>
    <w:rsid w:val="00762283"/>
    <w:rsid w:val="00763848"/>
    <w:rsid w:val="00765DF8"/>
    <w:rsid w:val="00766280"/>
    <w:rsid w:val="007710B5"/>
    <w:rsid w:val="00771F47"/>
    <w:rsid w:val="00773C14"/>
    <w:rsid w:val="007746F1"/>
    <w:rsid w:val="0077536B"/>
    <w:rsid w:val="00776E5B"/>
    <w:rsid w:val="00777AF9"/>
    <w:rsid w:val="00780137"/>
    <w:rsid w:val="0078095B"/>
    <w:rsid w:val="007812C5"/>
    <w:rsid w:val="0078271E"/>
    <w:rsid w:val="007845B7"/>
    <w:rsid w:val="00784883"/>
    <w:rsid w:val="0078779C"/>
    <w:rsid w:val="007911FD"/>
    <w:rsid w:val="007916F6"/>
    <w:rsid w:val="00792B87"/>
    <w:rsid w:val="0079688F"/>
    <w:rsid w:val="00796CE9"/>
    <w:rsid w:val="007A3739"/>
    <w:rsid w:val="007A5C44"/>
    <w:rsid w:val="007A68E6"/>
    <w:rsid w:val="007A6E0E"/>
    <w:rsid w:val="007A6F68"/>
    <w:rsid w:val="007A71E2"/>
    <w:rsid w:val="007A7DBD"/>
    <w:rsid w:val="007B05A1"/>
    <w:rsid w:val="007B0821"/>
    <w:rsid w:val="007B0E9C"/>
    <w:rsid w:val="007B3198"/>
    <w:rsid w:val="007B5384"/>
    <w:rsid w:val="007B7EB6"/>
    <w:rsid w:val="007C013E"/>
    <w:rsid w:val="007C0175"/>
    <w:rsid w:val="007C02D5"/>
    <w:rsid w:val="007C0D9F"/>
    <w:rsid w:val="007C1271"/>
    <w:rsid w:val="007C24BF"/>
    <w:rsid w:val="007C3A5D"/>
    <w:rsid w:val="007C3A8C"/>
    <w:rsid w:val="007C3AF8"/>
    <w:rsid w:val="007C3B3B"/>
    <w:rsid w:val="007C3BF0"/>
    <w:rsid w:val="007C5948"/>
    <w:rsid w:val="007D0F14"/>
    <w:rsid w:val="007D44E0"/>
    <w:rsid w:val="007D49CB"/>
    <w:rsid w:val="007D6308"/>
    <w:rsid w:val="007D6700"/>
    <w:rsid w:val="007D7891"/>
    <w:rsid w:val="007D7F01"/>
    <w:rsid w:val="007D7F04"/>
    <w:rsid w:val="007E0945"/>
    <w:rsid w:val="007E0C21"/>
    <w:rsid w:val="007E1A6B"/>
    <w:rsid w:val="007E400D"/>
    <w:rsid w:val="007E4428"/>
    <w:rsid w:val="007E47C5"/>
    <w:rsid w:val="007E4DF8"/>
    <w:rsid w:val="007E5320"/>
    <w:rsid w:val="007E5DF4"/>
    <w:rsid w:val="007E5F17"/>
    <w:rsid w:val="007E635F"/>
    <w:rsid w:val="007E6953"/>
    <w:rsid w:val="007E702E"/>
    <w:rsid w:val="007E75B0"/>
    <w:rsid w:val="007E7E9E"/>
    <w:rsid w:val="007F3988"/>
    <w:rsid w:val="007F45C0"/>
    <w:rsid w:val="007F509D"/>
    <w:rsid w:val="007F5928"/>
    <w:rsid w:val="007F5E04"/>
    <w:rsid w:val="007F65ED"/>
    <w:rsid w:val="007F69E4"/>
    <w:rsid w:val="007F7EF6"/>
    <w:rsid w:val="00801049"/>
    <w:rsid w:val="00801123"/>
    <w:rsid w:val="008019DD"/>
    <w:rsid w:val="00802877"/>
    <w:rsid w:val="00803765"/>
    <w:rsid w:val="008039ED"/>
    <w:rsid w:val="00803A9A"/>
    <w:rsid w:val="00804136"/>
    <w:rsid w:val="00805E0E"/>
    <w:rsid w:val="00807057"/>
    <w:rsid w:val="00807404"/>
    <w:rsid w:val="008075C4"/>
    <w:rsid w:val="0081076B"/>
    <w:rsid w:val="00810903"/>
    <w:rsid w:val="0081185D"/>
    <w:rsid w:val="008122BF"/>
    <w:rsid w:val="00812561"/>
    <w:rsid w:val="00812AA9"/>
    <w:rsid w:val="00813518"/>
    <w:rsid w:val="008142A1"/>
    <w:rsid w:val="00814737"/>
    <w:rsid w:val="0081547C"/>
    <w:rsid w:val="00815EE6"/>
    <w:rsid w:val="008161AD"/>
    <w:rsid w:val="00816854"/>
    <w:rsid w:val="00817A8D"/>
    <w:rsid w:val="00817E43"/>
    <w:rsid w:val="00820212"/>
    <w:rsid w:val="00820759"/>
    <w:rsid w:val="00822108"/>
    <w:rsid w:val="00825234"/>
    <w:rsid w:val="008274DA"/>
    <w:rsid w:val="008301FC"/>
    <w:rsid w:val="008306D2"/>
    <w:rsid w:val="00830722"/>
    <w:rsid w:val="008312B9"/>
    <w:rsid w:val="00832555"/>
    <w:rsid w:val="00832A35"/>
    <w:rsid w:val="00832DFE"/>
    <w:rsid w:val="008335C2"/>
    <w:rsid w:val="00835E89"/>
    <w:rsid w:val="00836DC4"/>
    <w:rsid w:val="008375AF"/>
    <w:rsid w:val="00842654"/>
    <w:rsid w:val="0084274A"/>
    <w:rsid w:val="008428DE"/>
    <w:rsid w:val="008429CA"/>
    <w:rsid w:val="00843476"/>
    <w:rsid w:val="00843F59"/>
    <w:rsid w:val="00844640"/>
    <w:rsid w:val="00846628"/>
    <w:rsid w:val="00846988"/>
    <w:rsid w:val="008477F5"/>
    <w:rsid w:val="00847A01"/>
    <w:rsid w:val="00847B32"/>
    <w:rsid w:val="00847BB3"/>
    <w:rsid w:val="0085007E"/>
    <w:rsid w:val="008503EC"/>
    <w:rsid w:val="00850E05"/>
    <w:rsid w:val="00851CA1"/>
    <w:rsid w:val="00852D90"/>
    <w:rsid w:val="008543AD"/>
    <w:rsid w:val="00854EE7"/>
    <w:rsid w:val="00855281"/>
    <w:rsid w:val="00855B0F"/>
    <w:rsid w:val="00855EBC"/>
    <w:rsid w:val="008578CE"/>
    <w:rsid w:val="00857C63"/>
    <w:rsid w:val="00860BCA"/>
    <w:rsid w:val="00860F9C"/>
    <w:rsid w:val="008623A7"/>
    <w:rsid w:val="0086313C"/>
    <w:rsid w:val="00863A15"/>
    <w:rsid w:val="00864FA1"/>
    <w:rsid w:val="0086743E"/>
    <w:rsid w:val="0087216D"/>
    <w:rsid w:val="008727D5"/>
    <w:rsid w:val="00874E34"/>
    <w:rsid w:val="00875F53"/>
    <w:rsid w:val="00875F8C"/>
    <w:rsid w:val="0087778B"/>
    <w:rsid w:val="00881038"/>
    <w:rsid w:val="008835EF"/>
    <w:rsid w:val="008843D7"/>
    <w:rsid w:val="00884A74"/>
    <w:rsid w:val="00884B5B"/>
    <w:rsid w:val="00884C21"/>
    <w:rsid w:val="00884CF2"/>
    <w:rsid w:val="00885165"/>
    <w:rsid w:val="00886BA7"/>
    <w:rsid w:val="008873E6"/>
    <w:rsid w:val="0089071A"/>
    <w:rsid w:val="00890934"/>
    <w:rsid w:val="00890A48"/>
    <w:rsid w:val="0089198F"/>
    <w:rsid w:val="00891C7D"/>
    <w:rsid w:val="00892309"/>
    <w:rsid w:val="0089251C"/>
    <w:rsid w:val="0089286B"/>
    <w:rsid w:val="008932C3"/>
    <w:rsid w:val="00893923"/>
    <w:rsid w:val="00896556"/>
    <w:rsid w:val="0089668D"/>
    <w:rsid w:val="00896F40"/>
    <w:rsid w:val="00897085"/>
    <w:rsid w:val="00897F46"/>
    <w:rsid w:val="008A1781"/>
    <w:rsid w:val="008A23E1"/>
    <w:rsid w:val="008A29D2"/>
    <w:rsid w:val="008A371E"/>
    <w:rsid w:val="008A51DB"/>
    <w:rsid w:val="008A6FBC"/>
    <w:rsid w:val="008B12E2"/>
    <w:rsid w:val="008B1F48"/>
    <w:rsid w:val="008B2820"/>
    <w:rsid w:val="008B33BB"/>
    <w:rsid w:val="008B4475"/>
    <w:rsid w:val="008B4E0B"/>
    <w:rsid w:val="008B51EC"/>
    <w:rsid w:val="008B5380"/>
    <w:rsid w:val="008B6475"/>
    <w:rsid w:val="008B6CE2"/>
    <w:rsid w:val="008C1CE0"/>
    <w:rsid w:val="008C2301"/>
    <w:rsid w:val="008C3A02"/>
    <w:rsid w:val="008C3D14"/>
    <w:rsid w:val="008C65B2"/>
    <w:rsid w:val="008C7439"/>
    <w:rsid w:val="008C7AD2"/>
    <w:rsid w:val="008D024B"/>
    <w:rsid w:val="008D0265"/>
    <w:rsid w:val="008D10D2"/>
    <w:rsid w:val="008D33AA"/>
    <w:rsid w:val="008D35E2"/>
    <w:rsid w:val="008D3F15"/>
    <w:rsid w:val="008E00C1"/>
    <w:rsid w:val="008E2076"/>
    <w:rsid w:val="008E2D5C"/>
    <w:rsid w:val="008E34DB"/>
    <w:rsid w:val="008E3FC4"/>
    <w:rsid w:val="008E4BA4"/>
    <w:rsid w:val="008E50E7"/>
    <w:rsid w:val="008E50F2"/>
    <w:rsid w:val="008E5F3F"/>
    <w:rsid w:val="008E6078"/>
    <w:rsid w:val="008E7A31"/>
    <w:rsid w:val="008E7DF5"/>
    <w:rsid w:val="008F09A2"/>
    <w:rsid w:val="008F09C1"/>
    <w:rsid w:val="008F51F3"/>
    <w:rsid w:val="008F75FA"/>
    <w:rsid w:val="009003EA"/>
    <w:rsid w:val="00901E91"/>
    <w:rsid w:val="009041ED"/>
    <w:rsid w:val="00904D78"/>
    <w:rsid w:val="009051B8"/>
    <w:rsid w:val="009053DF"/>
    <w:rsid w:val="0090597E"/>
    <w:rsid w:val="00905D61"/>
    <w:rsid w:val="00906495"/>
    <w:rsid w:val="009145D8"/>
    <w:rsid w:val="0091542A"/>
    <w:rsid w:val="009156F5"/>
    <w:rsid w:val="00915876"/>
    <w:rsid w:val="00915D23"/>
    <w:rsid w:val="00915FD7"/>
    <w:rsid w:val="0091623E"/>
    <w:rsid w:val="00917F9B"/>
    <w:rsid w:val="009205CA"/>
    <w:rsid w:val="00920A34"/>
    <w:rsid w:val="00921FCF"/>
    <w:rsid w:val="009247EC"/>
    <w:rsid w:val="00926D7D"/>
    <w:rsid w:val="0092793B"/>
    <w:rsid w:val="00930CDB"/>
    <w:rsid w:val="009311E3"/>
    <w:rsid w:val="0093169C"/>
    <w:rsid w:val="00931DD3"/>
    <w:rsid w:val="00933C3D"/>
    <w:rsid w:val="00933C51"/>
    <w:rsid w:val="009340DB"/>
    <w:rsid w:val="00935684"/>
    <w:rsid w:val="00935CB1"/>
    <w:rsid w:val="00935E6E"/>
    <w:rsid w:val="0093629F"/>
    <w:rsid w:val="009367F7"/>
    <w:rsid w:val="009371B8"/>
    <w:rsid w:val="00937B3B"/>
    <w:rsid w:val="00944BE1"/>
    <w:rsid w:val="00945EAF"/>
    <w:rsid w:val="009476D0"/>
    <w:rsid w:val="009501CA"/>
    <w:rsid w:val="00951B96"/>
    <w:rsid w:val="00952579"/>
    <w:rsid w:val="009536AC"/>
    <w:rsid w:val="00953BD6"/>
    <w:rsid w:val="009564D0"/>
    <w:rsid w:val="00956A74"/>
    <w:rsid w:val="009606DC"/>
    <w:rsid w:val="00960DCC"/>
    <w:rsid w:val="00961F20"/>
    <w:rsid w:val="00962F1E"/>
    <w:rsid w:val="0096337C"/>
    <w:rsid w:val="00963FCD"/>
    <w:rsid w:val="00964C34"/>
    <w:rsid w:val="009653CB"/>
    <w:rsid w:val="00966417"/>
    <w:rsid w:val="0097002B"/>
    <w:rsid w:val="00970E19"/>
    <w:rsid w:val="00971229"/>
    <w:rsid w:val="009730BD"/>
    <w:rsid w:val="0097339F"/>
    <w:rsid w:val="00973F8C"/>
    <w:rsid w:val="009747B3"/>
    <w:rsid w:val="00974FA1"/>
    <w:rsid w:val="009764B9"/>
    <w:rsid w:val="0097688D"/>
    <w:rsid w:val="009805A4"/>
    <w:rsid w:val="00981886"/>
    <w:rsid w:val="00982067"/>
    <w:rsid w:val="00982ECA"/>
    <w:rsid w:val="009832CD"/>
    <w:rsid w:val="009848A4"/>
    <w:rsid w:val="00984C11"/>
    <w:rsid w:val="0098656F"/>
    <w:rsid w:val="009868D0"/>
    <w:rsid w:val="009875E8"/>
    <w:rsid w:val="00987C5D"/>
    <w:rsid w:val="00990271"/>
    <w:rsid w:val="00991FD5"/>
    <w:rsid w:val="0099253F"/>
    <w:rsid w:val="009936B9"/>
    <w:rsid w:val="00993AF4"/>
    <w:rsid w:val="009A04F0"/>
    <w:rsid w:val="009A0B35"/>
    <w:rsid w:val="009A1E51"/>
    <w:rsid w:val="009A24A9"/>
    <w:rsid w:val="009A29E6"/>
    <w:rsid w:val="009A5406"/>
    <w:rsid w:val="009A5541"/>
    <w:rsid w:val="009A76DB"/>
    <w:rsid w:val="009A7AB0"/>
    <w:rsid w:val="009A7DD5"/>
    <w:rsid w:val="009B0A72"/>
    <w:rsid w:val="009B15F8"/>
    <w:rsid w:val="009B1736"/>
    <w:rsid w:val="009B1CE4"/>
    <w:rsid w:val="009B41CC"/>
    <w:rsid w:val="009B4338"/>
    <w:rsid w:val="009B44D8"/>
    <w:rsid w:val="009B4DBE"/>
    <w:rsid w:val="009B5230"/>
    <w:rsid w:val="009B55AD"/>
    <w:rsid w:val="009B5926"/>
    <w:rsid w:val="009B592C"/>
    <w:rsid w:val="009B5C97"/>
    <w:rsid w:val="009B6DF0"/>
    <w:rsid w:val="009B7893"/>
    <w:rsid w:val="009C2AF3"/>
    <w:rsid w:val="009C2D3E"/>
    <w:rsid w:val="009C3F61"/>
    <w:rsid w:val="009C436A"/>
    <w:rsid w:val="009C6756"/>
    <w:rsid w:val="009C6983"/>
    <w:rsid w:val="009C6F44"/>
    <w:rsid w:val="009D1BCC"/>
    <w:rsid w:val="009D2299"/>
    <w:rsid w:val="009D271A"/>
    <w:rsid w:val="009D355A"/>
    <w:rsid w:val="009D46C2"/>
    <w:rsid w:val="009D537E"/>
    <w:rsid w:val="009D5961"/>
    <w:rsid w:val="009E0EED"/>
    <w:rsid w:val="009E380D"/>
    <w:rsid w:val="009E3F84"/>
    <w:rsid w:val="009E552F"/>
    <w:rsid w:val="009E6DA2"/>
    <w:rsid w:val="009E7A21"/>
    <w:rsid w:val="009E7C7B"/>
    <w:rsid w:val="009F1AF6"/>
    <w:rsid w:val="009F2120"/>
    <w:rsid w:val="009F3361"/>
    <w:rsid w:val="009F404A"/>
    <w:rsid w:val="009F4233"/>
    <w:rsid w:val="009F475A"/>
    <w:rsid w:val="009F6780"/>
    <w:rsid w:val="009F6B03"/>
    <w:rsid w:val="009F6D23"/>
    <w:rsid w:val="00A004EE"/>
    <w:rsid w:val="00A03459"/>
    <w:rsid w:val="00A042D7"/>
    <w:rsid w:val="00A0530A"/>
    <w:rsid w:val="00A063BC"/>
    <w:rsid w:val="00A06CD2"/>
    <w:rsid w:val="00A07BE1"/>
    <w:rsid w:val="00A07F73"/>
    <w:rsid w:val="00A10A0A"/>
    <w:rsid w:val="00A115C0"/>
    <w:rsid w:val="00A12166"/>
    <w:rsid w:val="00A12734"/>
    <w:rsid w:val="00A13BE2"/>
    <w:rsid w:val="00A13E05"/>
    <w:rsid w:val="00A1480E"/>
    <w:rsid w:val="00A14A04"/>
    <w:rsid w:val="00A161AC"/>
    <w:rsid w:val="00A1666F"/>
    <w:rsid w:val="00A171BE"/>
    <w:rsid w:val="00A20E0F"/>
    <w:rsid w:val="00A22F8C"/>
    <w:rsid w:val="00A2378E"/>
    <w:rsid w:val="00A23B5D"/>
    <w:rsid w:val="00A23D3C"/>
    <w:rsid w:val="00A251B9"/>
    <w:rsid w:val="00A25F85"/>
    <w:rsid w:val="00A30D89"/>
    <w:rsid w:val="00A30EF3"/>
    <w:rsid w:val="00A34FF8"/>
    <w:rsid w:val="00A35CEB"/>
    <w:rsid w:val="00A36F81"/>
    <w:rsid w:val="00A40F8F"/>
    <w:rsid w:val="00A42BC3"/>
    <w:rsid w:val="00A42C7A"/>
    <w:rsid w:val="00A44011"/>
    <w:rsid w:val="00A4425B"/>
    <w:rsid w:val="00A4524F"/>
    <w:rsid w:val="00A464BC"/>
    <w:rsid w:val="00A474EB"/>
    <w:rsid w:val="00A51DF1"/>
    <w:rsid w:val="00A54214"/>
    <w:rsid w:val="00A54663"/>
    <w:rsid w:val="00A555B1"/>
    <w:rsid w:val="00A55BC2"/>
    <w:rsid w:val="00A56AD5"/>
    <w:rsid w:val="00A600CC"/>
    <w:rsid w:val="00A60D28"/>
    <w:rsid w:val="00A6152D"/>
    <w:rsid w:val="00A62500"/>
    <w:rsid w:val="00A63751"/>
    <w:rsid w:val="00A660D0"/>
    <w:rsid w:val="00A6785A"/>
    <w:rsid w:val="00A724A9"/>
    <w:rsid w:val="00A7276D"/>
    <w:rsid w:val="00A72F0C"/>
    <w:rsid w:val="00A72FF1"/>
    <w:rsid w:val="00A74141"/>
    <w:rsid w:val="00A76175"/>
    <w:rsid w:val="00A76253"/>
    <w:rsid w:val="00A77269"/>
    <w:rsid w:val="00A77C63"/>
    <w:rsid w:val="00A8162F"/>
    <w:rsid w:val="00A82613"/>
    <w:rsid w:val="00A83274"/>
    <w:rsid w:val="00A84EF9"/>
    <w:rsid w:val="00A8634C"/>
    <w:rsid w:val="00A86BAE"/>
    <w:rsid w:val="00A879F0"/>
    <w:rsid w:val="00A90A22"/>
    <w:rsid w:val="00A91257"/>
    <w:rsid w:val="00A91567"/>
    <w:rsid w:val="00A92346"/>
    <w:rsid w:val="00A93B6D"/>
    <w:rsid w:val="00A93C05"/>
    <w:rsid w:val="00A94FDF"/>
    <w:rsid w:val="00A9657D"/>
    <w:rsid w:val="00A966E0"/>
    <w:rsid w:val="00A96A21"/>
    <w:rsid w:val="00AA07E7"/>
    <w:rsid w:val="00AA282C"/>
    <w:rsid w:val="00AA2DA9"/>
    <w:rsid w:val="00AA42F9"/>
    <w:rsid w:val="00AA48A8"/>
    <w:rsid w:val="00AA61E8"/>
    <w:rsid w:val="00AA71DC"/>
    <w:rsid w:val="00AB02A6"/>
    <w:rsid w:val="00AB151E"/>
    <w:rsid w:val="00AB152D"/>
    <w:rsid w:val="00AB1544"/>
    <w:rsid w:val="00AB2383"/>
    <w:rsid w:val="00AB45C5"/>
    <w:rsid w:val="00AB5F7B"/>
    <w:rsid w:val="00AC1527"/>
    <w:rsid w:val="00AC1814"/>
    <w:rsid w:val="00AC2255"/>
    <w:rsid w:val="00AC23C9"/>
    <w:rsid w:val="00AC368A"/>
    <w:rsid w:val="00AC44BC"/>
    <w:rsid w:val="00AC4567"/>
    <w:rsid w:val="00AC5559"/>
    <w:rsid w:val="00AC61DD"/>
    <w:rsid w:val="00AC6529"/>
    <w:rsid w:val="00AC6EFF"/>
    <w:rsid w:val="00AD25ED"/>
    <w:rsid w:val="00AD4991"/>
    <w:rsid w:val="00AD5274"/>
    <w:rsid w:val="00AD56DD"/>
    <w:rsid w:val="00AD5C20"/>
    <w:rsid w:val="00AD690D"/>
    <w:rsid w:val="00AD7BD9"/>
    <w:rsid w:val="00AE0C43"/>
    <w:rsid w:val="00AE15DD"/>
    <w:rsid w:val="00AE1CA9"/>
    <w:rsid w:val="00AE5FD2"/>
    <w:rsid w:val="00AE6259"/>
    <w:rsid w:val="00AE680F"/>
    <w:rsid w:val="00AE68B0"/>
    <w:rsid w:val="00AE6C2C"/>
    <w:rsid w:val="00AE6FF5"/>
    <w:rsid w:val="00AF0F9C"/>
    <w:rsid w:val="00AF12F6"/>
    <w:rsid w:val="00AF19AE"/>
    <w:rsid w:val="00AF2578"/>
    <w:rsid w:val="00AF530F"/>
    <w:rsid w:val="00AF7748"/>
    <w:rsid w:val="00AF7A60"/>
    <w:rsid w:val="00B0009F"/>
    <w:rsid w:val="00B0217D"/>
    <w:rsid w:val="00B02478"/>
    <w:rsid w:val="00B02544"/>
    <w:rsid w:val="00B032F0"/>
    <w:rsid w:val="00B03DFE"/>
    <w:rsid w:val="00B04A1B"/>
    <w:rsid w:val="00B06349"/>
    <w:rsid w:val="00B069E0"/>
    <w:rsid w:val="00B06E9C"/>
    <w:rsid w:val="00B0700C"/>
    <w:rsid w:val="00B07224"/>
    <w:rsid w:val="00B10AAA"/>
    <w:rsid w:val="00B10FA8"/>
    <w:rsid w:val="00B1142B"/>
    <w:rsid w:val="00B12295"/>
    <w:rsid w:val="00B1377A"/>
    <w:rsid w:val="00B16B3F"/>
    <w:rsid w:val="00B17096"/>
    <w:rsid w:val="00B17E6B"/>
    <w:rsid w:val="00B202F0"/>
    <w:rsid w:val="00B2248F"/>
    <w:rsid w:val="00B22BBC"/>
    <w:rsid w:val="00B249FF"/>
    <w:rsid w:val="00B24A6C"/>
    <w:rsid w:val="00B26099"/>
    <w:rsid w:val="00B278CB"/>
    <w:rsid w:val="00B27C07"/>
    <w:rsid w:val="00B30A0E"/>
    <w:rsid w:val="00B31D91"/>
    <w:rsid w:val="00B3229F"/>
    <w:rsid w:val="00B35732"/>
    <w:rsid w:val="00B358B0"/>
    <w:rsid w:val="00B363C8"/>
    <w:rsid w:val="00B368D3"/>
    <w:rsid w:val="00B369AC"/>
    <w:rsid w:val="00B4100B"/>
    <w:rsid w:val="00B42695"/>
    <w:rsid w:val="00B43F4B"/>
    <w:rsid w:val="00B4598A"/>
    <w:rsid w:val="00B45C11"/>
    <w:rsid w:val="00B462C7"/>
    <w:rsid w:val="00B50840"/>
    <w:rsid w:val="00B5154B"/>
    <w:rsid w:val="00B51837"/>
    <w:rsid w:val="00B52E2E"/>
    <w:rsid w:val="00B544CE"/>
    <w:rsid w:val="00B56443"/>
    <w:rsid w:val="00B56C89"/>
    <w:rsid w:val="00B609E8"/>
    <w:rsid w:val="00B629BA"/>
    <w:rsid w:val="00B659B3"/>
    <w:rsid w:val="00B659FB"/>
    <w:rsid w:val="00B65B55"/>
    <w:rsid w:val="00B679F6"/>
    <w:rsid w:val="00B70217"/>
    <w:rsid w:val="00B707EB"/>
    <w:rsid w:val="00B70C86"/>
    <w:rsid w:val="00B746C5"/>
    <w:rsid w:val="00B75380"/>
    <w:rsid w:val="00B77506"/>
    <w:rsid w:val="00B80053"/>
    <w:rsid w:val="00B80588"/>
    <w:rsid w:val="00B809A3"/>
    <w:rsid w:val="00B81480"/>
    <w:rsid w:val="00B820BA"/>
    <w:rsid w:val="00B82984"/>
    <w:rsid w:val="00B82CBF"/>
    <w:rsid w:val="00B83E2C"/>
    <w:rsid w:val="00B83EAE"/>
    <w:rsid w:val="00B840A8"/>
    <w:rsid w:val="00B84461"/>
    <w:rsid w:val="00B844C8"/>
    <w:rsid w:val="00B85CD0"/>
    <w:rsid w:val="00B85FBE"/>
    <w:rsid w:val="00B8690E"/>
    <w:rsid w:val="00B87234"/>
    <w:rsid w:val="00B92F8C"/>
    <w:rsid w:val="00B95047"/>
    <w:rsid w:val="00B95AA5"/>
    <w:rsid w:val="00B963CB"/>
    <w:rsid w:val="00B96985"/>
    <w:rsid w:val="00B96AC3"/>
    <w:rsid w:val="00B977CB"/>
    <w:rsid w:val="00B97B10"/>
    <w:rsid w:val="00BA2A4D"/>
    <w:rsid w:val="00BA3CA5"/>
    <w:rsid w:val="00BA41AA"/>
    <w:rsid w:val="00BA54AD"/>
    <w:rsid w:val="00BA659D"/>
    <w:rsid w:val="00BA7FDF"/>
    <w:rsid w:val="00BB0753"/>
    <w:rsid w:val="00BB17CF"/>
    <w:rsid w:val="00BB1CED"/>
    <w:rsid w:val="00BB1FF8"/>
    <w:rsid w:val="00BB2F7D"/>
    <w:rsid w:val="00BB32C3"/>
    <w:rsid w:val="00BB58B7"/>
    <w:rsid w:val="00BB74F7"/>
    <w:rsid w:val="00BC07A6"/>
    <w:rsid w:val="00BC1EBE"/>
    <w:rsid w:val="00BC2F08"/>
    <w:rsid w:val="00BC2F7A"/>
    <w:rsid w:val="00BC31B2"/>
    <w:rsid w:val="00BC3DBE"/>
    <w:rsid w:val="00BC5143"/>
    <w:rsid w:val="00BC630E"/>
    <w:rsid w:val="00BC797B"/>
    <w:rsid w:val="00BC7DF2"/>
    <w:rsid w:val="00BD137E"/>
    <w:rsid w:val="00BD3060"/>
    <w:rsid w:val="00BD3136"/>
    <w:rsid w:val="00BD34C0"/>
    <w:rsid w:val="00BD3A49"/>
    <w:rsid w:val="00BD4C5B"/>
    <w:rsid w:val="00BD4E93"/>
    <w:rsid w:val="00BD5237"/>
    <w:rsid w:val="00BD54C5"/>
    <w:rsid w:val="00BD58CD"/>
    <w:rsid w:val="00BD5CCC"/>
    <w:rsid w:val="00BD6798"/>
    <w:rsid w:val="00BD6C76"/>
    <w:rsid w:val="00BD6E0B"/>
    <w:rsid w:val="00BD70D9"/>
    <w:rsid w:val="00BD7D04"/>
    <w:rsid w:val="00BE173C"/>
    <w:rsid w:val="00BE2BA7"/>
    <w:rsid w:val="00BE2C59"/>
    <w:rsid w:val="00BE31B6"/>
    <w:rsid w:val="00BE3B50"/>
    <w:rsid w:val="00BE50A4"/>
    <w:rsid w:val="00BE5224"/>
    <w:rsid w:val="00BE5267"/>
    <w:rsid w:val="00BE5662"/>
    <w:rsid w:val="00BE6ABA"/>
    <w:rsid w:val="00BE792B"/>
    <w:rsid w:val="00BF18FB"/>
    <w:rsid w:val="00BF3161"/>
    <w:rsid w:val="00BF377A"/>
    <w:rsid w:val="00BF391A"/>
    <w:rsid w:val="00BF519E"/>
    <w:rsid w:val="00BF5EBE"/>
    <w:rsid w:val="00BF67B3"/>
    <w:rsid w:val="00BF790D"/>
    <w:rsid w:val="00C00708"/>
    <w:rsid w:val="00C01835"/>
    <w:rsid w:val="00C05624"/>
    <w:rsid w:val="00C103F3"/>
    <w:rsid w:val="00C11414"/>
    <w:rsid w:val="00C1381D"/>
    <w:rsid w:val="00C13E00"/>
    <w:rsid w:val="00C140E7"/>
    <w:rsid w:val="00C154C1"/>
    <w:rsid w:val="00C168AC"/>
    <w:rsid w:val="00C17BD6"/>
    <w:rsid w:val="00C20635"/>
    <w:rsid w:val="00C21661"/>
    <w:rsid w:val="00C22736"/>
    <w:rsid w:val="00C22A88"/>
    <w:rsid w:val="00C22CC5"/>
    <w:rsid w:val="00C23009"/>
    <w:rsid w:val="00C231AA"/>
    <w:rsid w:val="00C24617"/>
    <w:rsid w:val="00C24C3B"/>
    <w:rsid w:val="00C25F6B"/>
    <w:rsid w:val="00C27D86"/>
    <w:rsid w:val="00C27E8B"/>
    <w:rsid w:val="00C30A45"/>
    <w:rsid w:val="00C30A5D"/>
    <w:rsid w:val="00C30C03"/>
    <w:rsid w:val="00C312F2"/>
    <w:rsid w:val="00C321D3"/>
    <w:rsid w:val="00C32D32"/>
    <w:rsid w:val="00C3412F"/>
    <w:rsid w:val="00C34EF3"/>
    <w:rsid w:val="00C35269"/>
    <w:rsid w:val="00C35353"/>
    <w:rsid w:val="00C35622"/>
    <w:rsid w:val="00C3579B"/>
    <w:rsid w:val="00C3681A"/>
    <w:rsid w:val="00C3701D"/>
    <w:rsid w:val="00C37996"/>
    <w:rsid w:val="00C37F5C"/>
    <w:rsid w:val="00C403D7"/>
    <w:rsid w:val="00C40EB5"/>
    <w:rsid w:val="00C41432"/>
    <w:rsid w:val="00C41BAB"/>
    <w:rsid w:val="00C42F31"/>
    <w:rsid w:val="00C45A81"/>
    <w:rsid w:val="00C502DC"/>
    <w:rsid w:val="00C5077B"/>
    <w:rsid w:val="00C55DD9"/>
    <w:rsid w:val="00C5609C"/>
    <w:rsid w:val="00C5704F"/>
    <w:rsid w:val="00C57328"/>
    <w:rsid w:val="00C61768"/>
    <w:rsid w:val="00C63D46"/>
    <w:rsid w:val="00C647A7"/>
    <w:rsid w:val="00C648E3"/>
    <w:rsid w:val="00C655A9"/>
    <w:rsid w:val="00C658D1"/>
    <w:rsid w:val="00C663C9"/>
    <w:rsid w:val="00C70E40"/>
    <w:rsid w:val="00C71EE9"/>
    <w:rsid w:val="00C731A8"/>
    <w:rsid w:val="00C73C37"/>
    <w:rsid w:val="00C73EAB"/>
    <w:rsid w:val="00C74BAF"/>
    <w:rsid w:val="00C76EFC"/>
    <w:rsid w:val="00C80263"/>
    <w:rsid w:val="00C815FE"/>
    <w:rsid w:val="00C8173F"/>
    <w:rsid w:val="00C82BD6"/>
    <w:rsid w:val="00C82ED8"/>
    <w:rsid w:val="00C82F2A"/>
    <w:rsid w:val="00C832A0"/>
    <w:rsid w:val="00C8424B"/>
    <w:rsid w:val="00C84653"/>
    <w:rsid w:val="00C84E7F"/>
    <w:rsid w:val="00C86680"/>
    <w:rsid w:val="00C87250"/>
    <w:rsid w:val="00C87F97"/>
    <w:rsid w:val="00C9000E"/>
    <w:rsid w:val="00C90D7E"/>
    <w:rsid w:val="00C91D2F"/>
    <w:rsid w:val="00C94140"/>
    <w:rsid w:val="00C949ED"/>
    <w:rsid w:val="00C95239"/>
    <w:rsid w:val="00C96F5B"/>
    <w:rsid w:val="00C973DD"/>
    <w:rsid w:val="00CA07F6"/>
    <w:rsid w:val="00CA25D6"/>
    <w:rsid w:val="00CA2D5B"/>
    <w:rsid w:val="00CA49D9"/>
    <w:rsid w:val="00CB0745"/>
    <w:rsid w:val="00CB098E"/>
    <w:rsid w:val="00CB0A0A"/>
    <w:rsid w:val="00CB1428"/>
    <w:rsid w:val="00CB2A2F"/>
    <w:rsid w:val="00CB3144"/>
    <w:rsid w:val="00CB3A3D"/>
    <w:rsid w:val="00CB40DE"/>
    <w:rsid w:val="00CB59AA"/>
    <w:rsid w:val="00CB5BCC"/>
    <w:rsid w:val="00CB799D"/>
    <w:rsid w:val="00CC23D9"/>
    <w:rsid w:val="00CC2F6D"/>
    <w:rsid w:val="00CC30C5"/>
    <w:rsid w:val="00CC4111"/>
    <w:rsid w:val="00CC5242"/>
    <w:rsid w:val="00CC6714"/>
    <w:rsid w:val="00CC67D1"/>
    <w:rsid w:val="00CC69E6"/>
    <w:rsid w:val="00CC6D6D"/>
    <w:rsid w:val="00CC6E0F"/>
    <w:rsid w:val="00CC6EA1"/>
    <w:rsid w:val="00CC78F6"/>
    <w:rsid w:val="00CC7DC2"/>
    <w:rsid w:val="00CD067F"/>
    <w:rsid w:val="00CD1266"/>
    <w:rsid w:val="00CD159D"/>
    <w:rsid w:val="00CD1BD7"/>
    <w:rsid w:val="00CD3529"/>
    <w:rsid w:val="00CD3B3F"/>
    <w:rsid w:val="00CD4A4D"/>
    <w:rsid w:val="00CD6EF9"/>
    <w:rsid w:val="00CE0B32"/>
    <w:rsid w:val="00CE0F5D"/>
    <w:rsid w:val="00CE42EC"/>
    <w:rsid w:val="00CF09F1"/>
    <w:rsid w:val="00CF20D6"/>
    <w:rsid w:val="00CF2520"/>
    <w:rsid w:val="00CF27C0"/>
    <w:rsid w:val="00CF511C"/>
    <w:rsid w:val="00CF521B"/>
    <w:rsid w:val="00CF6AB5"/>
    <w:rsid w:val="00D00F90"/>
    <w:rsid w:val="00D00FB8"/>
    <w:rsid w:val="00D03105"/>
    <w:rsid w:val="00D03305"/>
    <w:rsid w:val="00D04029"/>
    <w:rsid w:val="00D066E6"/>
    <w:rsid w:val="00D0707F"/>
    <w:rsid w:val="00D105E5"/>
    <w:rsid w:val="00D13580"/>
    <w:rsid w:val="00D14E1F"/>
    <w:rsid w:val="00D14F65"/>
    <w:rsid w:val="00D15F06"/>
    <w:rsid w:val="00D175EC"/>
    <w:rsid w:val="00D179F3"/>
    <w:rsid w:val="00D212BE"/>
    <w:rsid w:val="00D21897"/>
    <w:rsid w:val="00D239C5"/>
    <w:rsid w:val="00D23B9E"/>
    <w:rsid w:val="00D23ECA"/>
    <w:rsid w:val="00D26AB1"/>
    <w:rsid w:val="00D277AF"/>
    <w:rsid w:val="00D27AEE"/>
    <w:rsid w:val="00D32690"/>
    <w:rsid w:val="00D3349C"/>
    <w:rsid w:val="00D35AD5"/>
    <w:rsid w:val="00D3767D"/>
    <w:rsid w:val="00D37919"/>
    <w:rsid w:val="00D37D2E"/>
    <w:rsid w:val="00D40714"/>
    <w:rsid w:val="00D40CDF"/>
    <w:rsid w:val="00D41050"/>
    <w:rsid w:val="00D42264"/>
    <w:rsid w:val="00D43277"/>
    <w:rsid w:val="00D43E84"/>
    <w:rsid w:val="00D46EA3"/>
    <w:rsid w:val="00D51561"/>
    <w:rsid w:val="00D54A36"/>
    <w:rsid w:val="00D55DBE"/>
    <w:rsid w:val="00D56725"/>
    <w:rsid w:val="00D57158"/>
    <w:rsid w:val="00D60E9C"/>
    <w:rsid w:val="00D63D22"/>
    <w:rsid w:val="00D6507C"/>
    <w:rsid w:val="00D65344"/>
    <w:rsid w:val="00D676F4"/>
    <w:rsid w:val="00D7061B"/>
    <w:rsid w:val="00D70FB8"/>
    <w:rsid w:val="00D717FA"/>
    <w:rsid w:val="00D7186E"/>
    <w:rsid w:val="00D71CAD"/>
    <w:rsid w:val="00D72883"/>
    <w:rsid w:val="00D72D7F"/>
    <w:rsid w:val="00D72EBA"/>
    <w:rsid w:val="00D74AD5"/>
    <w:rsid w:val="00D758E2"/>
    <w:rsid w:val="00D77037"/>
    <w:rsid w:val="00D772D1"/>
    <w:rsid w:val="00D77DF1"/>
    <w:rsid w:val="00D807DA"/>
    <w:rsid w:val="00D80ADF"/>
    <w:rsid w:val="00D81C74"/>
    <w:rsid w:val="00D8318C"/>
    <w:rsid w:val="00D83716"/>
    <w:rsid w:val="00D84773"/>
    <w:rsid w:val="00D84977"/>
    <w:rsid w:val="00D84B72"/>
    <w:rsid w:val="00D85024"/>
    <w:rsid w:val="00D851E9"/>
    <w:rsid w:val="00D85C9B"/>
    <w:rsid w:val="00D90ADE"/>
    <w:rsid w:val="00D9335D"/>
    <w:rsid w:val="00D933CD"/>
    <w:rsid w:val="00D93A8B"/>
    <w:rsid w:val="00D94A58"/>
    <w:rsid w:val="00D95CE4"/>
    <w:rsid w:val="00D960BF"/>
    <w:rsid w:val="00D97E80"/>
    <w:rsid w:val="00DA0105"/>
    <w:rsid w:val="00DA05B7"/>
    <w:rsid w:val="00DA0F65"/>
    <w:rsid w:val="00DA130C"/>
    <w:rsid w:val="00DA41E2"/>
    <w:rsid w:val="00DA44A6"/>
    <w:rsid w:val="00DA47D1"/>
    <w:rsid w:val="00DB0661"/>
    <w:rsid w:val="00DB2868"/>
    <w:rsid w:val="00DB4805"/>
    <w:rsid w:val="00DB533F"/>
    <w:rsid w:val="00DB547B"/>
    <w:rsid w:val="00DB65D5"/>
    <w:rsid w:val="00DB6B29"/>
    <w:rsid w:val="00DB6BF2"/>
    <w:rsid w:val="00DB76C9"/>
    <w:rsid w:val="00DB79D1"/>
    <w:rsid w:val="00DC0423"/>
    <w:rsid w:val="00DC21CE"/>
    <w:rsid w:val="00DC3999"/>
    <w:rsid w:val="00DC3B2C"/>
    <w:rsid w:val="00DC3EE4"/>
    <w:rsid w:val="00DC454D"/>
    <w:rsid w:val="00DC569F"/>
    <w:rsid w:val="00DC5D95"/>
    <w:rsid w:val="00DC5F1D"/>
    <w:rsid w:val="00DC6DA1"/>
    <w:rsid w:val="00DC7580"/>
    <w:rsid w:val="00DD03D1"/>
    <w:rsid w:val="00DD1442"/>
    <w:rsid w:val="00DD1C80"/>
    <w:rsid w:val="00DD2345"/>
    <w:rsid w:val="00DD28E5"/>
    <w:rsid w:val="00DD324B"/>
    <w:rsid w:val="00DD40CA"/>
    <w:rsid w:val="00DD5996"/>
    <w:rsid w:val="00DD5AB5"/>
    <w:rsid w:val="00DD630B"/>
    <w:rsid w:val="00DE043D"/>
    <w:rsid w:val="00DE18B5"/>
    <w:rsid w:val="00DE23A0"/>
    <w:rsid w:val="00DE3345"/>
    <w:rsid w:val="00DE3A4C"/>
    <w:rsid w:val="00DE519E"/>
    <w:rsid w:val="00DE529C"/>
    <w:rsid w:val="00DE592D"/>
    <w:rsid w:val="00DE5E8B"/>
    <w:rsid w:val="00DF0196"/>
    <w:rsid w:val="00DF1A65"/>
    <w:rsid w:val="00DF2797"/>
    <w:rsid w:val="00DF3EFA"/>
    <w:rsid w:val="00DF423F"/>
    <w:rsid w:val="00DF443A"/>
    <w:rsid w:val="00DF585F"/>
    <w:rsid w:val="00DF66D7"/>
    <w:rsid w:val="00DF6ADE"/>
    <w:rsid w:val="00DF6AE2"/>
    <w:rsid w:val="00E0087F"/>
    <w:rsid w:val="00E00AEE"/>
    <w:rsid w:val="00E01296"/>
    <w:rsid w:val="00E01C6F"/>
    <w:rsid w:val="00E036BA"/>
    <w:rsid w:val="00E0567C"/>
    <w:rsid w:val="00E05F1C"/>
    <w:rsid w:val="00E11E55"/>
    <w:rsid w:val="00E1279D"/>
    <w:rsid w:val="00E12969"/>
    <w:rsid w:val="00E13B39"/>
    <w:rsid w:val="00E13E53"/>
    <w:rsid w:val="00E14463"/>
    <w:rsid w:val="00E17312"/>
    <w:rsid w:val="00E17BF4"/>
    <w:rsid w:val="00E17C5B"/>
    <w:rsid w:val="00E20832"/>
    <w:rsid w:val="00E20B03"/>
    <w:rsid w:val="00E20E2E"/>
    <w:rsid w:val="00E22E92"/>
    <w:rsid w:val="00E23DB5"/>
    <w:rsid w:val="00E24723"/>
    <w:rsid w:val="00E24BF6"/>
    <w:rsid w:val="00E25174"/>
    <w:rsid w:val="00E27CCB"/>
    <w:rsid w:val="00E27EB6"/>
    <w:rsid w:val="00E30035"/>
    <w:rsid w:val="00E3052D"/>
    <w:rsid w:val="00E3084B"/>
    <w:rsid w:val="00E31955"/>
    <w:rsid w:val="00E31FF0"/>
    <w:rsid w:val="00E321D0"/>
    <w:rsid w:val="00E32D7C"/>
    <w:rsid w:val="00E34331"/>
    <w:rsid w:val="00E369D3"/>
    <w:rsid w:val="00E36BF6"/>
    <w:rsid w:val="00E3763B"/>
    <w:rsid w:val="00E37F7B"/>
    <w:rsid w:val="00E40229"/>
    <w:rsid w:val="00E40623"/>
    <w:rsid w:val="00E408D2"/>
    <w:rsid w:val="00E40B7B"/>
    <w:rsid w:val="00E41134"/>
    <w:rsid w:val="00E42351"/>
    <w:rsid w:val="00E43F35"/>
    <w:rsid w:val="00E440CA"/>
    <w:rsid w:val="00E44DF7"/>
    <w:rsid w:val="00E45BA0"/>
    <w:rsid w:val="00E45C32"/>
    <w:rsid w:val="00E45F4F"/>
    <w:rsid w:val="00E4689A"/>
    <w:rsid w:val="00E50718"/>
    <w:rsid w:val="00E519E4"/>
    <w:rsid w:val="00E539B0"/>
    <w:rsid w:val="00E549AB"/>
    <w:rsid w:val="00E54BAF"/>
    <w:rsid w:val="00E54D55"/>
    <w:rsid w:val="00E56300"/>
    <w:rsid w:val="00E57460"/>
    <w:rsid w:val="00E574EE"/>
    <w:rsid w:val="00E57A9E"/>
    <w:rsid w:val="00E57AF1"/>
    <w:rsid w:val="00E60916"/>
    <w:rsid w:val="00E60DC0"/>
    <w:rsid w:val="00E63175"/>
    <w:rsid w:val="00E63725"/>
    <w:rsid w:val="00E65AC8"/>
    <w:rsid w:val="00E662F4"/>
    <w:rsid w:val="00E6669F"/>
    <w:rsid w:val="00E666E9"/>
    <w:rsid w:val="00E677A0"/>
    <w:rsid w:val="00E70ABE"/>
    <w:rsid w:val="00E71EBC"/>
    <w:rsid w:val="00E72F8F"/>
    <w:rsid w:val="00E740DE"/>
    <w:rsid w:val="00E74538"/>
    <w:rsid w:val="00E75309"/>
    <w:rsid w:val="00E753D3"/>
    <w:rsid w:val="00E75BD4"/>
    <w:rsid w:val="00E76D18"/>
    <w:rsid w:val="00E7763E"/>
    <w:rsid w:val="00E77948"/>
    <w:rsid w:val="00E8023A"/>
    <w:rsid w:val="00E8044F"/>
    <w:rsid w:val="00E80895"/>
    <w:rsid w:val="00E8164A"/>
    <w:rsid w:val="00E81E34"/>
    <w:rsid w:val="00E822E2"/>
    <w:rsid w:val="00E824AD"/>
    <w:rsid w:val="00E8302C"/>
    <w:rsid w:val="00E838FF"/>
    <w:rsid w:val="00E84036"/>
    <w:rsid w:val="00E845C7"/>
    <w:rsid w:val="00E8532D"/>
    <w:rsid w:val="00E87C97"/>
    <w:rsid w:val="00E90B5B"/>
    <w:rsid w:val="00E92329"/>
    <w:rsid w:val="00E945FE"/>
    <w:rsid w:val="00E94BEE"/>
    <w:rsid w:val="00E97935"/>
    <w:rsid w:val="00EA00B3"/>
    <w:rsid w:val="00EA0315"/>
    <w:rsid w:val="00EA10F4"/>
    <w:rsid w:val="00EA1D7E"/>
    <w:rsid w:val="00EA2F05"/>
    <w:rsid w:val="00EA3578"/>
    <w:rsid w:val="00EA58E4"/>
    <w:rsid w:val="00EA5B2E"/>
    <w:rsid w:val="00EA7748"/>
    <w:rsid w:val="00EB013E"/>
    <w:rsid w:val="00EB014C"/>
    <w:rsid w:val="00EB0803"/>
    <w:rsid w:val="00EB3358"/>
    <w:rsid w:val="00EB3A0B"/>
    <w:rsid w:val="00EB4D55"/>
    <w:rsid w:val="00EB631F"/>
    <w:rsid w:val="00EB65A9"/>
    <w:rsid w:val="00EB76C7"/>
    <w:rsid w:val="00EC108F"/>
    <w:rsid w:val="00EC1092"/>
    <w:rsid w:val="00EC35DF"/>
    <w:rsid w:val="00EC3605"/>
    <w:rsid w:val="00EC42EF"/>
    <w:rsid w:val="00EC4578"/>
    <w:rsid w:val="00EC6178"/>
    <w:rsid w:val="00EC622A"/>
    <w:rsid w:val="00ED4AC1"/>
    <w:rsid w:val="00ED69B7"/>
    <w:rsid w:val="00ED75E7"/>
    <w:rsid w:val="00EE0B2F"/>
    <w:rsid w:val="00EE0D76"/>
    <w:rsid w:val="00EE389F"/>
    <w:rsid w:val="00EE6EB8"/>
    <w:rsid w:val="00EE720E"/>
    <w:rsid w:val="00EF0DF6"/>
    <w:rsid w:val="00EF1380"/>
    <w:rsid w:val="00EF26DD"/>
    <w:rsid w:val="00EF3019"/>
    <w:rsid w:val="00EF3453"/>
    <w:rsid w:val="00EF3F0B"/>
    <w:rsid w:val="00EF53CB"/>
    <w:rsid w:val="00EF5429"/>
    <w:rsid w:val="00EF6012"/>
    <w:rsid w:val="00EF642F"/>
    <w:rsid w:val="00EF6A2C"/>
    <w:rsid w:val="00F00266"/>
    <w:rsid w:val="00F0184D"/>
    <w:rsid w:val="00F02A86"/>
    <w:rsid w:val="00F02B11"/>
    <w:rsid w:val="00F02C4C"/>
    <w:rsid w:val="00F035B9"/>
    <w:rsid w:val="00F03820"/>
    <w:rsid w:val="00F03EA9"/>
    <w:rsid w:val="00F03F69"/>
    <w:rsid w:val="00F05544"/>
    <w:rsid w:val="00F05763"/>
    <w:rsid w:val="00F06329"/>
    <w:rsid w:val="00F06B72"/>
    <w:rsid w:val="00F07286"/>
    <w:rsid w:val="00F07585"/>
    <w:rsid w:val="00F077AA"/>
    <w:rsid w:val="00F11000"/>
    <w:rsid w:val="00F12024"/>
    <w:rsid w:val="00F12312"/>
    <w:rsid w:val="00F14778"/>
    <w:rsid w:val="00F14B53"/>
    <w:rsid w:val="00F15B23"/>
    <w:rsid w:val="00F15CA0"/>
    <w:rsid w:val="00F1643C"/>
    <w:rsid w:val="00F16492"/>
    <w:rsid w:val="00F201B0"/>
    <w:rsid w:val="00F209A8"/>
    <w:rsid w:val="00F21B79"/>
    <w:rsid w:val="00F22EDC"/>
    <w:rsid w:val="00F23E8B"/>
    <w:rsid w:val="00F25183"/>
    <w:rsid w:val="00F26B37"/>
    <w:rsid w:val="00F26CE2"/>
    <w:rsid w:val="00F26EC8"/>
    <w:rsid w:val="00F31ED9"/>
    <w:rsid w:val="00F40633"/>
    <w:rsid w:val="00F41118"/>
    <w:rsid w:val="00F4144B"/>
    <w:rsid w:val="00F43036"/>
    <w:rsid w:val="00F432B0"/>
    <w:rsid w:val="00F4348B"/>
    <w:rsid w:val="00F44CFF"/>
    <w:rsid w:val="00F44FE9"/>
    <w:rsid w:val="00F452B7"/>
    <w:rsid w:val="00F45689"/>
    <w:rsid w:val="00F45761"/>
    <w:rsid w:val="00F45B81"/>
    <w:rsid w:val="00F479C4"/>
    <w:rsid w:val="00F500E4"/>
    <w:rsid w:val="00F500EA"/>
    <w:rsid w:val="00F50830"/>
    <w:rsid w:val="00F50CAD"/>
    <w:rsid w:val="00F5169D"/>
    <w:rsid w:val="00F51DAF"/>
    <w:rsid w:val="00F55A91"/>
    <w:rsid w:val="00F56418"/>
    <w:rsid w:val="00F57C7F"/>
    <w:rsid w:val="00F60015"/>
    <w:rsid w:val="00F60B0D"/>
    <w:rsid w:val="00F622B9"/>
    <w:rsid w:val="00F63373"/>
    <w:rsid w:val="00F65848"/>
    <w:rsid w:val="00F66AD7"/>
    <w:rsid w:val="00F66D19"/>
    <w:rsid w:val="00F66F11"/>
    <w:rsid w:val="00F678D4"/>
    <w:rsid w:val="00F67B05"/>
    <w:rsid w:val="00F7040E"/>
    <w:rsid w:val="00F714B7"/>
    <w:rsid w:val="00F717CC"/>
    <w:rsid w:val="00F72DD8"/>
    <w:rsid w:val="00F7477E"/>
    <w:rsid w:val="00F767CF"/>
    <w:rsid w:val="00F77375"/>
    <w:rsid w:val="00F80182"/>
    <w:rsid w:val="00F80E1D"/>
    <w:rsid w:val="00F84120"/>
    <w:rsid w:val="00F84A1D"/>
    <w:rsid w:val="00F853F7"/>
    <w:rsid w:val="00F854A7"/>
    <w:rsid w:val="00F87CF4"/>
    <w:rsid w:val="00F9060D"/>
    <w:rsid w:val="00F91D7C"/>
    <w:rsid w:val="00F92E82"/>
    <w:rsid w:val="00F93CCE"/>
    <w:rsid w:val="00F94682"/>
    <w:rsid w:val="00F951F2"/>
    <w:rsid w:val="00F96D46"/>
    <w:rsid w:val="00F97497"/>
    <w:rsid w:val="00F974B8"/>
    <w:rsid w:val="00F974C7"/>
    <w:rsid w:val="00F97848"/>
    <w:rsid w:val="00F979E6"/>
    <w:rsid w:val="00FA070B"/>
    <w:rsid w:val="00FA1D4F"/>
    <w:rsid w:val="00FA358E"/>
    <w:rsid w:val="00FA370B"/>
    <w:rsid w:val="00FA46A5"/>
    <w:rsid w:val="00FA4718"/>
    <w:rsid w:val="00FA4DEE"/>
    <w:rsid w:val="00FA53A8"/>
    <w:rsid w:val="00FA6F69"/>
    <w:rsid w:val="00FA7256"/>
    <w:rsid w:val="00FB16C1"/>
    <w:rsid w:val="00FB2E04"/>
    <w:rsid w:val="00FB3578"/>
    <w:rsid w:val="00FB3DEF"/>
    <w:rsid w:val="00FB49FF"/>
    <w:rsid w:val="00FB554C"/>
    <w:rsid w:val="00FB581F"/>
    <w:rsid w:val="00FB61B2"/>
    <w:rsid w:val="00FB6419"/>
    <w:rsid w:val="00FC0092"/>
    <w:rsid w:val="00FC107C"/>
    <w:rsid w:val="00FC1255"/>
    <w:rsid w:val="00FC13C0"/>
    <w:rsid w:val="00FC15D3"/>
    <w:rsid w:val="00FC226E"/>
    <w:rsid w:val="00FC22E8"/>
    <w:rsid w:val="00FC2783"/>
    <w:rsid w:val="00FC3D0C"/>
    <w:rsid w:val="00FC3D0D"/>
    <w:rsid w:val="00FC3F4E"/>
    <w:rsid w:val="00FC685C"/>
    <w:rsid w:val="00FD01ED"/>
    <w:rsid w:val="00FD0BD7"/>
    <w:rsid w:val="00FD2575"/>
    <w:rsid w:val="00FD26CD"/>
    <w:rsid w:val="00FD2849"/>
    <w:rsid w:val="00FD32DC"/>
    <w:rsid w:val="00FD3525"/>
    <w:rsid w:val="00FD49DF"/>
    <w:rsid w:val="00FD697E"/>
    <w:rsid w:val="00FD783A"/>
    <w:rsid w:val="00FD79F0"/>
    <w:rsid w:val="00FE132E"/>
    <w:rsid w:val="00FE184E"/>
    <w:rsid w:val="00FE19DD"/>
    <w:rsid w:val="00FE41C9"/>
    <w:rsid w:val="00FE470D"/>
    <w:rsid w:val="00FE472B"/>
    <w:rsid w:val="00FE4DCA"/>
    <w:rsid w:val="00FE732F"/>
    <w:rsid w:val="00FE77DE"/>
    <w:rsid w:val="00FF04C5"/>
    <w:rsid w:val="00FF05E7"/>
    <w:rsid w:val="00FF0766"/>
    <w:rsid w:val="00FF0AC4"/>
    <w:rsid w:val="00FF0D78"/>
    <w:rsid w:val="00FF217E"/>
    <w:rsid w:val="00FF2254"/>
    <w:rsid w:val="00FF2850"/>
    <w:rsid w:val="00FF5EB0"/>
    <w:rsid w:val="00FF6504"/>
    <w:rsid w:val="00FF6AA6"/>
    <w:rsid w:val="09AD3AF5"/>
    <w:rsid w:val="12216339"/>
    <w:rsid w:val="328EA527"/>
    <w:rsid w:val="3B5534F8"/>
    <w:rsid w:val="41A3D6B4"/>
    <w:rsid w:val="439398FA"/>
    <w:rsid w:val="5E445F95"/>
    <w:rsid w:val="6D992ADB"/>
    <w:rsid w:val="6EEC00DD"/>
    <w:rsid w:val="79F84003"/>
    <w:rsid w:val="7A3F2498"/>
    <w:rsid w:val="7B9410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62D1DC"/>
  <w15:chartTrackingRefBased/>
  <w15:docId w15:val="{A0EF426A-4675-4AB8-9EE9-5BFFC0C3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279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E31B6"/>
  </w:style>
  <w:style w:type="character" w:customStyle="1" w:styleId="blueten1">
    <w:name w:val="blueten1"/>
    <w:rsid w:val="00BE31B6"/>
    <w:rPr>
      <w:rFonts w:ascii="Verdana" w:hAnsi="Verdana" w:hint="default"/>
      <w:color w:val="003399"/>
      <w:sz w:val="19"/>
      <w:szCs w:val="19"/>
    </w:rPr>
  </w:style>
  <w:style w:type="paragraph" w:styleId="FootnoteText">
    <w:name w:val="footnote text"/>
    <w:basedOn w:val="Normal"/>
    <w:semiHidden/>
    <w:rsid w:val="00BE31B6"/>
    <w:rPr>
      <w:sz w:val="20"/>
      <w:szCs w:val="20"/>
    </w:rPr>
  </w:style>
  <w:style w:type="character" w:styleId="Hyperlink">
    <w:name w:val="Hyperlink"/>
    <w:rsid w:val="00BE31B6"/>
    <w:rPr>
      <w:color w:val="0000FF"/>
      <w:u w:val="single"/>
    </w:rPr>
  </w:style>
  <w:style w:type="character" w:styleId="FollowedHyperlink">
    <w:name w:val="FollowedHyperlink"/>
    <w:rsid w:val="00BE31B6"/>
    <w:rPr>
      <w:color w:val="606420"/>
      <w:u w:val="single"/>
    </w:rPr>
  </w:style>
  <w:style w:type="paragraph" w:styleId="HTMLPreformatted">
    <w:name w:val="HTML Preformatted"/>
    <w:basedOn w:val="Normal"/>
    <w:uiPriority w:val="99"/>
    <w:rsid w:val="00BE31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EndnoteText">
    <w:name w:val="endnote text"/>
    <w:basedOn w:val="Normal"/>
    <w:link w:val="EndnoteTextChar"/>
    <w:rsid w:val="005A0BE1"/>
    <w:rPr>
      <w:sz w:val="20"/>
      <w:szCs w:val="20"/>
    </w:rPr>
  </w:style>
  <w:style w:type="character" w:customStyle="1" w:styleId="EndnoteTextChar">
    <w:name w:val="Endnote Text Char"/>
    <w:basedOn w:val="DefaultParagraphFont"/>
    <w:link w:val="EndnoteText"/>
    <w:rsid w:val="005A0BE1"/>
  </w:style>
  <w:style w:type="character" w:styleId="EndnoteReference">
    <w:name w:val="endnote reference"/>
    <w:rsid w:val="005A0BE1"/>
    <w:rPr>
      <w:vertAlign w:val="superscript"/>
    </w:rPr>
  </w:style>
  <w:style w:type="paragraph" w:styleId="BalloonText">
    <w:name w:val="Balloon Text"/>
    <w:basedOn w:val="Normal"/>
    <w:link w:val="BalloonTextChar"/>
    <w:rsid w:val="0066087A"/>
    <w:rPr>
      <w:rFonts w:ascii="Tahoma" w:hAnsi="Tahoma" w:cs="Tahoma"/>
      <w:sz w:val="16"/>
      <w:szCs w:val="16"/>
    </w:rPr>
  </w:style>
  <w:style w:type="character" w:customStyle="1" w:styleId="BalloonTextChar">
    <w:name w:val="Balloon Text Char"/>
    <w:link w:val="BalloonText"/>
    <w:rsid w:val="0066087A"/>
    <w:rPr>
      <w:rFonts w:ascii="Tahoma" w:hAnsi="Tahoma" w:cs="Tahoma"/>
      <w:sz w:val="16"/>
      <w:szCs w:val="16"/>
    </w:rPr>
  </w:style>
  <w:style w:type="character" w:styleId="CommentReference">
    <w:name w:val="annotation reference"/>
    <w:rsid w:val="00A22F8C"/>
    <w:rPr>
      <w:sz w:val="16"/>
      <w:szCs w:val="16"/>
    </w:rPr>
  </w:style>
  <w:style w:type="paragraph" w:styleId="CommentText">
    <w:name w:val="annotation text"/>
    <w:basedOn w:val="Normal"/>
    <w:link w:val="CommentTextChar"/>
    <w:rsid w:val="00A22F8C"/>
    <w:rPr>
      <w:sz w:val="20"/>
      <w:szCs w:val="20"/>
    </w:rPr>
  </w:style>
  <w:style w:type="character" w:customStyle="1" w:styleId="CommentTextChar">
    <w:name w:val="Comment Text Char"/>
    <w:basedOn w:val="DefaultParagraphFont"/>
    <w:link w:val="CommentText"/>
    <w:rsid w:val="00A22F8C"/>
  </w:style>
  <w:style w:type="paragraph" w:styleId="CommentSubject">
    <w:name w:val="annotation subject"/>
    <w:basedOn w:val="CommentText"/>
    <w:next w:val="CommentText"/>
    <w:link w:val="CommentSubjectChar"/>
    <w:rsid w:val="00A22F8C"/>
    <w:rPr>
      <w:b/>
      <w:bCs/>
    </w:rPr>
  </w:style>
  <w:style w:type="character" w:customStyle="1" w:styleId="CommentSubjectChar">
    <w:name w:val="Comment Subject Char"/>
    <w:link w:val="CommentSubject"/>
    <w:rsid w:val="00A22F8C"/>
    <w:rPr>
      <w:b/>
      <w:bCs/>
    </w:rPr>
  </w:style>
  <w:style w:type="paragraph" w:styleId="Header">
    <w:name w:val="header"/>
    <w:basedOn w:val="Normal"/>
    <w:link w:val="HeaderChar"/>
    <w:uiPriority w:val="99"/>
    <w:rsid w:val="002D5E9F"/>
    <w:pPr>
      <w:tabs>
        <w:tab w:val="center" w:pos="4680"/>
        <w:tab w:val="right" w:pos="9360"/>
      </w:tabs>
    </w:pPr>
  </w:style>
  <w:style w:type="character" w:customStyle="1" w:styleId="HeaderChar">
    <w:name w:val="Header Char"/>
    <w:link w:val="Header"/>
    <w:uiPriority w:val="99"/>
    <w:rsid w:val="002D5E9F"/>
    <w:rPr>
      <w:sz w:val="24"/>
      <w:szCs w:val="24"/>
    </w:rPr>
  </w:style>
  <w:style w:type="paragraph" w:styleId="Footer">
    <w:name w:val="footer"/>
    <w:basedOn w:val="Normal"/>
    <w:link w:val="FooterChar"/>
    <w:rsid w:val="002D5E9F"/>
    <w:pPr>
      <w:tabs>
        <w:tab w:val="center" w:pos="4680"/>
        <w:tab w:val="right" w:pos="9360"/>
      </w:tabs>
    </w:pPr>
  </w:style>
  <w:style w:type="character" w:customStyle="1" w:styleId="FooterChar">
    <w:name w:val="Footer Char"/>
    <w:link w:val="Footer"/>
    <w:rsid w:val="002D5E9F"/>
    <w:rPr>
      <w:sz w:val="24"/>
      <w:szCs w:val="24"/>
    </w:rPr>
  </w:style>
  <w:style w:type="table" w:styleId="TableGrid">
    <w:name w:val="Table Grid"/>
    <w:basedOn w:val="TableNormal"/>
    <w:rsid w:val="000C4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19DD"/>
    <w:rPr>
      <w:sz w:val="24"/>
      <w:szCs w:val="24"/>
    </w:rPr>
  </w:style>
  <w:style w:type="paragraph" w:customStyle="1" w:styleId="Default">
    <w:name w:val="Default"/>
    <w:rsid w:val="00576DFD"/>
    <w:pPr>
      <w:autoSpaceDE w:val="0"/>
      <w:autoSpaceDN w:val="0"/>
      <w:adjustRightInd w:val="0"/>
    </w:pPr>
    <w:rPr>
      <w:color w:val="000000"/>
      <w:sz w:val="24"/>
      <w:szCs w:val="24"/>
    </w:rPr>
  </w:style>
  <w:style w:type="character" w:styleId="Strong">
    <w:name w:val="Strong"/>
    <w:basedOn w:val="DefaultParagraphFont"/>
    <w:qFormat/>
    <w:rsid w:val="00730AA1"/>
    <w:rPr>
      <w:b/>
      <w:bCs/>
    </w:rPr>
  </w:style>
  <w:style w:type="paragraph" w:styleId="ListParagraph">
    <w:name w:val="List Paragraph"/>
    <w:basedOn w:val="Normal"/>
    <w:uiPriority w:val="34"/>
    <w:qFormat/>
    <w:rsid w:val="005512CD"/>
    <w:pPr>
      <w:ind w:left="720"/>
      <w:contextualSpacing/>
    </w:pPr>
  </w:style>
  <w:style w:type="character" w:styleId="UnresolvedMention">
    <w:name w:val="Unresolved Mention"/>
    <w:basedOn w:val="DefaultParagraphFont"/>
    <w:uiPriority w:val="99"/>
    <w:semiHidden/>
    <w:unhideWhenUsed/>
    <w:rsid w:val="00DC6DA1"/>
    <w:rPr>
      <w:color w:val="605E5C"/>
      <w:shd w:val="clear" w:color="auto" w:fill="E1DFDD"/>
    </w:rPr>
  </w:style>
  <w:style w:type="character" w:styleId="Emphasis">
    <w:name w:val="Emphasis"/>
    <w:basedOn w:val="DefaultParagraphFont"/>
    <w:qFormat/>
    <w:rsid w:val="00074488"/>
    <w:rPr>
      <w:i/>
      <w:iCs/>
    </w:rPr>
  </w:style>
  <w:style w:type="character" w:styleId="Mention">
    <w:name w:val="Mention"/>
    <w:basedOn w:val="DefaultParagraphFont"/>
    <w:uiPriority w:val="99"/>
    <w:unhideWhenUsed/>
    <w:rsid w:val="00567D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5/chapter-III/subchapter-B/part-1320" TargetMode="External" /><Relationship Id="rId2" Type="http://schemas.openxmlformats.org/officeDocument/2006/relationships/hyperlink" Target="https://www.opm.gov/policy-data-oversight/pay-leave/salaries-wages/salary-tables/24Tables/html/RU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Props1.xml><?xml version="1.0" encoding="utf-8"?>
<ds:datastoreItem xmlns:ds="http://schemas.openxmlformats.org/officeDocument/2006/customXml" ds:itemID="{8949373D-1D62-49D8-8741-86E9E5F893A0}">
  <ds:schemaRefs>
    <ds:schemaRef ds:uri="http://schemas.microsoft.com/sharepoint/v3/contenttype/forms"/>
  </ds:schemaRefs>
</ds:datastoreItem>
</file>

<file path=customXml/itemProps2.xml><?xml version="1.0" encoding="utf-8"?>
<ds:datastoreItem xmlns:ds="http://schemas.openxmlformats.org/officeDocument/2006/customXml" ds:itemID="{8477EB05-79EF-40C5-B9E7-A8C38C23558E}">
  <ds:schemaRefs>
    <ds:schemaRef ds:uri="http://schemas.openxmlformats.org/officeDocument/2006/bibliography"/>
  </ds:schemaRefs>
</ds:datastoreItem>
</file>

<file path=customXml/itemProps3.xml><?xml version="1.0" encoding="utf-8"?>
<ds:datastoreItem xmlns:ds="http://schemas.openxmlformats.org/officeDocument/2006/customXml" ds:itemID="{8FA92366-6A8C-43D3-93BD-8E59B51A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0825D-BA5C-4DAA-B6C4-8978A06C6648}">
  <ds:schemaRefs>
    <ds:schemaRef ds:uri="http://schemas.microsoft.com/office/2006/metadata/properties"/>
    <ds:schemaRef ds:uri="http://schemas.microsoft.com/office/infopath/2007/PartnerControls"/>
    <ds:schemaRef ds:uri="0bc354d9-fadb-4d24-8aee-4d27bd93386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7054</Words>
  <Characters>40213</Characters>
  <Application>Microsoft Office Word</Application>
  <DocSecurity>0</DocSecurity>
  <Lines>335</Lines>
  <Paragraphs>94</Paragraphs>
  <ScaleCrop>false</ScaleCrop>
  <Company>DOL</Company>
  <LinksUpToDate>false</LinksUpToDate>
  <CharactersWithSpaces>47173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OSHA-USER</dc:creator>
  <cp:lastModifiedBy>Cannon, Belinda - OSHA</cp:lastModifiedBy>
  <cp:revision>11</cp:revision>
  <cp:lastPrinted>2017-07-20T20:14:00Z</cp:lastPrinted>
  <dcterms:created xsi:type="dcterms:W3CDTF">2024-07-11T14:10:00Z</dcterms:created>
  <dcterms:modified xsi:type="dcterms:W3CDTF">2024-07-11T14:16:00Z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y fmtid="{D5CDD505-2E9C-101B-9397-08002B2CF9AE}" pid="3" name="MediaServiceImageTags">
    <vt:lpwstr/>
  </property>
</Properties>
</file>