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2BF4" w:rsidRPr="00D23214" w:rsidP="00582BF4" w14:paraId="35890ED7" w14:textId="77777777">
      <w:pPr>
        <w:tabs>
          <w:tab w:val="left" w:pos="720"/>
        </w:tabs>
        <w:ind w:left="720" w:hanging="1440"/>
        <w:jc w:val="center"/>
        <w:rPr>
          <w:b/>
          <w:bCs/>
          <w:sz w:val="24"/>
          <w:szCs w:val="24"/>
        </w:rPr>
      </w:pPr>
      <w:r w:rsidRPr="00D23214">
        <w:rPr>
          <w:b/>
          <w:bCs/>
          <w:sz w:val="24"/>
          <w:szCs w:val="24"/>
        </w:rPr>
        <w:t>SUPPORTING STATEMENT FOR THE</w:t>
      </w:r>
    </w:p>
    <w:p w:rsidR="00582BF4" w:rsidRPr="00D23214" w:rsidP="00582BF4" w14:paraId="660B1F07" w14:textId="77777777">
      <w:pPr>
        <w:tabs>
          <w:tab w:val="left" w:pos="720"/>
        </w:tabs>
        <w:ind w:left="720" w:hanging="1440"/>
        <w:jc w:val="center"/>
        <w:rPr>
          <w:b/>
          <w:bCs/>
          <w:sz w:val="24"/>
          <w:szCs w:val="24"/>
        </w:rPr>
      </w:pPr>
      <w:r w:rsidRPr="00D23214">
        <w:rPr>
          <w:b/>
          <w:bCs/>
          <w:sz w:val="24"/>
          <w:szCs w:val="24"/>
        </w:rPr>
        <w:t>INFORMATION COLLECTION REQUIREMENTS OF THE</w:t>
      </w:r>
    </w:p>
    <w:p w:rsidR="00582BF4" w:rsidRPr="00D23214" w:rsidP="00582BF4" w14:paraId="53B22FFA" w14:textId="77777777">
      <w:pPr>
        <w:jc w:val="center"/>
        <w:rPr>
          <w:rFonts w:eastAsia="Calibri"/>
          <w:b/>
          <w:sz w:val="24"/>
          <w:szCs w:val="24"/>
        </w:rPr>
      </w:pPr>
      <w:r w:rsidRPr="00D23214">
        <w:rPr>
          <w:b/>
          <w:bCs/>
          <w:sz w:val="24"/>
          <w:szCs w:val="24"/>
        </w:rPr>
        <w:t xml:space="preserve"> </w:t>
      </w:r>
      <w:r w:rsidRPr="00D23214">
        <w:rPr>
          <w:rFonts w:eastAsia="Calibri"/>
          <w:b/>
          <w:sz w:val="24"/>
          <w:szCs w:val="24"/>
        </w:rPr>
        <w:t>UNDERGROUND CONSTRUCTION STANDARD</w:t>
      </w:r>
      <w:r>
        <w:rPr>
          <w:rFonts w:eastAsia="Calibri"/>
          <w:b/>
          <w:sz w:val="24"/>
          <w:szCs w:val="24"/>
        </w:rPr>
        <w:t xml:space="preserve"> </w:t>
      </w:r>
      <w:r w:rsidRPr="00D23214">
        <w:rPr>
          <w:rFonts w:eastAsia="Calibri"/>
          <w:b/>
          <w:sz w:val="24"/>
          <w:szCs w:val="24"/>
        </w:rPr>
        <w:t>(29 CFR 1926.800)</w:t>
      </w:r>
      <w:r>
        <w:rPr>
          <w:rFonts w:eastAsia="Calibri"/>
          <w:b/>
          <w:sz w:val="24"/>
          <w:szCs w:val="24"/>
          <w:vertAlign w:val="superscript"/>
        </w:rPr>
        <w:footnoteReference w:id="2"/>
      </w:r>
    </w:p>
    <w:p w:rsidR="00582BF4" w:rsidRPr="00D23214" w:rsidP="00582BF4" w14:paraId="75E75AE4" w14:textId="77777777">
      <w:pPr>
        <w:jc w:val="center"/>
        <w:rPr>
          <w:b/>
          <w:bCs/>
          <w:sz w:val="24"/>
          <w:szCs w:val="24"/>
        </w:rPr>
      </w:pPr>
      <w:r w:rsidRPr="00D23214">
        <w:rPr>
          <w:b/>
          <w:bCs/>
          <w:sz w:val="24"/>
          <w:szCs w:val="24"/>
        </w:rPr>
        <w:t xml:space="preserve"> OFFICE OF MANAGEMENT AND BUDGET (OMB)</w:t>
      </w:r>
    </w:p>
    <w:p w:rsidR="00582BF4" w:rsidRPr="00D23214" w:rsidP="00582BF4" w14:paraId="4796CB33" w14:textId="70214588">
      <w:pPr>
        <w:jc w:val="center"/>
        <w:rPr>
          <w:rFonts w:eastAsia="Calibri"/>
          <w:b/>
          <w:sz w:val="24"/>
          <w:szCs w:val="24"/>
        </w:rPr>
      </w:pPr>
      <w:r w:rsidRPr="00D23214">
        <w:rPr>
          <w:b/>
          <w:bCs/>
          <w:sz w:val="24"/>
          <w:szCs w:val="24"/>
        </w:rPr>
        <w:t xml:space="preserve">OMB CONTROL NO. </w:t>
      </w:r>
      <w:r w:rsidRPr="00D23214">
        <w:rPr>
          <w:rFonts w:eastAsia="Calibri"/>
          <w:b/>
          <w:sz w:val="24"/>
          <w:szCs w:val="24"/>
        </w:rPr>
        <w:t>1218-0067 (</w:t>
      </w:r>
      <w:r w:rsidR="003B1A6D">
        <w:rPr>
          <w:rFonts w:eastAsia="Calibri"/>
          <w:b/>
          <w:sz w:val="24"/>
          <w:szCs w:val="24"/>
        </w:rPr>
        <w:t>August</w:t>
      </w:r>
      <w:r>
        <w:rPr>
          <w:rFonts w:eastAsia="Calibri"/>
          <w:b/>
          <w:sz w:val="24"/>
          <w:szCs w:val="24"/>
        </w:rPr>
        <w:t xml:space="preserve"> 2024</w:t>
      </w:r>
      <w:r w:rsidRPr="00D23214">
        <w:rPr>
          <w:rFonts w:eastAsia="Calibri"/>
          <w:b/>
          <w:sz w:val="24"/>
          <w:szCs w:val="24"/>
        </w:rPr>
        <w:t>)</w:t>
      </w:r>
    </w:p>
    <w:p w:rsidR="00582BF4" w:rsidRPr="00871CA6" w:rsidP="00582BF4" w14:paraId="7EFE2C6E" w14:textId="77777777">
      <w:pPr>
        <w:jc w:val="center"/>
        <w:rPr>
          <w:b/>
          <w:bCs/>
        </w:rPr>
      </w:pPr>
    </w:p>
    <w:p w:rsidR="00582BF4" w:rsidP="00582BF4" w14:paraId="77FB6E0B" w14:textId="77777777">
      <w:pPr>
        <w:rPr>
          <w:bCs/>
          <w:sz w:val="24"/>
          <w:szCs w:val="24"/>
          <w:u w:val="single"/>
        </w:rPr>
      </w:pPr>
      <w:r w:rsidRPr="007D1E44">
        <w:rPr>
          <w:bCs/>
          <w:sz w:val="24"/>
          <w:szCs w:val="24"/>
          <w:u w:val="single"/>
        </w:rPr>
        <w:t>This is a request to extend</w:t>
      </w:r>
      <w:r>
        <w:rPr>
          <w:bCs/>
          <w:sz w:val="24"/>
          <w:szCs w:val="24"/>
          <w:u w:val="single"/>
        </w:rPr>
        <w:t xml:space="preserve"> </w:t>
      </w:r>
      <w:r w:rsidRPr="007D1E44">
        <w:rPr>
          <w:bCs/>
          <w:sz w:val="24"/>
          <w:szCs w:val="24"/>
          <w:u w:val="single"/>
        </w:rPr>
        <w:t>a currently approved data collection.  </w:t>
      </w:r>
    </w:p>
    <w:p w:rsidR="00582BF4" w:rsidRPr="006D43C7" w:rsidP="00582BF4" w14:paraId="03B9A665" w14:textId="77777777">
      <w:pPr>
        <w:rPr>
          <w:bCs/>
          <w:sz w:val="24"/>
          <w:szCs w:val="24"/>
          <w:u w:val="single"/>
        </w:rPr>
      </w:pPr>
    </w:p>
    <w:p w:rsidR="00582BF4" w:rsidRPr="00BC6836" w:rsidP="00582BF4" w14:paraId="043110B1" w14:textId="77777777">
      <w:pPr>
        <w:rPr>
          <w:rFonts w:eastAsia="Calibri"/>
          <w:b/>
          <w:sz w:val="24"/>
          <w:szCs w:val="24"/>
        </w:rPr>
      </w:pPr>
      <w:r w:rsidRPr="00BC6836">
        <w:rPr>
          <w:rFonts w:eastAsia="Calibri"/>
          <w:b/>
          <w:sz w:val="24"/>
          <w:szCs w:val="24"/>
        </w:rPr>
        <w:t>A.  JUSTIFICATION</w:t>
      </w:r>
    </w:p>
    <w:p w:rsidR="00582BF4" w:rsidRPr="00BC6836" w:rsidP="00582BF4" w14:paraId="6959F8EA" w14:textId="77777777">
      <w:pPr>
        <w:rPr>
          <w:rFonts w:eastAsia="Calibri"/>
          <w:b/>
          <w:sz w:val="24"/>
          <w:szCs w:val="24"/>
        </w:rPr>
      </w:pPr>
    </w:p>
    <w:p w:rsidR="00582BF4" w:rsidRPr="00297479" w:rsidP="00582BF4" w14:paraId="3BAF2610" w14:textId="77777777">
      <w:pPr>
        <w:numPr>
          <w:ilvl w:val="0"/>
          <w:numId w:val="11"/>
        </w:numPr>
        <w:autoSpaceDE w:val="0"/>
        <w:autoSpaceDN w:val="0"/>
        <w:adjustRightInd w:val="0"/>
        <w:rPr>
          <w:b/>
          <w:sz w:val="24"/>
          <w:szCs w:val="24"/>
        </w:rPr>
      </w:pPr>
      <w:r w:rsidRPr="006D66D7">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82BF4" w:rsidRPr="00BC6836" w:rsidP="00582BF4" w14:paraId="495413B8" w14:textId="77777777">
      <w:pPr>
        <w:rPr>
          <w:rFonts w:eastAsia="Calibri"/>
          <w:b/>
          <w:sz w:val="24"/>
          <w:szCs w:val="24"/>
        </w:rPr>
      </w:pPr>
    </w:p>
    <w:p w:rsidR="00582BF4" w:rsidRPr="00BC6836" w:rsidP="00582BF4" w14:paraId="398566DD" w14:textId="77777777">
      <w:pPr>
        <w:rPr>
          <w:rFonts w:eastAsia="Calibri"/>
          <w:sz w:val="24"/>
          <w:szCs w:val="24"/>
        </w:rPr>
      </w:pPr>
      <w:r w:rsidRPr="00BC6836">
        <w:rPr>
          <w:rFonts w:eastAsia="Calibri"/>
          <w:sz w:val="24"/>
          <w:szCs w:val="24"/>
        </w:rPr>
        <w:t>The main objective of the Occupational Safety and Health Act of 1970 (the OSH Act) is “to assure so far as possible every working man and woman in the Nation safe and healthful working conditions and to preserve our human resources” (29 U.S.C. 651). To achieve this objective, the OSH Act authorizes “the development and promulgation of occupational safety and health standards” (29 U.S.C. 651).</w:t>
      </w:r>
    </w:p>
    <w:p w:rsidR="00582BF4" w:rsidRPr="00BC6836" w:rsidP="00582BF4" w14:paraId="4DC81123" w14:textId="77777777">
      <w:pPr>
        <w:rPr>
          <w:rFonts w:eastAsia="Calibri"/>
          <w:sz w:val="24"/>
          <w:szCs w:val="24"/>
        </w:rPr>
      </w:pPr>
    </w:p>
    <w:p w:rsidR="00582BF4" w:rsidRPr="00BC6836" w:rsidP="00582BF4" w14:paraId="0F46584A" w14:textId="77777777">
      <w:pPr>
        <w:rPr>
          <w:rFonts w:eastAsia="Calibri"/>
          <w:sz w:val="24"/>
          <w:szCs w:val="24"/>
        </w:rPr>
      </w:pPr>
      <w:r w:rsidRPr="00BC6836">
        <w:rPr>
          <w:rFonts w:eastAsia="Calibri"/>
          <w:sz w:val="24"/>
          <w:szCs w:val="24"/>
        </w:rPr>
        <w:t>Section 6(b)(7) of the Act specifies that [a]ny standard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w:t>
      </w:r>
    </w:p>
    <w:p w:rsidR="00582BF4" w:rsidRPr="00BC6836" w:rsidP="00582BF4" w14:paraId="18B5C9EE" w14:textId="77777777">
      <w:pPr>
        <w:rPr>
          <w:rFonts w:eastAsia="Calibri"/>
          <w:sz w:val="24"/>
          <w:szCs w:val="24"/>
        </w:rPr>
      </w:pPr>
    </w:p>
    <w:p w:rsidR="00582BF4" w:rsidP="00582BF4" w14:paraId="11106809" w14:textId="77777777">
      <w:pPr>
        <w:rPr>
          <w:rFonts w:eastAsia="Calibri"/>
          <w:sz w:val="24"/>
          <w:szCs w:val="24"/>
        </w:rPr>
      </w:pPr>
      <w:r w:rsidRPr="00BC6836">
        <w:rPr>
          <w:rFonts w:eastAsia="Calibri"/>
          <w:sz w:val="24"/>
          <w:szCs w:val="24"/>
        </w:rPr>
        <w:t>With regard to recordkeeping, the Act specifies that “[e]ach employer shall make, keep and preserve, and make available to the Secretary . . . such records . . . as the Secretary . . . may prescribe by regulation as necessary or appropriate for the enforcement of this Act . . .” (29 U.S.C. 657).  The Act states further that “[t]he Secretary . . . shall . . . prescribe such rules and regulations as [he/she] may deem necessary to carry out [his/her] responsibilities under this Act, including rules and regulations dealing with the inspection of an employer’s establishment” (29 U.S.C. 657).</w:t>
      </w:r>
    </w:p>
    <w:p w:rsidR="00582BF4" w:rsidRPr="00BC6836" w:rsidP="00582BF4" w14:paraId="3D73DA11" w14:textId="77777777">
      <w:pPr>
        <w:rPr>
          <w:rFonts w:eastAsia="Calibri"/>
          <w:sz w:val="24"/>
          <w:szCs w:val="24"/>
        </w:rPr>
      </w:pPr>
    </w:p>
    <w:p w:rsidR="00582BF4" w:rsidRPr="00BC6836" w:rsidP="00582BF4" w14:paraId="20818BE1" w14:textId="77777777">
      <w:pPr>
        <w:rPr>
          <w:rFonts w:eastAsia="Calibri"/>
          <w:sz w:val="24"/>
          <w:szCs w:val="24"/>
        </w:rPr>
      </w:pPr>
      <w:r w:rsidRPr="00BC6836">
        <w:rPr>
          <w:rFonts w:eastAsia="Calibri"/>
          <w:sz w:val="24"/>
          <w:szCs w:val="24"/>
        </w:rPr>
        <w:t>Therefore, under the authority granted by the OSH Act, the Occupational Safety and Health Administration (“OSHA” or “the Agency”) published its Standard on Underground Construction at §1926.800. This standard contains information collection requirements for posting warning signs and notices, certifying inspection records for hoists, and developing and maintaining records for air-quality tests.</w:t>
      </w:r>
    </w:p>
    <w:p w:rsidR="00582BF4" w:rsidRPr="00BC6836" w:rsidP="00582BF4" w14:paraId="24DFF814" w14:textId="77777777">
      <w:pPr>
        <w:rPr>
          <w:rFonts w:eastAsia="Calibri"/>
          <w:sz w:val="24"/>
          <w:szCs w:val="24"/>
        </w:rPr>
      </w:pPr>
      <w:r w:rsidRPr="00BC6836">
        <w:rPr>
          <w:rFonts w:eastAsia="Calibri"/>
          <w:sz w:val="24"/>
          <w:szCs w:val="24"/>
        </w:rPr>
        <w:t xml:space="preserve">  </w:t>
      </w:r>
    </w:p>
    <w:p w:rsidR="00582BF4" w:rsidRPr="007C6A35" w:rsidP="00582BF4" w14:paraId="3F3CD9BA" w14:textId="77777777">
      <w:pPr>
        <w:numPr>
          <w:ilvl w:val="0"/>
          <w:numId w:val="11"/>
        </w:numPr>
        <w:autoSpaceDE w:val="0"/>
        <w:autoSpaceDN w:val="0"/>
        <w:adjustRightInd w:val="0"/>
        <w:rPr>
          <w:sz w:val="24"/>
          <w:szCs w:val="24"/>
        </w:rPr>
      </w:pPr>
      <w:r w:rsidRPr="007C6A35">
        <w:rPr>
          <w:b/>
          <w:bCs/>
          <w:sz w:val="24"/>
          <w:szCs w:val="24"/>
        </w:rPr>
        <w:t>Indicate how, by whom, and for what purpose the information is to be used.  Except for a new collection, indicate the actual use the agency has made of the information received from the current collection.</w:t>
      </w:r>
    </w:p>
    <w:p w:rsidR="00582BF4" w:rsidRPr="00BC6836" w:rsidP="00582BF4" w14:paraId="1C7992D5" w14:textId="77777777">
      <w:pPr>
        <w:rPr>
          <w:rFonts w:eastAsia="Calibri"/>
          <w:b/>
          <w:sz w:val="24"/>
          <w:szCs w:val="24"/>
        </w:rPr>
      </w:pPr>
    </w:p>
    <w:p w:rsidR="00582BF4" w:rsidRPr="00BC6836" w:rsidP="00582BF4" w14:paraId="7F02BC2F" w14:textId="77777777">
      <w:pPr>
        <w:rPr>
          <w:rFonts w:eastAsia="Calibri"/>
          <w:sz w:val="24"/>
          <w:szCs w:val="24"/>
        </w:rPr>
      </w:pPr>
      <w:r w:rsidRPr="00BC6836">
        <w:rPr>
          <w:rFonts w:eastAsia="Calibri"/>
          <w:sz w:val="24"/>
          <w:szCs w:val="24"/>
        </w:rPr>
        <w:t>The following sections describe the purpose and use of the information collection requirements contained in §1926.800.</w:t>
      </w:r>
    </w:p>
    <w:p w:rsidR="00582BF4" w:rsidRPr="00BC6836" w:rsidP="00582BF4" w14:paraId="26FA49DE" w14:textId="77777777">
      <w:pPr>
        <w:rPr>
          <w:rFonts w:eastAsia="Calibri"/>
          <w:sz w:val="24"/>
          <w:szCs w:val="24"/>
        </w:rPr>
      </w:pPr>
    </w:p>
    <w:p w:rsidR="00582BF4" w:rsidRPr="00BC6836" w:rsidP="00582BF4" w14:paraId="6AF0879D" w14:textId="77777777">
      <w:pPr>
        <w:rPr>
          <w:rFonts w:eastAsia="Calibri"/>
          <w:b/>
          <w:sz w:val="24"/>
          <w:szCs w:val="24"/>
        </w:rPr>
      </w:pPr>
      <w:r w:rsidRPr="00BC6836">
        <w:rPr>
          <w:rFonts w:eastAsia="Calibri"/>
          <w:b/>
          <w:sz w:val="24"/>
          <w:szCs w:val="24"/>
        </w:rPr>
        <w:t>(A)  Posting Warning Signs and Notices</w:t>
      </w:r>
    </w:p>
    <w:p w:rsidR="00582BF4" w:rsidRPr="00BC6836" w:rsidP="00582BF4" w14:paraId="288F7431" w14:textId="77777777">
      <w:pPr>
        <w:rPr>
          <w:rFonts w:eastAsia="Calibri"/>
          <w:b/>
          <w:sz w:val="24"/>
          <w:szCs w:val="24"/>
        </w:rPr>
      </w:pPr>
    </w:p>
    <w:p w:rsidR="00582BF4" w:rsidRPr="00BC6836" w:rsidP="00582BF4" w14:paraId="226953D8" w14:textId="77777777">
      <w:pPr>
        <w:rPr>
          <w:rFonts w:eastAsia="Calibri"/>
          <w:sz w:val="24"/>
          <w:szCs w:val="24"/>
        </w:rPr>
      </w:pPr>
      <w:r w:rsidRPr="00BC6836">
        <w:rPr>
          <w:rFonts w:eastAsia="Calibri"/>
          <w:sz w:val="24"/>
          <w:szCs w:val="24"/>
        </w:rPr>
        <w:t>Seven paragraphs of §1926.800 require employers to post warning signs or notices during underground construction.  The table below identifies these paragraphs and cites the regulatory text containing the paperwork requirement.</w:t>
      </w:r>
    </w:p>
    <w:p w:rsidR="00582BF4" w:rsidRPr="00BC6836" w:rsidP="00582BF4" w14:paraId="3DC2495B" w14:textId="77777777">
      <w:pPr>
        <w:rPr>
          <w:rFonts w:eastAsia="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0"/>
        <w:gridCol w:w="7720"/>
      </w:tblGrid>
      <w:tr w14:paraId="613404BB" w14:textId="77777777" w:rsidTr="00C001C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638" w:type="dxa"/>
            <w:shd w:val="clear" w:color="auto" w:fill="auto"/>
          </w:tcPr>
          <w:p w:rsidR="00582BF4" w:rsidRPr="00BC6836" w:rsidP="00C001C3" w14:paraId="6184F143" w14:textId="77777777">
            <w:pPr>
              <w:spacing w:after="200" w:line="276" w:lineRule="auto"/>
              <w:rPr>
                <w:rFonts w:eastAsia="Calibri"/>
                <w:b/>
                <w:sz w:val="24"/>
                <w:szCs w:val="24"/>
              </w:rPr>
            </w:pPr>
            <w:r w:rsidRPr="00BC6836">
              <w:rPr>
                <w:rFonts w:eastAsia="Calibri"/>
                <w:b/>
                <w:sz w:val="24"/>
                <w:szCs w:val="24"/>
              </w:rPr>
              <w:t>Paragraph</w:t>
            </w:r>
          </w:p>
        </w:tc>
        <w:tc>
          <w:tcPr>
            <w:tcW w:w="7938" w:type="dxa"/>
            <w:shd w:val="clear" w:color="auto" w:fill="auto"/>
          </w:tcPr>
          <w:p w:rsidR="00582BF4" w:rsidRPr="00BC6836" w:rsidP="00C001C3" w14:paraId="442882F0" w14:textId="77777777">
            <w:pPr>
              <w:spacing w:after="200" w:line="276" w:lineRule="auto"/>
              <w:jc w:val="center"/>
              <w:rPr>
                <w:rFonts w:eastAsia="Calibri"/>
                <w:b/>
                <w:sz w:val="24"/>
                <w:szCs w:val="24"/>
              </w:rPr>
            </w:pPr>
            <w:r w:rsidRPr="00BC6836">
              <w:rPr>
                <w:rFonts w:eastAsia="Calibri"/>
                <w:b/>
                <w:sz w:val="24"/>
                <w:szCs w:val="24"/>
              </w:rPr>
              <w:t>Regulatory Text</w:t>
            </w:r>
          </w:p>
        </w:tc>
      </w:tr>
      <w:tr w14:paraId="3A8999B5" w14:textId="77777777" w:rsidTr="00C001C3">
        <w:tblPrEx>
          <w:tblW w:w="0" w:type="auto"/>
          <w:tblLook w:val="04A0"/>
        </w:tblPrEx>
        <w:tc>
          <w:tcPr>
            <w:tcW w:w="1638" w:type="dxa"/>
            <w:shd w:val="clear" w:color="auto" w:fill="auto"/>
          </w:tcPr>
          <w:p w:rsidR="00582BF4" w:rsidRPr="00BC6836" w:rsidP="00C001C3" w14:paraId="23A66815" w14:textId="77777777">
            <w:pPr>
              <w:spacing w:after="200" w:line="276" w:lineRule="auto"/>
              <w:rPr>
                <w:rFonts w:eastAsia="Calibri"/>
                <w:sz w:val="24"/>
                <w:szCs w:val="24"/>
              </w:rPr>
            </w:pPr>
            <w:r w:rsidRPr="00BC6836">
              <w:rPr>
                <w:rFonts w:eastAsia="Calibri"/>
                <w:sz w:val="24"/>
                <w:szCs w:val="24"/>
              </w:rPr>
              <w:t>(b)(3)</w:t>
            </w:r>
          </w:p>
        </w:tc>
        <w:tc>
          <w:tcPr>
            <w:tcW w:w="7938" w:type="dxa"/>
            <w:shd w:val="clear" w:color="auto" w:fill="auto"/>
          </w:tcPr>
          <w:p w:rsidR="00582BF4" w:rsidRPr="00BC6836" w:rsidP="00C001C3" w14:paraId="41F3A18E" w14:textId="77777777">
            <w:pPr>
              <w:spacing w:after="200"/>
              <w:rPr>
                <w:rFonts w:eastAsia="Calibri"/>
                <w:sz w:val="24"/>
                <w:szCs w:val="24"/>
              </w:rPr>
            </w:pPr>
            <w:r w:rsidRPr="00BC6836">
              <w:rPr>
                <w:rFonts w:eastAsia="Calibri"/>
                <w:sz w:val="24"/>
                <w:szCs w:val="24"/>
              </w:rPr>
              <w:t>Unused chutes, manways, or other openings shall be tightly covered, bulkheaded, or fenced off, and shall be posted with warning signs indicating “Keep Out” or similar language.</w:t>
            </w:r>
          </w:p>
        </w:tc>
      </w:tr>
      <w:tr w14:paraId="5EB1BEF4" w14:textId="77777777" w:rsidTr="00C001C3">
        <w:tblPrEx>
          <w:tblW w:w="0" w:type="auto"/>
          <w:tblLook w:val="04A0"/>
        </w:tblPrEx>
        <w:tc>
          <w:tcPr>
            <w:tcW w:w="1638" w:type="dxa"/>
            <w:shd w:val="clear" w:color="auto" w:fill="auto"/>
          </w:tcPr>
          <w:p w:rsidR="00582BF4" w:rsidRPr="00BC6836" w:rsidP="00C001C3" w14:paraId="4BDA756B" w14:textId="77777777">
            <w:pPr>
              <w:spacing w:after="200" w:line="276" w:lineRule="auto"/>
              <w:rPr>
                <w:rFonts w:eastAsia="Calibri"/>
                <w:sz w:val="24"/>
                <w:szCs w:val="24"/>
              </w:rPr>
            </w:pPr>
            <w:r w:rsidRPr="00BC6836">
              <w:rPr>
                <w:rFonts w:eastAsia="Calibri"/>
                <w:sz w:val="24"/>
                <w:szCs w:val="24"/>
              </w:rPr>
              <w:t>(i)(3)</w:t>
            </w:r>
          </w:p>
        </w:tc>
        <w:tc>
          <w:tcPr>
            <w:tcW w:w="7938" w:type="dxa"/>
            <w:shd w:val="clear" w:color="auto" w:fill="auto"/>
          </w:tcPr>
          <w:p w:rsidR="00582BF4" w:rsidRPr="00BC6836" w:rsidP="00C001C3" w14:paraId="16D75A59" w14:textId="77777777">
            <w:pPr>
              <w:spacing w:after="200"/>
              <w:rPr>
                <w:rFonts w:eastAsia="Calibri"/>
                <w:sz w:val="24"/>
                <w:szCs w:val="24"/>
              </w:rPr>
            </w:pPr>
            <w:r w:rsidRPr="00BC6836">
              <w:rPr>
                <w:rFonts w:eastAsia="Calibri"/>
                <w:sz w:val="24"/>
                <w:szCs w:val="24"/>
              </w:rPr>
              <w:t>Each entrance to a gassy operation shall be prominently posted with signs notifying all entrants of the gassy conditions.</w:t>
            </w:r>
          </w:p>
        </w:tc>
      </w:tr>
      <w:tr w14:paraId="1481C72A" w14:textId="77777777" w:rsidTr="00C001C3">
        <w:tblPrEx>
          <w:tblW w:w="0" w:type="auto"/>
          <w:tblLook w:val="04A0"/>
        </w:tblPrEx>
        <w:tc>
          <w:tcPr>
            <w:tcW w:w="1638" w:type="dxa"/>
            <w:shd w:val="clear" w:color="auto" w:fill="auto"/>
          </w:tcPr>
          <w:p w:rsidR="00582BF4" w:rsidRPr="00BC6836" w:rsidP="00C001C3" w14:paraId="63F78070" w14:textId="77777777">
            <w:pPr>
              <w:spacing w:after="200" w:line="276" w:lineRule="auto"/>
              <w:rPr>
                <w:rFonts w:eastAsia="Calibri"/>
                <w:sz w:val="24"/>
                <w:szCs w:val="24"/>
              </w:rPr>
            </w:pPr>
            <w:r w:rsidRPr="00BC6836">
              <w:rPr>
                <w:rFonts w:eastAsia="Calibri"/>
                <w:sz w:val="24"/>
                <w:szCs w:val="24"/>
              </w:rPr>
              <w:t>(j)(1)(vi)(A)</w:t>
            </w:r>
          </w:p>
        </w:tc>
        <w:tc>
          <w:tcPr>
            <w:tcW w:w="7938" w:type="dxa"/>
            <w:shd w:val="clear" w:color="auto" w:fill="auto"/>
          </w:tcPr>
          <w:p w:rsidR="00582BF4" w:rsidRPr="00BC6836" w:rsidP="00C001C3" w14:paraId="290734D0" w14:textId="77777777">
            <w:pPr>
              <w:spacing w:after="200"/>
              <w:rPr>
                <w:rFonts w:eastAsia="Calibri"/>
                <w:sz w:val="24"/>
                <w:szCs w:val="24"/>
              </w:rPr>
            </w:pPr>
            <w:r w:rsidRPr="00BC6836">
              <w:rPr>
                <w:rFonts w:eastAsia="Calibri"/>
                <w:sz w:val="24"/>
                <w:szCs w:val="24"/>
              </w:rPr>
              <w:t>Prominently post a notice at all entrances to the underground jobsite to inform all entrants [that air contaminants may be present in sufficient quantity to be dangerous to life].</w:t>
            </w:r>
          </w:p>
        </w:tc>
      </w:tr>
      <w:tr w14:paraId="0BB915F3" w14:textId="77777777" w:rsidTr="00C001C3">
        <w:tblPrEx>
          <w:tblW w:w="0" w:type="auto"/>
          <w:tblLook w:val="04A0"/>
        </w:tblPrEx>
        <w:tc>
          <w:tcPr>
            <w:tcW w:w="1638" w:type="dxa"/>
            <w:shd w:val="clear" w:color="auto" w:fill="auto"/>
          </w:tcPr>
          <w:p w:rsidR="00582BF4" w:rsidRPr="00BC6836" w:rsidP="00C001C3" w14:paraId="51C24131" w14:textId="77777777">
            <w:pPr>
              <w:spacing w:after="200" w:line="276" w:lineRule="auto"/>
              <w:rPr>
                <w:rFonts w:eastAsia="Calibri"/>
                <w:sz w:val="24"/>
                <w:szCs w:val="24"/>
              </w:rPr>
            </w:pPr>
            <w:r w:rsidRPr="00BC6836">
              <w:rPr>
                <w:rFonts w:eastAsia="Calibri"/>
                <w:sz w:val="24"/>
                <w:szCs w:val="24"/>
              </w:rPr>
              <w:t>(m)(2)(ii)</w:t>
            </w:r>
          </w:p>
        </w:tc>
        <w:tc>
          <w:tcPr>
            <w:tcW w:w="7938" w:type="dxa"/>
            <w:shd w:val="clear" w:color="auto" w:fill="auto"/>
          </w:tcPr>
          <w:p w:rsidR="00582BF4" w:rsidRPr="00BC6836" w:rsidP="00C001C3" w14:paraId="244BD1B7" w14:textId="77777777">
            <w:pPr>
              <w:spacing w:after="200"/>
              <w:rPr>
                <w:rFonts w:eastAsia="Calibri"/>
                <w:sz w:val="24"/>
                <w:szCs w:val="24"/>
              </w:rPr>
            </w:pPr>
            <w:r w:rsidRPr="00BC6836">
              <w:rPr>
                <w:rFonts w:eastAsia="Calibri"/>
                <w:sz w:val="24"/>
                <w:szCs w:val="24"/>
              </w:rPr>
              <w:t>Readily visible signs prohibiting smoking and open flames shall be posted in areas having fire or explosion hazards.</w:t>
            </w:r>
          </w:p>
        </w:tc>
      </w:tr>
      <w:tr w14:paraId="589E7CB7" w14:textId="77777777" w:rsidTr="00C001C3">
        <w:tblPrEx>
          <w:tblW w:w="0" w:type="auto"/>
          <w:tblLook w:val="04A0"/>
        </w:tblPrEx>
        <w:tc>
          <w:tcPr>
            <w:tcW w:w="1638" w:type="dxa"/>
            <w:shd w:val="clear" w:color="auto" w:fill="auto"/>
          </w:tcPr>
          <w:p w:rsidR="00582BF4" w:rsidRPr="00BC6836" w:rsidP="00C001C3" w14:paraId="568BD528" w14:textId="77777777">
            <w:pPr>
              <w:spacing w:after="200" w:line="276" w:lineRule="auto"/>
              <w:rPr>
                <w:rFonts w:eastAsia="Calibri"/>
                <w:sz w:val="24"/>
                <w:szCs w:val="24"/>
              </w:rPr>
            </w:pPr>
            <w:r w:rsidRPr="00BC6836">
              <w:rPr>
                <w:rFonts w:eastAsia="Calibri"/>
                <w:sz w:val="24"/>
                <w:szCs w:val="24"/>
              </w:rPr>
              <w:t>(o)(2)</w:t>
            </w:r>
          </w:p>
        </w:tc>
        <w:tc>
          <w:tcPr>
            <w:tcW w:w="7938" w:type="dxa"/>
            <w:shd w:val="clear" w:color="auto" w:fill="auto"/>
          </w:tcPr>
          <w:p w:rsidR="00582BF4" w:rsidRPr="00BC6836" w:rsidP="00C001C3" w14:paraId="4D7D3D1E" w14:textId="77777777">
            <w:pPr>
              <w:spacing w:after="200"/>
              <w:rPr>
                <w:rFonts w:eastAsia="Calibri"/>
                <w:sz w:val="24"/>
                <w:szCs w:val="24"/>
              </w:rPr>
            </w:pPr>
            <w:r w:rsidRPr="00BC6836">
              <w:rPr>
                <w:rFonts w:eastAsia="Calibri"/>
                <w:sz w:val="24"/>
                <w:szCs w:val="24"/>
              </w:rPr>
              <w:t>The employer shall ensure ground stability in hazardous subsidence areas by shoring, by filling in, or by erecting barricades and posting warning signs to prevent entry.</w:t>
            </w:r>
          </w:p>
        </w:tc>
      </w:tr>
      <w:tr w14:paraId="546F6EB5" w14:textId="77777777" w:rsidTr="00C001C3">
        <w:tblPrEx>
          <w:tblW w:w="0" w:type="auto"/>
          <w:tblLook w:val="04A0"/>
        </w:tblPrEx>
        <w:tc>
          <w:tcPr>
            <w:tcW w:w="1638" w:type="dxa"/>
            <w:shd w:val="clear" w:color="auto" w:fill="auto"/>
          </w:tcPr>
          <w:p w:rsidR="00582BF4" w:rsidRPr="00BC6836" w:rsidP="00C001C3" w14:paraId="532369FF" w14:textId="77777777">
            <w:pPr>
              <w:spacing w:after="200" w:line="276" w:lineRule="auto"/>
              <w:rPr>
                <w:rFonts w:eastAsia="Calibri"/>
                <w:sz w:val="24"/>
                <w:szCs w:val="24"/>
              </w:rPr>
            </w:pPr>
            <w:r w:rsidRPr="00BC6836">
              <w:rPr>
                <w:rFonts w:eastAsia="Calibri"/>
                <w:sz w:val="24"/>
                <w:szCs w:val="24"/>
              </w:rPr>
              <w:t>(q)(11)</w:t>
            </w:r>
          </w:p>
        </w:tc>
        <w:tc>
          <w:tcPr>
            <w:tcW w:w="7938" w:type="dxa"/>
            <w:shd w:val="clear" w:color="auto" w:fill="auto"/>
          </w:tcPr>
          <w:p w:rsidR="00582BF4" w:rsidRPr="00BC6836" w:rsidP="00C001C3" w14:paraId="10A63C99" w14:textId="77777777">
            <w:pPr>
              <w:spacing w:after="200"/>
              <w:rPr>
                <w:rFonts w:eastAsia="Calibri"/>
                <w:sz w:val="24"/>
                <w:szCs w:val="24"/>
              </w:rPr>
            </w:pPr>
            <w:r w:rsidRPr="00BC6836">
              <w:rPr>
                <w:rFonts w:eastAsia="Calibri"/>
                <w:sz w:val="24"/>
                <w:szCs w:val="24"/>
              </w:rPr>
              <w:t>A caution sign reading “Buried Line,” or similar working shall be posted where air lines are buried or otherwise hidden by water or debris.</w:t>
            </w:r>
          </w:p>
        </w:tc>
      </w:tr>
      <w:tr w14:paraId="6979F95A" w14:textId="77777777" w:rsidTr="00C001C3">
        <w:tblPrEx>
          <w:tblW w:w="0" w:type="auto"/>
          <w:tblLook w:val="04A0"/>
        </w:tblPrEx>
        <w:tc>
          <w:tcPr>
            <w:tcW w:w="1638" w:type="dxa"/>
            <w:shd w:val="clear" w:color="auto" w:fill="auto"/>
          </w:tcPr>
          <w:p w:rsidR="00582BF4" w:rsidRPr="00BC6836" w:rsidP="00C001C3" w14:paraId="51F6E746" w14:textId="77777777">
            <w:pPr>
              <w:spacing w:after="200" w:line="276" w:lineRule="auto"/>
              <w:rPr>
                <w:rFonts w:eastAsia="Calibri"/>
                <w:sz w:val="24"/>
                <w:szCs w:val="24"/>
              </w:rPr>
            </w:pPr>
            <w:r w:rsidRPr="00BC6836">
              <w:rPr>
                <w:rFonts w:eastAsia="Calibri"/>
                <w:sz w:val="24"/>
                <w:szCs w:val="24"/>
              </w:rPr>
              <w:t>(t)(1)(iv)(B)</w:t>
            </w:r>
          </w:p>
        </w:tc>
        <w:tc>
          <w:tcPr>
            <w:tcW w:w="7938" w:type="dxa"/>
            <w:shd w:val="clear" w:color="auto" w:fill="auto"/>
          </w:tcPr>
          <w:p w:rsidR="00582BF4" w:rsidRPr="00BC6836" w:rsidP="00C001C3" w14:paraId="08135A40" w14:textId="77777777">
            <w:pPr>
              <w:spacing w:after="200"/>
              <w:rPr>
                <w:rFonts w:eastAsia="Calibri"/>
                <w:sz w:val="24"/>
                <w:szCs w:val="24"/>
              </w:rPr>
            </w:pPr>
            <w:r w:rsidRPr="00BC6836">
              <w:rPr>
                <w:rFonts w:eastAsia="Calibri"/>
                <w:sz w:val="24"/>
                <w:szCs w:val="24"/>
              </w:rPr>
              <w:t>A sign warning that work is being done in the shaft shall be installed at the shaft collar, at the operator’s station, and at each underground landing.</w:t>
            </w:r>
          </w:p>
        </w:tc>
      </w:tr>
    </w:tbl>
    <w:p w:rsidR="00582BF4" w:rsidRPr="00BC6836" w:rsidP="00582BF4" w14:paraId="075FE311" w14:textId="77777777">
      <w:pPr>
        <w:rPr>
          <w:rFonts w:eastAsia="Calibri"/>
          <w:sz w:val="24"/>
          <w:szCs w:val="24"/>
        </w:rPr>
      </w:pPr>
    </w:p>
    <w:p w:rsidR="00582BF4" w:rsidRPr="00BC6836" w:rsidP="00582BF4" w14:paraId="0496AFD6" w14:textId="77777777">
      <w:pPr>
        <w:rPr>
          <w:rFonts w:eastAsia="Calibri"/>
          <w:sz w:val="24"/>
          <w:szCs w:val="24"/>
        </w:rPr>
      </w:pPr>
      <w:r w:rsidRPr="00BC6836">
        <w:rPr>
          <w:rFonts w:eastAsia="Calibri"/>
          <w:sz w:val="24"/>
          <w:szCs w:val="24"/>
        </w:rPr>
        <w:t>The warning signs and notices required by these provisions enable employers to effectively alert workers to the presence of hazards or potential hazards at the job site, thereby preventing worker exposure to hazards or potential hazards associated with underground construction that could kill or seriously injure them.</w:t>
      </w:r>
    </w:p>
    <w:p w:rsidR="00582BF4" w:rsidRPr="00BC6836" w:rsidP="00582BF4" w14:paraId="23E4621C" w14:textId="77777777">
      <w:pPr>
        <w:rPr>
          <w:rFonts w:eastAsia="Calibri"/>
          <w:sz w:val="24"/>
          <w:szCs w:val="24"/>
        </w:rPr>
      </w:pPr>
    </w:p>
    <w:p w:rsidR="00582BF4" w:rsidRPr="00BC6836" w:rsidP="00582BF4" w14:paraId="0B949CF3" w14:textId="77777777">
      <w:pPr>
        <w:rPr>
          <w:rFonts w:eastAsia="Calibri"/>
          <w:b/>
          <w:sz w:val="24"/>
          <w:szCs w:val="24"/>
        </w:rPr>
      </w:pPr>
      <w:r w:rsidRPr="00BC6836">
        <w:rPr>
          <w:rFonts w:eastAsia="Calibri"/>
          <w:b/>
          <w:sz w:val="24"/>
          <w:szCs w:val="24"/>
        </w:rPr>
        <w:t>(B)  Certifying Inspection Records for Hoists</w:t>
      </w:r>
    </w:p>
    <w:p w:rsidR="00582BF4" w:rsidRPr="00BC6836" w:rsidP="00582BF4" w14:paraId="5F55C269" w14:textId="77777777">
      <w:pPr>
        <w:rPr>
          <w:rFonts w:eastAsia="Calibri"/>
          <w:b/>
          <w:sz w:val="24"/>
          <w:szCs w:val="24"/>
        </w:rPr>
      </w:pPr>
    </w:p>
    <w:p w:rsidR="00582BF4" w:rsidRPr="00BC6836" w:rsidP="00582BF4" w14:paraId="78100F75" w14:textId="77777777">
      <w:pPr>
        <w:rPr>
          <w:rFonts w:eastAsia="Calibri"/>
          <w:sz w:val="24"/>
          <w:szCs w:val="24"/>
        </w:rPr>
      </w:pPr>
      <w:r w:rsidRPr="00BC6836">
        <w:rPr>
          <w:rFonts w:eastAsia="Calibri"/>
          <w:sz w:val="24"/>
          <w:szCs w:val="24"/>
        </w:rPr>
        <w:t>Paragraph (t)(3)(xxi) of §1926.800 requires employers to inspect and load test hoists when they install them and annually thereafter; they must also inspect and load test a hoist after making any repairs or alterations to it that affect its structural integrity, and after tripping a safety device on the hoist.  Employers must also prepare a certification record of each inspection and load test that includes the following information:  The date of the inspection and load test</w:t>
      </w:r>
      <w:r>
        <w:rPr>
          <w:rFonts w:eastAsia="Calibri"/>
          <w:sz w:val="24"/>
          <w:szCs w:val="24"/>
        </w:rPr>
        <w:t>, a serial number or other identifier for the hoist,</w:t>
      </w:r>
      <w:r w:rsidRPr="00BC6836">
        <w:rPr>
          <w:rFonts w:eastAsia="Calibri"/>
          <w:sz w:val="24"/>
          <w:szCs w:val="24"/>
        </w:rPr>
        <w:t xml:space="preserve"> and the signature of the individual who performed the inspection and load test.  In addition, employers must maintain the most recent certification record until they complete the construction project.</w:t>
      </w:r>
    </w:p>
    <w:p w:rsidR="00582BF4" w:rsidRPr="00BC6836" w:rsidP="00582BF4" w14:paraId="1B2DE920" w14:textId="77777777">
      <w:pPr>
        <w:rPr>
          <w:rFonts w:eastAsia="Calibri"/>
          <w:sz w:val="24"/>
          <w:szCs w:val="24"/>
        </w:rPr>
      </w:pPr>
    </w:p>
    <w:p w:rsidR="00582BF4" w:rsidRPr="00BC6836" w:rsidP="00582BF4" w14:paraId="4B554093" w14:textId="77777777">
      <w:pPr>
        <w:rPr>
          <w:rFonts w:eastAsia="Calibri"/>
          <w:sz w:val="24"/>
          <w:szCs w:val="24"/>
        </w:rPr>
      </w:pPr>
      <w:r w:rsidRPr="00BC6836">
        <w:rPr>
          <w:rFonts w:eastAsia="Calibri"/>
          <w:sz w:val="24"/>
          <w:szCs w:val="24"/>
        </w:rPr>
        <w:t xml:space="preserve">The inspections and load tests identify problems such as deterioration caused by exposure to adverse weather conditions, worn components and other flaws and defects that develop during use, and accelerated wear resulting from misalignments of connecting systems and components.  Establishing and maintaining a written record of the most recent inspection and load test alerts equipment mechanics to problems that need correction.  </w:t>
      </w:r>
      <w:r>
        <w:rPr>
          <w:rFonts w:eastAsia="Calibri"/>
          <w:sz w:val="24"/>
          <w:szCs w:val="24"/>
        </w:rPr>
        <w:t>Before</w:t>
      </w:r>
      <w:r w:rsidRPr="00BC6836">
        <w:rPr>
          <w:rFonts w:eastAsia="Calibri"/>
          <w:sz w:val="24"/>
          <w:szCs w:val="24"/>
        </w:rPr>
        <w:t xml:space="preserve"> returning the equipment to service, employers can review the records to ensure that the mechanics performed the necessary repairs and maintenance.  Accordingly, by using only equipment that is in safe working order, employers will prevent severe injury and death to the equipment operators and other workers who work near the equipment.  In addition, these records provide the most efficient means for an OSHA compliance officer to determine that an employer performed the required inspections and load tests, thereby assuring that the equipment is safe to operate.</w:t>
      </w:r>
    </w:p>
    <w:p w:rsidR="00582BF4" w:rsidRPr="00BC6836" w:rsidP="00582BF4" w14:paraId="209B19FA" w14:textId="77777777">
      <w:pPr>
        <w:rPr>
          <w:rFonts w:eastAsia="Calibri"/>
          <w:sz w:val="24"/>
          <w:szCs w:val="24"/>
        </w:rPr>
      </w:pPr>
    </w:p>
    <w:p w:rsidR="00582BF4" w:rsidRPr="00BC6836" w:rsidP="00582BF4" w14:paraId="794045BD" w14:textId="77777777">
      <w:pPr>
        <w:rPr>
          <w:rFonts w:eastAsia="Calibri"/>
          <w:b/>
          <w:sz w:val="24"/>
          <w:szCs w:val="24"/>
        </w:rPr>
      </w:pPr>
      <w:r w:rsidRPr="00BC6836">
        <w:rPr>
          <w:rFonts w:eastAsia="Calibri"/>
          <w:b/>
          <w:sz w:val="24"/>
          <w:szCs w:val="24"/>
        </w:rPr>
        <w:t>(C)  Recordkeeping for Air Quality Tests</w:t>
      </w:r>
    </w:p>
    <w:p w:rsidR="00582BF4" w:rsidRPr="00BC6836" w:rsidP="00582BF4" w14:paraId="31C04D29" w14:textId="77777777">
      <w:pPr>
        <w:rPr>
          <w:rFonts w:eastAsia="Calibri"/>
          <w:b/>
          <w:sz w:val="24"/>
          <w:szCs w:val="24"/>
        </w:rPr>
      </w:pPr>
    </w:p>
    <w:p w:rsidR="00582BF4" w:rsidP="00582BF4" w14:paraId="395CEE25" w14:textId="77777777">
      <w:pPr>
        <w:rPr>
          <w:rFonts w:eastAsia="Calibri"/>
          <w:sz w:val="24"/>
          <w:szCs w:val="24"/>
        </w:rPr>
      </w:pPr>
      <w:r w:rsidRPr="00BC6836">
        <w:rPr>
          <w:rFonts w:eastAsia="Calibri"/>
          <w:sz w:val="24"/>
          <w:szCs w:val="24"/>
        </w:rPr>
        <w:t>The standard requires employers to monitor air quality during underground construction.  The following table lists the paragraphs containing the requirements for air-quality tests and provides a brief description of each requirement.</w:t>
      </w:r>
    </w:p>
    <w:p w:rsidR="00582BF4" w:rsidP="00582BF4" w14:paraId="3D28C986" w14:textId="77777777">
      <w:pPr>
        <w:rPr>
          <w:rFonts w:eastAsia="Calibri"/>
          <w:sz w:val="24"/>
          <w:szCs w:val="24"/>
        </w:rPr>
      </w:pPr>
    </w:p>
    <w:p w:rsidR="00582BF4" w:rsidRPr="00BC6836" w:rsidP="00582BF4" w14:paraId="60C7E97A" w14:textId="77777777">
      <w:pPr>
        <w:rPr>
          <w:rFonts w:eastAsia="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3"/>
        <w:gridCol w:w="7807"/>
      </w:tblGrid>
      <w:tr w14:paraId="2901EA1B" w14:textId="77777777" w:rsidTr="00C001C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548" w:type="dxa"/>
            <w:shd w:val="clear" w:color="auto" w:fill="auto"/>
          </w:tcPr>
          <w:p w:rsidR="00582BF4" w:rsidRPr="00BC6836" w:rsidP="00C001C3" w14:paraId="7054D851" w14:textId="77777777">
            <w:pPr>
              <w:spacing w:after="200" w:line="276" w:lineRule="auto"/>
              <w:rPr>
                <w:rFonts w:eastAsia="Calibri"/>
                <w:b/>
                <w:sz w:val="24"/>
                <w:szCs w:val="24"/>
              </w:rPr>
            </w:pPr>
            <w:r w:rsidRPr="00BC6836">
              <w:rPr>
                <w:rFonts w:eastAsia="Calibri"/>
                <w:b/>
                <w:sz w:val="24"/>
                <w:szCs w:val="24"/>
              </w:rPr>
              <w:t>Paragraph</w:t>
            </w:r>
          </w:p>
        </w:tc>
        <w:tc>
          <w:tcPr>
            <w:tcW w:w="8028" w:type="dxa"/>
            <w:shd w:val="clear" w:color="auto" w:fill="auto"/>
          </w:tcPr>
          <w:p w:rsidR="00582BF4" w:rsidRPr="00BC6836" w:rsidP="00C001C3" w14:paraId="01FB83F4" w14:textId="77777777">
            <w:pPr>
              <w:spacing w:after="200" w:line="276" w:lineRule="auto"/>
              <w:jc w:val="center"/>
              <w:rPr>
                <w:rFonts w:eastAsia="Calibri"/>
                <w:b/>
                <w:sz w:val="24"/>
                <w:szCs w:val="24"/>
              </w:rPr>
            </w:pPr>
            <w:r w:rsidRPr="00BC6836">
              <w:rPr>
                <w:rFonts w:eastAsia="Calibri"/>
                <w:b/>
                <w:sz w:val="24"/>
                <w:szCs w:val="24"/>
              </w:rPr>
              <w:t>Requirement for Air-Quality Test</w:t>
            </w:r>
          </w:p>
        </w:tc>
      </w:tr>
      <w:tr w14:paraId="2F31140A" w14:textId="77777777" w:rsidTr="00C001C3">
        <w:tblPrEx>
          <w:tblW w:w="0" w:type="auto"/>
          <w:tblLook w:val="04A0"/>
        </w:tblPrEx>
        <w:tc>
          <w:tcPr>
            <w:tcW w:w="1548" w:type="dxa"/>
            <w:shd w:val="clear" w:color="auto" w:fill="auto"/>
          </w:tcPr>
          <w:p w:rsidR="00582BF4" w:rsidRPr="00BC6836" w:rsidP="00C001C3" w14:paraId="497EC5B5" w14:textId="77777777">
            <w:pPr>
              <w:spacing w:after="200"/>
              <w:rPr>
                <w:rFonts w:eastAsia="Calibri"/>
                <w:sz w:val="24"/>
                <w:szCs w:val="24"/>
              </w:rPr>
            </w:pPr>
            <w:r w:rsidRPr="00BC6836">
              <w:rPr>
                <w:rFonts w:eastAsia="Calibri"/>
                <w:sz w:val="24"/>
                <w:szCs w:val="24"/>
              </w:rPr>
              <w:t>(j)(1)(ii)(A) through (j)(1)(iii)(A)</w:t>
            </w:r>
          </w:p>
        </w:tc>
        <w:tc>
          <w:tcPr>
            <w:tcW w:w="8028" w:type="dxa"/>
            <w:shd w:val="clear" w:color="auto" w:fill="auto"/>
          </w:tcPr>
          <w:p w:rsidR="00582BF4" w:rsidRPr="00BC6836" w:rsidP="00C001C3" w14:paraId="1F738E91" w14:textId="77777777">
            <w:pPr>
              <w:spacing w:after="200"/>
              <w:rPr>
                <w:rFonts w:eastAsia="Calibri"/>
                <w:sz w:val="24"/>
                <w:szCs w:val="24"/>
              </w:rPr>
            </w:pPr>
            <w:r w:rsidRPr="00BC6836">
              <w:rPr>
                <w:rFonts w:eastAsia="Calibri"/>
                <w:sz w:val="24"/>
                <w:szCs w:val="24"/>
              </w:rPr>
              <w:t>Employers must conduct quantitative air quality test for oxygen, carbon monoxide, nitrogen dioxide, hydrogen sulfide, and other toxic gases, as well as dusts, vapors, mists, and fumes as often as necessary.</w:t>
            </w:r>
          </w:p>
        </w:tc>
      </w:tr>
      <w:tr w14:paraId="08B8335A" w14:textId="77777777" w:rsidTr="00C001C3">
        <w:tblPrEx>
          <w:tblW w:w="0" w:type="auto"/>
          <w:tblLook w:val="04A0"/>
        </w:tblPrEx>
        <w:tc>
          <w:tcPr>
            <w:tcW w:w="1548" w:type="dxa"/>
            <w:shd w:val="clear" w:color="auto" w:fill="auto"/>
          </w:tcPr>
          <w:p w:rsidR="00582BF4" w:rsidRPr="00BC6836" w:rsidP="00C001C3" w14:paraId="08DA826D" w14:textId="77777777">
            <w:pPr>
              <w:spacing w:after="200"/>
              <w:rPr>
                <w:rFonts w:eastAsia="Calibri"/>
                <w:sz w:val="24"/>
                <w:szCs w:val="24"/>
              </w:rPr>
            </w:pPr>
            <w:r w:rsidRPr="00BC6836">
              <w:rPr>
                <w:rFonts w:eastAsia="Calibri"/>
                <w:sz w:val="24"/>
                <w:szCs w:val="24"/>
              </w:rPr>
              <w:t>(j)(1)(iii)(B)</w:t>
            </w:r>
          </w:p>
        </w:tc>
        <w:tc>
          <w:tcPr>
            <w:tcW w:w="8028" w:type="dxa"/>
            <w:shd w:val="clear" w:color="auto" w:fill="auto"/>
          </w:tcPr>
          <w:p w:rsidR="00582BF4" w:rsidRPr="00BC6836" w:rsidP="00C001C3" w14:paraId="41CA4B51" w14:textId="77777777">
            <w:pPr>
              <w:spacing w:after="200"/>
              <w:rPr>
                <w:rFonts w:eastAsia="Calibri"/>
                <w:sz w:val="24"/>
                <w:szCs w:val="24"/>
              </w:rPr>
            </w:pPr>
            <w:r w:rsidRPr="00BC6836">
              <w:rPr>
                <w:rFonts w:eastAsia="Calibri"/>
                <w:sz w:val="24"/>
                <w:szCs w:val="24"/>
              </w:rPr>
              <w:t>Employers must monitor quantitatively for methane and other flammable gases as often as necessary.</w:t>
            </w:r>
          </w:p>
        </w:tc>
      </w:tr>
      <w:tr w14:paraId="446E40CD" w14:textId="77777777" w:rsidTr="00C001C3">
        <w:tblPrEx>
          <w:tblW w:w="0" w:type="auto"/>
          <w:tblLook w:val="04A0"/>
        </w:tblPrEx>
        <w:tc>
          <w:tcPr>
            <w:tcW w:w="1548" w:type="dxa"/>
            <w:shd w:val="clear" w:color="auto" w:fill="auto"/>
          </w:tcPr>
          <w:p w:rsidR="00582BF4" w:rsidRPr="00BC6836" w:rsidP="00C001C3" w14:paraId="1D96BDC4" w14:textId="77777777">
            <w:pPr>
              <w:spacing w:after="200"/>
              <w:rPr>
                <w:rFonts w:eastAsia="Calibri"/>
                <w:sz w:val="24"/>
                <w:szCs w:val="24"/>
              </w:rPr>
            </w:pPr>
            <w:r w:rsidRPr="00BC6836">
              <w:rPr>
                <w:rFonts w:eastAsia="Calibri"/>
                <w:sz w:val="24"/>
                <w:szCs w:val="24"/>
              </w:rPr>
              <w:t>(j)(1)(iii)(C)</w:t>
            </w:r>
          </w:p>
        </w:tc>
        <w:tc>
          <w:tcPr>
            <w:tcW w:w="8028" w:type="dxa"/>
            <w:shd w:val="clear" w:color="auto" w:fill="auto"/>
          </w:tcPr>
          <w:p w:rsidR="00582BF4" w:rsidRPr="00BC6836" w:rsidP="00C001C3" w14:paraId="3AFAD947" w14:textId="77777777">
            <w:pPr>
              <w:spacing w:after="200"/>
              <w:rPr>
                <w:rFonts w:eastAsia="Calibri"/>
                <w:sz w:val="24"/>
                <w:szCs w:val="24"/>
              </w:rPr>
            </w:pPr>
            <w:r w:rsidRPr="00BC6836">
              <w:rPr>
                <w:rFonts w:eastAsia="Calibri"/>
                <w:sz w:val="24"/>
                <w:szCs w:val="24"/>
              </w:rPr>
              <w:t>If employers use ventilating fans or compressors driven by diesel or gasoline engines, they must initially test the inlet air of the fans or compressors to ensure that engine exhaust is not contaminating the air supply.</w:t>
            </w:r>
          </w:p>
        </w:tc>
      </w:tr>
      <w:tr w14:paraId="6B3098E2" w14:textId="77777777" w:rsidTr="00C001C3">
        <w:tblPrEx>
          <w:tblW w:w="0" w:type="auto"/>
          <w:tblLook w:val="04A0"/>
        </w:tblPrEx>
        <w:tc>
          <w:tcPr>
            <w:tcW w:w="1548" w:type="dxa"/>
            <w:shd w:val="clear" w:color="auto" w:fill="auto"/>
          </w:tcPr>
          <w:p w:rsidR="00582BF4" w:rsidRPr="00BC6836" w:rsidP="00C001C3" w14:paraId="54B8C14D" w14:textId="77777777">
            <w:pPr>
              <w:spacing w:after="200"/>
              <w:rPr>
                <w:rFonts w:eastAsia="Calibri"/>
                <w:sz w:val="24"/>
                <w:szCs w:val="24"/>
              </w:rPr>
            </w:pPr>
            <w:r w:rsidRPr="00BC6836">
              <w:rPr>
                <w:rFonts w:eastAsia="Calibri"/>
                <w:sz w:val="24"/>
                <w:szCs w:val="24"/>
              </w:rPr>
              <w:t>(j)(1)(iii)(D)</w:t>
            </w:r>
          </w:p>
        </w:tc>
        <w:tc>
          <w:tcPr>
            <w:tcW w:w="8028" w:type="dxa"/>
            <w:shd w:val="clear" w:color="auto" w:fill="auto"/>
          </w:tcPr>
          <w:p w:rsidR="00582BF4" w:rsidRPr="00BC6836" w:rsidP="00C001C3" w14:paraId="4EDC9617" w14:textId="77777777">
            <w:pPr>
              <w:spacing w:after="200"/>
              <w:rPr>
                <w:rFonts w:eastAsia="Calibri"/>
                <w:sz w:val="24"/>
                <w:szCs w:val="24"/>
              </w:rPr>
            </w:pPr>
            <w:r w:rsidRPr="00BC6836">
              <w:rPr>
                <w:rFonts w:eastAsia="Calibri"/>
                <w:sz w:val="24"/>
                <w:szCs w:val="24"/>
              </w:rPr>
              <w:t>Employers must conduct air quality tests:</w:t>
            </w:r>
          </w:p>
          <w:p w:rsidR="00582BF4" w:rsidP="00C001C3" w14:paraId="7F76D881" w14:textId="77777777">
            <w:pPr>
              <w:numPr>
                <w:ilvl w:val="0"/>
                <w:numId w:val="4"/>
              </w:numPr>
              <w:spacing w:after="200"/>
              <w:contextualSpacing/>
              <w:rPr>
                <w:rFonts w:eastAsia="Calibri"/>
                <w:sz w:val="24"/>
                <w:szCs w:val="24"/>
              </w:rPr>
            </w:pPr>
            <w:r w:rsidRPr="00BC6836">
              <w:rPr>
                <w:rFonts w:eastAsia="Calibri"/>
                <w:sz w:val="24"/>
                <w:szCs w:val="24"/>
              </w:rPr>
              <w:t>As necessary to maintain adequate levels of fresh air as specified by paragraph (k)(1)(i) of the standard; and</w:t>
            </w:r>
          </w:p>
          <w:p w:rsidR="00582BF4" w:rsidRPr="00BC6836" w:rsidP="00C001C3" w14:paraId="0D5CB923" w14:textId="77777777">
            <w:pPr>
              <w:spacing w:after="200"/>
              <w:ind w:left="720"/>
              <w:contextualSpacing/>
              <w:rPr>
                <w:rFonts w:eastAsia="Calibri"/>
                <w:sz w:val="24"/>
                <w:szCs w:val="24"/>
              </w:rPr>
            </w:pPr>
          </w:p>
          <w:p w:rsidR="00582BF4" w:rsidP="00C001C3" w14:paraId="39373953" w14:textId="77777777">
            <w:pPr>
              <w:numPr>
                <w:ilvl w:val="0"/>
                <w:numId w:val="4"/>
              </w:numPr>
              <w:spacing w:after="200"/>
              <w:contextualSpacing/>
              <w:rPr>
                <w:rFonts w:eastAsia="Calibri"/>
                <w:sz w:val="24"/>
                <w:szCs w:val="24"/>
              </w:rPr>
            </w:pPr>
            <w:r w:rsidRPr="00BC6836">
              <w:rPr>
                <w:rFonts w:eastAsia="Calibri"/>
                <w:sz w:val="24"/>
                <w:szCs w:val="24"/>
              </w:rPr>
              <w:t>To assess affected areas for accumulations of methane or flammable gas after reducing or stopping, and then restoring, ventilation, consistent with paragraphs (k)(7) and (k)(8) of the standard.</w:t>
            </w:r>
          </w:p>
          <w:p w:rsidR="00582BF4" w:rsidRPr="00BC6836" w:rsidP="00C001C3" w14:paraId="169EF52E" w14:textId="77777777">
            <w:pPr>
              <w:spacing w:after="200"/>
              <w:ind w:left="720"/>
              <w:contextualSpacing/>
              <w:rPr>
                <w:rFonts w:eastAsia="Calibri"/>
                <w:sz w:val="24"/>
                <w:szCs w:val="24"/>
              </w:rPr>
            </w:pPr>
          </w:p>
        </w:tc>
      </w:tr>
      <w:tr w14:paraId="5B323877" w14:textId="77777777" w:rsidTr="00C001C3">
        <w:tblPrEx>
          <w:tblW w:w="0" w:type="auto"/>
          <w:tblLook w:val="04A0"/>
        </w:tblPrEx>
        <w:tc>
          <w:tcPr>
            <w:tcW w:w="1548" w:type="dxa"/>
            <w:shd w:val="clear" w:color="auto" w:fill="auto"/>
          </w:tcPr>
          <w:p w:rsidR="00582BF4" w:rsidRPr="00BC6836" w:rsidP="00C001C3" w14:paraId="426618A0" w14:textId="77777777">
            <w:pPr>
              <w:spacing w:after="200"/>
              <w:rPr>
                <w:rFonts w:eastAsia="Calibri"/>
                <w:sz w:val="24"/>
                <w:szCs w:val="24"/>
              </w:rPr>
            </w:pPr>
            <w:r w:rsidRPr="00BC6836">
              <w:rPr>
                <w:rFonts w:eastAsia="Calibri"/>
                <w:sz w:val="24"/>
                <w:szCs w:val="24"/>
              </w:rPr>
              <w:t>(j)(1)(iv)</w:t>
            </w:r>
          </w:p>
        </w:tc>
        <w:tc>
          <w:tcPr>
            <w:tcW w:w="8028" w:type="dxa"/>
            <w:shd w:val="clear" w:color="auto" w:fill="auto"/>
          </w:tcPr>
          <w:p w:rsidR="00582BF4" w:rsidRPr="00BC6836" w:rsidP="00C001C3" w14:paraId="61CB9C26" w14:textId="77777777">
            <w:pPr>
              <w:spacing w:after="200"/>
              <w:rPr>
                <w:rFonts w:eastAsia="Calibri"/>
                <w:sz w:val="24"/>
                <w:szCs w:val="24"/>
              </w:rPr>
            </w:pPr>
            <w:r w:rsidRPr="00BC6836">
              <w:rPr>
                <w:rFonts w:eastAsia="Calibri"/>
                <w:sz w:val="24"/>
                <w:szCs w:val="24"/>
              </w:rPr>
              <w:t>If employers use rapid excavation machines for underground construction, they must operate a continuous flammable gas monitor with the sensor(s) of the monitor placed as high and close to the front of the machine’s cutter head as practicable.</w:t>
            </w:r>
          </w:p>
        </w:tc>
      </w:tr>
      <w:tr w14:paraId="16E7AC0E" w14:textId="77777777" w:rsidTr="00C001C3">
        <w:tblPrEx>
          <w:tblW w:w="0" w:type="auto"/>
          <w:tblLook w:val="04A0"/>
        </w:tblPrEx>
        <w:tc>
          <w:tcPr>
            <w:tcW w:w="1548" w:type="dxa"/>
            <w:shd w:val="clear" w:color="auto" w:fill="auto"/>
          </w:tcPr>
          <w:p w:rsidR="00582BF4" w:rsidRPr="00BC6836" w:rsidP="00C001C3" w14:paraId="30AD2531" w14:textId="77777777">
            <w:pPr>
              <w:spacing w:after="200"/>
              <w:rPr>
                <w:rFonts w:eastAsia="Calibri"/>
                <w:sz w:val="24"/>
                <w:szCs w:val="24"/>
              </w:rPr>
            </w:pPr>
            <w:r w:rsidRPr="00BC6836">
              <w:rPr>
                <w:rFonts w:eastAsia="Calibri"/>
                <w:sz w:val="24"/>
                <w:szCs w:val="24"/>
              </w:rPr>
              <w:t>(j)(1)(v)(A)</w:t>
            </w:r>
          </w:p>
        </w:tc>
        <w:tc>
          <w:tcPr>
            <w:tcW w:w="8028" w:type="dxa"/>
            <w:shd w:val="clear" w:color="auto" w:fill="auto"/>
          </w:tcPr>
          <w:p w:rsidR="00582BF4" w:rsidRPr="00BC6836" w:rsidP="00C001C3" w14:paraId="7D789B38" w14:textId="77777777">
            <w:pPr>
              <w:spacing w:after="200"/>
              <w:rPr>
                <w:rFonts w:eastAsia="Calibri"/>
                <w:sz w:val="24"/>
                <w:szCs w:val="24"/>
              </w:rPr>
            </w:pPr>
            <w:r w:rsidRPr="00BC6836">
              <w:rPr>
                <w:rFonts w:eastAsia="Calibri"/>
                <w:sz w:val="24"/>
                <w:szCs w:val="24"/>
              </w:rPr>
              <w:t>If hydrogen sulfide is present at concentrations of five part per million (ppm) or more, employers must test the affected work areas at least at the beginning and midpoint of each shift until the hydrogen sulfide level is less than five ppm for three consecutive days.</w:t>
            </w:r>
          </w:p>
        </w:tc>
      </w:tr>
      <w:tr w14:paraId="7DD432F2" w14:textId="77777777" w:rsidTr="00C001C3">
        <w:tblPrEx>
          <w:tblW w:w="0" w:type="auto"/>
          <w:tblLook w:val="04A0"/>
        </w:tblPrEx>
        <w:tc>
          <w:tcPr>
            <w:tcW w:w="1548" w:type="dxa"/>
            <w:shd w:val="clear" w:color="auto" w:fill="auto"/>
          </w:tcPr>
          <w:p w:rsidR="00582BF4" w:rsidRPr="00BC6836" w:rsidP="00C001C3" w14:paraId="50C0608A" w14:textId="77777777">
            <w:pPr>
              <w:spacing w:after="200"/>
              <w:rPr>
                <w:rFonts w:eastAsia="Calibri"/>
                <w:sz w:val="24"/>
                <w:szCs w:val="24"/>
              </w:rPr>
            </w:pPr>
            <w:r w:rsidRPr="00BC6836">
              <w:rPr>
                <w:rFonts w:eastAsia="Calibri"/>
                <w:sz w:val="24"/>
                <w:szCs w:val="24"/>
              </w:rPr>
              <w:t>(j)(1)(v)(B)</w:t>
            </w:r>
          </w:p>
        </w:tc>
        <w:tc>
          <w:tcPr>
            <w:tcW w:w="8028" w:type="dxa"/>
            <w:shd w:val="clear" w:color="auto" w:fill="auto"/>
          </w:tcPr>
          <w:p w:rsidR="00582BF4" w:rsidRPr="00BC6836" w:rsidP="00C001C3" w14:paraId="7F446499" w14:textId="77777777">
            <w:pPr>
              <w:spacing w:after="200"/>
              <w:rPr>
                <w:rFonts w:eastAsia="Calibri"/>
                <w:sz w:val="24"/>
                <w:szCs w:val="24"/>
              </w:rPr>
            </w:pPr>
            <w:r w:rsidRPr="00BC6836">
              <w:rPr>
                <w:rFonts w:eastAsia="Calibri"/>
                <w:sz w:val="24"/>
                <w:szCs w:val="24"/>
              </w:rPr>
              <w:t>Employers must test affected work areas continuously for hydrogen sulfide if it exceeds 10 ppm.</w:t>
            </w:r>
          </w:p>
        </w:tc>
      </w:tr>
      <w:tr w14:paraId="1C00CC35" w14:textId="77777777" w:rsidTr="00C001C3">
        <w:tblPrEx>
          <w:tblW w:w="0" w:type="auto"/>
          <w:tblLook w:val="04A0"/>
        </w:tblPrEx>
        <w:tc>
          <w:tcPr>
            <w:tcW w:w="1548" w:type="dxa"/>
            <w:shd w:val="clear" w:color="auto" w:fill="auto"/>
          </w:tcPr>
          <w:p w:rsidR="00582BF4" w:rsidRPr="00BC6836" w:rsidP="00C001C3" w14:paraId="50B3675F" w14:textId="77777777">
            <w:pPr>
              <w:spacing w:after="200"/>
              <w:rPr>
                <w:rFonts w:eastAsia="Calibri"/>
                <w:sz w:val="24"/>
                <w:szCs w:val="24"/>
              </w:rPr>
            </w:pPr>
            <w:r w:rsidRPr="00BC6836">
              <w:rPr>
                <w:rFonts w:eastAsia="Calibri"/>
                <w:sz w:val="24"/>
                <w:szCs w:val="24"/>
              </w:rPr>
              <w:t>(j)(2)(i) through (j)(2)(v)</w:t>
            </w:r>
          </w:p>
        </w:tc>
        <w:tc>
          <w:tcPr>
            <w:tcW w:w="8028" w:type="dxa"/>
            <w:shd w:val="clear" w:color="auto" w:fill="auto"/>
          </w:tcPr>
          <w:p w:rsidR="00582BF4" w:rsidRPr="00BC6836" w:rsidP="00C001C3" w14:paraId="0D91924A" w14:textId="77777777">
            <w:pPr>
              <w:spacing w:after="200"/>
              <w:rPr>
                <w:rFonts w:eastAsia="Calibri"/>
                <w:sz w:val="24"/>
                <w:szCs w:val="24"/>
              </w:rPr>
            </w:pPr>
            <w:r w:rsidRPr="00BC6836">
              <w:rPr>
                <w:rFonts w:eastAsia="Calibri"/>
                <w:sz w:val="24"/>
                <w:szCs w:val="24"/>
              </w:rPr>
              <w:t>If underground construction operations are potentially gassy or gassy as specified as paragraph (h) of the standard,* employers must:</w:t>
            </w:r>
          </w:p>
          <w:p w:rsidR="00582BF4" w:rsidRPr="00BC6836" w:rsidP="00C001C3" w14:paraId="24A5CE24" w14:textId="77777777">
            <w:pPr>
              <w:numPr>
                <w:ilvl w:val="0"/>
                <w:numId w:val="5"/>
              </w:numPr>
              <w:spacing w:after="200"/>
              <w:contextualSpacing/>
              <w:rPr>
                <w:rFonts w:eastAsia="Calibri"/>
                <w:sz w:val="24"/>
                <w:szCs w:val="24"/>
              </w:rPr>
            </w:pPr>
            <w:r w:rsidRPr="00BC6836">
              <w:rPr>
                <w:rFonts w:eastAsia="Calibri"/>
                <w:sz w:val="24"/>
                <w:szCs w:val="24"/>
              </w:rPr>
              <w:t>Test for oxygen levels in affected work areas and in areas immediately adjacent to these areas at least at the beginning and midpoint of each shift;</w:t>
            </w:r>
          </w:p>
          <w:p w:rsidR="00582BF4" w:rsidRPr="00BC6836" w:rsidP="00C001C3" w14:paraId="07E209D5" w14:textId="77777777">
            <w:pPr>
              <w:numPr>
                <w:ilvl w:val="0"/>
                <w:numId w:val="5"/>
              </w:numPr>
              <w:spacing w:after="200"/>
              <w:contextualSpacing/>
              <w:rPr>
                <w:rFonts w:eastAsia="Calibri"/>
                <w:sz w:val="24"/>
                <w:szCs w:val="24"/>
              </w:rPr>
            </w:pPr>
            <w:r w:rsidRPr="00BC6836">
              <w:rPr>
                <w:rFonts w:eastAsia="Calibri"/>
                <w:sz w:val="24"/>
                <w:szCs w:val="24"/>
              </w:rPr>
              <w:t>When using rapid excavation machines, test the air at the heading, on the rib, and in the return air duct using continuous automatic flammable gas monitoring equipment;</w:t>
            </w:r>
          </w:p>
          <w:p w:rsidR="00582BF4" w:rsidP="00C001C3" w14:paraId="059FE030" w14:textId="77777777">
            <w:pPr>
              <w:numPr>
                <w:ilvl w:val="0"/>
                <w:numId w:val="5"/>
              </w:numPr>
              <w:spacing w:after="200"/>
              <w:contextualSpacing/>
              <w:rPr>
                <w:rFonts w:eastAsia="Calibri"/>
                <w:sz w:val="24"/>
                <w:szCs w:val="24"/>
              </w:rPr>
            </w:pPr>
            <w:r w:rsidRPr="00BC6836">
              <w:rPr>
                <w:rFonts w:eastAsia="Calibri"/>
                <w:sz w:val="24"/>
                <w:szCs w:val="24"/>
              </w:rPr>
              <w:t>Use a manual flammable gas monitor as necessary, but at least at the beginning and midpoint of the shift to ensure that oxygen, carbon monoxide, nitrogen dioxide, hydrogen sulfide, and other toxic gases, dusts, vapors, mists, fumes, and methane and other flammable gases do not exceed the limits specified by the standard;</w:t>
            </w:r>
          </w:p>
          <w:p w:rsidR="00582BF4" w:rsidRPr="00BC6836" w:rsidP="00C001C3" w14:paraId="61684091" w14:textId="77777777">
            <w:pPr>
              <w:spacing w:after="200"/>
              <w:ind w:left="720"/>
              <w:contextualSpacing/>
              <w:rPr>
                <w:rFonts w:eastAsia="Calibri"/>
                <w:sz w:val="24"/>
                <w:szCs w:val="24"/>
              </w:rPr>
            </w:pPr>
          </w:p>
          <w:p w:rsidR="00582BF4" w:rsidP="00C001C3" w14:paraId="7781DE2D" w14:textId="77777777">
            <w:pPr>
              <w:numPr>
                <w:ilvl w:val="0"/>
                <w:numId w:val="5"/>
              </w:numPr>
              <w:spacing w:after="200"/>
              <w:contextualSpacing/>
              <w:rPr>
                <w:rFonts w:eastAsia="Calibri"/>
                <w:sz w:val="24"/>
                <w:szCs w:val="24"/>
              </w:rPr>
            </w:pPr>
            <w:r w:rsidRPr="00BC6836">
              <w:rPr>
                <w:rFonts w:eastAsia="Calibri"/>
                <w:sz w:val="24"/>
                <w:szCs w:val="24"/>
              </w:rPr>
              <w:t>Conduct local tests prior to, and continuously during, any welding, cutting, or other hot work; and</w:t>
            </w:r>
          </w:p>
          <w:p w:rsidR="00582BF4" w:rsidRPr="00BC6836" w:rsidP="00C001C3" w14:paraId="4C356CF1" w14:textId="77777777">
            <w:pPr>
              <w:spacing w:after="200"/>
              <w:ind w:left="720"/>
              <w:contextualSpacing/>
              <w:rPr>
                <w:rFonts w:eastAsia="Calibri"/>
                <w:sz w:val="24"/>
                <w:szCs w:val="24"/>
              </w:rPr>
            </w:pPr>
          </w:p>
          <w:p w:rsidR="00582BF4" w:rsidRPr="00BC6836" w:rsidP="00C001C3" w14:paraId="38A1387C" w14:textId="77777777">
            <w:pPr>
              <w:numPr>
                <w:ilvl w:val="0"/>
                <w:numId w:val="5"/>
              </w:numPr>
              <w:spacing w:after="200"/>
              <w:contextualSpacing/>
              <w:rPr>
                <w:rFonts w:eastAsia="Calibri"/>
                <w:sz w:val="24"/>
                <w:szCs w:val="24"/>
              </w:rPr>
            </w:pPr>
            <w:r w:rsidRPr="00BC6836">
              <w:rPr>
                <w:rFonts w:eastAsia="Calibri"/>
                <w:sz w:val="24"/>
                <w:szCs w:val="24"/>
              </w:rPr>
              <w:t>In underground operations involving drill-and-blast methods, test the air in affected areas for flammable gas prior to re-entry, and continuously if workers are working in the areas.</w:t>
            </w:r>
          </w:p>
        </w:tc>
      </w:tr>
    </w:tbl>
    <w:p w:rsidR="00582BF4" w:rsidP="00582BF4" w14:paraId="65A6DAF4" w14:textId="77777777">
      <w:pPr>
        <w:rPr>
          <w:rFonts w:eastAsia="Calibri"/>
          <w:sz w:val="24"/>
          <w:szCs w:val="24"/>
        </w:rPr>
      </w:pPr>
    </w:p>
    <w:p w:rsidR="00582BF4" w:rsidRPr="00BC6836" w:rsidP="00582BF4" w14:paraId="4D2AAA57" w14:textId="77777777">
      <w:pPr>
        <w:rPr>
          <w:rFonts w:eastAsia="Calibri"/>
          <w:sz w:val="24"/>
          <w:szCs w:val="24"/>
        </w:rPr>
      </w:pPr>
      <w:r w:rsidRPr="00BC6836">
        <w:rPr>
          <w:rFonts w:eastAsia="Calibri"/>
          <w:sz w:val="24"/>
          <w:szCs w:val="24"/>
        </w:rPr>
        <w:t xml:space="preserve">   *This paragraph classifies an underground operation as potentially gassy if air monitoring shows 10% or more of the lower explosive limit (LEL) for methane or other flammable gas for more than a 24-hour period, or the history of the geographical area or geological formation indicates that 10% or more of the LEL for methane or other flammable gas is likely to be encountered during underground operations.  An underground operation is gassy if air monitoring discloses 10% or more of the (LEL) for methane or other flammable gas for three consecutive days, or there has been ignition of methane or other flammable gas emanating from the strata, or an underground operation is both connected to an unground area currently classified as gassy and is subject to a continuous course of air that contains a flammable gas concentration. </w:t>
      </w:r>
    </w:p>
    <w:p w:rsidR="00582BF4" w:rsidRPr="00BC6836" w:rsidP="00582BF4" w14:paraId="78D5B46D" w14:textId="77777777">
      <w:pPr>
        <w:rPr>
          <w:rFonts w:eastAsia="Calibri"/>
          <w:sz w:val="24"/>
          <w:szCs w:val="24"/>
        </w:rPr>
      </w:pPr>
    </w:p>
    <w:p w:rsidR="00582BF4" w:rsidRPr="00BC6836" w:rsidP="00582BF4" w14:paraId="3977BE39" w14:textId="77777777">
      <w:pPr>
        <w:rPr>
          <w:rFonts w:eastAsia="Calibri"/>
          <w:sz w:val="24"/>
          <w:szCs w:val="24"/>
        </w:rPr>
      </w:pPr>
      <w:r w:rsidRPr="00BC6836">
        <w:rPr>
          <w:rFonts w:eastAsia="Calibri"/>
          <w:sz w:val="24"/>
          <w:szCs w:val="24"/>
        </w:rPr>
        <w:t>Paragraph (j)(3) contains the recordkeeping requirements for the air quality tests mandated by paragraph (j) of §1926.800.  These recordkeeping requirements specify that employers must maintain, at an above ground location at the jobsite, a record of every air quality test conducted during the underground construction project.  Each air quality record must include the location, date, time, substance, and amount tested.  Employers must retain air quality records associated with worker exposures to toxic substances according to the requirements of §1910.1020 (“Access to worker exposure and medical records”), and maintain other air quality test records until the underground construction project is complete; they must also make the records available to OSHA compliance officers on request.</w:t>
      </w:r>
    </w:p>
    <w:p w:rsidR="00582BF4" w:rsidRPr="00BC6836" w:rsidP="00582BF4" w14:paraId="41C957AA" w14:textId="77777777">
      <w:pPr>
        <w:rPr>
          <w:rFonts w:eastAsia="Calibri"/>
          <w:sz w:val="24"/>
          <w:szCs w:val="24"/>
        </w:rPr>
      </w:pPr>
    </w:p>
    <w:p w:rsidR="00582BF4" w:rsidP="00582BF4" w14:paraId="6434EF1F" w14:textId="77777777">
      <w:pPr>
        <w:rPr>
          <w:rFonts w:eastAsia="Calibri"/>
          <w:sz w:val="24"/>
          <w:szCs w:val="24"/>
        </w:rPr>
      </w:pPr>
      <w:r w:rsidRPr="00BC6836">
        <w:rPr>
          <w:rFonts w:eastAsia="Calibri"/>
          <w:sz w:val="24"/>
          <w:szCs w:val="24"/>
        </w:rPr>
        <w:t>Maintaining records of air quality tests allows employers to document oxygen levels and specific atmospheric contaminants, ascertain the effectiveness of controls (especially ventilation), and implement additional controls if necessary; they can also provide this information to crews on later shifts.  Accordingly, employers will prevent serious injury and death to workers who work on the underground construction project.  In addition, these records provide an efficient means for workers to evaluate the accuracy and effectiveness of an employer’s exposure reduction program and for OSHA compliance officers to determine that employers performed the required tests and implemented appropriate controls.</w:t>
      </w:r>
    </w:p>
    <w:p w:rsidR="00582BF4" w:rsidP="00582BF4" w14:paraId="5DC65459" w14:textId="77777777">
      <w:pPr>
        <w:rPr>
          <w:rFonts w:eastAsia="Calibri"/>
          <w:sz w:val="24"/>
          <w:szCs w:val="24"/>
        </w:rPr>
      </w:pPr>
    </w:p>
    <w:p w:rsidR="00582BF4" w:rsidRPr="00D72A54" w:rsidP="00582BF4" w14:paraId="1C9EBD3D" w14:textId="77777777">
      <w:pPr>
        <w:rPr>
          <w:rFonts w:eastAsia="Calibri"/>
          <w:sz w:val="24"/>
          <w:szCs w:val="24"/>
        </w:rPr>
      </w:pPr>
      <w:r w:rsidRPr="00D72A54">
        <w:rPr>
          <w:rFonts w:eastAsia="Calibri"/>
          <w:sz w:val="24"/>
          <w:szCs w:val="24"/>
        </w:rPr>
        <w:t>(D)  Maintaining Check-In/Check-Out Procedures (§1926.800(c))</w:t>
      </w:r>
    </w:p>
    <w:p w:rsidR="00582BF4" w:rsidP="00582BF4" w14:paraId="10CE9E03" w14:textId="77777777">
      <w:pPr>
        <w:rPr>
          <w:rFonts w:eastAsia="Calibri"/>
          <w:sz w:val="24"/>
          <w:szCs w:val="24"/>
        </w:rPr>
      </w:pPr>
    </w:p>
    <w:p w:rsidR="00582BF4" w:rsidP="00582BF4" w14:paraId="61908C30" w14:textId="77777777">
      <w:pPr>
        <w:rPr>
          <w:rFonts w:eastAsia="Calibri"/>
          <w:sz w:val="24"/>
          <w:szCs w:val="24"/>
        </w:rPr>
      </w:pPr>
      <w:r w:rsidRPr="00D72A54">
        <w:rPr>
          <w:rFonts w:eastAsia="Calibri"/>
          <w:sz w:val="24"/>
          <w:szCs w:val="24"/>
        </w:rPr>
        <w:t>The standard requires that employers must maintain a check-in/check-out procedure to ensure that aboveground personnel can determine an accurate count of the number of persons underground in the event of an emergency</w:t>
      </w:r>
      <w:r>
        <w:rPr>
          <w:rFonts w:eastAsia="Calibri"/>
          <w:sz w:val="24"/>
          <w:szCs w:val="24"/>
        </w:rPr>
        <w:t>.</w:t>
      </w:r>
    </w:p>
    <w:p w:rsidR="00582BF4" w:rsidP="00582BF4" w14:paraId="015F0900" w14:textId="77777777">
      <w:pPr>
        <w:rPr>
          <w:rFonts w:eastAsia="Calibri"/>
          <w:sz w:val="24"/>
          <w:szCs w:val="24"/>
        </w:rPr>
      </w:pPr>
    </w:p>
    <w:p w:rsidR="00582BF4" w:rsidRPr="00D72A54" w:rsidP="00582BF4" w14:paraId="35E8E645" w14:textId="77777777">
      <w:pPr>
        <w:rPr>
          <w:rFonts w:eastAsia="Calibri"/>
          <w:sz w:val="24"/>
          <w:szCs w:val="24"/>
        </w:rPr>
      </w:pPr>
      <w:r w:rsidRPr="00D72A54">
        <w:rPr>
          <w:rFonts w:eastAsia="Calibri"/>
          <w:sz w:val="24"/>
          <w:szCs w:val="24"/>
        </w:rPr>
        <w:t>(E)  Performance-Oriented Provisions (§1926.800(d), (e)(1), (e)(2), (j)(1)(v)(C), (q)(6), and (t)(3)(iii))</w:t>
      </w:r>
    </w:p>
    <w:p w:rsidR="00582BF4" w:rsidRPr="00D72A54" w:rsidP="00582BF4" w14:paraId="42D6B16B" w14:textId="77777777">
      <w:pPr>
        <w:rPr>
          <w:rFonts w:eastAsia="Calibri"/>
          <w:sz w:val="24"/>
          <w:szCs w:val="24"/>
        </w:rPr>
      </w:pPr>
    </w:p>
    <w:p w:rsidR="00582BF4" w:rsidRPr="00D72A54" w:rsidP="00582BF4" w14:paraId="41613EB2" w14:textId="77777777">
      <w:pPr>
        <w:rPr>
          <w:rFonts w:eastAsia="Calibri"/>
          <w:sz w:val="24"/>
          <w:szCs w:val="24"/>
        </w:rPr>
      </w:pPr>
      <w:r w:rsidRPr="00D72A54">
        <w:rPr>
          <w:rFonts w:eastAsia="Calibri"/>
          <w:sz w:val="24"/>
          <w:szCs w:val="24"/>
        </w:rPr>
        <w:t xml:space="preserve">The following paragraphs require employers to instruct, inform or provide information to workers.  Since the standard does not specify how or what specific information the employer </w:t>
      </w:r>
      <w:r w:rsidRPr="00D72A54">
        <w:rPr>
          <w:rFonts w:eastAsia="Calibri"/>
          <w:sz w:val="24"/>
          <w:szCs w:val="24"/>
        </w:rPr>
        <w:t>must disclose to the employees, the Agency believes this is performance-oriented and is not taking a burden:  (d) Instruct workers to recognize and avoid hazards; (e)(1) Inform oncoming shifts of hazards; (e)(2) Employers must establish and maintain direct communications with other workers; (j)(1)(v)(C) Inform workers when hydrogen sulfide concentration exceeds 10 ppm; (q)(6) Warn workers on jumbo decks whenever drilling is about to begin.</w:t>
      </w:r>
    </w:p>
    <w:p w:rsidR="00582BF4" w:rsidRPr="00D72A54" w:rsidP="00582BF4" w14:paraId="4AAF10EC" w14:textId="77777777">
      <w:pPr>
        <w:rPr>
          <w:rFonts w:eastAsia="Calibri"/>
          <w:sz w:val="24"/>
          <w:szCs w:val="24"/>
        </w:rPr>
      </w:pPr>
    </w:p>
    <w:p w:rsidR="00582BF4" w:rsidP="00582BF4" w14:paraId="39291AE8" w14:textId="77777777">
      <w:pPr>
        <w:rPr>
          <w:rFonts w:eastAsia="Calibri"/>
          <w:sz w:val="24"/>
          <w:szCs w:val="24"/>
        </w:rPr>
      </w:pPr>
      <w:r w:rsidRPr="00D72A54">
        <w:rPr>
          <w:rFonts w:eastAsia="Calibri"/>
          <w:sz w:val="24"/>
          <w:szCs w:val="24"/>
        </w:rPr>
        <w:t>Finally, paragraph (t)(3)(iii) assigning the load and speed ratings to hoists used for both personnel and material hoisting.  OSHA believes this is covered in paragraph (t)(3)(xxi) where contractors must inspect and perform load tests on hoists annually, as well as under other specified conditions, then prepare a certification record of each inspection and load test that provides required information.  Therefore, OSHA is not taking a burden for paragraph (t)(3)(iii).</w:t>
      </w:r>
    </w:p>
    <w:p w:rsidR="00582BF4" w:rsidRPr="00BC6836" w:rsidP="00582BF4" w14:paraId="78FA02B4" w14:textId="77777777">
      <w:pPr>
        <w:rPr>
          <w:rFonts w:eastAsia="Calibri"/>
          <w:sz w:val="24"/>
          <w:szCs w:val="24"/>
        </w:rPr>
      </w:pPr>
    </w:p>
    <w:p w:rsidR="00582BF4" w:rsidRPr="008F5747" w:rsidP="00582BF4" w14:paraId="2A46BE16" w14:textId="77777777">
      <w:pPr>
        <w:rPr>
          <w:rFonts w:eastAsia="Calibri"/>
          <w:b/>
          <w:sz w:val="24"/>
          <w:szCs w:val="24"/>
        </w:rPr>
      </w:pPr>
      <w:r w:rsidRPr="00E441CA">
        <w:rPr>
          <w:rFonts w:eastAsia="Calibri"/>
          <w:b/>
          <w:sz w:val="24"/>
          <w:szCs w:val="24"/>
        </w:rPr>
        <w:t>3</w:t>
      </w:r>
      <w:r w:rsidRPr="008F5747">
        <w:rPr>
          <w:rFonts w:eastAsia="Calibri"/>
          <w:b/>
          <w:sz w:val="24"/>
          <w:szCs w:val="24"/>
        </w:rPr>
        <w:t xml:space="preserve">.  </w:t>
      </w:r>
      <w:r w:rsidRPr="00247050">
        <w:rPr>
          <w:rStyle w:val="normaltextrun"/>
          <w:b/>
          <w:bCs/>
          <w:color w:val="000000"/>
          <w:sz w:val="24"/>
          <w:szCs w:val="24"/>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r w:rsidRPr="00247050">
        <w:rPr>
          <w:rStyle w:val="eop"/>
          <w:color w:val="000000"/>
          <w:sz w:val="24"/>
          <w:szCs w:val="24"/>
          <w:shd w:val="clear" w:color="auto" w:fill="FFFFFF"/>
        </w:rPr>
        <w:t> </w:t>
      </w:r>
    </w:p>
    <w:p w:rsidR="00582BF4" w:rsidRPr="008F5747" w:rsidP="00582BF4" w14:paraId="76F70DDB" w14:textId="77777777">
      <w:pPr>
        <w:rPr>
          <w:rFonts w:eastAsia="Calibri"/>
          <w:sz w:val="24"/>
          <w:szCs w:val="24"/>
        </w:rPr>
      </w:pPr>
    </w:p>
    <w:p w:rsidR="00582BF4" w:rsidRPr="00BC6836" w:rsidP="00582BF4" w14:paraId="7EDB8FC7" w14:textId="77777777">
      <w:pPr>
        <w:rPr>
          <w:rFonts w:eastAsia="Calibri"/>
          <w:sz w:val="24"/>
          <w:szCs w:val="24"/>
        </w:rPr>
      </w:pPr>
      <w:r w:rsidRPr="00BC6836">
        <w:rPr>
          <w:rFonts w:eastAsia="Calibri"/>
          <w:sz w:val="24"/>
          <w:szCs w:val="24"/>
        </w:rPr>
        <w:t xml:space="preserve">Employers may use any available technology to meet the paperwork requirements specified by §1926.800. The Agency wrote the paperwork requirements of the Standard in performance-oriented language (i.e., in terms of </w:t>
      </w:r>
      <w:r w:rsidRPr="00BC6836">
        <w:rPr>
          <w:rFonts w:eastAsia="Calibri"/>
          <w:sz w:val="24"/>
          <w:szCs w:val="24"/>
          <w:u w:val="single"/>
        </w:rPr>
        <w:t>what</w:t>
      </w:r>
      <w:r w:rsidRPr="00BC6836">
        <w:rPr>
          <w:rFonts w:eastAsia="Calibri"/>
          <w:sz w:val="24"/>
          <w:szCs w:val="24"/>
        </w:rPr>
        <w:t xml:space="preserve"> data to collect, not </w:t>
      </w:r>
      <w:r w:rsidRPr="00BC6836">
        <w:rPr>
          <w:rFonts w:eastAsia="Calibri"/>
          <w:sz w:val="24"/>
          <w:szCs w:val="24"/>
          <w:u w:val="single"/>
        </w:rPr>
        <w:t>how</w:t>
      </w:r>
      <w:r w:rsidRPr="00BC6836">
        <w:rPr>
          <w:rFonts w:eastAsia="Calibri"/>
          <w:sz w:val="24"/>
          <w:szCs w:val="24"/>
        </w:rPr>
        <w:t xml:space="preserve"> to record the data).  </w:t>
      </w:r>
    </w:p>
    <w:p w:rsidR="00582BF4" w:rsidRPr="00BC6836" w:rsidP="00582BF4" w14:paraId="4827C3FF" w14:textId="77777777">
      <w:pPr>
        <w:rPr>
          <w:rFonts w:eastAsia="Calibri"/>
          <w:sz w:val="24"/>
          <w:szCs w:val="24"/>
        </w:rPr>
      </w:pPr>
    </w:p>
    <w:p w:rsidR="00582BF4" w:rsidRPr="007C6A35" w:rsidP="00582BF4" w14:paraId="3896ED79" w14:textId="77777777">
      <w:pPr>
        <w:tabs>
          <w:tab w:val="left" w:pos="270"/>
        </w:tabs>
        <w:autoSpaceDE w:val="0"/>
        <w:autoSpaceDN w:val="0"/>
        <w:adjustRightInd w:val="0"/>
        <w:rPr>
          <w:b/>
          <w:bCs/>
          <w:sz w:val="24"/>
          <w:szCs w:val="24"/>
        </w:rPr>
      </w:pPr>
      <w:r w:rsidRPr="00BC6836">
        <w:rPr>
          <w:rFonts w:eastAsia="Calibri"/>
          <w:b/>
          <w:sz w:val="24"/>
          <w:szCs w:val="24"/>
        </w:rPr>
        <w:t xml:space="preserve">4.  </w:t>
      </w:r>
      <w:r w:rsidRPr="007C6A35">
        <w:rPr>
          <w:b/>
          <w:bCs/>
          <w:sz w:val="24"/>
          <w:szCs w:val="24"/>
        </w:rPr>
        <w:t>Describe efforts to identify duplication.  Show specifically why any similar information already available cannot be used or modified for use for the purposes described in Item A.2. above.</w:t>
      </w:r>
      <w:r>
        <w:rPr>
          <w:b/>
          <w:bCs/>
          <w:sz w:val="24"/>
          <w:szCs w:val="24"/>
        </w:rPr>
        <w:t xml:space="preserve">  </w:t>
      </w:r>
    </w:p>
    <w:p w:rsidR="00582BF4" w:rsidRPr="00BC6836" w:rsidP="00582BF4" w14:paraId="1120FAA6" w14:textId="77777777">
      <w:pPr>
        <w:rPr>
          <w:rFonts w:eastAsia="Calibri"/>
          <w:b/>
          <w:sz w:val="24"/>
          <w:szCs w:val="24"/>
        </w:rPr>
      </w:pPr>
    </w:p>
    <w:p w:rsidR="00582BF4" w:rsidRPr="00BC6836" w:rsidP="00582BF4" w14:paraId="393C74EB" w14:textId="77777777">
      <w:pPr>
        <w:rPr>
          <w:rFonts w:eastAsia="Calibri"/>
          <w:sz w:val="24"/>
          <w:szCs w:val="24"/>
        </w:rPr>
      </w:pPr>
      <w:r w:rsidRPr="00BC6836">
        <w:rPr>
          <w:rFonts w:eastAsia="Calibri"/>
          <w:sz w:val="24"/>
          <w:szCs w:val="24"/>
        </w:rPr>
        <w:t>The information collection requirements in §1926.800 are specific to each employer involved, and no other sources or agencies duplicate these requirements or can make the required information available to OSHA (i.e., the required information is available only from employers).</w:t>
      </w:r>
    </w:p>
    <w:p w:rsidR="00582BF4" w:rsidRPr="00BC6836" w:rsidP="00582BF4" w14:paraId="5F5E2134" w14:textId="77777777">
      <w:pPr>
        <w:rPr>
          <w:rFonts w:eastAsia="Calibri"/>
          <w:sz w:val="24"/>
          <w:szCs w:val="24"/>
        </w:rPr>
      </w:pPr>
    </w:p>
    <w:p w:rsidR="00582BF4" w:rsidRPr="007C6A35" w:rsidP="00582BF4" w14:paraId="392CACD2" w14:textId="77777777">
      <w:pPr>
        <w:tabs>
          <w:tab w:val="left" w:pos="360"/>
        </w:tabs>
        <w:ind w:left="270" w:hanging="270"/>
        <w:rPr>
          <w:b/>
          <w:bCs/>
          <w:sz w:val="24"/>
          <w:szCs w:val="24"/>
        </w:rPr>
      </w:pPr>
      <w:r w:rsidRPr="00BC6836">
        <w:rPr>
          <w:rFonts w:eastAsia="Calibri"/>
          <w:b/>
          <w:sz w:val="24"/>
          <w:szCs w:val="24"/>
        </w:rPr>
        <w:t>5.  If the collection of information impacts small businesses or other small entities, describe the methods used to reduce the burden.</w:t>
      </w:r>
      <w:r>
        <w:rPr>
          <w:rFonts w:eastAsia="Calibri"/>
          <w:b/>
          <w:sz w:val="24"/>
          <w:szCs w:val="24"/>
        </w:rPr>
        <w:t xml:space="preserve"> </w:t>
      </w:r>
      <w:r w:rsidRPr="007C6A35">
        <w:rPr>
          <w:b/>
          <w:bCs/>
          <w:sz w:val="24"/>
          <w:szCs w:val="24"/>
        </w:rPr>
        <w:t>If the collection of information impacts small businesses or other small entities, describe any methods used to minimize burden.</w:t>
      </w:r>
    </w:p>
    <w:p w:rsidR="00582BF4" w:rsidRPr="00BC6836" w:rsidP="00582BF4" w14:paraId="01EEC178" w14:textId="77777777">
      <w:pPr>
        <w:rPr>
          <w:rFonts w:eastAsia="Calibri"/>
          <w:b/>
          <w:sz w:val="24"/>
          <w:szCs w:val="24"/>
        </w:rPr>
      </w:pPr>
    </w:p>
    <w:p w:rsidR="00582BF4" w:rsidRPr="00BC6836" w:rsidP="00582BF4" w14:paraId="3F80CF84" w14:textId="77777777">
      <w:pPr>
        <w:rPr>
          <w:rFonts w:eastAsia="Calibri"/>
          <w:sz w:val="24"/>
          <w:szCs w:val="24"/>
        </w:rPr>
      </w:pPr>
      <w:r w:rsidRPr="00BC6836">
        <w:rPr>
          <w:rFonts w:eastAsia="Calibri"/>
          <w:sz w:val="24"/>
          <w:szCs w:val="24"/>
        </w:rPr>
        <w:t xml:space="preserve">The information collection requirements specified by §1926.800 do not have a significant impact on a substantial number of small entities.  </w:t>
      </w:r>
    </w:p>
    <w:p w:rsidR="00582BF4" w:rsidRPr="00BC6836" w:rsidP="00582BF4" w14:paraId="4BA5DA44" w14:textId="77777777">
      <w:pPr>
        <w:rPr>
          <w:rFonts w:eastAsia="Calibri"/>
          <w:sz w:val="24"/>
          <w:szCs w:val="24"/>
        </w:rPr>
      </w:pPr>
    </w:p>
    <w:p w:rsidR="00582BF4" w:rsidRPr="0053125A" w:rsidP="00582BF4" w14:paraId="34B32EFB" w14:textId="77777777">
      <w:pPr>
        <w:pStyle w:val="ListParagraph"/>
        <w:numPr>
          <w:ilvl w:val="0"/>
          <w:numId w:val="13"/>
        </w:numPr>
        <w:autoSpaceDE w:val="0"/>
        <w:autoSpaceDN w:val="0"/>
        <w:adjustRightInd w:val="0"/>
        <w:contextualSpacing w:val="0"/>
        <w:rPr>
          <w:b/>
          <w:bCs/>
          <w:sz w:val="24"/>
          <w:szCs w:val="24"/>
        </w:rPr>
      </w:pPr>
      <w:r w:rsidRPr="00BC6836">
        <w:rPr>
          <w:rFonts w:eastAsia="Calibri"/>
          <w:b/>
          <w:sz w:val="24"/>
          <w:szCs w:val="24"/>
        </w:rPr>
        <w:t>Describe the consequence to Federal program or policy activities if the collection is or is not conducted less frequently, and any technical or legal obstacles to reducing the burden.</w:t>
      </w:r>
      <w:r w:rsidRPr="001F1EB6">
        <w:rPr>
          <w:b/>
          <w:bCs/>
          <w:sz w:val="24"/>
          <w:szCs w:val="24"/>
        </w:rPr>
        <w:t xml:space="preserve"> </w:t>
      </w:r>
      <w:r w:rsidRPr="0053125A">
        <w:rPr>
          <w:b/>
          <w:bCs/>
          <w:sz w:val="24"/>
          <w:szCs w:val="24"/>
        </w:rPr>
        <w:t>Describe the consequence to Federal program or policy activities if the collection is not conducted or is conducted less frequently, and any technical or legal obstacles to reducing burden.</w:t>
      </w:r>
    </w:p>
    <w:p w:rsidR="00582BF4" w:rsidRPr="0053125A" w:rsidP="00582BF4" w14:paraId="591E2993" w14:textId="77777777">
      <w:pPr>
        <w:pStyle w:val="ListParagraph"/>
        <w:rPr>
          <w:sz w:val="24"/>
          <w:szCs w:val="24"/>
        </w:rPr>
      </w:pPr>
    </w:p>
    <w:p w:rsidR="00582BF4" w:rsidRPr="00BC6836" w:rsidP="00582BF4" w14:paraId="752DD6CC" w14:textId="77777777">
      <w:pPr>
        <w:rPr>
          <w:rFonts w:eastAsia="Calibri"/>
          <w:sz w:val="24"/>
          <w:szCs w:val="24"/>
        </w:rPr>
      </w:pPr>
      <w:r w:rsidRPr="00BC6836">
        <w:rPr>
          <w:rFonts w:eastAsia="Calibri"/>
          <w:sz w:val="24"/>
          <w:szCs w:val="24"/>
        </w:rPr>
        <w:t xml:space="preserve">The Agency believes that the information collection frequencies required by §1926.800 are the minimum frequencies necessary to fulfill its mandate “to assure so far as possible every working man and woman in the Nation safe and healthful working conditions and to preserve our human </w:t>
      </w:r>
      <w:r w:rsidRPr="00BC6836">
        <w:rPr>
          <w:rFonts w:eastAsia="Calibri"/>
          <w:sz w:val="24"/>
          <w:szCs w:val="24"/>
        </w:rPr>
        <w:t>resources” as specified in the OSH Act at 29 U.S.C. 651.  Accordingly, if employers do not perform the information collections required by §1926.800, or delay in providing this information, workers are at risk of serious injuries or death while working on underground construction projects.</w:t>
      </w:r>
    </w:p>
    <w:p w:rsidR="00582BF4" w:rsidRPr="00BC6836" w:rsidP="00582BF4" w14:paraId="7A964D9C" w14:textId="77777777">
      <w:pPr>
        <w:rPr>
          <w:rFonts w:eastAsia="Calibri"/>
          <w:sz w:val="24"/>
          <w:szCs w:val="24"/>
        </w:rPr>
      </w:pPr>
    </w:p>
    <w:p w:rsidR="00582BF4" w:rsidRPr="0053125A" w:rsidP="00582BF4" w14:paraId="732C6376" w14:textId="77777777">
      <w:pPr>
        <w:pStyle w:val="ListParagraph"/>
        <w:numPr>
          <w:ilvl w:val="0"/>
          <w:numId w:val="13"/>
        </w:numPr>
        <w:tabs>
          <w:tab w:val="left" w:pos="360"/>
        </w:tabs>
        <w:autoSpaceDE w:val="0"/>
        <w:autoSpaceDN w:val="0"/>
        <w:adjustRightInd w:val="0"/>
        <w:contextualSpacing w:val="0"/>
        <w:rPr>
          <w:b/>
          <w:bCs/>
          <w:sz w:val="24"/>
          <w:szCs w:val="24"/>
        </w:rPr>
      </w:pPr>
      <w:r w:rsidRPr="0053125A">
        <w:rPr>
          <w:b/>
          <w:bCs/>
          <w:sz w:val="24"/>
          <w:szCs w:val="24"/>
        </w:rPr>
        <w:t xml:space="preserve">Explain any special circumstances that would cause an information collection to be </w:t>
      </w:r>
    </w:p>
    <w:p w:rsidR="00582BF4" w:rsidRPr="007C6A35" w:rsidP="00582BF4" w14:paraId="08F0A792" w14:textId="77777777">
      <w:pPr>
        <w:tabs>
          <w:tab w:val="left" w:pos="360"/>
        </w:tabs>
        <w:rPr>
          <w:b/>
          <w:bCs/>
          <w:sz w:val="24"/>
          <w:szCs w:val="24"/>
        </w:rPr>
      </w:pPr>
      <w:r w:rsidRPr="007C6A35">
        <w:rPr>
          <w:b/>
          <w:bCs/>
          <w:sz w:val="24"/>
          <w:szCs w:val="24"/>
        </w:rPr>
        <w:t>conducted in a manner:</w:t>
      </w:r>
    </w:p>
    <w:p w:rsidR="00582BF4" w:rsidRPr="007C6A35" w:rsidP="00582BF4" w14:paraId="13594FB4" w14:textId="77777777">
      <w:pPr>
        <w:rPr>
          <w:b/>
          <w:bCs/>
          <w:sz w:val="24"/>
          <w:szCs w:val="24"/>
        </w:rPr>
      </w:pPr>
    </w:p>
    <w:p w:rsidR="00582BF4" w:rsidRPr="007C6A35" w:rsidP="00582BF4" w14:paraId="645360B0" w14:textId="77777777">
      <w:pPr>
        <w:numPr>
          <w:ilvl w:val="0"/>
          <w:numId w:val="14"/>
        </w:numPr>
        <w:tabs>
          <w:tab w:val="left" w:pos="1440"/>
        </w:tabs>
        <w:autoSpaceDE w:val="0"/>
        <w:autoSpaceDN w:val="0"/>
        <w:adjustRightInd w:val="0"/>
        <w:rPr>
          <w:b/>
          <w:bCs/>
          <w:sz w:val="24"/>
          <w:szCs w:val="24"/>
        </w:rPr>
      </w:pPr>
      <w:r w:rsidRPr="007C6A35">
        <w:rPr>
          <w:b/>
          <w:bCs/>
          <w:sz w:val="24"/>
          <w:szCs w:val="24"/>
        </w:rPr>
        <w:t>requiring respondents to report information to the agency more often than quarterly;</w:t>
      </w:r>
    </w:p>
    <w:p w:rsidR="00582BF4" w:rsidRPr="007C6A35" w:rsidP="00582BF4" w14:paraId="6DB137E5" w14:textId="77777777">
      <w:pPr>
        <w:rPr>
          <w:b/>
          <w:bCs/>
          <w:sz w:val="24"/>
          <w:szCs w:val="24"/>
        </w:rPr>
      </w:pPr>
    </w:p>
    <w:p w:rsidR="00582BF4" w:rsidRPr="007C6A35" w:rsidP="00582BF4" w14:paraId="42BA44FA" w14:textId="77777777">
      <w:pPr>
        <w:numPr>
          <w:ilvl w:val="0"/>
          <w:numId w:val="14"/>
        </w:numPr>
        <w:tabs>
          <w:tab w:val="left" w:pos="1440"/>
        </w:tabs>
        <w:autoSpaceDE w:val="0"/>
        <w:autoSpaceDN w:val="0"/>
        <w:adjustRightInd w:val="0"/>
        <w:rPr>
          <w:b/>
          <w:bCs/>
          <w:sz w:val="24"/>
          <w:szCs w:val="24"/>
        </w:rPr>
      </w:pPr>
      <w:r w:rsidRPr="007C6A35">
        <w:rPr>
          <w:b/>
          <w:bCs/>
          <w:sz w:val="24"/>
          <w:szCs w:val="24"/>
        </w:rPr>
        <w:t>requiring respondents to prepare a written response to a collection of information in fewer than 30 days after receipt of it;</w:t>
      </w:r>
    </w:p>
    <w:p w:rsidR="00582BF4" w:rsidRPr="007C6A35" w:rsidP="00582BF4" w14:paraId="7EF4FD2A" w14:textId="77777777">
      <w:pPr>
        <w:rPr>
          <w:b/>
          <w:bCs/>
          <w:sz w:val="24"/>
          <w:szCs w:val="24"/>
        </w:rPr>
      </w:pPr>
    </w:p>
    <w:p w:rsidR="00582BF4" w:rsidRPr="007C6A35" w:rsidP="00582BF4" w14:paraId="17A12600" w14:textId="77777777">
      <w:pPr>
        <w:numPr>
          <w:ilvl w:val="0"/>
          <w:numId w:val="14"/>
        </w:numPr>
        <w:tabs>
          <w:tab w:val="left" w:pos="1440"/>
        </w:tabs>
        <w:autoSpaceDE w:val="0"/>
        <w:autoSpaceDN w:val="0"/>
        <w:adjustRightInd w:val="0"/>
        <w:rPr>
          <w:b/>
          <w:bCs/>
          <w:sz w:val="24"/>
          <w:szCs w:val="24"/>
        </w:rPr>
      </w:pPr>
      <w:r w:rsidRPr="007C6A35">
        <w:rPr>
          <w:b/>
          <w:bCs/>
          <w:sz w:val="24"/>
          <w:szCs w:val="24"/>
        </w:rPr>
        <w:t>requiring respondents to submit more than an original and two copies of any document;</w:t>
      </w:r>
    </w:p>
    <w:p w:rsidR="00582BF4" w:rsidRPr="007C6A35" w:rsidP="00582BF4" w14:paraId="1C3B9DA7" w14:textId="77777777">
      <w:pPr>
        <w:numPr>
          <w:ilvl w:val="0"/>
          <w:numId w:val="14"/>
        </w:numPr>
        <w:tabs>
          <w:tab w:val="left" w:pos="1440"/>
        </w:tabs>
        <w:autoSpaceDE w:val="0"/>
        <w:autoSpaceDN w:val="0"/>
        <w:adjustRightInd w:val="0"/>
        <w:rPr>
          <w:b/>
          <w:bCs/>
          <w:sz w:val="24"/>
          <w:szCs w:val="24"/>
        </w:rPr>
      </w:pPr>
      <w:r w:rsidRPr="007C6A35">
        <w:rPr>
          <w:b/>
          <w:bCs/>
          <w:sz w:val="24"/>
          <w:szCs w:val="24"/>
        </w:rPr>
        <w:t xml:space="preserve">requiring respondents to retain records, other than health, medical, government contract, grant-in-aid, or tax records for more than three years; </w:t>
      </w:r>
    </w:p>
    <w:p w:rsidR="00582BF4" w:rsidRPr="007C6A35" w:rsidP="00582BF4" w14:paraId="361BC65E" w14:textId="77777777">
      <w:pPr>
        <w:tabs>
          <w:tab w:val="left" w:pos="1440"/>
        </w:tabs>
        <w:rPr>
          <w:b/>
          <w:bCs/>
          <w:sz w:val="24"/>
          <w:szCs w:val="24"/>
        </w:rPr>
      </w:pPr>
    </w:p>
    <w:p w:rsidR="00582BF4" w:rsidRPr="007C6A35" w:rsidP="00582BF4" w14:paraId="6295CE8D" w14:textId="77777777">
      <w:pPr>
        <w:numPr>
          <w:ilvl w:val="0"/>
          <w:numId w:val="14"/>
        </w:numPr>
        <w:tabs>
          <w:tab w:val="left" w:pos="1440"/>
        </w:tabs>
        <w:autoSpaceDE w:val="0"/>
        <w:autoSpaceDN w:val="0"/>
        <w:adjustRightInd w:val="0"/>
        <w:rPr>
          <w:b/>
          <w:bCs/>
          <w:sz w:val="24"/>
          <w:szCs w:val="24"/>
        </w:rPr>
      </w:pPr>
      <w:r w:rsidRPr="007C6A35">
        <w:rPr>
          <w:b/>
          <w:bCs/>
          <w:sz w:val="24"/>
          <w:szCs w:val="24"/>
        </w:rPr>
        <w:t>in connection with a statistical survey, that is not designed to produce valid and reliable results that can be generalized to the universe of study;</w:t>
      </w:r>
    </w:p>
    <w:p w:rsidR="00582BF4" w:rsidRPr="007C6A35" w:rsidP="00582BF4" w14:paraId="2821DF3A" w14:textId="77777777">
      <w:pPr>
        <w:rPr>
          <w:b/>
          <w:bCs/>
          <w:sz w:val="24"/>
          <w:szCs w:val="24"/>
        </w:rPr>
      </w:pPr>
    </w:p>
    <w:p w:rsidR="00582BF4" w:rsidRPr="007C6A35" w:rsidP="00582BF4" w14:paraId="367D6C0B" w14:textId="77777777">
      <w:pPr>
        <w:numPr>
          <w:ilvl w:val="0"/>
          <w:numId w:val="14"/>
        </w:numPr>
        <w:tabs>
          <w:tab w:val="left" w:pos="1440"/>
        </w:tabs>
        <w:autoSpaceDE w:val="0"/>
        <w:autoSpaceDN w:val="0"/>
        <w:adjustRightInd w:val="0"/>
        <w:rPr>
          <w:b/>
          <w:bCs/>
          <w:sz w:val="24"/>
          <w:szCs w:val="24"/>
        </w:rPr>
      </w:pPr>
      <w:r w:rsidRPr="007C6A35">
        <w:rPr>
          <w:b/>
          <w:bCs/>
          <w:sz w:val="24"/>
          <w:szCs w:val="24"/>
        </w:rPr>
        <w:t xml:space="preserve">requiring the use of a statistical data classification that has not been reviewed and approved by OMB; </w:t>
      </w:r>
    </w:p>
    <w:p w:rsidR="00582BF4" w:rsidRPr="007C6A35" w:rsidP="00582BF4" w14:paraId="04A6AFC7" w14:textId="77777777">
      <w:pPr>
        <w:tabs>
          <w:tab w:val="left" w:pos="1440"/>
        </w:tabs>
        <w:rPr>
          <w:b/>
          <w:bCs/>
          <w:sz w:val="24"/>
          <w:szCs w:val="24"/>
        </w:rPr>
      </w:pPr>
    </w:p>
    <w:p w:rsidR="00582BF4" w:rsidRPr="007C6A35" w:rsidP="00582BF4" w14:paraId="09B2073D" w14:textId="77777777">
      <w:pPr>
        <w:numPr>
          <w:ilvl w:val="0"/>
          <w:numId w:val="14"/>
        </w:numPr>
        <w:tabs>
          <w:tab w:val="left" w:pos="1440"/>
        </w:tabs>
        <w:autoSpaceDE w:val="0"/>
        <w:autoSpaceDN w:val="0"/>
        <w:adjustRightInd w:val="0"/>
        <w:rPr>
          <w:b/>
          <w:bCs/>
          <w:sz w:val="24"/>
          <w:szCs w:val="24"/>
        </w:rPr>
      </w:pPr>
      <w:r w:rsidRPr="007C6A35">
        <w:rPr>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82BF4" w:rsidRPr="007C6A35" w:rsidP="00582BF4" w14:paraId="0DCC6D81" w14:textId="77777777">
      <w:pPr>
        <w:rPr>
          <w:b/>
          <w:bCs/>
          <w:sz w:val="24"/>
          <w:szCs w:val="24"/>
        </w:rPr>
      </w:pPr>
    </w:p>
    <w:p w:rsidR="00582BF4" w:rsidRPr="00E27F13" w:rsidP="00582BF4" w14:paraId="7691A622" w14:textId="77777777">
      <w:pPr>
        <w:numPr>
          <w:ilvl w:val="0"/>
          <w:numId w:val="14"/>
        </w:numPr>
        <w:tabs>
          <w:tab w:val="left" w:pos="1440"/>
        </w:tabs>
        <w:autoSpaceDE w:val="0"/>
        <w:autoSpaceDN w:val="0"/>
        <w:adjustRightInd w:val="0"/>
        <w:rPr>
          <w:b/>
          <w:bCs/>
          <w:sz w:val="24"/>
          <w:szCs w:val="24"/>
        </w:rPr>
      </w:pPr>
      <w:r w:rsidRPr="007C6A35">
        <w:rPr>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582BF4" w:rsidRPr="00BC6836" w:rsidP="00582BF4" w14:paraId="4C9F5000" w14:textId="77777777">
      <w:pPr>
        <w:rPr>
          <w:rFonts w:eastAsia="Calibri"/>
          <w:b/>
          <w:sz w:val="24"/>
          <w:szCs w:val="24"/>
        </w:rPr>
      </w:pPr>
    </w:p>
    <w:p w:rsidR="00582BF4" w:rsidRPr="00BC6836" w:rsidP="00582BF4" w14:paraId="16CCEE56" w14:textId="77777777">
      <w:pPr>
        <w:rPr>
          <w:rFonts w:eastAsia="Calibri"/>
          <w:sz w:val="24"/>
          <w:szCs w:val="24"/>
        </w:rPr>
      </w:pPr>
      <w:r w:rsidRPr="00BC6836">
        <w:rPr>
          <w:rFonts w:eastAsia="Calibri"/>
          <w:sz w:val="24"/>
          <w:szCs w:val="24"/>
        </w:rPr>
        <w:t>No special circumstances exist that require employers to collect information in the manner or using the procedures specified by this item.  The requirements are within the guidelines set forth in 5 CFR 1320.5.</w:t>
      </w:r>
    </w:p>
    <w:p w:rsidR="00582BF4" w:rsidRPr="00BC6836" w:rsidP="00582BF4" w14:paraId="4EE02704" w14:textId="77777777">
      <w:pPr>
        <w:rPr>
          <w:rFonts w:eastAsia="Calibri"/>
          <w:sz w:val="24"/>
          <w:szCs w:val="24"/>
        </w:rPr>
      </w:pPr>
    </w:p>
    <w:p w:rsidR="00582BF4" w:rsidRPr="0092128C" w:rsidP="00582BF4" w14:paraId="0845B320" w14:textId="77777777">
      <w:pPr>
        <w:numPr>
          <w:ilvl w:val="0"/>
          <w:numId w:val="13"/>
        </w:numPr>
        <w:tabs>
          <w:tab w:val="left" w:pos="360"/>
        </w:tabs>
        <w:autoSpaceDE w:val="0"/>
        <w:autoSpaceDN w:val="0"/>
        <w:adjustRightInd w:val="0"/>
        <w:ind w:left="360"/>
        <w:rPr>
          <w:b/>
          <w:bCs/>
          <w:sz w:val="24"/>
          <w:szCs w:val="24"/>
        </w:rPr>
      </w:pPr>
      <w:r w:rsidRPr="0092128C">
        <w:rPr>
          <w:b/>
          <w:bCs/>
          <w:sz w:val="24"/>
          <w:szCs w:val="24"/>
        </w:rPr>
        <w:t xml:space="preserve">If applicable, provide a copy and identify the data and page number of publication in the </w:t>
      </w:r>
      <w:r w:rsidRPr="0092128C">
        <w:rPr>
          <w:b/>
          <w:bCs/>
          <w:i/>
          <w:sz w:val="24"/>
          <w:szCs w:val="24"/>
        </w:rPr>
        <w:t>Federal</w:t>
      </w:r>
      <w:r w:rsidRPr="0092128C">
        <w:rPr>
          <w:b/>
          <w:bCs/>
          <w:sz w:val="24"/>
          <w:szCs w:val="24"/>
        </w:rPr>
        <w:t xml:space="preserve"> </w:t>
      </w:r>
      <w:r w:rsidRPr="0092128C">
        <w:rPr>
          <w:b/>
          <w:bCs/>
          <w:i/>
          <w:sz w:val="24"/>
          <w:szCs w:val="24"/>
        </w:rPr>
        <w:t>Register</w:t>
      </w:r>
      <w:r w:rsidRPr="0092128C">
        <w:rPr>
          <w:b/>
          <w:bCs/>
          <w:sz w:val="24"/>
          <w:szCs w:val="24"/>
        </w:rPr>
        <w:t xml:space="preserve"> of the agency's notice, required by 5 CFR 1320.8(d), soliciting comments on the information collection prior to submission to OMB.  Summarize public comments received in response to that notice and describe actions taken by the </w:t>
      </w:r>
      <w:r w:rsidRPr="0092128C">
        <w:rPr>
          <w:b/>
          <w:bCs/>
          <w:sz w:val="24"/>
          <w:szCs w:val="24"/>
        </w:rPr>
        <w:t>agency in response to these comments.  Specifically address comments received on cost and hour burden.</w:t>
      </w:r>
    </w:p>
    <w:p w:rsidR="00582BF4" w:rsidRPr="007C6A35" w:rsidP="00582BF4" w14:paraId="74F590F6" w14:textId="77777777">
      <w:pPr>
        <w:rPr>
          <w:b/>
          <w:bCs/>
          <w:sz w:val="24"/>
          <w:szCs w:val="24"/>
        </w:rPr>
      </w:pPr>
    </w:p>
    <w:p w:rsidR="00582BF4" w:rsidRPr="007C6A35" w:rsidP="00582BF4" w14:paraId="0BC7325E" w14:textId="77777777">
      <w:pPr>
        <w:ind w:left="1080"/>
        <w:rPr>
          <w:b/>
          <w:bCs/>
          <w:sz w:val="24"/>
          <w:szCs w:val="24"/>
        </w:rPr>
      </w:pPr>
      <w:r w:rsidRPr="007C6A35">
        <w:rPr>
          <w:b/>
          <w:bCs/>
          <w:sz w:val="24"/>
          <w:szCs w:val="24"/>
        </w:rPr>
        <w:t xml:space="preserve">Describe efforts to consult with persons outside the agency to obtain their views on the availability of data, frequency of collection, the clarity of instructions and </w:t>
      </w:r>
      <w:r>
        <w:rPr>
          <w:b/>
          <w:bCs/>
          <w:sz w:val="24"/>
          <w:szCs w:val="24"/>
        </w:rPr>
        <w:t>r</w:t>
      </w:r>
      <w:r w:rsidRPr="007C6A35">
        <w:rPr>
          <w:b/>
          <w:bCs/>
          <w:sz w:val="24"/>
          <w:szCs w:val="24"/>
        </w:rPr>
        <w:t>ecordkeeping, disclosure, or reporting format (if any), and on the data</w:t>
      </w:r>
      <w:r>
        <w:rPr>
          <w:b/>
          <w:bCs/>
          <w:sz w:val="24"/>
          <w:szCs w:val="24"/>
        </w:rPr>
        <w:t xml:space="preserve"> </w:t>
      </w:r>
      <w:r w:rsidRPr="007C6A35">
        <w:rPr>
          <w:b/>
          <w:bCs/>
          <w:sz w:val="24"/>
          <w:szCs w:val="24"/>
        </w:rPr>
        <w:t>elements to be recorded, disclosed, or reported.</w:t>
      </w:r>
    </w:p>
    <w:p w:rsidR="00582BF4" w:rsidRPr="007C6A35" w:rsidP="00582BF4" w14:paraId="73E40382" w14:textId="77777777">
      <w:pPr>
        <w:ind w:left="1080"/>
        <w:rPr>
          <w:b/>
          <w:bCs/>
          <w:sz w:val="24"/>
          <w:szCs w:val="24"/>
        </w:rPr>
      </w:pPr>
    </w:p>
    <w:p w:rsidR="00582BF4" w:rsidRPr="007C6A35" w:rsidP="00582BF4" w14:paraId="0D677762" w14:textId="77777777">
      <w:pPr>
        <w:ind w:left="1080"/>
        <w:rPr>
          <w:b/>
          <w:bCs/>
          <w:sz w:val="24"/>
          <w:szCs w:val="24"/>
        </w:rPr>
      </w:pPr>
      <w:r w:rsidRPr="007C6A35">
        <w:rPr>
          <w:b/>
          <w:bCs/>
          <w:sz w:val="24"/>
          <w:szCs w:val="24"/>
        </w:rPr>
        <w:t xml:space="preserve">Consultation with representatives of those from whom information is to be obtained or those who must compile records should occur at least once every </w:t>
      </w:r>
      <w:r>
        <w:rPr>
          <w:b/>
          <w:bCs/>
          <w:sz w:val="24"/>
          <w:szCs w:val="24"/>
        </w:rPr>
        <w:t>three</w:t>
      </w:r>
      <w:r w:rsidRPr="007C6A35">
        <w:rPr>
          <w:b/>
          <w:bCs/>
          <w:sz w:val="24"/>
          <w:szCs w:val="24"/>
        </w:rPr>
        <w:t xml:space="preserve"> years -- even if the collection of information activity is the same as in prior periods.  There may be circumstances that may preclude consultation in a specific situation.  These circumstances should be explained.</w:t>
      </w:r>
    </w:p>
    <w:p w:rsidR="00643B73" w:rsidP="00582BF4" w14:paraId="0371EE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eop"/>
          <w:color w:val="000000"/>
          <w:sz w:val="24"/>
          <w:szCs w:val="24"/>
          <w:shd w:val="clear" w:color="auto" w:fill="FFFFFF"/>
        </w:rPr>
      </w:pPr>
    </w:p>
    <w:p w:rsidR="00643B73" w:rsidRPr="007C6A35" w:rsidP="00643B73" w14:paraId="6D8CD839" w14:textId="59E38081">
      <w:pPr>
        <w:rPr>
          <w:sz w:val="24"/>
          <w:szCs w:val="24"/>
        </w:rPr>
      </w:pPr>
      <w:r w:rsidRPr="007C6A35">
        <w:rPr>
          <w:sz w:val="24"/>
          <w:szCs w:val="24"/>
        </w:rPr>
        <w:t>Pursuant to the Paperwork Reduction Act of 1995 (44 U.S.C. 3506(c)(2)(A)), OSHA publish</w:t>
      </w:r>
      <w:r>
        <w:rPr>
          <w:sz w:val="24"/>
          <w:szCs w:val="24"/>
        </w:rPr>
        <w:t>ed</w:t>
      </w:r>
      <w:r w:rsidRPr="007C6A35">
        <w:rPr>
          <w:sz w:val="24"/>
          <w:szCs w:val="24"/>
        </w:rPr>
        <w:t xml:space="preserve"> a notice in the </w:t>
      </w:r>
      <w:r w:rsidRPr="007C6A35">
        <w:rPr>
          <w:iCs/>
          <w:sz w:val="24"/>
          <w:szCs w:val="24"/>
        </w:rPr>
        <w:t>Federal Register</w:t>
      </w:r>
      <w:r w:rsidRPr="007C6A35">
        <w:rPr>
          <w:i/>
          <w:iCs/>
          <w:sz w:val="24"/>
          <w:szCs w:val="24"/>
        </w:rPr>
        <w:t xml:space="preserve"> </w:t>
      </w:r>
      <w:r w:rsidRPr="007C6A35">
        <w:rPr>
          <w:sz w:val="24"/>
          <w:szCs w:val="24"/>
        </w:rPr>
        <w:t>on</w:t>
      </w:r>
      <w:r>
        <w:rPr>
          <w:sz w:val="24"/>
          <w:szCs w:val="24"/>
        </w:rPr>
        <w:t xml:space="preserve"> </w:t>
      </w:r>
      <w:r w:rsidRPr="00B51930">
        <w:rPr>
          <w:rStyle w:val="normaltextrun"/>
          <w:color w:val="000000"/>
          <w:sz w:val="24"/>
          <w:szCs w:val="24"/>
          <w:shd w:val="clear" w:color="auto" w:fill="FFFFFF"/>
        </w:rPr>
        <w:t>May 8, 2024 (89 FR 38919)</w:t>
      </w:r>
      <w:r>
        <w:rPr>
          <w:sz w:val="24"/>
          <w:szCs w:val="24"/>
        </w:rPr>
        <w:t xml:space="preserve"> (</w:t>
      </w:r>
      <w:r w:rsidR="00311174">
        <w:rPr>
          <w:rStyle w:val="normaltextrun"/>
          <w:color w:val="000000"/>
          <w:sz w:val="24"/>
          <w:szCs w:val="24"/>
          <w:shd w:val="clear" w:color="auto" w:fill="FFFFFF"/>
        </w:rPr>
        <w:t>OSHA-2011-0029</w:t>
      </w:r>
      <w:r w:rsidR="00311174">
        <w:rPr>
          <w:sz w:val="24"/>
          <w:szCs w:val="24"/>
        </w:rPr>
        <w:t>)</w:t>
      </w:r>
      <w:r w:rsidRPr="00DD1979">
        <w:rPr>
          <w:sz w:val="24"/>
          <w:szCs w:val="24"/>
        </w:rPr>
        <w:t xml:space="preserve">. </w:t>
      </w:r>
      <w:r w:rsidRPr="007C6A35">
        <w:rPr>
          <w:sz w:val="24"/>
          <w:szCs w:val="24"/>
        </w:rPr>
        <w:t xml:space="preserve">soliciting comments on its proposal to extend the Office of Management and Budget’s (OMB) approval of the information collection requirements specified by the </w:t>
      </w:r>
      <w:r w:rsidR="00311174">
        <w:rPr>
          <w:rStyle w:val="normaltextrun"/>
          <w:color w:val="000000"/>
          <w:sz w:val="24"/>
          <w:szCs w:val="24"/>
          <w:shd w:val="clear" w:color="auto" w:fill="FFFFFF"/>
        </w:rPr>
        <w:t>Underground Construction Standard</w:t>
      </w:r>
      <w:r>
        <w:rPr>
          <w:b/>
          <w:bCs/>
          <w:sz w:val="24"/>
          <w:szCs w:val="24"/>
        </w:rPr>
        <w:t>.</w:t>
      </w:r>
      <w:r>
        <w:rPr>
          <w:sz w:val="24"/>
          <w:szCs w:val="24"/>
        </w:rPr>
        <w:t xml:space="preserve"> </w:t>
      </w:r>
      <w:r w:rsidRPr="007C6A35">
        <w:rPr>
          <w:sz w:val="24"/>
          <w:szCs w:val="24"/>
        </w:rPr>
        <w:t xml:space="preserve">This notice was a part of a preclearance consultation program that provides the general public and government agencies with an opportunity to comment. The </w:t>
      </w:r>
      <w:r>
        <w:rPr>
          <w:sz w:val="24"/>
          <w:szCs w:val="24"/>
        </w:rPr>
        <w:t>a</w:t>
      </w:r>
      <w:r w:rsidRPr="007C6A35">
        <w:rPr>
          <w:sz w:val="24"/>
          <w:szCs w:val="24"/>
        </w:rPr>
        <w:t xml:space="preserve">gency </w:t>
      </w:r>
      <w:r>
        <w:rPr>
          <w:sz w:val="24"/>
          <w:szCs w:val="24"/>
        </w:rPr>
        <w:t xml:space="preserve">did not receive any </w:t>
      </w:r>
      <w:r w:rsidR="00DB64D8">
        <w:rPr>
          <w:sz w:val="24"/>
          <w:szCs w:val="24"/>
        </w:rPr>
        <w:t xml:space="preserve">public </w:t>
      </w:r>
      <w:r w:rsidRPr="007C6A35">
        <w:rPr>
          <w:sz w:val="24"/>
          <w:szCs w:val="24"/>
        </w:rPr>
        <w:t>comments in response to this</w:t>
      </w:r>
      <w:r w:rsidR="00311174">
        <w:rPr>
          <w:sz w:val="24"/>
          <w:szCs w:val="24"/>
        </w:rPr>
        <w:t xml:space="preserve"> notice. </w:t>
      </w:r>
    </w:p>
    <w:p w:rsidR="00643B73" w:rsidRPr="007C6A35" w:rsidP="00643B73" w14:paraId="4F500635" w14:textId="77777777">
      <w:pPr>
        <w:rPr>
          <w:sz w:val="24"/>
          <w:szCs w:val="24"/>
        </w:rPr>
      </w:pPr>
    </w:p>
    <w:p w:rsidR="00582BF4" w:rsidRPr="0053125A" w:rsidP="00582BF4" w14:paraId="405608B3" w14:textId="77777777">
      <w:pPr>
        <w:tabs>
          <w:tab w:val="left" w:pos="360"/>
        </w:tabs>
        <w:autoSpaceDE w:val="0"/>
        <w:autoSpaceDN w:val="0"/>
        <w:adjustRightInd w:val="0"/>
        <w:rPr>
          <w:b/>
          <w:bCs/>
          <w:sz w:val="24"/>
          <w:szCs w:val="24"/>
        </w:rPr>
      </w:pPr>
      <w:r w:rsidRPr="00BC6836">
        <w:rPr>
          <w:rFonts w:eastAsia="Calibri"/>
          <w:b/>
          <w:sz w:val="24"/>
          <w:szCs w:val="24"/>
        </w:rPr>
        <w:t xml:space="preserve">9.  </w:t>
      </w:r>
      <w:r w:rsidRPr="0053125A">
        <w:rPr>
          <w:b/>
          <w:bCs/>
          <w:sz w:val="24"/>
          <w:szCs w:val="24"/>
        </w:rPr>
        <w:t>Explain any decision to provide any payment or gift to respondents, other than remuneration of contractors or grantees.</w:t>
      </w:r>
    </w:p>
    <w:p w:rsidR="00582BF4" w:rsidRPr="007C6A35" w:rsidP="00582BF4" w14:paraId="3F98A25B" w14:textId="77777777">
      <w:pPr>
        <w:rPr>
          <w:sz w:val="24"/>
          <w:szCs w:val="24"/>
        </w:rPr>
      </w:pPr>
    </w:p>
    <w:p w:rsidR="00582BF4" w:rsidRPr="00BC6836" w:rsidP="00582BF4" w14:paraId="5D99430A" w14:textId="77777777">
      <w:pPr>
        <w:rPr>
          <w:rFonts w:eastAsia="Calibri"/>
          <w:sz w:val="24"/>
          <w:szCs w:val="24"/>
        </w:rPr>
      </w:pPr>
      <w:r w:rsidRPr="00BC6836">
        <w:rPr>
          <w:rFonts w:eastAsia="Calibri"/>
          <w:sz w:val="24"/>
          <w:szCs w:val="24"/>
        </w:rPr>
        <w:t xml:space="preserve">The </w:t>
      </w:r>
      <w:r>
        <w:rPr>
          <w:rFonts w:eastAsia="Calibri"/>
          <w:sz w:val="24"/>
          <w:szCs w:val="24"/>
        </w:rPr>
        <w:t>a</w:t>
      </w:r>
      <w:r w:rsidRPr="00BC6836">
        <w:rPr>
          <w:rFonts w:eastAsia="Calibri"/>
          <w:sz w:val="24"/>
          <w:szCs w:val="24"/>
        </w:rPr>
        <w:t xml:space="preserve">gency will </w:t>
      </w:r>
      <w:r w:rsidRPr="00BC6836">
        <w:rPr>
          <w:rFonts w:eastAsia="Calibri"/>
          <w:sz w:val="24"/>
          <w:szCs w:val="24"/>
          <w:u w:val="single"/>
        </w:rPr>
        <w:t>not</w:t>
      </w:r>
      <w:r w:rsidRPr="00BC6836">
        <w:rPr>
          <w:rFonts w:eastAsia="Calibri"/>
          <w:sz w:val="24"/>
          <w:szCs w:val="24"/>
        </w:rPr>
        <w:t xml:space="preserve"> provide payments or gifts to the respondents.</w:t>
      </w:r>
    </w:p>
    <w:p w:rsidR="00582BF4" w:rsidRPr="00BC6836" w:rsidP="00582BF4" w14:paraId="5BADC97F" w14:textId="77777777">
      <w:pPr>
        <w:rPr>
          <w:rFonts w:eastAsia="Calibri"/>
          <w:sz w:val="24"/>
          <w:szCs w:val="24"/>
        </w:rPr>
      </w:pPr>
    </w:p>
    <w:p w:rsidR="00582BF4" w:rsidRPr="0053125A" w:rsidP="00582BF4" w14:paraId="3517F86F" w14:textId="77777777">
      <w:pPr>
        <w:tabs>
          <w:tab w:val="left" w:pos="450"/>
        </w:tabs>
        <w:autoSpaceDE w:val="0"/>
        <w:autoSpaceDN w:val="0"/>
        <w:adjustRightInd w:val="0"/>
        <w:rPr>
          <w:b/>
          <w:bCs/>
          <w:sz w:val="24"/>
          <w:szCs w:val="24"/>
        </w:rPr>
      </w:pPr>
      <w:r w:rsidRPr="00BC6836">
        <w:rPr>
          <w:rFonts w:eastAsia="Calibri"/>
          <w:b/>
          <w:sz w:val="24"/>
          <w:szCs w:val="24"/>
        </w:rPr>
        <w:t xml:space="preserve">10.  </w:t>
      </w:r>
      <w:r w:rsidRPr="0053125A">
        <w:rPr>
          <w:b/>
          <w:bCs/>
          <w:sz w:val="24"/>
          <w:szCs w:val="24"/>
        </w:rPr>
        <w:t>Describe any assurance of confidentiality provided to respondents and the basis for the assurance in statute, regulation, or agency policy.</w:t>
      </w:r>
    </w:p>
    <w:p w:rsidR="00582BF4" w:rsidRPr="00BC6836" w:rsidP="00582BF4" w14:paraId="73A2985B" w14:textId="77777777">
      <w:pPr>
        <w:rPr>
          <w:rFonts w:eastAsia="Calibri"/>
          <w:b/>
          <w:sz w:val="24"/>
          <w:szCs w:val="24"/>
        </w:rPr>
      </w:pPr>
    </w:p>
    <w:p w:rsidR="00582BF4" w:rsidP="00582BF4" w14:paraId="3FBBD9B0" w14:textId="77777777">
      <w:pPr>
        <w:rPr>
          <w:rFonts w:eastAsia="Calibri"/>
          <w:sz w:val="24"/>
          <w:szCs w:val="24"/>
        </w:rPr>
      </w:pPr>
      <w:r w:rsidRPr="00BC6836">
        <w:rPr>
          <w:rFonts w:eastAsia="Calibri"/>
          <w:sz w:val="24"/>
          <w:szCs w:val="24"/>
        </w:rPr>
        <w:t>The paperwork requirements specified by §1926.800 do not involve confidential</w:t>
      </w:r>
      <w:r>
        <w:rPr>
          <w:rFonts w:eastAsia="Calibri"/>
          <w:sz w:val="24"/>
          <w:szCs w:val="24"/>
        </w:rPr>
        <w:t xml:space="preserve"> information. </w:t>
      </w:r>
      <w:r w:rsidRPr="00BC6836">
        <w:rPr>
          <w:rFonts w:eastAsia="Calibri"/>
          <w:sz w:val="24"/>
          <w:szCs w:val="24"/>
        </w:rPr>
        <w:t xml:space="preserve"> information.</w:t>
      </w:r>
    </w:p>
    <w:p w:rsidR="00582BF4" w:rsidRPr="00BC6836" w:rsidP="00582BF4" w14:paraId="249B0DE1" w14:textId="77777777">
      <w:pPr>
        <w:rPr>
          <w:rFonts w:eastAsia="Calibri"/>
          <w:sz w:val="24"/>
          <w:szCs w:val="24"/>
        </w:rPr>
      </w:pPr>
    </w:p>
    <w:p w:rsidR="00582BF4" w:rsidP="00582BF4" w14:paraId="6B703B84" w14:textId="77777777">
      <w:pPr>
        <w:tabs>
          <w:tab w:val="left" w:pos="90"/>
          <w:tab w:val="left" w:pos="540"/>
        </w:tabs>
        <w:autoSpaceDE w:val="0"/>
        <w:autoSpaceDN w:val="0"/>
        <w:adjustRightInd w:val="0"/>
        <w:rPr>
          <w:b/>
          <w:bCs/>
          <w:sz w:val="24"/>
          <w:szCs w:val="24"/>
        </w:rPr>
      </w:pPr>
      <w:r w:rsidRPr="00BC6836">
        <w:rPr>
          <w:rFonts w:eastAsia="Calibri"/>
          <w:b/>
          <w:sz w:val="24"/>
          <w:szCs w:val="24"/>
        </w:rPr>
        <w:t xml:space="preserve">11.  </w:t>
      </w:r>
      <w:r w:rsidRPr="00AE0E9C">
        <w:rPr>
          <w:b/>
          <w:bCs/>
          <w:sz w:val="24"/>
          <w:szCs w:val="24"/>
        </w:rPr>
        <w:t>Provide additional justification for any questions of a sensitive nature, such as sexual</w:t>
      </w:r>
    </w:p>
    <w:p w:rsidR="00582BF4" w:rsidRPr="00AE0E9C" w:rsidP="00582BF4" w14:paraId="4BA81B6E" w14:textId="77777777">
      <w:pPr>
        <w:tabs>
          <w:tab w:val="left" w:pos="450"/>
          <w:tab w:val="left" w:pos="540"/>
        </w:tabs>
        <w:ind w:left="540" w:hanging="90"/>
        <w:rPr>
          <w:b/>
          <w:bCs/>
          <w:sz w:val="24"/>
          <w:szCs w:val="24"/>
        </w:rPr>
      </w:pPr>
      <w:r>
        <w:rPr>
          <w:b/>
          <w:bCs/>
          <w:sz w:val="24"/>
          <w:szCs w:val="24"/>
        </w:rPr>
        <w:tab/>
      </w:r>
      <w:r w:rsidRPr="00AE0E9C">
        <w:rPr>
          <w:b/>
          <w:bCs/>
          <w:sz w:val="24"/>
          <w:szCs w:val="24"/>
        </w:rPr>
        <w:t>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82BF4" w:rsidRPr="007C6A35" w:rsidP="00582BF4" w14:paraId="0B313B22" w14:textId="77777777">
      <w:pPr>
        <w:rPr>
          <w:b/>
          <w:bCs/>
          <w:sz w:val="24"/>
          <w:szCs w:val="24"/>
        </w:rPr>
      </w:pPr>
    </w:p>
    <w:p w:rsidR="00582BF4" w:rsidRPr="00BC6836" w:rsidP="00582BF4" w14:paraId="7AB6379A" w14:textId="77777777">
      <w:pPr>
        <w:rPr>
          <w:rFonts w:eastAsia="Calibri"/>
          <w:b/>
          <w:sz w:val="24"/>
          <w:szCs w:val="24"/>
        </w:rPr>
      </w:pPr>
    </w:p>
    <w:p w:rsidR="00582BF4" w:rsidRPr="00BC6836" w:rsidP="00582BF4" w14:paraId="3B800E40" w14:textId="77777777">
      <w:pPr>
        <w:rPr>
          <w:rFonts w:eastAsia="Calibri"/>
          <w:sz w:val="24"/>
          <w:szCs w:val="24"/>
        </w:rPr>
      </w:pPr>
      <w:r w:rsidRPr="00BC6836">
        <w:rPr>
          <w:rFonts w:eastAsia="Calibri"/>
          <w:sz w:val="24"/>
          <w:szCs w:val="24"/>
        </w:rPr>
        <w:t>The paperwork requirements specified by §1926.800 do not involve collection of sensitive information.</w:t>
      </w:r>
    </w:p>
    <w:p w:rsidR="00582BF4" w:rsidRPr="00BC6836" w:rsidP="00582BF4" w14:paraId="3AAF781B" w14:textId="77777777">
      <w:pPr>
        <w:rPr>
          <w:rFonts w:eastAsia="Calibri"/>
          <w:sz w:val="24"/>
          <w:szCs w:val="24"/>
        </w:rPr>
      </w:pPr>
    </w:p>
    <w:p w:rsidR="00582BF4" w:rsidRPr="00247050" w:rsidP="00582BF4" w14:paraId="789F68E4" w14:textId="77777777">
      <w:pPr>
        <w:tabs>
          <w:tab w:val="left" w:pos="540"/>
        </w:tabs>
        <w:rPr>
          <w:b/>
          <w:bCs/>
          <w:sz w:val="24"/>
          <w:szCs w:val="24"/>
        </w:rPr>
      </w:pPr>
      <w:r w:rsidRPr="00D23214">
        <w:rPr>
          <w:rFonts w:eastAsia="Calibri"/>
          <w:b/>
          <w:sz w:val="24"/>
          <w:szCs w:val="24"/>
        </w:rPr>
        <w:t xml:space="preserve">12. </w:t>
      </w:r>
      <w:r w:rsidRPr="00247050">
        <w:rPr>
          <w:b/>
          <w:bCs/>
          <w:sz w:val="24"/>
          <w:szCs w:val="24"/>
        </w:rPr>
        <w:t>Provide estimates of the hour burden of the collection of information.  The statement should:</w:t>
      </w:r>
    </w:p>
    <w:p w:rsidR="00582BF4" w:rsidRPr="00247050" w:rsidP="00582BF4" w14:paraId="1687DECD" w14:textId="77777777">
      <w:pPr>
        <w:rPr>
          <w:b/>
          <w:bCs/>
          <w:sz w:val="24"/>
          <w:szCs w:val="24"/>
        </w:rPr>
      </w:pPr>
    </w:p>
    <w:p w:rsidR="00582BF4" w:rsidRPr="00247050" w:rsidP="00582BF4" w14:paraId="757B2E91" w14:textId="77777777">
      <w:pPr>
        <w:numPr>
          <w:ilvl w:val="0"/>
          <w:numId w:val="16"/>
        </w:numPr>
        <w:tabs>
          <w:tab w:val="left" w:pos="1440"/>
        </w:tabs>
        <w:autoSpaceDE w:val="0"/>
        <w:autoSpaceDN w:val="0"/>
        <w:adjustRightInd w:val="0"/>
        <w:rPr>
          <w:b/>
          <w:bCs/>
          <w:sz w:val="24"/>
          <w:szCs w:val="24"/>
        </w:rPr>
      </w:pPr>
      <w:r w:rsidRPr="00247050">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82BF4" w:rsidRPr="00247050" w:rsidP="00582BF4" w14:paraId="11B6778D" w14:textId="77777777">
      <w:pPr>
        <w:rPr>
          <w:b/>
          <w:bCs/>
          <w:sz w:val="24"/>
          <w:szCs w:val="24"/>
        </w:rPr>
      </w:pPr>
    </w:p>
    <w:p w:rsidR="00582BF4" w:rsidRPr="00247050" w:rsidP="00582BF4" w14:paraId="20150DE7" w14:textId="77777777">
      <w:pPr>
        <w:numPr>
          <w:ilvl w:val="0"/>
          <w:numId w:val="16"/>
        </w:numPr>
        <w:tabs>
          <w:tab w:val="left" w:pos="1440"/>
        </w:tabs>
        <w:autoSpaceDE w:val="0"/>
        <w:autoSpaceDN w:val="0"/>
        <w:adjustRightInd w:val="0"/>
        <w:rPr>
          <w:b/>
          <w:bCs/>
          <w:sz w:val="24"/>
          <w:szCs w:val="24"/>
        </w:rPr>
      </w:pPr>
      <w:r w:rsidRPr="00247050">
        <w:rPr>
          <w:b/>
          <w:bCs/>
          <w:sz w:val="24"/>
          <w:szCs w:val="24"/>
        </w:rPr>
        <w:t>If this request for approval covers more than one form, provide separate hour burden estimates for each form.</w:t>
      </w:r>
    </w:p>
    <w:p w:rsidR="00582BF4" w:rsidRPr="00247050" w:rsidP="00582BF4" w14:paraId="62C31ACD" w14:textId="77777777">
      <w:pPr>
        <w:ind w:left="720"/>
        <w:rPr>
          <w:b/>
          <w:bCs/>
          <w:sz w:val="24"/>
          <w:szCs w:val="24"/>
        </w:rPr>
      </w:pPr>
    </w:p>
    <w:p w:rsidR="00582BF4" w:rsidP="00582BF4" w14:paraId="71E81A0A" w14:textId="77777777">
      <w:pPr>
        <w:numPr>
          <w:ilvl w:val="0"/>
          <w:numId w:val="16"/>
        </w:numPr>
        <w:autoSpaceDE w:val="0"/>
        <w:autoSpaceDN w:val="0"/>
        <w:adjustRightInd w:val="0"/>
        <w:rPr>
          <w:rFonts w:eastAsia="Calibri"/>
          <w:b/>
          <w:sz w:val="24"/>
          <w:szCs w:val="24"/>
        </w:rPr>
      </w:pPr>
      <w:r w:rsidRPr="00247050">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582BF4" w:rsidRPr="00BC6836" w:rsidP="00582BF4" w14:paraId="703BDD3A" w14:textId="77777777">
      <w:pPr>
        <w:rPr>
          <w:rFonts w:eastAsia="Calibri"/>
          <w:b/>
          <w:sz w:val="24"/>
          <w:szCs w:val="24"/>
        </w:rPr>
      </w:pPr>
      <w:r w:rsidRPr="00D23214">
        <w:rPr>
          <w:rFonts w:eastAsia="Calibri"/>
          <w:b/>
          <w:sz w:val="24"/>
          <w:szCs w:val="24"/>
        </w:rPr>
        <w:t xml:space="preserve"> </w:t>
      </w:r>
    </w:p>
    <w:p w:rsidR="00582BF4" w:rsidRPr="00BC6836" w:rsidP="00582BF4" w14:paraId="43A2F3FB" w14:textId="77777777">
      <w:pPr>
        <w:spacing w:after="200" w:line="276" w:lineRule="auto"/>
        <w:rPr>
          <w:rFonts w:eastAsia="Calibri"/>
          <w:b/>
          <w:sz w:val="24"/>
          <w:szCs w:val="24"/>
        </w:rPr>
      </w:pPr>
      <w:r>
        <w:rPr>
          <w:rFonts w:eastAsia="Calibri"/>
          <w:b/>
          <w:sz w:val="24"/>
          <w:szCs w:val="24"/>
        </w:rPr>
        <w:t xml:space="preserve">Respondent </w:t>
      </w:r>
      <w:r w:rsidRPr="00BC6836">
        <w:rPr>
          <w:rFonts w:eastAsia="Calibri"/>
          <w:b/>
          <w:sz w:val="24"/>
          <w:szCs w:val="24"/>
        </w:rPr>
        <w:t>Burden-Hour and Cost Determinations</w:t>
      </w:r>
    </w:p>
    <w:p w:rsidR="00582BF4" w:rsidRPr="00BC6836" w:rsidP="00582BF4" w14:paraId="5D76AC0A" w14:textId="77777777">
      <w:pPr>
        <w:rPr>
          <w:rFonts w:eastAsia="Calibri"/>
          <w:sz w:val="24"/>
          <w:szCs w:val="24"/>
        </w:rPr>
      </w:pPr>
      <w:r w:rsidRPr="00BC6836">
        <w:rPr>
          <w:rFonts w:eastAsia="Calibri"/>
          <w:sz w:val="24"/>
          <w:szCs w:val="24"/>
        </w:rPr>
        <w:t xml:space="preserve">The following sections describe the burden hour and cost estimates for the information collection requirements specified by §1926.800.  These sections determine burden hours and cost separately for posting warning signs and notices, certifying inspection records for hoists, and recordkeeping for air quality tests. </w:t>
      </w:r>
    </w:p>
    <w:p w:rsidR="00582BF4" w:rsidRPr="00BC6836" w:rsidP="00582BF4" w14:paraId="2CB2DCE4" w14:textId="77777777">
      <w:pPr>
        <w:rPr>
          <w:rFonts w:eastAsia="Calibri"/>
          <w:sz w:val="24"/>
          <w:szCs w:val="24"/>
        </w:rPr>
      </w:pPr>
      <w:r w:rsidRPr="00BC6836">
        <w:rPr>
          <w:rFonts w:eastAsia="Calibri"/>
          <w:sz w:val="24"/>
          <w:szCs w:val="24"/>
        </w:rPr>
        <w:t xml:space="preserve"> </w:t>
      </w:r>
    </w:p>
    <w:p w:rsidR="00582BF4" w:rsidP="00582BF4" w14:paraId="64D0E7D3" w14:textId="77777777">
      <w:pPr>
        <w:rPr>
          <w:rFonts w:eastAsia="Calibri"/>
          <w:sz w:val="24"/>
          <w:szCs w:val="24"/>
        </w:rPr>
      </w:pPr>
      <w:r w:rsidRPr="00BC6836">
        <w:rPr>
          <w:rFonts w:eastAsia="Calibri"/>
          <w:sz w:val="24"/>
          <w:szCs w:val="24"/>
        </w:rPr>
        <w:t>In the previous ICR, OSHA relied on information from the American Underground Construction Association (AUCA).</w:t>
      </w:r>
      <w:r>
        <w:rPr>
          <w:rFonts w:eastAsia="Calibri"/>
          <w:sz w:val="24"/>
          <w:szCs w:val="24"/>
          <w:vertAlign w:val="superscript"/>
        </w:rPr>
        <w:footnoteReference w:id="3"/>
      </w:r>
      <w:r w:rsidRPr="00BC6836">
        <w:rPr>
          <w:rFonts w:eastAsia="Calibri"/>
          <w:sz w:val="24"/>
          <w:szCs w:val="24"/>
        </w:rPr>
        <w:t xml:space="preserve">  </w:t>
      </w:r>
      <w:r>
        <w:rPr>
          <w:rFonts w:eastAsia="Calibri"/>
          <w:sz w:val="24"/>
          <w:szCs w:val="24"/>
        </w:rPr>
        <w:t>To</w:t>
      </w:r>
      <w:r w:rsidRPr="00247050">
        <w:rPr>
          <w:rFonts w:eastAsia="Calibri"/>
          <w:sz w:val="24"/>
          <w:szCs w:val="24"/>
        </w:rPr>
        <w:t xml:space="preserve"> update our previous ICR’s data, OSHA derived percentage changes from Bureau of Census press releases indicating the percent changes in the overall value of construction put in place between 2008 and 2016.</w:t>
      </w:r>
      <w:r w:rsidRPr="00BC6836">
        <w:rPr>
          <w:rFonts w:eastAsia="Calibri"/>
          <w:sz w:val="24"/>
          <w:szCs w:val="24"/>
        </w:rPr>
        <w:t xml:space="preserve"> Overall</w:t>
      </w:r>
      <w:r>
        <w:rPr>
          <w:rFonts w:eastAsia="Calibri"/>
          <w:sz w:val="24"/>
          <w:szCs w:val="24"/>
        </w:rPr>
        <w:t>,</w:t>
      </w:r>
      <w:r w:rsidRPr="00BC6836">
        <w:rPr>
          <w:rFonts w:eastAsia="Calibri"/>
          <w:sz w:val="24"/>
          <w:szCs w:val="24"/>
        </w:rPr>
        <w:t xml:space="preserve"> there was a 28.5% increase.  Cumulatively, the data indicate that for 2017, the construction industry started about 212 underground construction projects.  Additionally, the cumulative effect shows that </w:t>
      </w:r>
      <w:r>
        <w:rPr>
          <w:rFonts w:eastAsia="Calibri"/>
          <w:sz w:val="24"/>
          <w:szCs w:val="24"/>
        </w:rPr>
        <w:t>28</w:t>
      </w:r>
      <w:r w:rsidRPr="00BC6836">
        <w:rPr>
          <w:rFonts w:eastAsia="Calibri"/>
          <w:sz w:val="24"/>
          <w:szCs w:val="24"/>
        </w:rPr>
        <w:t xml:space="preserve"> of these projects involved tunnels with bores over five feet (i.e., “big-bore projects”), while the remaining 184 projects were small- and medium-bore projects.  On average, it takes about three years to complete a big-bore project and two years to complete a small- or medium-bore project.  Therefore, for each year of the period covered by this ICR, 84 big-bore projects and 368 small- and medium-bore projects (for a total of 452 projects) will be under construction.</w:t>
      </w:r>
      <w:r>
        <w:rPr>
          <w:rFonts w:eastAsia="Calibri"/>
          <w:sz w:val="24"/>
          <w:szCs w:val="24"/>
          <w:vertAlign w:val="superscript"/>
        </w:rPr>
        <w:footnoteReference w:id="4"/>
      </w:r>
      <w:r w:rsidRPr="00BC6836">
        <w:rPr>
          <w:rFonts w:eastAsia="Calibri"/>
          <w:sz w:val="24"/>
          <w:szCs w:val="24"/>
        </w:rPr>
        <w:t xml:space="preserve">  In addition, OSHA estimates that each year</w:t>
      </w:r>
      <w:r>
        <w:rPr>
          <w:rFonts w:eastAsia="Calibri"/>
          <w:sz w:val="24"/>
          <w:szCs w:val="24"/>
        </w:rPr>
        <w:t>,</w:t>
      </w:r>
      <w:r w:rsidRPr="00BC6836">
        <w:rPr>
          <w:rFonts w:eastAsia="Calibri"/>
          <w:sz w:val="24"/>
          <w:szCs w:val="24"/>
        </w:rPr>
        <w:t xml:space="preserve"> contractors continue to classify an average of three underground construction projects as gassy or potentially gassy.  Assuming each of these projects lasts about </w:t>
      </w:r>
      <w:r w:rsidRPr="00BC6836">
        <w:rPr>
          <w:rFonts w:eastAsia="Calibri"/>
          <w:sz w:val="24"/>
          <w:szCs w:val="24"/>
        </w:rPr>
        <w:t>three years, then nine gassy projects will be under construction annually (see footnote 3) in addition to the other 452 underground projects for a total of 461 projects.</w:t>
      </w:r>
    </w:p>
    <w:p w:rsidR="00582BF4" w:rsidRPr="00BC6836" w:rsidP="00582BF4" w14:paraId="3D5A710E" w14:textId="77777777">
      <w:pPr>
        <w:rPr>
          <w:rFonts w:eastAsia="Calibri"/>
          <w:sz w:val="24"/>
          <w:szCs w:val="24"/>
        </w:rPr>
      </w:pPr>
    </w:p>
    <w:p w:rsidR="00582BF4" w:rsidRPr="00BC6836" w:rsidP="00582BF4" w14:paraId="51AFF309" w14:textId="77777777">
      <w:pPr>
        <w:rPr>
          <w:rFonts w:eastAsia="Calibri"/>
          <w:sz w:val="24"/>
          <w:szCs w:val="24"/>
        </w:rPr>
      </w:pPr>
    </w:p>
    <w:p w:rsidR="00582BF4" w:rsidRPr="00BC6836" w:rsidP="00582BF4" w14:paraId="660B8F03" w14:textId="77777777">
      <w:pPr>
        <w:spacing w:after="200" w:line="276" w:lineRule="auto"/>
        <w:rPr>
          <w:rFonts w:eastAsia="Calibri"/>
          <w:b/>
          <w:sz w:val="24"/>
          <w:szCs w:val="24"/>
        </w:rPr>
      </w:pPr>
      <w:r>
        <w:rPr>
          <w:rFonts w:eastAsia="Calibri"/>
          <w:b/>
          <w:sz w:val="24"/>
          <w:szCs w:val="24"/>
        </w:rPr>
        <w:tab/>
      </w:r>
      <w:r>
        <w:rPr>
          <w:rFonts w:eastAsia="Calibri"/>
          <w:b/>
          <w:sz w:val="24"/>
          <w:szCs w:val="24"/>
        </w:rPr>
        <w:tab/>
      </w:r>
      <w:r w:rsidRPr="00BC6836">
        <w:rPr>
          <w:rFonts w:eastAsia="Calibri"/>
          <w:b/>
          <w:sz w:val="24"/>
          <w:szCs w:val="24"/>
        </w:rPr>
        <w:t>TABLE 1- CHANGES IN NUMBER OF UNDERGROUND PROJECTS</w:t>
      </w:r>
    </w:p>
    <w:tbl>
      <w:tblPr>
        <w:tblStyle w:val="TableGrid"/>
        <w:tblW w:w="0" w:type="auto"/>
        <w:tblLook w:val="04A0"/>
      </w:tblPr>
      <w:tblGrid>
        <w:gridCol w:w="5248"/>
        <w:gridCol w:w="996"/>
        <w:gridCol w:w="1176"/>
        <w:gridCol w:w="1350"/>
      </w:tblGrid>
      <w:tr w14:paraId="46237BD3" w14:textId="77777777" w:rsidTr="00C001C3">
        <w:tblPrEx>
          <w:tblW w:w="0" w:type="auto"/>
          <w:tblLook w:val="04A0"/>
        </w:tblPrEx>
        <w:trPr>
          <w:trHeight w:val="300"/>
        </w:trPr>
        <w:tc>
          <w:tcPr>
            <w:tcW w:w="5248" w:type="dxa"/>
            <w:hideMark/>
          </w:tcPr>
          <w:p w:rsidR="00582BF4" w:rsidRPr="00BC6836" w:rsidP="00C001C3" w14:paraId="647A51C3" w14:textId="77777777">
            <w:pPr>
              <w:rPr>
                <w:rFonts w:eastAsia="Calibri"/>
                <w:sz w:val="24"/>
                <w:szCs w:val="24"/>
              </w:rPr>
            </w:pPr>
            <w:r w:rsidRPr="00BC6836">
              <w:rPr>
                <w:rFonts w:eastAsia="Calibri"/>
                <w:sz w:val="24"/>
                <w:szCs w:val="24"/>
              </w:rPr>
              <w:t> </w:t>
            </w:r>
          </w:p>
        </w:tc>
        <w:tc>
          <w:tcPr>
            <w:tcW w:w="996" w:type="dxa"/>
            <w:noWrap/>
            <w:hideMark/>
          </w:tcPr>
          <w:p w:rsidR="00582BF4" w:rsidRPr="00BC6836" w:rsidP="00C001C3" w14:paraId="439F805A" w14:textId="77777777">
            <w:pPr>
              <w:rPr>
                <w:rFonts w:eastAsia="Calibri"/>
                <w:b/>
                <w:bCs/>
                <w:sz w:val="24"/>
                <w:szCs w:val="24"/>
              </w:rPr>
            </w:pPr>
            <w:r w:rsidRPr="00BC6836">
              <w:rPr>
                <w:rFonts w:eastAsia="Calibri"/>
                <w:b/>
                <w:bCs/>
                <w:sz w:val="24"/>
                <w:szCs w:val="24"/>
              </w:rPr>
              <w:t>ICR</w:t>
            </w:r>
          </w:p>
        </w:tc>
        <w:tc>
          <w:tcPr>
            <w:tcW w:w="1176" w:type="dxa"/>
            <w:noWrap/>
            <w:hideMark/>
          </w:tcPr>
          <w:p w:rsidR="00582BF4" w:rsidRPr="00BC6836" w:rsidP="00C001C3" w14:paraId="590BE6B8" w14:textId="77777777">
            <w:pPr>
              <w:rPr>
                <w:rFonts w:eastAsia="Calibri"/>
                <w:b/>
                <w:bCs/>
                <w:sz w:val="24"/>
                <w:szCs w:val="24"/>
              </w:rPr>
            </w:pPr>
            <w:r w:rsidRPr="00BC6836">
              <w:rPr>
                <w:rFonts w:eastAsia="Calibri"/>
                <w:b/>
                <w:bCs/>
                <w:sz w:val="24"/>
                <w:szCs w:val="24"/>
              </w:rPr>
              <w:t xml:space="preserve"> Updates</w:t>
            </w:r>
          </w:p>
        </w:tc>
        <w:tc>
          <w:tcPr>
            <w:tcW w:w="1350" w:type="dxa"/>
            <w:noWrap/>
            <w:hideMark/>
          </w:tcPr>
          <w:p w:rsidR="00582BF4" w:rsidRPr="00BC6836" w:rsidP="00C001C3" w14:paraId="389EFB82" w14:textId="77777777">
            <w:pPr>
              <w:rPr>
                <w:rFonts w:eastAsia="Calibri"/>
                <w:sz w:val="24"/>
                <w:szCs w:val="24"/>
              </w:rPr>
            </w:pPr>
            <w:r w:rsidRPr="00BC6836">
              <w:rPr>
                <w:rFonts w:eastAsia="Calibri"/>
                <w:sz w:val="24"/>
                <w:szCs w:val="24"/>
              </w:rPr>
              <w:t> </w:t>
            </w:r>
          </w:p>
        </w:tc>
      </w:tr>
      <w:tr w14:paraId="59D6F508" w14:textId="77777777" w:rsidTr="00C001C3">
        <w:tblPrEx>
          <w:tblW w:w="0" w:type="auto"/>
          <w:tblLook w:val="04A0"/>
        </w:tblPrEx>
        <w:trPr>
          <w:trHeight w:val="300"/>
        </w:trPr>
        <w:tc>
          <w:tcPr>
            <w:tcW w:w="5248" w:type="dxa"/>
            <w:hideMark/>
          </w:tcPr>
          <w:p w:rsidR="00582BF4" w:rsidRPr="00BC6836" w:rsidP="00C001C3" w14:paraId="5A522012" w14:textId="77777777">
            <w:pPr>
              <w:rPr>
                <w:rFonts w:eastAsia="Calibri"/>
                <w:b/>
                <w:bCs/>
                <w:sz w:val="24"/>
                <w:szCs w:val="24"/>
              </w:rPr>
            </w:pPr>
            <w:r w:rsidRPr="00BC6836">
              <w:rPr>
                <w:rFonts w:eastAsia="Calibri"/>
                <w:b/>
                <w:bCs/>
                <w:sz w:val="24"/>
                <w:szCs w:val="24"/>
              </w:rPr>
              <w:t> </w:t>
            </w:r>
          </w:p>
        </w:tc>
        <w:tc>
          <w:tcPr>
            <w:tcW w:w="996" w:type="dxa"/>
            <w:noWrap/>
            <w:hideMark/>
          </w:tcPr>
          <w:p w:rsidR="00582BF4" w:rsidRPr="00BC6836" w:rsidP="00C001C3" w14:paraId="1BA54B40" w14:textId="77777777">
            <w:pPr>
              <w:rPr>
                <w:rFonts w:eastAsia="Calibri"/>
                <w:b/>
                <w:bCs/>
                <w:sz w:val="24"/>
                <w:szCs w:val="24"/>
              </w:rPr>
            </w:pPr>
            <w:r w:rsidRPr="00BC6836">
              <w:rPr>
                <w:rFonts w:eastAsia="Calibri"/>
                <w:b/>
                <w:bCs/>
                <w:sz w:val="24"/>
                <w:szCs w:val="24"/>
              </w:rPr>
              <w:t>Jun-14</w:t>
            </w:r>
          </w:p>
        </w:tc>
        <w:tc>
          <w:tcPr>
            <w:tcW w:w="1176" w:type="dxa"/>
            <w:noWrap/>
            <w:hideMark/>
          </w:tcPr>
          <w:p w:rsidR="00582BF4" w:rsidRPr="00BC6836" w:rsidP="00C001C3" w14:paraId="2F44A1A1" w14:textId="77777777">
            <w:pPr>
              <w:rPr>
                <w:rFonts w:eastAsia="Calibri"/>
                <w:b/>
                <w:bCs/>
                <w:sz w:val="24"/>
                <w:szCs w:val="24"/>
              </w:rPr>
            </w:pPr>
            <w:r w:rsidRPr="00BC6836">
              <w:rPr>
                <w:rFonts w:eastAsia="Calibri"/>
                <w:b/>
                <w:bCs/>
                <w:sz w:val="24"/>
                <w:szCs w:val="24"/>
              </w:rPr>
              <w:t>2017</w:t>
            </w:r>
          </w:p>
        </w:tc>
        <w:tc>
          <w:tcPr>
            <w:tcW w:w="1350" w:type="dxa"/>
            <w:noWrap/>
            <w:hideMark/>
          </w:tcPr>
          <w:p w:rsidR="00582BF4" w:rsidRPr="00BC6836" w:rsidP="00C001C3" w14:paraId="76F96CFC" w14:textId="77777777">
            <w:pPr>
              <w:rPr>
                <w:rFonts w:eastAsia="Calibri"/>
                <w:b/>
                <w:bCs/>
                <w:sz w:val="24"/>
                <w:szCs w:val="24"/>
              </w:rPr>
            </w:pPr>
            <w:r w:rsidRPr="00BC6836">
              <w:rPr>
                <w:rFonts w:eastAsia="Calibri"/>
                <w:b/>
                <w:bCs/>
                <w:sz w:val="24"/>
                <w:szCs w:val="24"/>
              </w:rPr>
              <w:t>Source</w:t>
            </w:r>
          </w:p>
        </w:tc>
      </w:tr>
      <w:tr w14:paraId="10985A24" w14:textId="77777777" w:rsidTr="00C001C3">
        <w:tblPrEx>
          <w:tblW w:w="0" w:type="auto"/>
          <w:tblLook w:val="04A0"/>
        </w:tblPrEx>
        <w:trPr>
          <w:trHeight w:val="300"/>
        </w:trPr>
        <w:tc>
          <w:tcPr>
            <w:tcW w:w="5248" w:type="dxa"/>
            <w:hideMark/>
          </w:tcPr>
          <w:p w:rsidR="00582BF4" w:rsidRPr="00BC6836" w:rsidP="00C001C3" w14:paraId="26832CEB" w14:textId="77777777">
            <w:pPr>
              <w:rPr>
                <w:rFonts w:eastAsia="Calibri"/>
                <w:b/>
                <w:bCs/>
                <w:sz w:val="24"/>
                <w:szCs w:val="24"/>
              </w:rPr>
            </w:pPr>
            <w:r w:rsidRPr="00BC6836">
              <w:rPr>
                <w:rFonts w:eastAsia="Calibri"/>
                <w:b/>
                <w:bCs/>
                <w:sz w:val="24"/>
                <w:szCs w:val="24"/>
              </w:rPr>
              <w:t>No. of projects</w:t>
            </w:r>
          </w:p>
        </w:tc>
        <w:tc>
          <w:tcPr>
            <w:tcW w:w="996" w:type="dxa"/>
            <w:noWrap/>
            <w:hideMark/>
          </w:tcPr>
          <w:p w:rsidR="00582BF4" w:rsidRPr="00BC6836" w:rsidP="00C001C3" w14:paraId="115EF443" w14:textId="77777777">
            <w:pPr>
              <w:rPr>
                <w:rFonts w:eastAsia="Calibri"/>
                <w:sz w:val="24"/>
                <w:szCs w:val="24"/>
              </w:rPr>
            </w:pPr>
            <w:r w:rsidRPr="00BC6836">
              <w:rPr>
                <w:rFonts w:eastAsia="Calibri"/>
                <w:sz w:val="24"/>
                <w:szCs w:val="24"/>
              </w:rPr>
              <w:t> </w:t>
            </w:r>
          </w:p>
        </w:tc>
        <w:tc>
          <w:tcPr>
            <w:tcW w:w="1176" w:type="dxa"/>
            <w:noWrap/>
            <w:hideMark/>
          </w:tcPr>
          <w:p w:rsidR="00582BF4" w:rsidRPr="00BC6836" w:rsidP="00C001C3" w14:paraId="02CD6D5C" w14:textId="77777777">
            <w:pPr>
              <w:rPr>
                <w:rFonts w:eastAsia="Calibri"/>
                <w:sz w:val="24"/>
                <w:szCs w:val="24"/>
              </w:rPr>
            </w:pPr>
            <w:r w:rsidRPr="00BC6836">
              <w:rPr>
                <w:rFonts w:eastAsia="Calibri"/>
                <w:sz w:val="24"/>
                <w:szCs w:val="24"/>
              </w:rPr>
              <w:t> </w:t>
            </w:r>
          </w:p>
        </w:tc>
        <w:tc>
          <w:tcPr>
            <w:tcW w:w="1350" w:type="dxa"/>
            <w:noWrap/>
            <w:hideMark/>
          </w:tcPr>
          <w:p w:rsidR="00582BF4" w:rsidRPr="00BC6836" w:rsidP="00C001C3" w14:paraId="1DE90CAF" w14:textId="77777777">
            <w:pPr>
              <w:rPr>
                <w:rFonts w:eastAsia="Calibri"/>
                <w:sz w:val="24"/>
                <w:szCs w:val="24"/>
              </w:rPr>
            </w:pPr>
            <w:r w:rsidRPr="00BC6836">
              <w:rPr>
                <w:rFonts w:eastAsia="Calibri"/>
                <w:sz w:val="24"/>
                <w:szCs w:val="24"/>
              </w:rPr>
              <w:t> </w:t>
            </w:r>
          </w:p>
        </w:tc>
      </w:tr>
      <w:tr w14:paraId="71C8FEFD" w14:textId="77777777" w:rsidTr="00C001C3">
        <w:tblPrEx>
          <w:tblW w:w="0" w:type="auto"/>
          <w:tblLook w:val="04A0"/>
        </w:tblPrEx>
        <w:trPr>
          <w:trHeight w:val="600"/>
        </w:trPr>
        <w:tc>
          <w:tcPr>
            <w:tcW w:w="5248" w:type="dxa"/>
            <w:hideMark/>
          </w:tcPr>
          <w:p w:rsidR="00582BF4" w:rsidRPr="00BC6836" w:rsidP="00C001C3" w14:paraId="3FC6C2E9" w14:textId="77777777">
            <w:pPr>
              <w:rPr>
                <w:rFonts w:eastAsia="Calibri"/>
                <w:sz w:val="24"/>
                <w:szCs w:val="24"/>
              </w:rPr>
            </w:pPr>
            <w:r w:rsidRPr="00BC6836">
              <w:rPr>
                <w:rFonts w:eastAsia="Calibri"/>
                <w:sz w:val="24"/>
                <w:szCs w:val="24"/>
              </w:rPr>
              <w:t>No. of projects that involved tunnels with bores over five feet (i.e. "big-bore projects")</w:t>
            </w:r>
          </w:p>
        </w:tc>
        <w:tc>
          <w:tcPr>
            <w:tcW w:w="996" w:type="dxa"/>
            <w:noWrap/>
            <w:hideMark/>
          </w:tcPr>
          <w:p w:rsidR="00582BF4" w:rsidRPr="00BC6836" w:rsidP="00C001C3" w14:paraId="47304873" w14:textId="77777777">
            <w:pPr>
              <w:jc w:val="right"/>
              <w:rPr>
                <w:rFonts w:eastAsia="Calibri"/>
                <w:sz w:val="24"/>
                <w:szCs w:val="24"/>
              </w:rPr>
            </w:pPr>
            <w:r w:rsidRPr="00BC6836">
              <w:rPr>
                <w:rFonts w:eastAsia="Calibri"/>
                <w:sz w:val="24"/>
                <w:szCs w:val="24"/>
              </w:rPr>
              <w:t>22</w:t>
            </w:r>
          </w:p>
        </w:tc>
        <w:tc>
          <w:tcPr>
            <w:tcW w:w="1176" w:type="dxa"/>
            <w:noWrap/>
            <w:hideMark/>
          </w:tcPr>
          <w:p w:rsidR="00582BF4" w:rsidRPr="00BC6836" w:rsidP="00C001C3" w14:paraId="22583B85" w14:textId="77777777">
            <w:pPr>
              <w:jc w:val="right"/>
              <w:rPr>
                <w:rFonts w:eastAsia="Calibri"/>
                <w:sz w:val="24"/>
                <w:szCs w:val="24"/>
              </w:rPr>
            </w:pPr>
            <w:r w:rsidRPr="00BC6836">
              <w:rPr>
                <w:rFonts w:eastAsia="Calibri"/>
                <w:sz w:val="24"/>
                <w:szCs w:val="24"/>
              </w:rPr>
              <w:t>28</w:t>
            </w:r>
          </w:p>
        </w:tc>
        <w:tc>
          <w:tcPr>
            <w:tcW w:w="1350" w:type="dxa"/>
            <w:noWrap/>
            <w:hideMark/>
          </w:tcPr>
          <w:p w:rsidR="00582BF4" w:rsidRPr="00BC6836" w:rsidP="00C001C3" w14:paraId="2DF02BB1" w14:textId="77777777">
            <w:pPr>
              <w:rPr>
                <w:rFonts w:eastAsia="Calibri"/>
                <w:sz w:val="24"/>
                <w:szCs w:val="24"/>
              </w:rPr>
            </w:pPr>
            <w:r w:rsidRPr="00BC6836">
              <w:rPr>
                <w:rFonts w:eastAsia="Calibri"/>
                <w:sz w:val="24"/>
                <w:szCs w:val="24"/>
              </w:rPr>
              <w:t>Calculated</w:t>
            </w:r>
          </w:p>
        </w:tc>
      </w:tr>
      <w:tr w14:paraId="4D7A1385" w14:textId="77777777" w:rsidTr="00C001C3">
        <w:tblPrEx>
          <w:tblW w:w="0" w:type="auto"/>
          <w:tblLook w:val="04A0"/>
        </w:tblPrEx>
        <w:trPr>
          <w:trHeight w:val="300"/>
        </w:trPr>
        <w:tc>
          <w:tcPr>
            <w:tcW w:w="5248" w:type="dxa"/>
            <w:hideMark/>
          </w:tcPr>
          <w:p w:rsidR="00582BF4" w:rsidRPr="00BC6836" w:rsidP="00C001C3" w14:paraId="46EB1A02" w14:textId="77777777">
            <w:pPr>
              <w:rPr>
                <w:rFonts w:eastAsia="Calibri"/>
                <w:sz w:val="24"/>
                <w:szCs w:val="24"/>
              </w:rPr>
            </w:pPr>
            <w:r w:rsidRPr="00BC6836">
              <w:rPr>
                <w:rFonts w:eastAsia="Calibri"/>
                <w:sz w:val="24"/>
                <w:szCs w:val="24"/>
              </w:rPr>
              <w:t>No. of small and medium-bore projects</w:t>
            </w:r>
          </w:p>
        </w:tc>
        <w:tc>
          <w:tcPr>
            <w:tcW w:w="996" w:type="dxa"/>
            <w:noWrap/>
            <w:hideMark/>
          </w:tcPr>
          <w:p w:rsidR="00582BF4" w:rsidRPr="00BC6836" w:rsidP="00C001C3" w14:paraId="4451A05C" w14:textId="77777777">
            <w:pPr>
              <w:jc w:val="right"/>
              <w:rPr>
                <w:rFonts w:eastAsia="Calibri"/>
                <w:sz w:val="24"/>
                <w:szCs w:val="24"/>
              </w:rPr>
            </w:pPr>
            <w:r w:rsidRPr="00BC6836">
              <w:rPr>
                <w:rFonts w:eastAsia="Calibri"/>
                <w:sz w:val="24"/>
                <w:szCs w:val="24"/>
              </w:rPr>
              <w:t>143</w:t>
            </w:r>
          </w:p>
        </w:tc>
        <w:tc>
          <w:tcPr>
            <w:tcW w:w="1176" w:type="dxa"/>
            <w:noWrap/>
            <w:hideMark/>
          </w:tcPr>
          <w:p w:rsidR="00582BF4" w:rsidRPr="00BC6836" w:rsidP="00C001C3" w14:paraId="0A81B6E7" w14:textId="77777777">
            <w:pPr>
              <w:jc w:val="right"/>
              <w:rPr>
                <w:rFonts w:eastAsia="Calibri"/>
                <w:sz w:val="24"/>
                <w:szCs w:val="24"/>
              </w:rPr>
            </w:pPr>
            <w:r w:rsidRPr="00BC6836">
              <w:rPr>
                <w:rFonts w:eastAsia="Calibri"/>
                <w:sz w:val="24"/>
                <w:szCs w:val="24"/>
              </w:rPr>
              <w:t>184</w:t>
            </w:r>
          </w:p>
        </w:tc>
        <w:tc>
          <w:tcPr>
            <w:tcW w:w="1350" w:type="dxa"/>
            <w:noWrap/>
            <w:hideMark/>
          </w:tcPr>
          <w:p w:rsidR="00582BF4" w:rsidRPr="00BC6836" w:rsidP="00C001C3" w14:paraId="2D52685A" w14:textId="77777777">
            <w:pPr>
              <w:rPr>
                <w:rFonts w:eastAsia="Calibri"/>
                <w:sz w:val="24"/>
                <w:szCs w:val="24"/>
              </w:rPr>
            </w:pPr>
            <w:r w:rsidRPr="00BC6836">
              <w:rPr>
                <w:rFonts w:eastAsia="Calibri"/>
                <w:sz w:val="24"/>
                <w:szCs w:val="24"/>
              </w:rPr>
              <w:t>Calculated</w:t>
            </w:r>
          </w:p>
        </w:tc>
      </w:tr>
      <w:tr w14:paraId="3D3F4A89" w14:textId="77777777" w:rsidTr="00C001C3">
        <w:tblPrEx>
          <w:tblW w:w="0" w:type="auto"/>
          <w:tblLook w:val="04A0"/>
        </w:tblPrEx>
        <w:trPr>
          <w:trHeight w:val="300"/>
        </w:trPr>
        <w:tc>
          <w:tcPr>
            <w:tcW w:w="5248" w:type="dxa"/>
          </w:tcPr>
          <w:p w:rsidR="00582BF4" w:rsidRPr="00BC6836" w:rsidP="00C001C3" w14:paraId="5F4BB273" w14:textId="77777777">
            <w:pPr>
              <w:rPr>
                <w:rFonts w:eastAsia="Calibri"/>
                <w:b/>
                <w:bCs/>
                <w:sz w:val="24"/>
                <w:szCs w:val="24"/>
              </w:rPr>
            </w:pPr>
            <w:r w:rsidRPr="00BC6836">
              <w:rPr>
                <w:sz w:val="24"/>
                <w:szCs w:val="24"/>
              </w:rPr>
              <w:t xml:space="preserve"> Total  No. of underground construction projects started </w:t>
            </w:r>
          </w:p>
        </w:tc>
        <w:tc>
          <w:tcPr>
            <w:tcW w:w="996" w:type="dxa"/>
            <w:noWrap/>
          </w:tcPr>
          <w:p w:rsidR="00582BF4" w:rsidRPr="00BC6836" w:rsidP="00C001C3" w14:paraId="7609DD83" w14:textId="77777777">
            <w:pPr>
              <w:jc w:val="right"/>
              <w:rPr>
                <w:rFonts w:eastAsia="Calibri"/>
                <w:b/>
                <w:sz w:val="24"/>
                <w:szCs w:val="24"/>
              </w:rPr>
            </w:pPr>
            <w:r w:rsidRPr="00BC6836">
              <w:rPr>
                <w:b/>
                <w:sz w:val="24"/>
                <w:szCs w:val="24"/>
              </w:rPr>
              <w:t>165</w:t>
            </w:r>
          </w:p>
        </w:tc>
        <w:tc>
          <w:tcPr>
            <w:tcW w:w="1176" w:type="dxa"/>
            <w:noWrap/>
          </w:tcPr>
          <w:p w:rsidR="00582BF4" w:rsidRPr="00BC6836" w:rsidP="00C001C3" w14:paraId="7383CE77" w14:textId="77777777">
            <w:pPr>
              <w:jc w:val="right"/>
              <w:rPr>
                <w:rFonts w:eastAsia="Calibri"/>
                <w:b/>
                <w:sz w:val="24"/>
                <w:szCs w:val="24"/>
              </w:rPr>
            </w:pPr>
            <w:r w:rsidRPr="00BC6836">
              <w:rPr>
                <w:b/>
                <w:sz w:val="24"/>
                <w:szCs w:val="24"/>
              </w:rPr>
              <w:t>212</w:t>
            </w:r>
          </w:p>
        </w:tc>
        <w:tc>
          <w:tcPr>
            <w:tcW w:w="1350" w:type="dxa"/>
            <w:noWrap/>
          </w:tcPr>
          <w:p w:rsidR="00582BF4" w:rsidRPr="00BC6836" w:rsidP="00C001C3" w14:paraId="2294B061" w14:textId="77777777">
            <w:pPr>
              <w:rPr>
                <w:rFonts w:eastAsia="Calibri"/>
                <w:sz w:val="24"/>
                <w:szCs w:val="24"/>
              </w:rPr>
            </w:pPr>
            <w:r w:rsidRPr="00BC6836">
              <w:rPr>
                <w:sz w:val="24"/>
                <w:szCs w:val="24"/>
              </w:rPr>
              <w:t>Calculated</w:t>
            </w:r>
          </w:p>
        </w:tc>
      </w:tr>
      <w:tr w14:paraId="60128300" w14:textId="77777777" w:rsidTr="00C001C3">
        <w:tblPrEx>
          <w:tblW w:w="0" w:type="auto"/>
          <w:tblLook w:val="04A0"/>
        </w:tblPrEx>
        <w:trPr>
          <w:trHeight w:val="300"/>
        </w:trPr>
        <w:tc>
          <w:tcPr>
            <w:tcW w:w="5248" w:type="dxa"/>
          </w:tcPr>
          <w:p w:rsidR="00582BF4" w:rsidRPr="00BC6836" w:rsidP="00C001C3" w14:paraId="401B46AE" w14:textId="77777777">
            <w:pPr>
              <w:rPr>
                <w:rFonts w:eastAsia="Calibri"/>
                <w:b/>
                <w:bCs/>
                <w:sz w:val="24"/>
                <w:szCs w:val="24"/>
              </w:rPr>
            </w:pPr>
          </w:p>
        </w:tc>
        <w:tc>
          <w:tcPr>
            <w:tcW w:w="996" w:type="dxa"/>
            <w:noWrap/>
          </w:tcPr>
          <w:p w:rsidR="00582BF4" w:rsidRPr="00BC6836" w:rsidP="00C001C3" w14:paraId="7173640A" w14:textId="77777777">
            <w:pPr>
              <w:jc w:val="right"/>
              <w:rPr>
                <w:rFonts w:eastAsia="Calibri"/>
                <w:sz w:val="24"/>
                <w:szCs w:val="24"/>
              </w:rPr>
            </w:pPr>
          </w:p>
        </w:tc>
        <w:tc>
          <w:tcPr>
            <w:tcW w:w="1176" w:type="dxa"/>
            <w:noWrap/>
          </w:tcPr>
          <w:p w:rsidR="00582BF4" w:rsidRPr="00BC6836" w:rsidP="00C001C3" w14:paraId="72D1C3DF" w14:textId="77777777">
            <w:pPr>
              <w:jc w:val="right"/>
              <w:rPr>
                <w:rFonts w:eastAsia="Calibri"/>
                <w:sz w:val="24"/>
                <w:szCs w:val="24"/>
              </w:rPr>
            </w:pPr>
          </w:p>
        </w:tc>
        <w:tc>
          <w:tcPr>
            <w:tcW w:w="1350" w:type="dxa"/>
            <w:noWrap/>
          </w:tcPr>
          <w:p w:rsidR="00582BF4" w:rsidRPr="00BC6836" w:rsidP="00C001C3" w14:paraId="7454461C" w14:textId="77777777">
            <w:pPr>
              <w:rPr>
                <w:rFonts w:eastAsia="Calibri"/>
                <w:sz w:val="24"/>
                <w:szCs w:val="24"/>
              </w:rPr>
            </w:pPr>
          </w:p>
        </w:tc>
      </w:tr>
      <w:tr w14:paraId="07AB51ED" w14:textId="77777777" w:rsidTr="00C001C3">
        <w:tblPrEx>
          <w:tblW w:w="0" w:type="auto"/>
          <w:tblLook w:val="04A0"/>
        </w:tblPrEx>
        <w:trPr>
          <w:trHeight w:val="300"/>
        </w:trPr>
        <w:tc>
          <w:tcPr>
            <w:tcW w:w="5248" w:type="dxa"/>
            <w:hideMark/>
          </w:tcPr>
          <w:p w:rsidR="00582BF4" w:rsidRPr="00BC6836" w:rsidP="00C001C3" w14:paraId="41388751" w14:textId="77777777">
            <w:pPr>
              <w:rPr>
                <w:rFonts w:eastAsia="Calibri"/>
                <w:b/>
                <w:bCs/>
                <w:sz w:val="24"/>
                <w:szCs w:val="24"/>
              </w:rPr>
            </w:pPr>
            <w:r w:rsidRPr="00BC6836">
              <w:rPr>
                <w:rFonts w:eastAsia="Calibri"/>
                <w:b/>
                <w:bCs/>
                <w:sz w:val="24"/>
                <w:szCs w:val="24"/>
              </w:rPr>
              <w:t>No. of years to complete project</w:t>
            </w:r>
          </w:p>
        </w:tc>
        <w:tc>
          <w:tcPr>
            <w:tcW w:w="996" w:type="dxa"/>
            <w:noWrap/>
            <w:hideMark/>
          </w:tcPr>
          <w:p w:rsidR="00582BF4" w:rsidRPr="00BC6836" w:rsidP="00C001C3" w14:paraId="30AC12FB" w14:textId="77777777">
            <w:pPr>
              <w:jc w:val="right"/>
              <w:rPr>
                <w:rFonts w:eastAsia="Calibri"/>
                <w:sz w:val="24"/>
                <w:szCs w:val="24"/>
              </w:rPr>
            </w:pPr>
            <w:r w:rsidRPr="00BC6836">
              <w:rPr>
                <w:rFonts w:eastAsia="Calibri"/>
                <w:sz w:val="24"/>
                <w:szCs w:val="24"/>
              </w:rPr>
              <w:t> </w:t>
            </w:r>
          </w:p>
        </w:tc>
        <w:tc>
          <w:tcPr>
            <w:tcW w:w="1176" w:type="dxa"/>
            <w:noWrap/>
            <w:hideMark/>
          </w:tcPr>
          <w:p w:rsidR="00582BF4" w:rsidRPr="00BC6836" w:rsidP="00C001C3" w14:paraId="5460F7E1" w14:textId="77777777">
            <w:pPr>
              <w:jc w:val="right"/>
              <w:rPr>
                <w:rFonts w:eastAsia="Calibri"/>
                <w:sz w:val="24"/>
                <w:szCs w:val="24"/>
              </w:rPr>
            </w:pPr>
            <w:r w:rsidRPr="00BC6836">
              <w:rPr>
                <w:rFonts w:eastAsia="Calibri"/>
                <w:sz w:val="24"/>
                <w:szCs w:val="24"/>
              </w:rPr>
              <w:t> </w:t>
            </w:r>
          </w:p>
        </w:tc>
        <w:tc>
          <w:tcPr>
            <w:tcW w:w="1350" w:type="dxa"/>
            <w:noWrap/>
            <w:hideMark/>
          </w:tcPr>
          <w:p w:rsidR="00582BF4" w:rsidRPr="00BC6836" w:rsidP="00C001C3" w14:paraId="271264A2" w14:textId="77777777">
            <w:pPr>
              <w:rPr>
                <w:rFonts w:eastAsia="Calibri"/>
                <w:sz w:val="24"/>
                <w:szCs w:val="24"/>
              </w:rPr>
            </w:pPr>
            <w:r w:rsidRPr="00BC6836">
              <w:rPr>
                <w:rFonts w:eastAsia="Calibri"/>
                <w:sz w:val="24"/>
                <w:szCs w:val="24"/>
              </w:rPr>
              <w:t> </w:t>
            </w:r>
          </w:p>
        </w:tc>
      </w:tr>
      <w:tr w14:paraId="68BDB45A" w14:textId="77777777" w:rsidTr="00C001C3">
        <w:tblPrEx>
          <w:tblW w:w="0" w:type="auto"/>
          <w:tblLook w:val="04A0"/>
        </w:tblPrEx>
        <w:trPr>
          <w:trHeight w:val="300"/>
        </w:trPr>
        <w:tc>
          <w:tcPr>
            <w:tcW w:w="5248" w:type="dxa"/>
            <w:hideMark/>
          </w:tcPr>
          <w:p w:rsidR="00582BF4" w:rsidRPr="00BC6836" w:rsidP="00C001C3" w14:paraId="5272B7FB" w14:textId="77777777">
            <w:pPr>
              <w:rPr>
                <w:rFonts w:eastAsia="Calibri"/>
                <w:sz w:val="24"/>
                <w:szCs w:val="24"/>
              </w:rPr>
            </w:pPr>
            <w:r w:rsidRPr="00BC6836">
              <w:rPr>
                <w:rFonts w:eastAsia="Calibri"/>
                <w:sz w:val="24"/>
                <w:szCs w:val="24"/>
              </w:rPr>
              <w:t>Average no. of years to complete a big-bore project</w:t>
            </w:r>
          </w:p>
        </w:tc>
        <w:tc>
          <w:tcPr>
            <w:tcW w:w="996" w:type="dxa"/>
            <w:noWrap/>
            <w:hideMark/>
          </w:tcPr>
          <w:p w:rsidR="00582BF4" w:rsidRPr="00BC6836" w:rsidP="00C001C3" w14:paraId="1608EB95" w14:textId="77777777">
            <w:pPr>
              <w:jc w:val="right"/>
              <w:rPr>
                <w:rFonts w:eastAsia="Calibri"/>
                <w:sz w:val="24"/>
                <w:szCs w:val="24"/>
              </w:rPr>
            </w:pPr>
            <w:r w:rsidRPr="00BC6836">
              <w:rPr>
                <w:rFonts w:eastAsia="Calibri"/>
                <w:sz w:val="24"/>
                <w:szCs w:val="24"/>
              </w:rPr>
              <w:t>3</w:t>
            </w:r>
          </w:p>
        </w:tc>
        <w:tc>
          <w:tcPr>
            <w:tcW w:w="1176" w:type="dxa"/>
            <w:noWrap/>
            <w:hideMark/>
          </w:tcPr>
          <w:p w:rsidR="00582BF4" w:rsidRPr="00BC6836" w:rsidP="00C001C3" w14:paraId="6F426CF9" w14:textId="77777777">
            <w:pPr>
              <w:jc w:val="right"/>
              <w:rPr>
                <w:rFonts w:eastAsia="Calibri"/>
                <w:sz w:val="24"/>
                <w:szCs w:val="24"/>
              </w:rPr>
            </w:pPr>
            <w:r w:rsidRPr="00BC6836">
              <w:rPr>
                <w:rFonts w:eastAsia="Calibri"/>
                <w:sz w:val="24"/>
                <w:szCs w:val="24"/>
              </w:rPr>
              <w:t>3</w:t>
            </w:r>
          </w:p>
        </w:tc>
        <w:tc>
          <w:tcPr>
            <w:tcW w:w="1350" w:type="dxa"/>
            <w:noWrap/>
            <w:hideMark/>
          </w:tcPr>
          <w:p w:rsidR="00582BF4" w:rsidRPr="00BC6836" w:rsidP="00C001C3" w14:paraId="625B6EFC" w14:textId="77777777">
            <w:pPr>
              <w:rPr>
                <w:rFonts w:eastAsia="Calibri"/>
                <w:sz w:val="24"/>
                <w:szCs w:val="24"/>
              </w:rPr>
            </w:pPr>
            <w:r w:rsidRPr="00BC6836">
              <w:rPr>
                <w:rFonts w:eastAsia="Calibri"/>
                <w:sz w:val="24"/>
                <w:szCs w:val="24"/>
              </w:rPr>
              <w:t>Same as before</w:t>
            </w:r>
          </w:p>
        </w:tc>
      </w:tr>
      <w:tr w14:paraId="4D271A7E" w14:textId="77777777" w:rsidTr="00C001C3">
        <w:tblPrEx>
          <w:tblW w:w="0" w:type="auto"/>
          <w:tblLook w:val="04A0"/>
        </w:tblPrEx>
        <w:trPr>
          <w:trHeight w:val="600"/>
        </w:trPr>
        <w:tc>
          <w:tcPr>
            <w:tcW w:w="5248" w:type="dxa"/>
            <w:hideMark/>
          </w:tcPr>
          <w:p w:rsidR="00582BF4" w:rsidRPr="00BC6836" w:rsidP="00C001C3" w14:paraId="50BCD5BC" w14:textId="77777777">
            <w:pPr>
              <w:rPr>
                <w:rFonts w:eastAsia="Calibri"/>
                <w:sz w:val="24"/>
                <w:szCs w:val="24"/>
              </w:rPr>
            </w:pPr>
            <w:r w:rsidRPr="00BC6836">
              <w:rPr>
                <w:rFonts w:eastAsia="Calibri"/>
                <w:sz w:val="24"/>
                <w:szCs w:val="24"/>
              </w:rPr>
              <w:t>Average no. of years to complete a small- or medium-bore project</w:t>
            </w:r>
          </w:p>
        </w:tc>
        <w:tc>
          <w:tcPr>
            <w:tcW w:w="996" w:type="dxa"/>
            <w:noWrap/>
            <w:hideMark/>
          </w:tcPr>
          <w:p w:rsidR="00582BF4" w:rsidRPr="00BC6836" w:rsidP="00C001C3" w14:paraId="77605C7E" w14:textId="77777777">
            <w:pPr>
              <w:jc w:val="right"/>
              <w:rPr>
                <w:rFonts w:eastAsia="Calibri"/>
                <w:sz w:val="24"/>
                <w:szCs w:val="24"/>
              </w:rPr>
            </w:pPr>
            <w:r w:rsidRPr="00BC6836">
              <w:rPr>
                <w:rFonts w:eastAsia="Calibri"/>
                <w:sz w:val="24"/>
                <w:szCs w:val="24"/>
              </w:rPr>
              <w:t>2</w:t>
            </w:r>
          </w:p>
        </w:tc>
        <w:tc>
          <w:tcPr>
            <w:tcW w:w="1176" w:type="dxa"/>
            <w:noWrap/>
            <w:hideMark/>
          </w:tcPr>
          <w:p w:rsidR="00582BF4" w:rsidRPr="00BC6836" w:rsidP="00C001C3" w14:paraId="46C94DC0" w14:textId="77777777">
            <w:pPr>
              <w:jc w:val="right"/>
              <w:rPr>
                <w:rFonts w:eastAsia="Calibri"/>
                <w:sz w:val="24"/>
                <w:szCs w:val="24"/>
              </w:rPr>
            </w:pPr>
            <w:r w:rsidRPr="00BC6836">
              <w:rPr>
                <w:rFonts w:eastAsia="Calibri"/>
                <w:sz w:val="24"/>
                <w:szCs w:val="24"/>
              </w:rPr>
              <w:t>2</w:t>
            </w:r>
          </w:p>
        </w:tc>
        <w:tc>
          <w:tcPr>
            <w:tcW w:w="1350" w:type="dxa"/>
            <w:noWrap/>
            <w:hideMark/>
          </w:tcPr>
          <w:p w:rsidR="00582BF4" w:rsidRPr="00BC6836" w:rsidP="00C001C3" w14:paraId="33B8A1E2" w14:textId="77777777">
            <w:pPr>
              <w:rPr>
                <w:rFonts w:eastAsia="Calibri"/>
                <w:sz w:val="24"/>
                <w:szCs w:val="24"/>
              </w:rPr>
            </w:pPr>
            <w:r w:rsidRPr="00BC6836">
              <w:rPr>
                <w:rFonts w:eastAsia="Calibri"/>
                <w:sz w:val="24"/>
                <w:szCs w:val="24"/>
              </w:rPr>
              <w:t>Same as before</w:t>
            </w:r>
          </w:p>
        </w:tc>
      </w:tr>
      <w:tr w14:paraId="6D54BD9B" w14:textId="77777777" w:rsidTr="00C001C3">
        <w:tblPrEx>
          <w:tblW w:w="0" w:type="auto"/>
          <w:tblLook w:val="04A0"/>
        </w:tblPrEx>
        <w:trPr>
          <w:trHeight w:val="300"/>
        </w:trPr>
        <w:tc>
          <w:tcPr>
            <w:tcW w:w="5248" w:type="dxa"/>
            <w:hideMark/>
          </w:tcPr>
          <w:p w:rsidR="00582BF4" w:rsidRPr="00BC6836" w:rsidP="00C001C3" w14:paraId="703020DF" w14:textId="77777777">
            <w:pPr>
              <w:rPr>
                <w:rFonts w:eastAsia="Calibri"/>
                <w:b/>
                <w:bCs/>
                <w:sz w:val="24"/>
                <w:szCs w:val="24"/>
              </w:rPr>
            </w:pPr>
            <w:r w:rsidRPr="00BC6836">
              <w:rPr>
                <w:rFonts w:eastAsia="Calibri"/>
                <w:b/>
                <w:bCs/>
                <w:sz w:val="24"/>
                <w:szCs w:val="24"/>
              </w:rPr>
              <w:t> </w:t>
            </w:r>
          </w:p>
        </w:tc>
        <w:tc>
          <w:tcPr>
            <w:tcW w:w="996" w:type="dxa"/>
            <w:noWrap/>
            <w:hideMark/>
          </w:tcPr>
          <w:p w:rsidR="00582BF4" w:rsidRPr="00BC6836" w:rsidP="00C001C3" w14:paraId="016A07B2" w14:textId="77777777">
            <w:pPr>
              <w:jc w:val="right"/>
              <w:rPr>
                <w:rFonts w:eastAsia="Calibri"/>
                <w:sz w:val="24"/>
                <w:szCs w:val="24"/>
              </w:rPr>
            </w:pPr>
            <w:r w:rsidRPr="00BC6836">
              <w:rPr>
                <w:rFonts w:eastAsia="Calibri"/>
                <w:sz w:val="24"/>
                <w:szCs w:val="24"/>
              </w:rPr>
              <w:t> </w:t>
            </w:r>
          </w:p>
        </w:tc>
        <w:tc>
          <w:tcPr>
            <w:tcW w:w="1176" w:type="dxa"/>
            <w:noWrap/>
            <w:hideMark/>
          </w:tcPr>
          <w:p w:rsidR="00582BF4" w:rsidRPr="00BC6836" w:rsidP="00C001C3" w14:paraId="5BB5F4BB" w14:textId="77777777">
            <w:pPr>
              <w:jc w:val="right"/>
              <w:rPr>
                <w:rFonts w:eastAsia="Calibri"/>
                <w:sz w:val="24"/>
                <w:szCs w:val="24"/>
              </w:rPr>
            </w:pPr>
            <w:r w:rsidRPr="00BC6836">
              <w:rPr>
                <w:rFonts w:eastAsia="Calibri"/>
                <w:sz w:val="24"/>
                <w:szCs w:val="24"/>
              </w:rPr>
              <w:t> </w:t>
            </w:r>
          </w:p>
        </w:tc>
        <w:tc>
          <w:tcPr>
            <w:tcW w:w="1350" w:type="dxa"/>
            <w:noWrap/>
            <w:hideMark/>
          </w:tcPr>
          <w:p w:rsidR="00582BF4" w:rsidRPr="00BC6836" w:rsidP="00C001C3" w14:paraId="6E7A8532" w14:textId="77777777">
            <w:pPr>
              <w:rPr>
                <w:rFonts w:eastAsia="Calibri"/>
                <w:sz w:val="24"/>
                <w:szCs w:val="24"/>
              </w:rPr>
            </w:pPr>
            <w:r w:rsidRPr="00BC6836">
              <w:rPr>
                <w:rFonts w:eastAsia="Calibri"/>
                <w:sz w:val="24"/>
                <w:szCs w:val="24"/>
              </w:rPr>
              <w:t> </w:t>
            </w:r>
          </w:p>
        </w:tc>
      </w:tr>
      <w:tr w14:paraId="36EF0525" w14:textId="77777777" w:rsidTr="00C001C3">
        <w:tblPrEx>
          <w:tblW w:w="0" w:type="auto"/>
          <w:tblLook w:val="04A0"/>
        </w:tblPrEx>
        <w:trPr>
          <w:trHeight w:val="300"/>
        </w:trPr>
        <w:tc>
          <w:tcPr>
            <w:tcW w:w="5248" w:type="dxa"/>
            <w:hideMark/>
          </w:tcPr>
          <w:p w:rsidR="00582BF4" w:rsidRPr="00BC6836" w:rsidP="00C001C3" w14:paraId="66FAD99E" w14:textId="77777777">
            <w:pPr>
              <w:rPr>
                <w:rFonts w:eastAsia="Calibri"/>
                <w:sz w:val="24"/>
                <w:szCs w:val="24"/>
              </w:rPr>
            </w:pPr>
            <w:r w:rsidRPr="00BC6836">
              <w:rPr>
                <w:rFonts w:eastAsia="Calibri"/>
                <w:sz w:val="24"/>
                <w:szCs w:val="24"/>
              </w:rPr>
              <w:t>No. of big-bore projects per year</w:t>
            </w:r>
          </w:p>
        </w:tc>
        <w:tc>
          <w:tcPr>
            <w:tcW w:w="996" w:type="dxa"/>
            <w:noWrap/>
            <w:hideMark/>
          </w:tcPr>
          <w:p w:rsidR="00582BF4" w:rsidRPr="00BC6836" w:rsidP="00C001C3" w14:paraId="407B7B68" w14:textId="77777777">
            <w:pPr>
              <w:jc w:val="right"/>
              <w:rPr>
                <w:rFonts w:eastAsia="Calibri"/>
                <w:sz w:val="24"/>
                <w:szCs w:val="24"/>
              </w:rPr>
            </w:pPr>
            <w:r w:rsidRPr="00BC6836">
              <w:rPr>
                <w:rFonts w:eastAsia="Calibri"/>
                <w:sz w:val="24"/>
                <w:szCs w:val="24"/>
              </w:rPr>
              <w:t>66</w:t>
            </w:r>
          </w:p>
        </w:tc>
        <w:tc>
          <w:tcPr>
            <w:tcW w:w="1176" w:type="dxa"/>
            <w:noWrap/>
            <w:hideMark/>
          </w:tcPr>
          <w:p w:rsidR="00582BF4" w:rsidRPr="00BC6836" w:rsidP="00C001C3" w14:paraId="5C3A2C08" w14:textId="77777777">
            <w:pPr>
              <w:jc w:val="right"/>
              <w:rPr>
                <w:rFonts w:eastAsia="Calibri"/>
                <w:sz w:val="24"/>
                <w:szCs w:val="24"/>
              </w:rPr>
            </w:pPr>
            <w:r w:rsidRPr="00BC6836">
              <w:rPr>
                <w:rFonts w:eastAsia="Calibri"/>
                <w:sz w:val="24"/>
                <w:szCs w:val="24"/>
              </w:rPr>
              <w:t>84</w:t>
            </w:r>
          </w:p>
        </w:tc>
        <w:tc>
          <w:tcPr>
            <w:tcW w:w="1350" w:type="dxa"/>
            <w:noWrap/>
            <w:hideMark/>
          </w:tcPr>
          <w:p w:rsidR="00582BF4" w:rsidRPr="00BC6836" w:rsidP="00C001C3" w14:paraId="3EB81449" w14:textId="77777777">
            <w:pPr>
              <w:rPr>
                <w:rFonts w:eastAsia="Calibri"/>
                <w:sz w:val="24"/>
                <w:szCs w:val="24"/>
              </w:rPr>
            </w:pPr>
            <w:r w:rsidRPr="00BC6836">
              <w:rPr>
                <w:rFonts w:eastAsia="Calibri"/>
                <w:sz w:val="24"/>
                <w:szCs w:val="24"/>
              </w:rPr>
              <w:t>Calculated</w:t>
            </w:r>
          </w:p>
        </w:tc>
      </w:tr>
      <w:tr w14:paraId="1CA08A8F" w14:textId="77777777" w:rsidTr="00C001C3">
        <w:tblPrEx>
          <w:tblW w:w="0" w:type="auto"/>
          <w:tblLook w:val="04A0"/>
        </w:tblPrEx>
        <w:trPr>
          <w:trHeight w:val="300"/>
        </w:trPr>
        <w:tc>
          <w:tcPr>
            <w:tcW w:w="5248" w:type="dxa"/>
            <w:hideMark/>
          </w:tcPr>
          <w:p w:rsidR="00582BF4" w:rsidRPr="00BC6836" w:rsidP="00C001C3" w14:paraId="0AA52101" w14:textId="77777777">
            <w:pPr>
              <w:rPr>
                <w:rFonts w:eastAsia="Calibri"/>
                <w:sz w:val="24"/>
                <w:szCs w:val="24"/>
              </w:rPr>
            </w:pPr>
            <w:r w:rsidRPr="00BC6836">
              <w:rPr>
                <w:rFonts w:eastAsia="Calibri"/>
                <w:sz w:val="24"/>
                <w:szCs w:val="24"/>
              </w:rPr>
              <w:t>No. of small and medium-bore projects per year</w:t>
            </w:r>
          </w:p>
        </w:tc>
        <w:tc>
          <w:tcPr>
            <w:tcW w:w="996" w:type="dxa"/>
            <w:noWrap/>
            <w:hideMark/>
          </w:tcPr>
          <w:p w:rsidR="00582BF4" w:rsidRPr="00BC6836" w:rsidP="00C001C3" w14:paraId="7BEFDE8E" w14:textId="77777777">
            <w:pPr>
              <w:jc w:val="right"/>
              <w:rPr>
                <w:rFonts w:eastAsia="Calibri"/>
                <w:sz w:val="24"/>
                <w:szCs w:val="24"/>
              </w:rPr>
            </w:pPr>
            <w:r w:rsidRPr="00BC6836">
              <w:rPr>
                <w:rFonts w:eastAsia="Calibri"/>
                <w:sz w:val="24"/>
                <w:szCs w:val="24"/>
              </w:rPr>
              <w:t>286</w:t>
            </w:r>
          </w:p>
        </w:tc>
        <w:tc>
          <w:tcPr>
            <w:tcW w:w="1176" w:type="dxa"/>
            <w:noWrap/>
            <w:hideMark/>
          </w:tcPr>
          <w:p w:rsidR="00582BF4" w:rsidRPr="00BC6836" w:rsidP="00C001C3" w14:paraId="3C39DA75" w14:textId="77777777">
            <w:pPr>
              <w:jc w:val="right"/>
              <w:rPr>
                <w:rFonts w:eastAsia="Calibri"/>
                <w:sz w:val="24"/>
                <w:szCs w:val="24"/>
              </w:rPr>
            </w:pPr>
            <w:r w:rsidRPr="00BC6836">
              <w:rPr>
                <w:rFonts w:eastAsia="Calibri"/>
                <w:sz w:val="24"/>
                <w:szCs w:val="24"/>
              </w:rPr>
              <w:t>368</w:t>
            </w:r>
          </w:p>
        </w:tc>
        <w:tc>
          <w:tcPr>
            <w:tcW w:w="1350" w:type="dxa"/>
            <w:noWrap/>
            <w:hideMark/>
          </w:tcPr>
          <w:p w:rsidR="00582BF4" w:rsidRPr="00BC6836" w:rsidP="00C001C3" w14:paraId="127E9180" w14:textId="77777777">
            <w:pPr>
              <w:rPr>
                <w:rFonts w:eastAsia="Calibri"/>
                <w:sz w:val="24"/>
                <w:szCs w:val="24"/>
              </w:rPr>
            </w:pPr>
            <w:r w:rsidRPr="00BC6836">
              <w:rPr>
                <w:rFonts w:eastAsia="Calibri"/>
                <w:sz w:val="24"/>
                <w:szCs w:val="24"/>
              </w:rPr>
              <w:t>Calculated</w:t>
            </w:r>
          </w:p>
        </w:tc>
      </w:tr>
      <w:tr w14:paraId="3F5D5ED7" w14:textId="77777777" w:rsidTr="00C001C3">
        <w:tblPrEx>
          <w:tblW w:w="0" w:type="auto"/>
          <w:tblLook w:val="04A0"/>
        </w:tblPrEx>
        <w:trPr>
          <w:trHeight w:val="300"/>
        </w:trPr>
        <w:tc>
          <w:tcPr>
            <w:tcW w:w="5248" w:type="dxa"/>
            <w:hideMark/>
          </w:tcPr>
          <w:p w:rsidR="00582BF4" w:rsidRPr="00BC6836" w:rsidP="00C001C3" w14:paraId="55F0461F" w14:textId="77777777">
            <w:pPr>
              <w:rPr>
                <w:rFonts w:eastAsia="Calibri"/>
                <w:sz w:val="24"/>
                <w:szCs w:val="24"/>
              </w:rPr>
            </w:pPr>
            <w:r w:rsidRPr="00BC6836">
              <w:rPr>
                <w:rFonts w:eastAsia="Calibri"/>
                <w:sz w:val="24"/>
                <w:szCs w:val="24"/>
              </w:rPr>
              <w:t>Total projects under construction per year</w:t>
            </w:r>
          </w:p>
        </w:tc>
        <w:tc>
          <w:tcPr>
            <w:tcW w:w="996" w:type="dxa"/>
            <w:noWrap/>
            <w:hideMark/>
          </w:tcPr>
          <w:p w:rsidR="00582BF4" w:rsidRPr="00BC6836" w:rsidP="00C001C3" w14:paraId="7DBEF99C" w14:textId="77777777">
            <w:pPr>
              <w:jc w:val="right"/>
              <w:rPr>
                <w:rFonts w:eastAsia="Calibri"/>
                <w:sz w:val="24"/>
                <w:szCs w:val="24"/>
              </w:rPr>
            </w:pPr>
            <w:r w:rsidRPr="00BC6836">
              <w:rPr>
                <w:rFonts w:eastAsia="Calibri"/>
                <w:sz w:val="24"/>
                <w:szCs w:val="24"/>
              </w:rPr>
              <w:t>352</w:t>
            </w:r>
          </w:p>
        </w:tc>
        <w:tc>
          <w:tcPr>
            <w:tcW w:w="1176" w:type="dxa"/>
            <w:noWrap/>
            <w:hideMark/>
          </w:tcPr>
          <w:p w:rsidR="00582BF4" w:rsidRPr="00BC6836" w:rsidP="00C001C3" w14:paraId="227ADA86" w14:textId="77777777">
            <w:pPr>
              <w:jc w:val="right"/>
              <w:rPr>
                <w:rFonts w:eastAsia="Calibri"/>
                <w:sz w:val="24"/>
                <w:szCs w:val="24"/>
              </w:rPr>
            </w:pPr>
            <w:r w:rsidRPr="00BC6836">
              <w:rPr>
                <w:rFonts w:eastAsia="Calibri"/>
                <w:sz w:val="24"/>
                <w:szCs w:val="24"/>
              </w:rPr>
              <w:t>452</w:t>
            </w:r>
          </w:p>
        </w:tc>
        <w:tc>
          <w:tcPr>
            <w:tcW w:w="1350" w:type="dxa"/>
            <w:noWrap/>
            <w:hideMark/>
          </w:tcPr>
          <w:p w:rsidR="00582BF4" w:rsidRPr="00BC6836" w:rsidP="00C001C3" w14:paraId="5E1DFC1A" w14:textId="77777777">
            <w:pPr>
              <w:rPr>
                <w:rFonts w:eastAsia="Calibri"/>
                <w:sz w:val="24"/>
                <w:szCs w:val="24"/>
              </w:rPr>
            </w:pPr>
            <w:r w:rsidRPr="00BC6836">
              <w:rPr>
                <w:rFonts w:eastAsia="Calibri"/>
                <w:sz w:val="24"/>
                <w:szCs w:val="24"/>
              </w:rPr>
              <w:t>Calculated</w:t>
            </w:r>
          </w:p>
        </w:tc>
      </w:tr>
      <w:tr w14:paraId="6B742DD1" w14:textId="77777777" w:rsidTr="00C001C3">
        <w:tblPrEx>
          <w:tblW w:w="0" w:type="auto"/>
          <w:tblLook w:val="04A0"/>
        </w:tblPrEx>
        <w:trPr>
          <w:trHeight w:val="300"/>
        </w:trPr>
        <w:tc>
          <w:tcPr>
            <w:tcW w:w="5248" w:type="dxa"/>
            <w:hideMark/>
          </w:tcPr>
          <w:p w:rsidR="00582BF4" w:rsidRPr="00BC6836" w:rsidP="00C001C3" w14:paraId="7C0C3F6F" w14:textId="77777777">
            <w:pPr>
              <w:rPr>
                <w:rFonts w:eastAsia="Calibri"/>
                <w:b/>
                <w:bCs/>
                <w:sz w:val="24"/>
                <w:szCs w:val="24"/>
              </w:rPr>
            </w:pPr>
            <w:r w:rsidRPr="00BC6836">
              <w:rPr>
                <w:rFonts w:eastAsia="Calibri"/>
                <w:b/>
                <w:bCs/>
                <w:sz w:val="24"/>
                <w:szCs w:val="24"/>
              </w:rPr>
              <w:t> </w:t>
            </w:r>
          </w:p>
        </w:tc>
        <w:tc>
          <w:tcPr>
            <w:tcW w:w="996" w:type="dxa"/>
            <w:noWrap/>
            <w:hideMark/>
          </w:tcPr>
          <w:p w:rsidR="00582BF4" w:rsidRPr="00BC6836" w:rsidP="00C001C3" w14:paraId="7CEA83A6" w14:textId="77777777">
            <w:pPr>
              <w:jc w:val="right"/>
              <w:rPr>
                <w:rFonts w:eastAsia="Calibri"/>
                <w:sz w:val="24"/>
                <w:szCs w:val="24"/>
              </w:rPr>
            </w:pPr>
            <w:r w:rsidRPr="00BC6836">
              <w:rPr>
                <w:rFonts w:eastAsia="Calibri"/>
                <w:sz w:val="24"/>
                <w:szCs w:val="24"/>
              </w:rPr>
              <w:t> </w:t>
            </w:r>
          </w:p>
        </w:tc>
        <w:tc>
          <w:tcPr>
            <w:tcW w:w="1176" w:type="dxa"/>
            <w:noWrap/>
            <w:hideMark/>
          </w:tcPr>
          <w:p w:rsidR="00582BF4" w:rsidRPr="00BC6836" w:rsidP="00C001C3" w14:paraId="4BC98119" w14:textId="77777777">
            <w:pPr>
              <w:jc w:val="right"/>
              <w:rPr>
                <w:rFonts w:eastAsia="Calibri"/>
                <w:sz w:val="24"/>
                <w:szCs w:val="24"/>
              </w:rPr>
            </w:pPr>
            <w:r w:rsidRPr="00BC6836">
              <w:rPr>
                <w:rFonts w:eastAsia="Calibri"/>
                <w:sz w:val="24"/>
                <w:szCs w:val="24"/>
              </w:rPr>
              <w:t> </w:t>
            </w:r>
          </w:p>
        </w:tc>
        <w:tc>
          <w:tcPr>
            <w:tcW w:w="1350" w:type="dxa"/>
            <w:noWrap/>
            <w:hideMark/>
          </w:tcPr>
          <w:p w:rsidR="00582BF4" w:rsidRPr="00BC6836" w:rsidP="00C001C3" w14:paraId="0C6A776C" w14:textId="77777777">
            <w:pPr>
              <w:rPr>
                <w:rFonts w:eastAsia="Calibri"/>
                <w:sz w:val="24"/>
                <w:szCs w:val="24"/>
              </w:rPr>
            </w:pPr>
            <w:r w:rsidRPr="00BC6836">
              <w:rPr>
                <w:rFonts w:eastAsia="Calibri"/>
                <w:sz w:val="24"/>
                <w:szCs w:val="24"/>
              </w:rPr>
              <w:t> </w:t>
            </w:r>
          </w:p>
        </w:tc>
      </w:tr>
      <w:tr w14:paraId="568F9FA9" w14:textId="77777777" w:rsidTr="00C001C3">
        <w:tblPrEx>
          <w:tblW w:w="0" w:type="auto"/>
          <w:tblLook w:val="04A0"/>
        </w:tblPrEx>
        <w:trPr>
          <w:trHeight w:val="600"/>
        </w:trPr>
        <w:tc>
          <w:tcPr>
            <w:tcW w:w="5248" w:type="dxa"/>
            <w:hideMark/>
          </w:tcPr>
          <w:p w:rsidR="00582BF4" w:rsidRPr="00BC6836" w:rsidP="00C001C3" w14:paraId="630EA4FB" w14:textId="77777777">
            <w:pPr>
              <w:rPr>
                <w:rFonts w:eastAsia="Calibri"/>
                <w:sz w:val="24"/>
                <w:szCs w:val="24"/>
              </w:rPr>
            </w:pPr>
            <w:r w:rsidRPr="00BC6836">
              <w:rPr>
                <w:rFonts w:eastAsia="Calibri"/>
                <w:sz w:val="24"/>
                <w:szCs w:val="24"/>
              </w:rPr>
              <w:t>Average no. of underground construction projects that are gassy or potentially gassy</w:t>
            </w:r>
          </w:p>
        </w:tc>
        <w:tc>
          <w:tcPr>
            <w:tcW w:w="996" w:type="dxa"/>
            <w:noWrap/>
            <w:hideMark/>
          </w:tcPr>
          <w:p w:rsidR="00582BF4" w:rsidRPr="00BC6836" w:rsidP="00C001C3" w14:paraId="43DC2D57" w14:textId="77777777">
            <w:pPr>
              <w:jc w:val="right"/>
              <w:rPr>
                <w:rFonts w:eastAsia="Calibri"/>
                <w:sz w:val="24"/>
                <w:szCs w:val="24"/>
              </w:rPr>
            </w:pPr>
            <w:r w:rsidRPr="00BC6836">
              <w:rPr>
                <w:rFonts w:eastAsia="Calibri"/>
                <w:sz w:val="24"/>
                <w:szCs w:val="24"/>
              </w:rPr>
              <w:t>3</w:t>
            </w:r>
          </w:p>
        </w:tc>
        <w:tc>
          <w:tcPr>
            <w:tcW w:w="1176" w:type="dxa"/>
            <w:noWrap/>
            <w:hideMark/>
          </w:tcPr>
          <w:p w:rsidR="00582BF4" w:rsidRPr="00BC6836" w:rsidP="00C001C3" w14:paraId="70C43B9E" w14:textId="77777777">
            <w:pPr>
              <w:jc w:val="right"/>
              <w:rPr>
                <w:rFonts w:eastAsia="Calibri"/>
                <w:sz w:val="24"/>
                <w:szCs w:val="24"/>
              </w:rPr>
            </w:pPr>
            <w:r w:rsidRPr="00BC6836">
              <w:rPr>
                <w:rFonts w:eastAsia="Calibri"/>
                <w:sz w:val="24"/>
                <w:szCs w:val="24"/>
              </w:rPr>
              <w:t>3</w:t>
            </w:r>
          </w:p>
        </w:tc>
        <w:tc>
          <w:tcPr>
            <w:tcW w:w="1350" w:type="dxa"/>
            <w:noWrap/>
            <w:hideMark/>
          </w:tcPr>
          <w:p w:rsidR="00582BF4" w:rsidRPr="00BC6836" w:rsidP="00C001C3" w14:paraId="33301482" w14:textId="77777777">
            <w:pPr>
              <w:rPr>
                <w:rFonts w:eastAsia="Calibri"/>
                <w:sz w:val="24"/>
                <w:szCs w:val="24"/>
              </w:rPr>
            </w:pPr>
            <w:r w:rsidRPr="00BC6836">
              <w:rPr>
                <w:rFonts w:eastAsia="Calibri"/>
                <w:sz w:val="24"/>
                <w:szCs w:val="24"/>
              </w:rPr>
              <w:t>Same as before</w:t>
            </w:r>
          </w:p>
        </w:tc>
      </w:tr>
      <w:tr w14:paraId="326A2583" w14:textId="77777777" w:rsidTr="00C001C3">
        <w:tblPrEx>
          <w:tblW w:w="0" w:type="auto"/>
          <w:tblLook w:val="04A0"/>
        </w:tblPrEx>
        <w:trPr>
          <w:trHeight w:val="300"/>
        </w:trPr>
        <w:tc>
          <w:tcPr>
            <w:tcW w:w="5248" w:type="dxa"/>
            <w:hideMark/>
          </w:tcPr>
          <w:p w:rsidR="00582BF4" w:rsidRPr="00BC6836" w:rsidP="00C001C3" w14:paraId="5EECE777" w14:textId="77777777">
            <w:pPr>
              <w:rPr>
                <w:rFonts w:eastAsia="Calibri"/>
                <w:sz w:val="24"/>
                <w:szCs w:val="24"/>
              </w:rPr>
            </w:pPr>
            <w:r w:rsidRPr="00BC6836">
              <w:rPr>
                <w:rFonts w:eastAsia="Calibri"/>
                <w:sz w:val="24"/>
                <w:szCs w:val="24"/>
              </w:rPr>
              <w:t>Estimated no. of years each project lasts</w:t>
            </w:r>
          </w:p>
        </w:tc>
        <w:tc>
          <w:tcPr>
            <w:tcW w:w="996" w:type="dxa"/>
            <w:noWrap/>
            <w:hideMark/>
          </w:tcPr>
          <w:p w:rsidR="00582BF4" w:rsidRPr="00BC6836" w:rsidP="00C001C3" w14:paraId="4178AE9A" w14:textId="77777777">
            <w:pPr>
              <w:jc w:val="right"/>
              <w:rPr>
                <w:rFonts w:eastAsia="Calibri"/>
                <w:sz w:val="24"/>
                <w:szCs w:val="24"/>
              </w:rPr>
            </w:pPr>
            <w:r w:rsidRPr="00BC6836">
              <w:rPr>
                <w:rFonts w:eastAsia="Calibri"/>
                <w:sz w:val="24"/>
                <w:szCs w:val="24"/>
              </w:rPr>
              <w:t>3</w:t>
            </w:r>
          </w:p>
        </w:tc>
        <w:tc>
          <w:tcPr>
            <w:tcW w:w="1176" w:type="dxa"/>
            <w:noWrap/>
            <w:hideMark/>
          </w:tcPr>
          <w:p w:rsidR="00582BF4" w:rsidRPr="00BC6836" w:rsidP="00C001C3" w14:paraId="4DCF12C6" w14:textId="77777777">
            <w:pPr>
              <w:jc w:val="right"/>
              <w:rPr>
                <w:rFonts w:eastAsia="Calibri"/>
                <w:sz w:val="24"/>
                <w:szCs w:val="24"/>
              </w:rPr>
            </w:pPr>
            <w:r w:rsidRPr="00BC6836">
              <w:rPr>
                <w:rFonts w:eastAsia="Calibri"/>
                <w:sz w:val="24"/>
                <w:szCs w:val="24"/>
              </w:rPr>
              <w:t>3</w:t>
            </w:r>
          </w:p>
        </w:tc>
        <w:tc>
          <w:tcPr>
            <w:tcW w:w="1350" w:type="dxa"/>
            <w:noWrap/>
            <w:hideMark/>
          </w:tcPr>
          <w:p w:rsidR="00582BF4" w:rsidRPr="00BC6836" w:rsidP="00C001C3" w14:paraId="1C10250D" w14:textId="77777777">
            <w:pPr>
              <w:rPr>
                <w:rFonts w:eastAsia="Calibri"/>
                <w:sz w:val="24"/>
                <w:szCs w:val="24"/>
              </w:rPr>
            </w:pPr>
            <w:r w:rsidRPr="00BC6836">
              <w:rPr>
                <w:rFonts w:eastAsia="Calibri"/>
                <w:sz w:val="24"/>
                <w:szCs w:val="24"/>
              </w:rPr>
              <w:t>Same as before</w:t>
            </w:r>
          </w:p>
        </w:tc>
      </w:tr>
      <w:tr w14:paraId="2E92CE5A" w14:textId="77777777" w:rsidTr="00C001C3">
        <w:tblPrEx>
          <w:tblW w:w="0" w:type="auto"/>
          <w:tblLook w:val="04A0"/>
        </w:tblPrEx>
        <w:trPr>
          <w:trHeight w:val="300"/>
        </w:trPr>
        <w:tc>
          <w:tcPr>
            <w:tcW w:w="5248" w:type="dxa"/>
            <w:hideMark/>
          </w:tcPr>
          <w:p w:rsidR="00582BF4" w:rsidRPr="00BC6836" w:rsidP="00C001C3" w14:paraId="2D2DD880" w14:textId="77777777">
            <w:pPr>
              <w:rPr>
                <w:rFonts w:eastAsia="Calibri"/>
                <w:sz w:val="24"/>
                <w:szCs w:val="24"/>
              </w:rPr>
            </w:pPr>
            <w:r w:rsidRPr="00BC6836">
              <w:rPr>
                <w:rFonts w:eastAsia="Calibri"/>
                <w:sz w:val="24"/>
                <w:szCs w:val="24"/>
              </w:rPr>
              <w:t>No. of gassy projects under construction</w:t>
            </w:r>
          </w:p>
        </w:tc>
        <w:tc>
          <w:tcPr>
            <w:tcW w:w="996" w:type="dxa"/>
            <w:noWrap/>
            <w:hideMark/>
          </w:tcPr>
          <w:p w:rsidR="00582BF4" w:rsidRPr="00BC6836" w:rsidP="00C001C3" w14:paraId="52D76C08" w14:textId="77777777">
            <w:pPr>
              <w:jc w:val="right"/>
              <w:rPr>
                <w:rFonts w:eastAsia="Calibri"/>
                <w:sz w:val="24"/>
                <w:szCs w:val="24"/>
              </w:rPr>
            </w:pPr>
            <w:r w:rsidRPr="00BC6836">
              <w:rPr>
                <w:rFonts w:eastAsia="Calibri"/>
                <w:sz w:val="24"/>
                <w:szCs w:val="24"/>
              </w:rPr>
              <w:t>9</w:t>
            </w:r>
          </w:p>
        </w:tc>
        <w:tc>
          <w:tcPr>
            <w:tcW w:w="1176" w:type="dxa"/>
            <w:noWrap/>
            <w:hideMark/>
          </w:tcPr>
          <w:p w:rsidR="00582BF4" w:rsidRPr="00BC6836" w:rsidP="00C001C3" w14:paraId="2D585E53" w14:textId="77777777">
            <w:pPr>
              <w:jc w:val="right"/>
              <w:rPr>
                <w:rFonts w:eastAsia="Calibri"/>
                <w:sz w:val="24"/>
                <w:szCs w:val="24"/>
              </w:rPr>
            </w:pPr>
            <w:r w:rsidRPr="00BC6836">
              <w:rPr>
                <w:rFonts w:eastAsia="Calibri"/>
                <w:sz w:val="24"/>
                <w:szCs w:val="24"/>
              </w:rPr>
              <w:t>9</w:t>
            </w:r>
          </w:p>
        </w:tc>
        <w:tc>
          <w:tcPr>
            <w:tcW w:w="1350" w:type="dxa"/>
            <w:noWrap/>
            <w:hideMark/>
          </w:tcPr>
          <w:p w:rsidR="00582BF4" w:rsidRPr="00BC6836" w:rsidP="00C001C3" w14:paraId="322773D0" w14:textId="77777777">
            <w:pPr>
              <w:rPr>
                <w:rFonts w:eastAsia="Calibri"/>
                <w:sz w:val="24"/>
                <w:szCs w:val="24"/>
              </w:rPr>
            </w:pPr>
            <w:r w:rsidRPr="00BC6836">
              <w:rPr>
                <w:rFonts w:eastAsia="Calibri"/>
                <w:sz w:val="24"/>
                <w:szCs w:val="24"/>
              </w:rPr>
              <w:t>Same as before</w:t>
            </w:r>
          </w:p>
        </w:tc>
      </w:tr>
      <w:tr w14:paraId="38C95FAB" w14:textId="77777777" w:rsidTr="00C001C3">
        <w:tblPrEx>
          <w:tblW w:w="0" w:type="auto"/>
          <w:tblLook w:val="04A0"/>
        </w:tblPrEx>
        <w:trPr>
          <w:trHeight w:val="300"/>
        </w:trPr>
        <w:tc>
          <w:tcPr>
            <w:tcW w:w="5248" w:type="dxa"/>
            <w:hideMark/>
          </w:tcPr>
          <w:p w:rsidR="00582BF4" w:rsidRPr="00BC6836" w:rsidP="00C001C3" w14:paraId="510319BA" w14:textId="77777777">
            <w:pPr>
              <w:rPr>
                <w:rFonts w:eastAsia="Calibri"/>
                <w:sz w:val="24"/>
                <w:szCs w:val="24"/>
              </w:rPr>
            </w:pPr>
          </w:p>
        </w:tc>
        <w:tc>
          <w:tcPr>
            <w:tcW w:w="996" w:type="dxa"/>
            <w:noWrap/>
            <w:hideMark/>
          </w:tcPr>
          <w:p w:rsidR="00582BF4" w:rsidRPr="00BC6836" w:rsidP="00C001C3" w14:paraId="7EFED5E6" w14:textId="77777777">
            <w:pPr>
              <w:jc w:val="right"/>
              <w:rPr>
                <w:rFonts w:eastAsia="Calibri"/>
                <w:sz w:val="24"/>
                <w:szCs w:val="24"/>
              </w:rPr>
            </w:pPr>
          </w:p>
        </w:tc>
        <w:tc>
          <w:tcPr>
            <w:tcW w:w="1176" w:type="dxa"/>
            <w:noWrap/>
            <w:hideMark/>
          </w:tcPr>
          <w:p w:rsidR="00582BF4" w:rsidRPr="00BC6836" w:rsidP="00C001C3" w14:paraId="1160D6E3" w14:textId="77777777">
            <w:pPr>
              <w:jc w:val="right"/>
              <w:rPr>
                <w:rFonts w:eastAsia="Calibri"/>
                <w:sz w:val="24"/>
                <w:szCs w:val="24"/>
              </w:rPr>
            </w:pPr>
          </w:p>
        </w:tc>
        <w:tc>
          <w:tcPr>
            <w:tcW w:w="1350" w:type="dxa"/>
            <w:noWrap/>
            <w:hideMark/>
          </w:tcPr>
          <w:p w:rsidR="00582BF4" w:rsidRPr="00BC6836" w:rsidP="00C001C3" w14:paraId="4B207F88" w14:textId="77777777">
            <w:pPr>
              <w:rPr>
                <w:rFonts w:eastAsia="Calibri"/>
                <w:sz w:val="24"/>
                <w:szCs w:val="24"/>
              </w:rPr>
            </w:pPr>
          </w:p>
        </w:tc>
      </w:tr>
      <w:tr w14:paraId="3E67708D" w14:textId="77777777" w:rsidTr="00C001C3">
        <w:tblPrEx>
          <w:tblW w:w="0" w:type="auto"/>
          <w:tblLook w:val="04A0"/>
        </w:tblPrEx>
        <w:trPr>
          <w:trHeight w:val="300"/>
        </w:trPr>
        <w:tc>
          <w:tcPr>
            <w:tcW w:w="5248" w:type="dxa"/>
            <w:hideMark/>
          </w:tcPr>
          <w:p w:rsidR="00582BF4" w:rsidRPr="00BC6836" w:rsidP="00C001C3" w14:paraId="2068061B" w14:textId="77777777">
            <w:pPr>
              <w:rPr>
                <w:rFonts w:eastAsia="Calibri"/>
                <w:b/>
                <w:bCs/>
                <w:sz w:val="24"/>
                <w:szCs w:val="24"/>
              </w:rPr>
            </w:pPr>
            <w:r w:rsidRPr="00BC6836">
              <w:rPr>
                <w:rFonts w:eastAsia="Calibri"/>
                <w:b/>
                <w:bCs/>
                <w:sz w:val="24"/>
                <w:szCs w:val="24"/>
              </w:rPr>
              <w:t>Items</w:t>
            </w:r>
          </w:p>
        </w:tc>
        <w:tc>
          <w:tcPr>
            <w:tcW w:w="996" w:type="dxa"/>
            <w:noWrap/>
            <w:hideMark/>
          </w:tcPr>
          <w:p w:rsidR="00582BF4" w:rsidRPr="00BC6836" w:rsidP="00C001C3" w14:paraId="51BEEB43" w14:textId="77777777">
            <w:pPr>
              <w:jc w:val="center"/>
              <w:rPr>
                <w:rFonts w:eastAsia="Calibri"/>
                <w:b/>
                <w:bCs/>
                <w:sz w:val="24"/>
                <w:szCs w:val="24"/>
              </w:rPr>
            </w:pPr>
            <w:r w:rsidRPr="00BC6836">
              <w:rPr>
                <w:rFonts w:eastAsia="Calibri"/>
                <w:b/>
                <w:bCs/>
                <w:sz w:val="24"/>
                <w:szCs w:val="24"/>
              </w:rPr>
              <w:t>2013</w:t>
            </w:r>
          </w:p>
        </w:tc>
        <w:tc>
          <w:tcPr>
            <w:tcW w:w="1176" w:type="dxa"/>
            <w:noWrap/>
            <w:hideMark/>
          </w:tcPr>
          <w:p w:rsidR="00582BF4" w:rsidRPr="00BC6836" w:rsidP="00C001C3" w14:paraId="24543EAF" w14:textId="77777777">
            <w:pPr>
              <w:jc w:val="center"/>
              <w:rPr>
                <w:rFonts w:eastAsia="Calibri"/>
                <w:b/>
                <w:bCs/>
                <w:sz w:val="24"/>
                <w:szCs w:val="24"/>
              </w:rPr>
            </w:pPr>
            <w:r w:rsidRPr="00BC6836">
              <w:rPr>
                <w:rFonts w:eastAsia="Calibri"/>
                <w:b/>
                <w:bCs/>
                <w:sz w:val="24"/>
                <w:szCs w:val="24"/>
              </w:rPr>
              <w:t>2016</w:t>
            </w:r>
          </w:p>
        </w:tc>
        <w:tc>
          <w:tcPr>
            <w:tcW w:w="1350" w:type="dxa"/>
            <w:noWrap/>
            <w:hideMark/>
          </w:tcPr>
          <w:p w:rsidR="00582BF4" w:rsidRPr="00BC6836" w:rsidP="00C001C3" w14:paraId="4EF59524" w14:textId="77777777">
            <w:pPr>
              <w:rPr>
                <w:rFonts w:eastAsia="Calibri"/>
                <w:b/>
                <w:bCs/>
                <w:sz w:val="24"/>
                <w:szCs w:val="24"/>
              </w:rPr>
            </w:pPr>
            <w:r w:rsidRPr="00BC6836">
              <w:rPr>
                <w:rFonts w:eastAsia="Calibri"/>
                <w:b/>
                <w:bCs/>
                <w:sz w:val="24"/>
                <w:szCs w:val="24"/>
              </w:rPr>
              <w:t>Source</w:t>
            </w:r>
          </w:p>
        </w:tc>
      </w:tr>
      <w:tr w14:paraId="32EE1A89" w14:textId="77777777" w:rsidTr="00C001C3">
        <w:tblPrEx>
          <w:tblW w:w="0" w:type="auto"/>
          <w:tblLook w:val="04A0"/>
        </w:tblPrEx>
        <w:trPr>
          <w:trHeight w:val="600"/>
        </w:trPr>
        <w:tc>
          <w:tcPr>
            <w:tcW w:w="5248" w:type="dxa"/>
            <w:hideMark/>
          </w:tcPr>
          <w:p w:rsidR="00582BF4" w:rsidRPr="00BC6836" w:rsidP="00C001C3" w14:paraId="2155AF56" w14:textId="77777777">
            <w:pPr>
              <w:rPr>
                <w:rFonts w:eastAsia="Calibri"/>
                <w:sz w:val="24"/>
                <w:szCs w:val="24"/>
              </w:rPr>
            </w:pPr>
            <w:r w:rsidRPr="00BC6836">
              <w:rPr>
                <w:rFonts w:eastAsia="Calibri"/>
                <w:sz w:val="24"/>
                <w:szCs w:val="24"/>
              </w:rPr>
              <w:t>Value of Construction Put in Place (</w:t>
            </w:r>
            <w:r w:rsidRPr="00BC6836">
              <w:rPr>
                <w:rFonts w:eastAsia="Calibri"/>
                <w:i/>
                <w:iCs/>
                <w:sz w:val="24"/>
                <w:szCs w:val="24"/>
              </w:rPr>
              <w:t>Millions of Dollars</w:t>
            </w:r>
            <w:r w:rsidRPr="00BC6836">
              <w:rPr>
                <w:rFonts w:eastAsia="Calibri"/>
                <w:sz w:val="24"/>
                <w:szCs w:val="24"/>
              </w:rPr>
              <w:t>)</w:t>
            </w:r>
          </w:p>
        </w:tc>
        <w:tc>
          <w:tcPr>
            <w:tcW w:w="996" w:type="dxa"/>
            <w:hideMark/>
          </w:tcPr>
          <w:p w:rsidR="00582BF4" w:rsidRPr="00BC6836" w:rsidP="00C001C3" w14:paraId="6F342F1C" w14:textId="77777777">
            <w:pPr>
              <w:jc w:val="right"/>
              <w:rPr>
                <w:rFonts w:eastAsia="Calibri"/>
                <w:sz w:val="24"/>
                <w:szCs w:val="24"/>
              </w:rPr>
            </w:pPr>
            <w:r w:rsidRPr="00BC6836">
              <w:rPr>
                <w:rFonts w:eastAsia="Calibri"/>
                <w:sz w:val="24"/>
                <w:szCs w:val="24"/>
              </w:rPr>
              <w:t>906,351</w:t>
            </w:r>
          </w:p>
        </w:tc>
        <w:tc>
          <w:tcPr>
            <w:tcW w:w="1176" w:type="dxa"/>
            <w:hideMark/>
          </w:tcPr>
          <w:p w:rsidR="00582BF4" w:rsidRPr="00BC6836" w:rsidP="00C001C3" w14:paraId="40004034" w14:textId="77777777">
            <w:pPr>
              <w:rPr>
                <w:rFonts w:eastAsia="Calibri"/>
                <w:sz w:val="24"/>
                <w:szCs w:val="24"/>
              </w:rPr>
            </w:pPr>
            <w:r w:rsidRPr="00BC6836">
              <w:rPr>
                <w:rFonts w:eastAsia="Calibri"/>
                <w:sz w:val="24"/>
                <w:szCs w:val="24"/>
              </w:rPr>
              <w:t>1,164,471</w:t>
            </w:r>
          </w:p>
        </w:tc>
        <w:tc>
          <w:tcPr>
            <w:tcW w:w="1350" w:type="dxa"/>
            <w:hideMark/>
          </w:tcPr>
          <w:p w:rsidR="00582BF4" w:rsidRPr="00BC6836" w:rsidP="00C001C3" w14:paraId="64ABEE9E" w14:textId="77777777">
            <w:pPr>
              <w:rPr>
                <w:rFonts w:eastAsia="Calibri"/>
                <w:sz w:val="24"/>
                <w:szCs w:val="24"/>
              </w:rPr>
            </w:pPr>
            <w:r w:rsidRPr="00BC6836">
              <w:rPr>
                <w:rFonts w:eastAsia="Calibri"/>
                <w:sz w:val="24"/>
                <w:szCs w:val="24"/>
              </w:rPr>
              <w:t>U.S. Census Bureau, 2017</w:t>
            </w:r>
          </w:p>
        </w:tc>
      </w:tr>
      <w:tr w14:paraId="7A4E62E4" w14:textId="77777777" w:rsidTr="00C001C3">
        <w:tblPrEx>
          <w:tblW w:w="0" w:type="auto"/>
          <w:tblLook w:val="04A0"/>
        </w:tblPrEx>
        <w:trPr>
          <w:trHeight w:val="300"/>
        </w:trPr>
        <w:tc>
          <w:tcPr>
            <w:tcW w:w="5248" w:type="dxa"/>
            <w:hideMark/>
          </w:tcPr>
          <w:p w:rsidR="00582BF4" w:rsidRPr="00BC6836" w:rsidP="00C001C3" w14:paraId="737CCC43" w14:textId="77777777">
            <w:pPr>
              <w:rPr>
                <w:rFonts w:eastAsia="Calibri"/>
                <w:sz w:val="24"/>
                <w:szCs w:val="24"/>
              </w:rPr>
            </w:pPr>
            <w:r w:rsidRPr="00BC6836">
              <w:rPr>
                <w:rFonts w:eastAsia="Calibri"/>
                <w:sz w:val="24"/>
                <w:szCs w:val="24"/>
              </w:rPr>
              <w:t>Percent Change in Value of Construction Put in Place</w:t>
            </w:r>
          </w:p>
        </w:tc>
        <w:tc>
          <w:tcPr>
            <w:tcW w:w="996" w:type="dxa"/>
            <w:noWrap/>
            <w:hideMark/>
          </w:tcPr>
          <w:p w:rsidR="00582BF4" w:rsidRPr="00BC6836" w:rsidP="00C001C3" w14:paraId="15B52605" w14:textId="77777777">
            <w:pPr>
              <w:rPr>
                <w:rFonts w:eastAsia="Calibri"/>
                <w:sz w:val="24"/>
                <w:szCs w:val="24"/>
              </w:rPr>
            </w:pPr>
            <w:r w:rsidRPr="00BC6836">
              <w:rPr>
                <w:rFonts w:eastAsia="Calibri"/>
                <w:sz w:val="24"/>
                <w:szCs w:val="24"/>
              </w:rPr>
              <w:t>28.5%</w:t>
            </w:r>
          </w:p>
        </w:tc>
        <w:tc>
          <w:tcPr>
            <w:tcW w:w="1176" w:type="dxa"/>
            <w:noWrap/>
            <w:hideMark/>
          </w:tcPr>
          <w:p w:rsidR="00582BF4" w:rsidRPr="00BC6836" w:rsidP="00C001C3" w14:paraId="61805512" w14:textId="77777777">
            <w:pPr>
              <w:rPr>
                <w:rFonts w:eastAsia="Calibri"/>
                <w:sz w:val="24"/>
                <w:szCs w:val="24"/>
              </w:rPr>
            </w:pPr>
          </w:p>
        </w:tc>
        <w:tc>
          <w:tcPr>
            <w:tcW w:w="1350" w:type="dxa"/>
            <w:noWrap/>
            <w:hideMark/>
          </w:tcPr>
          <w:p w:rsidR="00582BF4" w:rsidRPr="00BC6836" w:rsidP="00C001C3" w14:paraId="134C89C7" w14:textId="77777777">
            <w:pPr>
              <w:rPr>
                <w:rFonts w:eastAsia="Calibri"/>
                <w:sz w:val="24"/>
                <w:szCs w:val="24"/>
              </w:rPr>
            </w:pPr>
            <w:r w:rsidRPr="00BC6836">
              <w:rPr>
                <w:rFonts w:eastAsia="Calibri"/>
                <w:sz w:val="24"/>
                <w:szCs w:val="24"/>
              </w:rPr>
              <w:t>Calculation</w:t>
            </w:r>
          </w:p>
        </w:tc>
      </w:tr>
    </w:tbl>
    <w:p w:rsidR="00582BF4" w:rsidRPr="00BC6836" w:rsidP="00582BF4" w14:paraId="2C34CF99" w14:textId="77777777">
      <w:pPr>
        <w:rPr>
          <w:rFonts w:eastAsia="Calibri"/>
          <w:sz w:val="24"/>
          <w:szCs w:val="24"/>
        </w:rPr>
      </w:pPr>
    </w:p>
    <w:p w:rsidR="00582BF4" w:rsidRPr="00BC6836" w:rsidP="00582BF4" w14:paraId="010CE359" w14:textId="77777777">
      <w:pPr>
        <w:rPr>
          <w:rFonts w:eastAsia="Calibri"/>
          <w:sz w:val="24"/>
          <w:szCs w:val="24"/>
        </w:rPr>
      </w:pPr>
      <w:r w:rsidRPr="00BC6836">
        <w:rPr>
          <w:rFonts w:eastAsia="Calibri"/>
          <w:sz w:val="24"/>
          <w:szCs w:val="24"/>
        </w:rPr>
        <w:t xml:space="preserve">OSHA believes that it is </w:t>
      </w:r>
      <w:r>
        <w:rPr>
          <w:rFonts w:eastAsia="Calibri"/>
          <w:sz w:val="24"/>
          <w:szCs w:val="24"/>
        </w:rPr>
        <w:t>a</w:t>
      </w:r>
      <w:r w:rsidRPr="00BC6836">
        <w:rPr>
          <w:rFonts w:eastAsia="Calibri"/>
          <w:sz w:val="24"/>
          <w:szCs w:val="24"/>
        </w:rPr>
        <w:t xml:space="preserve"> usual and customary practice of the construction industry to designate one employer (i.e., contractor) at a project to perform the required air quality tests, record the test results, and calibrate the monitors.  Therefore, a total of 461 contractors are responsible for the </w:t>
      </w:r>
      <w:r w:rsidRPr="00BC6836">
        <w:rPr>
          <w:rFonts w:eastAsia="Calibri"/>
          <w:sz w:val="24"/>
          <w:szCs w:val="24"/>
        </w:rPr>
        <w:t>paperwork requirements associated with the air-quality tests performed at the 461 projects under construction four times per year.  The Agency assumes that these contractors are also responsible for the other two paperwork requirements specified by §1926.800 – posting warning signs and notices and certifying the inspection records for hoists.</w:t>
      </w:r>
    </w:p>
    <w:p w:rsidR="00582BF4" w:rsidRPr="00BC6836" w:rsidP="00582BF4" w14:paraId="667A7ABD" w14:textId="77777777">
      <w:pPr>
        <w:rPr>
          <w:rFonts w:eastAsia="Calibri"/>
          <w:sz w:val="24"/>
          <w:szCs w:val="24"/>
        </w:rPr>
      </w:pPr>
    </w:p>
    <w:p w:rsidR="00582BF4" w:rsidRPr="00BC6836" w:rsidP="00582BF4" w14:paraId="03C3815A" w14:textId="77777777">
      <w:pPr>
        <w:rPr>
          <w:rFonts w:eastAsia="Calibri"/>
          <w:sz w:val="24"/>
          <w:szCs w:val="24"/>
        </w:rPr>
      </w:pPr>
      <w:r w:rsidRPr="00BC6836">
        <w:rPr>
          <w:rFonts w:eastAsia="Calibri"/>
          <w:sz w:val="24"/>
          <w:szCs w:val="24"/>
        </w:rPr>
        <w:t xml:space="preserve">The </w:t>
      </w:r>
      <w:r>
        <w:rPr>
          <w:rFonts w:eastAsia="Calibri"/>
          <w:sz w:val="24"/>
          <w:szCs w:val="24"/>
        </w:rPr>
        <w:t>a</w:t>
      </w:r>
      <w:r w:rsidRPr="00BC6836">
        <w:rPr>
          <w:rFonts w:eastAsia="Calibri"/>
          <w:sz w:val="24"/>
          <w:szCs w:val="24"/>
        </w:rPr>
        <w:t xml:space="preserve">gency has received anecdotal information from several underground construction industry representatives that modern digital and computer technologies have greatly improved environmental monitoring.  Many instruments </w:t>
      </w:r>
      <w:r>
        <w:rPr>
          <w:rFonts w:eastAsia="Calibri"/>
          <w:sz w:val="24"/>
          <w:szCs w:val="24"/>
        </w:rPr>
        <w:t>simultaneously sample every second or so for as many as five air/gas conditions</w:t>
      </w:r>
      <w:r w:rsidRPr="00BC6836">
        <w:rPr>
          <w:rFonts w:eastAsia="Calibri"/>
          <w:sz w:val="24"/>
          <w:szCs w:val="24"/>
        </w:rPr>
        <w:t>.  These instruments incorporate alarms and data storage in handheld or portable configurations.  The instruments may be calibrated, operationally checked and recharged simply by placing them in a docking station.  These docking stations also download the monitoring data directly to computer storage in a matter of seconds.  Data retrieval is as fast as accessing the file and printing it.  Some representatives indicate that placing an instrument in a docking station, having the data downloaded and printed, and the instrument checked as well as recalibrated</w:t>
      </w:r>
      <w:r>
        <w:rPr>
          <w:rFonts w:eastAsia="Calibri"/>
          <w:sz w:val="24"/>
          <w:szCs w:val="24"/>
        </w:rPr>
        <w:t>, including test gas,</w:t>
      </w:r>
      <w:r w:rsidRPr="00BC6836">
        <w:rPr>
          <w:rFonts w:eastAsia="Calibri"/>
          <w:sz w:val="24"/>
          <w:szCs w:val="24"/>
        </w:rPr>
        <w:t xml:space="preserve"> takes one to one and a half minutes.  They also indicate that battery recharging requires approximately 90 minutes</w:t>
      </w:r>
      <w:r>
        <w:rPr>
          <w:rFonts w:eastAsia="Calibri"/>
          <w:sz w:val="24"/>
          <w:szCs w:val="24"/>
        </w:rPr>
        <w:t xml:space="preserve"> (90/60 hours)</w:t>
      </w:r>
      <w:r w:rsidRPr="00BC6836">
        <w:rPr>
          <w:rFonts w:eastAsia="Calibri"/>
          <w:sz w:val="24"/>
          <w:szCs w:val="24"/>
        </w:rPr>
        <w:t>.  However, there is no need for the charging to be attended or recorded.  The instruments indicate when they are properly charged and ready for use.</w:t>
      </w:r>
    </w:p>
    <w:p w:rsidR="00582BF4" w:rsidRPr="00BC6836" w:rsidP="00582BF4" w14:paraId="7E460CB8" w14:textId="77777777">
      <w:pPr>
        <w:rPr>
          <w:rFonts w:eastAsia="Calibri"/>
          <w:sz w:val="24"/>
          <w:szCs w:val="24"/>
        </w:rPr>
      </w:pPr>
    </w:p>
    <w:p w:rsidR="00582BF4" w:rsidP="00582BF4" w14:paraId="6062E36E" w14:textId="77777777">
      <w:pPr>
        <w:rPr>
          <w:rFonts w:eastAsia="Calibri"/>
          <w:sz w:val="24"/>
          <w:szCs w:val="24"/>
        </w:rPr>
      </w:pPr>
      <w:r w:rsidRPr="00BC6836">
        <w:rPr>
          <w:rFonts w:eastAsia="Calibri"/>
          <w:sz w:val="24"/>
          <w:szCs w:val="24"/>
        </w:rPr>
        <w:t xml:space="preserve">The </w:t>
      </w:r>
      <w:r>
        <w:rPr>
          <w:rFonts w:eastAsia="Calibri"/>
          <w:sz w:val="24"/>
          <w:szCs w:val="24"/>
        </w:rPr>
        <w:t>a</w:t>
      </w:r>
      <w:r w:rsidRPr="00BC6836">
        <w:rPr>
          <w:rFonts w:eastAsia="Calibri"/>
          <w:sz w:val="24"/>
          <w:szCs w:val="24"/>
        </w:rPr>
        <w:t>gency understands that as old instruments retire, underground contractors upgrade to the newer more efficient devices; however, the extent of use of the newer devices is unknown.  As a consequence of this lack of information the Agency seeks no change in the burden hours associated with its standards regulating underground construction and only seeks changes based on updated worker costs.</w:t>
      </w:r>
    </w:p>
    <w:p w:rsidR="00582BF4" w:rsidP="00582BF4" w14:paraId="4CBBE514" w14:textId="77777777">
      <w:pPr>
        <w:rPr>
          <w:rFonts w:eastAsia="Calibri"/>
          <w:sz w:val="24"/>
          <w:szCs w:val="24"/>
        </w:rPr>
      </w:pPr>
    </w:p>
    <w:p w:rsidR="00582BF4" w:rsidRPr="00BC6836" w:rsidP="00582BF4" w14:paraId="5F4FFC3E" w14:textId="77777777">
      <w:pPr>
        <w:rPr>
          <w:rFonts w:eastAsia="Calibri"/>
          <w:sz w:val="24"/>
          <w:szCs w:val="24"/>
        </w:rPr>
      </w:pPr>
      <w:r>
        <w:rPr>
          <w:rFonts w:eastAsia="Calibri"/>
          <w:sz w:val="24"/>
          <w:szCs w:val="24"/>
        </w:rPr>
        <w:t>Wage Rates</w:t>
      </w:r>
    </w:p>
    <w:p w:rsidR="00582BF4" w:rsidP="00582BF4" w14:paraId="1A8CB769" w14:textId="77777777">
      <w:pPr>
        <w:rPr>
          <w:color w:val="000000"/>
          <w:sz w:val="24"/>
          <w:szCs w:val="24"/>
          <w:shd w:val="clear" w:color="auto" w:fill="FFFFFF"/>
        </w:rPr>
      </w:pPr>
    </w:p>
    <w:p w:rsidR="00582BF4" w:rsidRPr="001849B1" w:rsidP="00582BF4" w14:paraId="2364E54D" w14:textId="77777777">
      <w:pPr>
        <w:rPr>
          <w:sz w:val="24"/>
          <w:szCs w:val="24"/>
        </w:rPr>
      </w:pPr>
      <w:r w:rsidRPr="001849B1">
        <w:rPr>
          <w:color w:val="000000"/>
          <w:sz w:val="24"/>
          <w:szCs w:val="24"/>
          <w:shd w:val="clear" w:color="auto" w:fill="FFFFFF"/>
        </w:rPr>
        <w:t xml:space="preserve">The agency determined the wage rate from mean hourly wage earnings to represent the cost of employee time.  For the relevant standard occupational classification category, OSHA used the wage rates reported in the Bureau of Labor Statistics, U.S. Department of Labor, Occupational Employment Wage Statistics (OEWS), May 2022 accessed:  January 19, 2024.  (OEWS data is available at </w:t>
      </w:r>
      <w:hyperlink r:id="rId5" w:anchor="43-0000" w:history="1">
        <w:r w:rsidRPr="001849B1">
          <w:rPr>
            <w:color w:val="0000FF"/>
            <w:sz w:val="24"/>
            <w:szCs w:val="24"/>
            <w:u w:val="single"/>
          </w:rPr>
          <w:t>List of SOC Occupations (bls.gov)</w:t>
        </w:r>
      </w:hyperlink>
      <w:r>
        <w:rPr>
          <w:color w:val="0000FF"/>
          <w:sz w:val="24"/>
          <w:szCs w:val="24"/>
          <w:u w:val="single"/>
        </w:rPr>
        <w:t>.</w:t>
      </w:r>
      <w:r w:rsidRPr="001849B1">
        <w:rPr>
          <w:color w:val="000000"/>
          <w:sz w:val="24"/>
          <w:szCs w:val="24"/>
          <w:shd w:val="clear" w:color="auto" w:fill="FFFFFF"/>
        </w:rPr>
        <w:t xml:space="preserve"> To access a wage rate, select the year, “Occupation profiles,” and the Standard Occupational Classification (SOC) code.) </w:t>
      </w:r>
    </w:p>
    <w:p w:rsidR="00582BF4" w:rsidRPr="001849B1" w:rsidP="00582BF4" w14:paraId="70BD909D" w14:textId="77777777">
      <w:pPr>
        <w:tabs>
          <w:tab w:val="left" w:pos="-1440"/>
        </w:tabs>
        <w:rPr>
          <w:sz w:val="24"/>
          <w:szCs w:val="24"/>
        </w:rPr>
      </w:pPr>
    </w:p>
    <w:p w:rsidR="00582BF4" w:rsidRPr="001849B1" w:rsidP="00582BF4" w14:paraId="3361C87A" w14:textId="77777777">
      <w:pPr>
        <w:textAlignment w:val="baseline"/>
        <w:rPr>
          <w:rFonts w:ascii="Segoe UI" w:hAnsi="Segoe UI" w:cs="Segoe UI"/>
          <w:sz w:val="24"/>
          <w:szCs w:val="24"/>
        </w:rPr>
      </w:pPr>
      <w:r>
        <w:rPr>
          <w:sz w:val="24"/>
          <w:szCs w:val="24"/>
        </w:rPr>
        <w:t>The agency used the Occupational Employment Wage Statistics (OEWS) to account for fringe benefits</w:t>
      </w:r>
      <w:r w:rsidRPr="001849B1">
        <w:rPr>
          <w:sz w:val="24"/>
          <w:szCs w:val="24"/>
        </w:rPr>
        <w:t xml:space="preserve">.  Fringe markup is from the following BLS release:  </w:t>
      </w:r>
      <w:r w:rsidRPr="001849B1">
        <w:rPr>
          <w:i/>
          <w:iCs/>
          <w:sz w:val="24"/>
          <w:szCs w:val="24"/>
        </w:rPr>
        <w:t>Employer Costs for Employee Compensation</w:t>
      </w:r>
      <w:r w:rsidRPr="001849B1">
        <w:rPr>
          <w:sz w:val="24"/>
          <w:szCs w:val="24"/>
        </w:rPr>
        <w:t xml:space="preserve"> news release text; For release, December 15, 2023</w:t>
      </w:r>
      <w:r w:rsidRPr="001849B1">
        <w:rPr>
          <w:i/>
          <w:iCs/>
          <w:sz w:val="24"/>
          <w:szCs w:val="24"/>
          <w:u w:val="single"/>
        </w:rPr>
        <w:t xml:space="preserve"> </w:t>
      </w:r>
      <w:r w:rsidRPr="001849B1">
        <w:rPr>
          <w:i/>
          <w:iCs/>
          <w:sz w:val="24"/>
          <w:szCs w:val="24"/>
        </w:rPr>
        <w:t>.</w:t>
      </w:r>
      <w:hyperlink r:id="rId6" w:history="1">
        <w:r w:rsidRPr="001849B1">
          <w:rPr>
            <w:rStyle w:val="Hyperlink"/>
            <w:rFonts w:eastAsiaTheme="majorEastAsia"/>
            <w:sz w:val="24"/>
            <w:szCs w:val="24"/>
          </w:rPr>
          <w:t>https://www.bls.gov/news.release/pdf/ecec.pdf</w:t>
        </w:r>
      </w:hyperlink>
      <w:r w:rsidRPr="001849B1">
        <w:rPr>
          <w:i/>
          <w:iCs/>
          <w:sz w:val="24"/>
          <w:szCs w:val="24"/>
        </w:rPr>
        <w:t xml:space="preserve">. </w:t>
      </w:r>
      <w:r w:rsidRPr="001849B1">
        <w:rPr>
          <w:sz w:val="24"/>
          <w:szCs w:val="24"/>
        </w:rPr>
        <w:t xml:space="preserve">BLS reported that </w:t>
      </w:r>
      <w:r>
        <w:rPr>
          <w:sz w:val="24"/>
          <w:szCs w:val="24"/>
        </w:rPr>
        <w:t>for private industry workers, fringe benefits accounted for 29.4 percent of total compensation,</w:t>
      </w:r>
      <w:r w:rsidRPr="001849B1">
        <w:rPr>
          <w:sz w:val="24"/>
          <w:szCs w:val="24"/>
        </w:rPr>
        <w:t xml:space="preserve"> and wages accounted for the remaining 70.6 percent.    </w:t>
      </w:r>
    </w:p>
    <w:p w:rsidR="00582BF4" w:rsidP="00582BF4" w14:paraId="4954CA75" w14:textId="77777777">
      <w:pPr>
        <w:spacing w:before="252" w:after="240"/>
        <w:ind w:right="144"/>
        <w:jc w:val="center"/>
        <w:rPr>
          <w:rFonts w:eastAsia="Calibri"/>
          <w:b/>
          <w:sz w:val="24"/>
          <w:szCs w:val="24"/>
        </w:rPr>
      </w:pPr>
    </w:p>
    <w:p w:rsidR="00582BF4" w:rsidRPr="00BC6836" w:rsidP="00582BF4" w14:paraId="54E7D80C" w14:textId="77777777">
      <w:pPr>
        <w:spacing w:before="252" w:after="240"/>
        <w:ind w:right="144"/>
        <w:jc w:val="center"/>
        <w:rPr>
          <w:rFonts w:eastAsia="Calibri"/>
          <w:sz w:val="24"/>
          <w:szCs w:val="24"/>
        </w:rPr>
      </w:pPr>
      <w:r w:rsidRPr="00BC6836">
        <w:rPr>
          <w:rFonts w:eastAsia="Calibri"/>
          <w:b/>
          <w:sz w:val="24"/>
          <w:szCs w:val="24"/>
        </w:rPr>
        <w:t>Table 2</w:t>
      </w:r>
      <w:r>
        <w:rPr>
          <w:rFonts w:eastAsia="Calibri"/>
          <w:b/>
          <w:sz w:val="24"/>
          <w:szCs w:val="24"/>
        </w:rPr>
        <w:t xml:space="preserve"> </w:t>
      </w:r>
      <w:r w:rsidRPr="00BC6836">
        <w:rPr>
          <w:rFonts w:eastAsia="Calibri"/>
          <w:sz w:val="24"/>
          <w:szCs w:val="24"/>
        </w:rPr>
        <w:t xml:space="preserve">- </w:t>
      </w:r>
      <w:r w:rsidRPr="00BC6836">
        <w:rPr>
          <w:rFonts w:eastAsia="Calibri"/>
          <w:b/>
          <w:sz w:val="24"/>
          <w:szCs w:val="24"/>
        </w:rPr>
        <w:t>WAGE HOUR ESTIMATE</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1890"/>
        <w:gridCol w:w="1800"/>
        <w:gridCol w:w="1620"/>
        <w:gridCol w:w="1980"/>
      </w:tblGrid>
      <w:tr w14:paraId="1BC17737" w14:textId="77777777" w:rsidTr="00C001C3">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625" w:type="dxa"/>
            <w:gridSpan w:val="5"/>
            <w:shd w:val="clear" w:color="auto" w:fill="BFBFBF" w:themeFill="background1" w:themeFillShade="BF"/>
          </w:tcPr>
          <w:p w:rsidR="00582BF4" w:rsidRPr="00BC6836" w:rsidP="00C001C3" w14:paraId="5D5833A0" w14:textId="77777777">
            <w:pPr>
              <w:keepLines/>
              <w:jc w:val="center"/>
              <w:rPr>
                <w:rFonts w:eastAsia="Calibri"/>
                <w:b/>
                <w:sz w:val="24"/>
                <w:szCs w:val="24"/>
              </w:rPr>
            </w:pPr>
            <w:r w:rsidRPr="00BC6836">
              <w:rPr>
                <w:rFonts w:eastAsia="Calibri"/>
                <w:b/>
                <w:sz w:val="24"/>
                <w:szCs w:val="24"/>
              </w:rPr>
              <w:t>WAGE HOUR ESTIMATE</w:t>
            </w:r>
          </w:p>
        </w:tc>
      </w:tr>
      <w:tr w14:paraId="77B3A2E9" w14:textId="77777777" w:rsidTr="00C001C3">
        <w:tblPrEx>
          <w:tblW w:w="9625" w:type="dxa"/>
          <w:tblLook w:val="04A0"/>
        </w:tblPrEx>
        <w:tc>
          <w:tcPr>
            <w:tcW w:w="2335" w:type="dxa"/>
            <w:shd w:val="clear" w:color="auto" w:fill="auto"/>
          </w:tcPr>
          <w:p w:rsidR="00582BF4" w:rsidRPr="00BC6836" w:rsidP="00C001C3" w14:paraId="680736A5" w14:textId="77777777">
            <w:pPr>
              <w:keepLines/>
              <w:rPr>
                <w:rFonts w:eastAsia="Calibri"/>
                <w:b/>
                <w:sz w:val="24"/>
                <w:szCs w:val="24"/>
              </w:rPr>
            </w:pPr>
            <w:r w:rsidRPr="00BC6836">
              <w:rPr>
                <w:rFonts w:eastAsia="Calibri"/>
                <w:b/>
                <w:sz w:val="24"/>
                <w:szCs w:val="24"/>
              </w:rPr>
              <w:t>Occupational Title</w:t>
            </w:r>
          </w:p>
        </w:tc>
        <w:tc>
          <w:tcPr>
            <w:tcW w:w="1890" w:type="dxa"/>
            <w:shd w:val="clear" w:color="auto" w:fill="auto"/>
          </w:tcPr>
          <w:p w:rsidR="00582BF4" w:rsidRPr="00BC6836" w:rsidP="00C001C3" w14:paraId="77C84496" w14:textId="77777777">
            <w:pPr>
              <w:keepLines/>
              <w:jc w:val="center"/>
              <w:rPr>
                <w:rFonts w:eastAsia="Calibri"/>
                <w:b/>
                <w:sz w:val="24"/>
                <w:szCs w:val="24"/>
              </w:rPr>
            </w:pPr>
            <w:r w:rsidRPr="00BC6836">
              <w:rPr>
                <w:rFonts w:eastAsia="Calibri"/>
                <w:b/>
                <w:sz w:val="24"/>
                <w:szCs w:val="24"/>
              </w:rPr>
              <w:t>SO</w:t>
            </w:r>
            <w:r>
              <w:rPr>
                <w:rFonts w:eastAsia="Calibri"/>
                <w:b/>
                <w:sz w:val="24"/>
                <w:szCs w:val="24"/>
              </w:rPr>
              <w:t>C</w:t>
            </w:r>
            <w:r w:rsidRPr="00BC6836">
              <w:rPr>
                <w:rFonts w:eastAsia="Calibri"/>
                <w:b/>
                <w:sz w:val="24"/>
                <w:szCs w:val="24"/>
              </w:rPr>
              <w:t xml:space="preserve"> Code</w:t>
            </w:r>
            <w:r>
              <w:rPr>
                <w:rFonts w:eastAsia="Calibri"/>
                <w:b/>
                <w:sz w:val="24"/>
                <w:szCs w:val="24"/>
              </w:rPr>
              <w:t xml:space="preserve"> </w:t>
            </w:r>
          </w:p>
        </w:tc>
        <w:tc>
          <w:tcPr>
            <w:tcW w:w="1800" w:type="dxa"/>
            <w:shd w:val="clear" w:color="auto" w:fill="auto"/>
          </w:tcPr>
          <w:p w:rsidR="00582BF4" w:rsidRPr="00BC6836" w:rsidP="00C001C3" w14:paraId="58FC16DE" w14:textId="77777777">
            <w:pPr>
              <w:keepLines/>
              <w:jc w:val="center"/>
              <w:rPr>
                <w:rFonts w:eastAsia="Calibri"/>
                <w:b/>
                <w:sz w:val="24"/>
                <w:szCs w:val="24"/>
              </w:rPr>
            </w:pPr>
            <w:r w:rsidRPr="00BC6836">
              <w:rPr>
                <w:rFonts w:eastAsia="Calibri"/>
                <w:b/>
                <w:sz w:val="24"/>
                <w:szCs w:val="24"/>
              </w:rPr>
              <w:t>Mean Hourly Wage Rate (A)</w:t>
            </w:r>
          </w:p>
        </w:tc>
        <w:tc>
          <w:tcPr>
            <w:tcW w:w="1620" w:type="dxa"/>
            <w:shd w:val="clear" w:color="auto" w:fill="auto"/>
          </w:tcPr>
          <w:p w:rsidR="00582BF4" w:rsidRPr="00BC6836" w:rsidP="00C001C3" w14:paraId="5A061D89" w14:textId="77777777">
            <w:pPr>
              <w:jc w:val="center"/>
              <w:rPr>
                <w:rFonts w:eastAsia="Calibri"/>
                <w:b/>
                <w:bCs/>
                <w:sz w:val="24"/>
                <w:szCs w:val="24"/>
                <w:u w:val="single"/>
              </w:rPr>
            </w:pPr>
            <w:r w:rsidRPr="00BC6836">
              <w:rPr>
                <w:rFonts w:eastAsia="Calibri"/>
                <w:b/>
                <w:sz w:val="24"/>
                <w:szCs w:val="24"/>
              </w:rPr>
              <w:t>Fringe Benefits (B)</w:t>
            </w:r>
            <w:r>
              <w:rPr>
                <w:rFonts w:eastAsia="Calibri"/>
                <w:b/>
                <w:bCs/>
                <w:sz w:val="24"/>
                <w:szCs w:val="24"/>
                <w:u w:val="single"/>
                <w:vertAlign w:val="superscript"/>
              </w:rPr>
              <w:footnoteReference w:id="5"/>
            </w:r>
          </w:p>
          <w:p w:rsidR="00582BF4" w:rsidRPr="00BC6836" w:rsidP="00C001C3" w14:paraId="37A7F746" w14:textId="77777777">
            <w:pPr>
              <w:jc w:val="center"/>
              <w:rPr>
                <w:rFonts w:eastAsia="Calibri"/>
                <w:b/>
                <w:sz w:val="24"/>
                <w:szCs w:val="24"/>
              </w:rPr>
            </w:pPr>
          </w:p>
        </w:tc>
        <w:tc>
          <w:tcPr>
            <w:tcW w:w="1980" w:type="dxa"/>
            <w:shd w:val="clear" w:color="auto" w:fill="auto"/>
          </w:tcPr>
          <w:p w:rsidR="00582BF4" w:rsidRPr="00BC6836" w:rsidP="00C001C3" w14:paraId="41C5FE7D" w14:textId="77777777">
            <w:pPr>
              <w:keepLines/>
              <w:jc w:val="center"/>
              <w:rPr>
                <w:rFonts w:eastAsia="Calibri"/>
                <w:b/>
                <w:sz w:val="24"/>
                <w:szCs w:val="24"/>
              </w:rPr>
            </w:pPr>
            <w:r w:rsidRPr="00BC6836">
              <w:rPr>
                <w:rFonts w:eastAsia="Calibri"/>
                <w:b/>
                <w:sz w:val="24"/>
                <w:szCs w:val="24"/>
              </w:rPr>
              <w:t xml:space="preserve">Loaded Hourly Wage Rate </w:t>
            </w:r>
          </w:p>
          <w:p w:rsidR="00582BF4" w:rsidRPr="00BC6836" w:rsidP="00C001C3" w14:paraId="63C0D4E1" w14:textId="77777777">
            <w:pPr>
              <w:keepLines/>
              <w:jc w:val="center"/>
              <w:rPr>
                <w:rFonts w:eastAsia="Calibri"/>
                <w:b/>
                <w:sz w:val="24"/>
                <w:szCs w:val="24"/>
              </w:rPr>
            </w:pPr>
            <w:r w:rsidRPr="00BC6836">
              <w:rPr>
                <w:rFonts w:eastAsia="Calibri"/>
                <w:b/>
                <w:sz w:val="24"/>
                <w:szCs w:val="24"/>
              </w:rPr>
              <w:t>(C) = (A)/(1-(B)</w:t>
            </w:r>
          </w:p>
        </w:tc>
      </w:tr>
      <w:tr w14:paraId="00395F11" w14:textId="77777777" w:rsidTr="00C001C3">
        <w:tblPrEx>
          <w:tblW w:w="9625" w:type="dxa"/>
          <w:tblLook w:val="04A0"/>
        </w:tblPrEx>
        <w:tc>
          <w:tcPr>
            <w:tcW w:w="2335" w:type="dxa"/>
            <w:shd w:val="clear" w:color="auto" w:fill="D6DCE4" w:themeFill="text2" w:themeFillTint="33"/>
          </w:tcPr>
          <w:p w:rsidR="00582BF4" w:rsidRPr="00BC6836" w:rsidP="00C001C3" w14:paraId="417DC96B" w14:textId="77777777">
            <w:pPr>
              <w:keepLines/>
              <w:rPr>
                <w:spacing w:val="-1"/>
                <w:sz w:val="24"/>
                <w:szCs w:val="24"/>
              </w:rPr>
            </w:pPr>
          </w:p>
        </w:tc>
        <w:tc>
          <w:tcPr>
            <w:tcW w:w="1890" w:type="dxa"/>
            <w:shd w:val="clear" w:color="auto" w:fill="D6DCE4" w:themeFill="text2" w:themeFillTint="33"/>
          </w:tcPr>
          <w:p w:rsidR="00582BF4" w:rsidRPr="00BC6836" w:rsidP="00C001C3" w14:paraId="11A4E29E" w14:textId="77777777">
            <w:pPr>
              <w:keepLines/>
              <w:jc w:val="center"/>
              <w:rPr>
                <w:spacing w:val="-1"/>
                <w:sz w:val="24"/>
                <w:szCs w:val="24"/>
              </w:rPr>
            </w:pPr>
          </w:p>
        </w:tc>
        <w:tc>
          <w:tcPr>
            <w:tcW w:w="1800" w:type="dxa"/>
            <w:shd w:val="clear" w:color="auto" w:fill="D6DCE4" w:themeFill="text2" w:themeFillTint="33"/>
          </w:tcPr>
          <w:p w:rsidR="00582BF4" w:rsidRPr="00BC6836" w:rsidP="00C001C3" w14:paraId="7D968B94" w14:textId="77777777">
            <w:pPr>
              <w:keepLines/>
              <w:jc w:val="center"/>
              <w:rPr>
                <w:rFonts w:eastAsia="Calibri"/>
                <w:sz w:val="24"/>
                <w:szCs w:val="24"/>
              </w:rPr>
            </w:pPr>
          </w:p>
        </w:tc>
        <w:tc>
          <w:tcPr>
            <w:tcW w:w="1620" w:type="dxa"/>
            <w:shd w:val="clear" w:color="auto" w:fill="D6DCE4" w:themeFill="text2" w:themeFillTint="33"/>
          </w:tcPr>
          <w:p w:rsidR="00582BF4" w:rsidRPr="00BC6836" w:rsidP="00C001C3" w14:paraId="1375B836" w14:textId="77777777">
            <w:pPr>
              <w:keepLines/>
              <w:jc w:val="center"/>
              <w:rPr>
                <w:rFonts w:eastAsia="Calibri"/>
                <w:sz w:val="24"/>
                <w:szCs w:val="24"/>
              </w:rPr>
            </w:pPr>
          </w:p>
        </w:tc>
        <w:tc>
          <w:tcPr>
            <w:tcW w:w="1980" w:type="dxa"/>
            <w:shd w:val="clear" w:color="auto" w:fill="D6DCE4" w:themeFill="text2" w:themeFillTint="33"/>
          </w:tcPr>
          <w:p w:rsidR="00582BF4" w:rsidRPr="00BC6836" w:rsidP="00C001C3" w14:paraId="2628A472" w14:textId="77777777">
            <w:pPr>
              <w:keepLines/>
              <w:jc w:val="center"/>
              <w:rPr>
                <w:rFonts w:eastAsia="Calibri"/>
                <w:sz w:val="24"/>
                <w:szCs w:val="24"/>
              </w:rPr>
            </w:pPr>
          </w:p>
        </w:tc>
      </w:tr>
      <w:tr w14:paraId="29F045EC" w14:textId="77777777" w:rsidTr="00C001C3">
        <w:tblPrEx>
          <w:tblW w:w="9625" w:type="dxa"/>
          <w:tblLook w:val="04A0"/>
        </w:tblPrEx>
        <w:trPr>
          <w:trHeight w:val="305"/>
        </w:trPr>
        <w:tc>
          <w:tcPr>
            <w:tcW w:w="2335" w:type="dxa"/>
            <w:shd w:val="clear" w:color="auto" w:fill="auto"/>
          </w:tcPr>
          <w:p w:rsidR="00582BF4" w:rsidRPr="00AA3BFE" w:rsidP="00C001C3" w14:paraId="3400C4C0" w14:textId="77777777">
            <w:pPr>
              <w:keepLines/>
              <w:rPr>
                <w:spacing w:val="-1"/>
                <w:sz w:val="24"/>
                <w:szCs w:val="24"/>
              </w:rPr>
            </w:pPr>
            <w:r w:rsidRPr="00AA3BFE">
              <w:rPr>
                <w:spacing w:val="-1"/>
                <w:sz w:val="24"/>
                <w:szCs w:val="24"/>
              </w:rPr>
              <w:t>Construction Worker</w:t>
            </w:r>
          </w:p>
        </w:tc>
        <w:tc>
          <w:tcPr>
            <w:tcW w:w="1890" w:type="dxa"/>
            <w:shd w:val="clear" w:color="auto" w:fill="auto"/>
          </w:tcPr>
          <w:p w:rsidR="00582BF4" w:rsidRPr="00AA3BFE" w:rsidP="00C001C3" w14:paraId="1C88CEB9" w14:textId="77777777">
            <w:pPr>
              <w:keepLines/>
              <w:jc w:val="center"/>
              <w:rPr>
                <w:spacing w:val="-1"/>
                <w:sz w:val="24"/>
                <w:szCs w:val="24"/>
              </w:rPr>
            </w:pPr>
            <w:r w:rsidRPr="00AA3BFE">
              <w:rPr>
                <w:spacing w:val="-1"/>
                <w:sz w:val="24"/>
                <w:szCs w:val="24"/>
              </w:rPr>
              <w:t>47-000</w:t>
            </w:r>
          </w:p>
        </w:tc>
        <w:tc>
          <w:tcPr>
            <w:tcW w:w="1800" w:type="dxa"/>
            <w:shd w:val="clear" w:color="auto" w:fill="auto"/>
          </w:tcPr>
          <w:p w:rsidR="00582BF4" w:rsidRPr="00AA3BFE" w:rsidP="00C001C3" w14:paraId="476F5052" w14:textId="77777777">
            <w:pPr>
              <w:keepLines/>
              <w:jc w:val="center"/>
              <w:rPr>
                <w:rFonts w:eastAsia="Calibri"/>
                <w:sz w:val="24"/>
                <w:szCs w:val="24"/>
              </w:rPr>
            </w:pPr>
            <w:r w:rsidRPr="00AA3BFE">
              <w:rPr>
                <w:rFonts w:eastAsia="Calibri"/>
                <w:sz w:val="24"/>
                <w:szCs w:val="24"/>
              </w:rPr>
              <w:t>$24.31</w:t>
            </w:r>
          </w:p>
        </w:tc>
        <w:tc>
          <w:tcPr>
            <w:tcW w:w="1620" w:type="dxa"/>
            <w:shd w:val="clear" w:color="auto" w:fill="auto"/>
          </w:tcPr>
          <w:p w:rsidR="00582BF4" w:rsidRPr="00AA3BFE" w:rsidP="00C001C3" w14:paraId="14692DB6" w14:textId="77777777">
            <w:pPr>
              <w:keepLines/>
              <w:jc w:val="center"/>
              <w:rPr>
                <w:rFonts w:eastAsia="Calibri"/>
                <w:sz w:val="24"/>
                <w:szCs w:val="24"/>
              </w:rPr>
            </w:pPr>
            <w:r w:rsidRPr="00AA3BFE">
              <w:rPr>
                <w:rFonts w:eastAsia="Calibri"/>
                <w:sz w:val="24"/>
                <w:szCs w:val="24"/>
              </w:rPr>
              <w:t>.294</w:t>
            </w:r>
          </w:p>
        </w:tc>
        <w:tc>
          <w:tcPr>
            <w:tcW w:w="1980" w:type="dxa"/>
            <w:shd w:val="clear" w:color="auto" w:fill="auto"/>
          </w:tcPr>
          <w:p w:rsidR="00582BF4" w:rsidRPr="00AA3BFE" w:rsidP="00C001C3" w14:paraId="220B6361" w14:textId="77777777">
            <w:pPr>
              <w:keepLines/>
              <w:jc w:val="center"/>
              <w:rPr>
                <w:rFonts w:eastAsia="Calibri"/>
                <w:sz w:val="24"/>
                <w:szCs w:val="24"/>
              </w:rPr>
            </w:pPr>
            <w:r w:rsidRPr="00AA3BFE">
              <w:rPr>
                <w:rFonts w:eastAsia="Calibri"/>
                <w:sz w:val="24"/>
                <w:szCs w:val="24"/>
              </w:rPr>
              <w:t>$34.43</w:t>
            </w:r>
          </w:p>
        </w:tc>
      </w:tr>
    </w:tbl>
    <w:p w:rsidR="00582BF4" w:rsidRPr="00AA3BFE" w:rsidP="00582BF4" w14:paraId="01B745BB" w14:textId="77777777">
      <w:pPr>
        <w:rPr>
          <w:sz w:val="24"/>
          <w:szCs w:val="24"/>
          <w:highlight w:val="yellow"/>
        </w:rPr>
      </w:pPr>
    </w:p>
    <w:p w:rsidR="00582BF4" w:rsidRPr="007077B2" w:rsidP="00582BF4" w14:paraId="6EFAC5FC" w14:textId="77777777">
      <w:pPr>
        <w:pStyle w:val="ListParagraph"/>
        <w:numPr>
          <w:ilvl w:val="0"/>
          <w:numId w:val="7"/>
        </w:numPr>
        <w:rPr>
          <w:rFonts w:eastAsia="Calibri"/>
          <w:b/>
          <w:sz w:val="24"/>
          <w:szCs w:val="24"/>
        </w:rPr>
      </w:pPr>
      <w:r w:rsidRPr="00BC6836">
        <w:rPr>
          <w:rFonts w:eastAsia="Calibri"/>
          <w:b/>
          <w:sz w:val="24"/>
          <w:szCs w:val="24"/>
        </w:rPr>
        <w:t>Posting Warning Signs and Notices</w:t>
      </w:r>
    </w:p>
    <w:p w:rsidR="00582BF4" w:rsidRPr="00BC6836" w:rsidP="00582BF4" w14:paraId="258A5773" w14:textId="77777777">
      <w:pPr>
        <w:rPr>
          <w:rFonts w:eastAsia="Calibri"/>
          <w:sz w:val="24"/>
          <w:szCs w:val="24"/>
        </w:rPr>
      </w:pPr>
      <w:r w:rsidRPr="00BC6836">
        <w:rPr>
          <w:rFonts w:eastAsia="Calibri"/>
          <w:sz w:val="24"/>
          <w:szCs w:val="24"/>
        </w:rPr>
        <w:t xml:space="preserve">The </w:t>
      </w:r>
      <w:r>
        <w:rPr>
          <w:rFonts w:eastAsia="Calibri"/>
          <w:sz w:val="24"/>
          <w:szCs w:val="24"/>
        </w:rPr>
        <w:t>a</w:t>
      </w:r>
      <w:r w:rsidRPr="00BC6836">
        <w:rPr>
          <w:rFonts w:eastAsia="Calibri"/>
          <w:sz w:val="24"/>
          <w:szCs w:val="24"/>
        </w:rPr>
        <w:t xml:space="preserve">gency believes that contractors </w:t>
      </w:r>
      <w:r>
        <w:rPr>
          <w:rFonts w:eastAsia="Calibri"/>
          <w:sz w:val="24"/>
          <w:szCs w:val="24"/>
        </w:rPr>
        <w:t>at the 461 projects</w:t>
      </w:r>
      <w:r w:rsidRPr="00BC6836">
        <w:rPr>
          <w:rFonts w:eastAsia="Calibri"/>
          <w:sz w:val="24"/>
          <w:szCs w:val="24"/>
        </w:rPr>
        <w:t xml:space="preserve"> implement two of the seven posting requirements (§1926.800(m)(2)(ii) and (t)(1)(iv)(B)) for each underground-construction project once a year. For the remaining five posting requirements (§1926.800(b)(3), (i)(3), (j)(1)(vi)(A), (o)(2) and (q)(11)), contractors post the specified signs or notices in about half of the 461 projects each year.  In addition, OSHA determines that a construction worker, at an hourly wage rate of </w:t>
      </w:r>
      <w:r>
        <w:rPr>
          <w:rFonts w:eastAsia="Calibri"/>
          <w:sz w:val="24"/>
          <w:szCs w:val="24"/>
        </w:rPr>
        <w:t>$34.43</w:t>
      </w:r>
      <w:r w:rsidRPr="00BC6836">
        <w:rPr>
          <w:rFonts w:eastAsia="Calibri"/>
          <w:sz w:val="24"/>
          <w:szCs w:val="24"/>
        </w:rPr>
        <w:t xml:space="preserve">, spends five minutes </w:t>
      </w:r>
      <w:r>
        <w:rPr>
          <w:rFonts w:eastAsia="Calibri"/>
          <w:sz w:val="24"/>
          <w:szCs w:val="24"/>
        </w:rPr>
        <w:t>(5/60 hours</w:t>
      </w:r>
      <w:r w:rsidRPr="00BC6836">
        <w:rPr>
          <w:rFonts w:eastAsia="Calibri"/>
          <w:sz w:val="24"/>
          <w:szCs w:val="24"/>
        </w:rPr>
        <w:t xml:space="preserve">) developing and posting each sign or </w:t>
      </w:r>
      <w:r>
        <w:rPr>
          <w:rFonts w:eastAsia="Calibri"/>
          <w:sz w:val="24"/>
          <w:szCs w:val="24"/>
        </w:rPr>
        <w:t>n</w:t>
      </w:r>
      <w:r w:rsidRPr="00BC6836">
        <w:rPr>
          <w:rFonts w:eastAsia="Calibri"/>
          <w:sz w:val="24"/>
          <w:szCs w:val="24"/>
        </w:rPr>
        <w:t>otice.</w:t>
      </w:r>
      <w:r>
        <w:rPr>
          <w:rFonts w:eastAsia="Calibri"/>
          <w:sz w:val="24"/>
          <w:szCs w:val="24"/>
          <w:vertAlign w:val="superscript"/>
        </w:rPr>
        <w:t xml:space="preserve">4 </w:t>
      </w:r>
      <w:r w:rsidRPr="00BC6836">
        <w:rPr>
          <w:rFonts w:eastAsia="Calibri"/>
          <w:sz w:val="24"/>
          <w:szCs w:val="24"/>
        </w:rPr>
        <w:t>Therefore, the annual burden hours and cost associated with these posting requirements are:</w:t>
      </w:r>
    </w:p>
    <w:p w:rsidR="00582BF4" w:rsidRPr="00BC6836" w:rsidP="00582BF4" w14:paraId="4749ADC5" w14:textId="77777777">
      <w:pPr>
        <w:rPr>
          <w:rFonts w:eastAsia="Calibri"/>
          <w:sz w:val="24"/>
          <w:szCs w:val="24"/>
        </w:rPr>
      </w:pPr>
    </w:p>
    <w:p w:rsidR="00582BF4" w:rsidRPr="00BC6836" w:rsidP="00582BF4" w14:paraId="709C33FB" w14:textId="77777777">
      <w:pPr>
        <w:ind w:left="2160" w:hanging="1440"/>
        <w:rPr>
          <w:rFonts w:eastAsia="Calibri"/>
          <w:sz w:val="24"/>
          <w:szCs w:val="24"/>
        </w:rPr>
      </w:pPr>
      <w:r w:rsidRPr="00BC6836">
        <w:rPr>
          <w:rFonts w:eastAsia="Calibri"/>
          <w:sz w:val="24"/>
          <w:szCs w:val="24"/>
        </w:rPr>
        <w:t>Burden hours:</w:t>
      </w:r>
      <w:r w:rsidRPr="00BC6836">
        <w:rPr>
          <w:rFonts w:eastAsia="Calibri"/>
          <w:sz w:val="24"/>
          <w:szCs w:val="24"/>
        </w:rPr>
        <w:tab/>
        <w:t>(461 projects x 2 postings x 1 a year</w:t>
      </w:r>
      <w:r>
        <w:rPr>
          <w:rFonts w:eastAsia="Calibri"/>
          <w:sz w:val="24"/>
          <w:szCs w:val="24"/>
        </w:rPr>
        <w:t xml:space="preserve"> = 922</w:t>
      </w:r>
      <w:r w:rsidRPr="00BC6836">
        <w:rPr>
          <w:rFonts w:eastAsia="Calibri"/>
          <w:sz w:val="24"/>
          <w:szCs w:val="24"/>
        </w:rPr>
        <w:t xml:space="preserve">) + ((461 projects x </w:t>
      </w:r>
      <w:r>
        <w:rPr>
          <w:rFonts w:eastAsia="Calibri"/>
          <w:sz w:val="24"/>
          <w:szCs w:val="24"/>
        </w:rPr>
        <w:t xml:space="preserve">.5 x </w:t>
      </w:r>
      <w:r w:rsidRPr="00BC6836">
        <w:rPr>
          <w:rFonts w:eastAsia="Calibri"/>
          <w:sz w:val="24"/>
          <w:szCs w:val="24"/>
        </w:rPr>
        <w:t>5 postings</w:t>
      </w:r>
      <w:r>
        <w:rPr>
          <w:rFonts w:eastAsia="Calibri"/>
          <w:sz w:val="24"/>
          <w:szCs w:val="24"/>
        </w:rPr>
        <w:t xml:space="preserve"> = 1,153</w:t>
      </w:r>
      <w:r w:rsidRPr="00BC6836">
        <w:rPr>
          <w:rFonts w:eastAsia="Calibri"/>
          <w:sz w:val="24"/>
          <w:szCs w:val="24"/>
        </w:rPr>
        <w:t xml:space="preserve">)) x </w:t>
      </w:r>
      <w:r>
        <w:rPr>
          <w:rFonts w:eastAsia="Calibri"/>
          <w:sz w:val="24"/>
          <w:szCs w:val="24"/>
        </w:rPr>
        <w:t>5/60</w:t>
      </w:r>
      <w:r w:rsidRPr="00BC6836">
        <w:rPr>
          <w:rFonts w:eastAsia="Calibri"/>
          <w:sz w:val="24"/>
          <w:szCs w:val="24"/>
        </w:rPr>
        <w:t xml:space="preserve"> hour = </w:t>
      </w:r>
      <w:r>
        <w:rPr>
          <w:rFonts w:eastAsia="Calibri"/>
          <w:sz w:val="24"/>
          <w:szCs w:val="24"/>
        </w:rPr>
        <w:t>173</w:t>
      </w:r>
      <w:r w:rsidRPr="00BC6836">
        <w:rPr>
          <w:rFonts w:eastAsia="Calibri"/>
          <w:sz w:val="24"/>
          <w:szCs w:val="24"/>
        </w:rPr>
        <w:t xml:space="preserve"> hours</w:t>
      </w:r>
    </w:p>
    <w:p w:rsidR="00582BF4" w:rsidRPr="00BC6836" w:rsidP="00582BF4" w14:paraId="33832716" w14:textId="77777777">
      <w:pPr>
        <w:rPr>
          <w:rFonts w:eastAsia="Calibri"/>
          <w:sz w:val="24"/>
          <w:szCs w:val="24"/>
        </w:rPr>
      </w:pPr>
    </w:p>
    <w:p w:rsidR="00582BF4" w:rsidRPr="00BC6836" w:rsidP="00582BF4" w14:paraId="497F370E" w14:textId="77777777">
      <w:pPr>
        <w:rPr>
          <w:sz w:val="24"/>
          <w:szCs w:val="24"/>
        </w:rPr>
      </w:pPr>
      <w:r w:rsidRPr="00BC6836">
        <w:rPr>
          <w:rFonts w:eastAsia="Calibri"/>
          <w:sz w:val="24"/>
          <w:szCs w:val="24"/>
        </w:rPr>
        <w:tab/>
        <w:t>Cost:</w:t>
      </w:r>
      <w:r w:rsidRPr="00BC6836">
        <w:rPr>
          <w:rFonts w:eastAsia="Calibri"/>
          <w:sz w:val="24"/>
          <w:szCs w:val="24"/>
        </w:rPr>
        <w:tab/>
      </w:r>
      <w:r w:rsidRPr="00BC6836">
        <w:rPr>
          <w:rFonts w:eastAsia="Calibri"/>
          <w:sz w:val="24"/>
          <w:szCs w:val="24"/>
        </w:rPr>
        <w:tab/>
      </w:r>
      <w:r>
        <w:rPr>
          <w:rFonts w:eastAsia="Calibri"/>
          <w:sz w:val="24"/>
          <w:szCs w:val="24"/>
        </w:rPr>
        <w:t xml:space="preserve">173 </w:t>
      </w:r>
      <w:r w:rsidRPr="00F47EDC">
        <w:rPr>
          <w:rFonts w:eastAsia="Calibri"/>
          <w:sz w:val="24"/>
          <w:szCs w:val="24"/>
        </w:rPr>
        <w:t xml:space="preserve">hours x </w:t>
      </w:r>
      <w:r>
        <w:rPr>
          <w:rFonts w:eastAsia="Calibri"/>
          <w:sz w:val="24"/>
          <w:szCs w:val="24"/>
        </w:rPr>
        <w:t>$34.43</w:t>
      </w:r>
      <w:r w:rsidRPr="00F47EDC">
        <w:rPr>
          <w:rFonts w:eastAsia="Calibri"/>
          <w:sz w:val="24"/>
          <w:szCs w:val="24"/>
        </w:rPr>
        <w:t xml:space="preserve"> = $</w:t>
      </w:r>
      <w:r>
        <w:rPr>
          <w:sz w:val="24"/>
          <w:szCs w:val="24"/>
        </w:rPr>
        <w:t>5,956</w:t>
      </w:r>
    </w:p>
    <w:p w:rsidR="00582BF4" w:rsidP="00582BF4" w14:paraId="306FF98A" w14:textId="77777777">
      <w:pPr>
        <w:rPr>
          <w:rFonts w:eastAsia="Calibri"/>
          <w:b/>
          <w:sz w:val="24"/>
          <w:szCs w:val="24"/>
        </w:rPr>
      </w:pPr>
    </w:p>
    <w:p w:rsidR="00582BF4" w:rsidRPr="00BC6836" w:rsidP="00582BF4" w14:paraId="52C4FAB9" w14:textId="77777777">
      <w:pPr>
        <w:rPr>
          <w:rFonts w:eastAsia="Calibri"/>
          <w:b/>
          <w:sz w:val="24"/>
          <w:szCs w:val="24"/>
        </w:rPr>
      </w:pPr>
      <w:r w:rsidRPr="00BC6836">
        <w:rPr>
          <w:rFonts w:eastAsia="Calibri"/>
          <w:b/>
          <w:sz w:val="24"/>
          <w:szCs w:val="24"/>
        </w:rPr>
        <w:t>(B)  Certifying Inspection Records for Hoists</w:t>
      </w:r>
    </w:p>
    <w:p w:rsidR="00582BF4" w:rsidRPr="00BC6836" w:rsidP="00582BF4" w14:paraId="69D37202" w14:textId="77777777">
      <w:pPr>
        <w:rPr>
          <w:rFonts w:eastAsia="Calibri"/>
          <w:b/>
          <w:sz w:val="24"/>
          <w:szCs w:val="24"/>
        </w:rPr>
      </w:pPr>
    </w:p>
    <w:p w:rsidR="00582BF4" w:rsidRPr="00BC6836" w:rsidP="00582BF4" w14:paraId="6FC998A8" w14:textId="77777777">
      <w:pPr>
        <w:rPr>
          <w:rFonts w:eastAsia="Calibri"/>
          <w:sz w:val="24"/>
          <w:szCs w:val="24"/>
        </w:rPr>
      </w:pPr>
      <w:r w:rsidRPr="00BC6836">
        <w:rPr>
          <w:rFonts w:eastAsia="Calibri"/>
          <w:sz w:val="24"/>
          <w:szCs w:val="24"/>
        </w:rPr>
        <w:t>Under paragraph (t)(3)(xxi) of §1926.800, contractors must inspect and perform load tests on hoists annually, as well as under other specified conditions, and then prepare a certification record of each inspection and load test that provides required information. OSHA assumes that Each of the 461 underground construction projects uses one hoist; a construction worker inspects and performs a load test on 50% of the hoists annually, while the other half will be tested four times a year (one of the four inspections will be the required annual inspection); and this worker takes one hour to inspect, load test, and complete and maintain a certification record for the hoist.  Accordingly, the burden hour and cost estimates for this paperwork requirement are:</w:t>
      </w:r>
    </w:p>
    <w:p w:rsidR="00582BF4" w:rsidRPr="00BC6836" w:rsidP="00582BF4" w14:paraId="23F24E62" w14:textId="77777777">
      <w:pPr>
        <w:rPr>
          <w:rFonts w:eastAsia="Calibri"/>
          <w:sz w:val="24"/>
          <w:szCs w:val="24"/>
        </w:rPr>
      </w:pPr>
    </w:p>
    <w:p w:rsidR="00582BF4" w:rsidRPr="00BC6836" w:rsidP="00582BF4" w14:paraId="21B5C811" w14:textId="77777777">
      <w:pPr>
        <w:ind w:left="2160" w:hanging="1440"/>
        <w:rPr>
          <w:rFonts w:eastAsia="Calibri"/>
          <w:sz w:val="24"/>
          <w:szCs w:val="24"/>
        </w:rPr>
      </w:pPr>
      <w:r w:rsidRPr="00BC6836">
        <w:rPr>
          <w:rFonts w:eastAsia="Calibri"/>
          <w:sz w:val="24"/>
          <w:szCs w:val="24"/>
        </w:rPr>
        <w:t>Burden hours:</w:t>
      </w:r>
      <w:r w:rsidRPr="00BC6836">
        <w:rPr>
          <w:rFonts w:eastAsia="Calibri"/>
          <w:sz w:val="24"/>
          <w:szCs w:val="24"/>
        </w:rPr>
        <w:tab/>
        <w:t xml:space="preserve">((461 hoists x .5 inspections x 1 (annually) </w:t>
      </w:r>
      <w:r>
        <w:rPr>
          <w:rFonts w:eastAsia="Calibri"/>
          <w:sz w:val="24"/>
          <w:szCs w:val="24"/>
        </w:rPr>
        <w:t xml:space="preserve">= 231) </w:t>
      </w:r>
      <w:r w:rsidRPr="00BC6836">
        <w:rPr>
          <w:rFonts w:eastAsia="Calibri"/>
          <w:sz w:val="24"/>
          <w:szCs w:val="24"/>
        </w:rPr>
        <w:t xml:space="preserve">+ ((461 x </w:t>
      </w:r>
      <w:r>
        <w:rPr>
          <w:rFonts w:eastAsia="Calibri"/>
          <w:sz w:val="24"/>
          <w:szCs w:val="24"/>
        </w:rPr>
        <w:t xml:space="preserve">.5 inspections = 231 rounded) </w:t>
      </w:r>
      <w:r w:rsidRPr="00BC6836">
        <w:rPr>
          <w:rFonts w:eastAsia="Calibri"/>
          <w:sz w:val="24"/>
          <w:szCs w:val="24"/>
        </w:rPr>
        <w:t>x 4 quarterly</w:t>
      </w:r>
      <w:r>
        <w:rPr>
          <w:rFonts w:eastAsia="Calibri"/>
          <w:sz w:val="24"/>
          <w:szCs w:val="24"/>
        </w:rPr>
        <w:t xml:space="preserve"> = 924</w:t>
      </w:r>
      <w:r w:rsidRPr="00BC6836">
        <w:rPr>
          <w:rFonts w:eastAsia="Calibri"/>
          <w:sz w:val="24"/>
          <w:szCs w:val="24"/>
        </w:rPr>
        <w:t xml:space="preserve">)) x 1 hour = </w:t>
      </w:r>
      <w:r>
        <w:rPr>
          <w:rFonts w:eastAsia="Calibri"/>
          <w:sz w:val="24"/>
          <w:szCs w:val="24"/>
        </w:rPr>
        <w:t xml:space="preserve">1,155 </w:t>
      </w:r>
      <w:r w:rsidRPr="00BC6836">
        <w:rPr>
          <w:rFonts w:eastAsia="Calibri"/>
          <w:sz w:val="24"/>
          <w:szCs w:val="24"/>
        </w:rPr>
        <w:t>hours</w:t>
      </w:r>
    </w:p>
    <w:p w:rsidR="00582BF4" w:rsidRPr="00BC6836" w:rsidP="00582BF4" w14:paraId="55C8EC12" w14:textId="77777777">
      <w:pPr>
        <w:ind w:left="2160" w:hanging="1440"/>
        <w:rPr>
          <w:rFonts w:eastAsia="Calibri"/>
          <w:sz w:val="24"/>
          <w:szCs w:val="24"/>
        </w:rPr>
      </w:pPr>
    </w:p>
    <w:p w:rsidR="00582BF4" w:rsidRPr="00BC6836" w:rsidP="00582BF4" w14:paraId="18155BB6" w14:textId="77777777">
      <w:pPr>
        <w:ind w:left="2160" w:hanging="1440"/>
        <w:rPr>
          <w:rFonts w:eastAsia="Calibri"/>
          <w:sz w:val="24"/>
          <w:szCs w:val="24"/>
        </w:rPr>
      </w:pPr>
      <w:r w:rsidRPr="00F47EDC">
        <w:rPr>
          <w:rFonts w:eastAsia="Calibri"/>
          <w:sz w:val="24"/>
          <w:szCs w:val="24"/>
        </w:rPr>
        <w:t>Cost:               1,15</w:t>
      </w:r>
      <w:r>
        <w:rPr>
          <w:rFonts w:eastAsia="Calibri"/>
          <w:sz w:val="24"/>
          <w:szCs w:val="24"/>
        </w:rPr>
        <w:t>5</w:t>
      </w:r>
      <w:r w:rsidRPr="00F47EDC">
        <w:rPr>
          <w:rFonts w:eastAsia="Calibri"/>
          <w:sz w:val="24"/>
          <w:szCs w:val="24"/>
        </w:rPr>
        <w:t xml:space="preserve"> hours x </w:t>
      </w:r>
      <w:r>
        <w:rPr>
          <w:rFonts w:eastAsia="Calibri"/>
          <w:sz w:val="24"/>
          <w:szCs w:val="24"/>
        </w:rPr>
        <w:t>$34.43</w:t>
      </w:r>
      <w:r w:rsidRPr="00F47EDC">
        <w:rPr>
          <w:rFonts w:eastAsia="Calibri"/>
          <w:sz w:val="24"/>
          <w:szCs w:val="24"/>
        </w:rPr>
        <w:t xml:space="preserve"> = $</w:t>
      </w:r>
      <w:r>
        <w:rPr>
          <w:rFonts w:eastAsia="Calibri"/>
          <w:sz w:val="24"/>
          <w:szCs w:val="24"/>
        </w:rPr>
        <w:t>39,766</w:t>
      </w:r>
      <w:r w:rsidRPr="00BC6836">
        <w:rPr>
          <w:rFonts w:eastAsia="Calibri"/>
          <w:sz w:val="24"/>
          <w:szCs w:val="24"/>
        </w:rPr>
        <w:t xml:space="preserve"> </w:t>
      </w:r>
    </w:p>
    <w:p w:rsidR="00582BF4" w:rsidRPr="00BC6836" w:rsidP="00582BF4" w14:paraId="066C218C" w14:textId="77777777">
      <w:pPr>
        <w:rPr>
          <w:rFonts w:eastAsia="Calibri"/>
          <w:sz w:val="24"/>
          <w:szCs w:val="24"/>
        </w:rPr>
      </w:pPr>
    </w:p>
    <w:p w:rsidR="00582BF4" w:rsidRPr="00BC6836" w:rsidP="00582BF4" w14:paraId="7D4FB5D2" w14:textId="77777777">
      <w:pPr>
        <w:rPr>
          <w:rFonts w:eastAsia="Calibri"/>
          <w:b/>
          <w:sz w:val="24"/>
          <w:szCs w:val="24"/>
        </w:rPr>
      </w:pPr>
      <w:r w:rsidRPr="00BC6836">
        <w:rPr>
          <w:rFonts w:eastAsia="Calibri"/>
          <w:b/>
          <w:sz w:val="24"/>
          <w:szCs w:val="24"/>
        </w:rPr>
        <w:t>(C)  Recordkeeping for Air Quality Tests</w:t>
      </w:r>
    </w:p>
    <w:p w:rsidR="00582BF4" w:rsidRPr="00BC6836" w:rsidP="00582BF4" w14:paraId="75FF41CE" w14:textId="77777777">
      <w:pPr>
        <w:rPr>
          <w:rFonts w:eastAsia="Calibri"/>
          <w:b/>
          <w:sz w:val="24"/>
          <w:szCs w:val="24"/>
        </w:rPr>
      </w:pPr>
    </w:p>
    <w:p w:rsidR="00582BF4" w:rsidRPr="00BC6836" w:rsidP="00582BF4" w14:paraId="5C8C7A3D" w14:textId="77777777">
      <w:pPr>
        <w:rPr>
          <w:rFonts w:eastAsia="Calibri"/>
          <w:sz w:val="24"/>
          <w:szCs w:val="24"/>
        </w:rPr>
      </w:pPr>
      <w:r w:rsidRPr="00BC6836">
        <w:rPr>
          <w:rFonts w:eastAsia="Calibri"/>
          <w:sz w:val="24"/>
          <w:szCs w:val="24"/>
        </w:rPr>
        <w:t xml:space="preserve">To comply with §1926.800(j), contractors usually test and record results for five substances (i.e., oxygen, methane, carbon monoxide, nitrogen oxide, and hydrogen sulfide).  The monitors typically used for this purpose are electronic units with the following characteristics:  Stand-alone with simultaneous and continuous readouts for five substances (i.e., no delay in obtaining the readouts) (the “continuous monitors”); hand-held with simultaneous readouts for the </w:t>
      </w:r>
      <w:r w:rsidRPr="00BC6836">
        <w:rPr>
          <w:rFonts w:eastAsia="Calibri"/>
          <w:sz w:val="24"/>
          <w:szCs w:val="24"/>
        </w:rPr>
        <w:t xml:space="preserve">substances and a 30-second delay to obtain the readouts (the “simultaneous monitors”); and hand-held with serial readouts for each of the five substances and a 30-second delay to obtain each readout (totaling 2.5 minutes </w:t>
      </w:r>
      <w:r>
        <w:rPr>
          <w:rFonts w:eastAsia="Calibri"/>
          <w:sz w:val="24"/>
          <w:szCs w:val="24"/>
        </w:rPr>
        <w:t xml:space="preserve">2.5/60 hours) </w:t>
      </w:r>
      <w:r w:rsidRPr="00BC6836">
        <w:rPr>
          <w:rFonts w:eastAsia="Calibri"/>
          <w:sz w:val="24"/>
          <w:szCs w:val="24"/>
        </w:rPr>
        <w:t>to obtain the five readouts) (the “serial monitor”).  In addition to obtaining the readouts, the Agency estimates that a construction worker requires 30 seconds to record the results for all five substances.  Therefore, the total time required to obtain the readouts and record the results for five substances at one sampling location for each type monitor:  Continuous monitors, 30 seconds (.008 hour); simultaneous monitors, 1 minute (</w:t>
      </w:r>
      <w:r>
        <w:rPr>
          <w:rFonts w:eastAsia="Calibri"/>
          <w:sz w:val="24"/>
          <w:szCs w:val="24"/>
        </w:rPr>
        <w:t>1/60</w:t>
      </w:r>
      <w:r w:rsidRPr="00BC6836">
        <w:rPr>
          <w:rFonts w:eastAsia="Calibri"/>
          <w:sz w:val="24"/>
          <w:szCs w:val="24"/>
        </w:rPr>
        <w:t xml:space="preserve"> hour); and serial monitors, 3 minutes (</w:t>
      </w:r>
      <w:r>
        <w:rPr>
          <w:rFonts w:eastAsia="Calibri"/>
          <w:sz w:val="24"/>
          <w:szCs w:val="24"/>
        </w:rPr>
        <w:t>3/60</w:t>
      </w:r>
      <w:r w:rsidRPr="00BC6836">
        <w:rPr>
          <w:rFonts w:eastAsia="Calibri"/>
          <w:sz w:val="24"/>
          <w:szCs w:val="24"/>
        </w:rPr>
        <w:t xml:space="preserve"> hou</w:t>
      </w:r>
      <w:r>
        <w:rPr>
          <w:rFonts w:eastAsia="Calibri"/>
          <w:sz w:val="24"/>
          <w:szCs w:val="24"/>
        </w:rPr>
        <w:t>r</w:t>
      </w:r>
      <w:r w:rsidRPr="00BC6836">
        <w:rPr>
          <w:rFonts w:eastAsia="Calibri"/>
          <w:sz w:val="24"/>
          <w:szCs w:val="24"/>
        </w:rPr>
        <w:t>s).</w:t>
      </w:r>
    </w:p>
    <w:p w:rsidR="00582BF4" w:rsidRPr="00BC6836" w:rsidP="00582BF4" w14:paraId="143A607D" w14:textId="77777777">
      <w:pPr>
        <w:rPr>
          <w:rFonts w:eastAsia="Calibri"/>
          <w:sz w:val="24"/>
          <w:szCs w:val="24"/>
        </w:rPr>
      </w:pPr>
    </w:p>
    <w:p w:rsidR="00582BF4" w:rsidRPr="00BC6836" w:rsidP="00582BF4" w14:paraId="1E944539" w14:textId="77777777">
      <w:pPr>
        <w:rPr>
          <w:rFonts w:eastAsia="Calibri"/>
          <w:sz w:val="24"/>
          <w:szCs w:val="24"/>
        </w:rPr>
      </w:pPr>
      <w:r w:rsidRPr="00BC6836">
        <w:rPr>
          <w:rFonts w:eastAsia="Calibri"/>
          <w:sz w:val="24"/>
          <w:szCs w:val="24"/>
          <w:u w:val="single"/>
        </w:rPr>
        <w:t>Big-Bore Projects</w:t>
      </w:r>
    </w:p>
    <w:p w:rsidR="00582BF4" w:rsidRPr="00BC6836" w:rsidP="00582BF4" w14:paraId="39305CD2" w14:textId="77777777">
      <w:pPr>
        <w:rPr>
          <w:rFonts w:eastAsia="Calibri"/>
          <w:sz w:val="24"/>
          <w:szCs w:val="24"/>
        </w:rPr>
      </w:pPr>
    </w:p>
    <w:p w:rsidR="00582BF4" w:rsidRPr="00BC6836" w:rsidP="00582BF4" w14:paraId="0F65B836" w14:textId="77777777">
      <w:pPr>
        <w:rPr>
          <w:rFonts w:eastAsia="Calibri"/>
          <w:sz w:val="24"/>
          <w:szCs w:val="24"/>
        </w:rPr>
      </w:pPr>
      <w:r w:rsidRPr="00BC6836">
        <w:rPr>
          <w:rFonts w:eastAsia="Calibri"/>
          <w:sz w:val="24"/>
          <w:szCs w:val="24"/>
        </w:rPr>
        <w:t xml:space="preserve">OSHA estimates that, on average, contractors on big-bore projects, 84 projects, read and record air-quality results at least once a day from six different locations (i.e., at the face of the tunnel, and at five additional sites within the tunnel).  They typically use continuous monitors at the face of the tunnel, resulting in a total of 250 records per project during a 250-day work-year (i.e., 1 record per day x 250 days).  At the other five locations, the industry sources estimate that half of the contractors take air quality measurements with simultaneous monitors and the other half use serial monitors.  During a 250-day </w:t>
      </w:r>
      <w:r>
        <w:rPr>
          <w:rFonts w:eastAsia="Calibri"/>
          <w:sz w:val="24"/>
          <w:szCs w:val="24"/>
        </w:rPr>
        <w:t>work year, contractors record 1,250 readouts with simultaneous monitors and an additional 1,250 readouts from serial monitors per project (i.e., ((5 samples per day x 250 days</w:t>
      </w:r>
      <w:r w:rsidRPr="00BC6836">
        <w:rPr>
          <w:rFonts w:eastAsia="Calibri"/>
          <w:sz w:val="24"/>
          <w:szCs w:val="24"/>
        </w:rPr>
        <w:t>)).  Thus, the estimated annual burden hours and cost for obtaining and recording the air-quality results for the 84 big-bore projects under construction each year are:</w:t>
      </w:r>
    </w:p>
    <w:p w:rsidR="00582BF4" w:rsidP="00582BF4" w14:paraId="4C58B3E0" w14:textId="77777777">
      <w:pPr>
        <w:spacing w:after="200" w:line="276" w:lineRule="auto"/>
        <w:rPr>
          <w:rFonts w:eastAsia="Calibri"/>
          <w:b/>
          <w:sz w:val="24"/>
          <w:szCs w:val="24"/>
        </w:rPr>
      </w:pPr>
    </w:p>
    <w:p w:rsidR="00582BF4" w:rsidRPr="00BC6836" w:rsidP="00582BF4" w14:paraId="01F9846D" w14:textId="77777777">
      <w:pPr>
        <w:spacing w:after="200" w:line="276" w:lineRule="auto"/>
        <w:jc w:val="center"/>
        <w:rPr>
          <w:rFonts w:eastAsia="Calibri"/>
          <w:b/>
          <w:sz w:val="24"/>
          <w:szCs w:val="24"/>
        </w:rPr>
      </w:pPr>
      <w:r w:rsidRPr="00BC6836">
        <w:rPr>
          <w:rFonts w:eastAsia="Calibri"/>
          <w:b/>
          <w:sz w:val="24"/>
          <w:szCs w:val="24"/>
        </w:rPr>
        <w:t xml:space="preserve">Table 3 - Burden hours </w:t>
      </w:r>
      <w:r>
        <w:rPr>
          <w:rFonts w:eastAsia="Calibri"/>
          <w:b/>
          <w:sz w:val="24"/>
          <w:szCs w:val="24"/>
        </w:rPr>
        <w:t>for</w:t>
      </w:r>
      <w:r w:rsidRPr="00BC6836">
        <w:rPr>
          <w:rFonts w:eastAsia="Calibri"/>
          <w:b/>
          <w:sz w:val="24"/>
          <w:szCs w:val="24"/>
        </w:rPr>
        <w:t xml:space="preserve"> Monitoring</w:t>
      </w:r>
      <w:r>
        <w:rPr>
          <w:rFonts w:eastAsia="Calibri"/>
          <w:b/>
          <w:sz w:val="24"/>
          <w:szCs w:val="24"/>
        </w:rPr>
        <w:t xml:space="preserve"> Records</w:t>
      </w:r>
      <w:r w:rsidRPr="00BC6836">
        <w:rPr>
          <w:rFonts w:eastAsia="Calibri"/>
          <w:b/>
          <w:sz w:val="24"/>
          <w:szCs w:val="24"/>
        </w:rPr>
        <w:t>:</w:t>
      </w:r>
      <w:r>
        <w:rPr>
          <w:rFonts w:eastAsia="Calibri"/>
          <w:b/>
          <w:sz w:val="24"/>
          <w:szCs w:val="24"/>
        </w:rPr>
        <w:t xml:space="preserve"> </w:t>
      </w:r>
      <w:r w:rsidRPr="00BC6836">
        <w:rPr>
          <w:rFonts w:eastAsia="Calibri"/>
          <w:b/>
          <w:sz w:val="24"/>
          <w:szCs w:val="24"/>
        </w:rPr>
        <w:t xml:space="preserve"> Big-Bore Projects</w:t>
      </w:r>
    </w:p>
    <w:tbl>
      <w:tblPr>
        <w:tblStyle w:val="TableGrid"/>
        <w:tblW w:w="10233" w:type="dxa"/>
        <w:tblLook w:val="04A0"/>
      </w:tblPr>
      <w:tblGrid>
        <w:gridCol w:w="1638"/>
        <w:gridCol w:w="8595"/>
      </w:tblGrid>
      <w:tr w14:paraId="1A0CA6F4" w14:textId="77777777" w:rsidTr="00C001C3">
        <w:tblPrEx>
          <w:tblW w:w="10233" w:type="dxa"/>
          <w:tblLook w:val="04A0"/>
        </w:tblPrEx>
        <w:trPr>
          <w:trHeight w:val="545"/>
        </w:trPr>
        <w:tc>
          <w:tcPr>
            <w:tcW w:w="1638" w:type="dxa"/>
          </w:tcPr>
          <w:p w:rsidR="00582BF4" w:rsidRPr="00BC6836" w:rsidP="00C001C3" w14:paraId="5C59FA3A" w14:textId="77777777">
            <w:pPr>
              <w:rPr>
                <w:rFonts w:eastAsia="Calibri"/>
                <w:sz w:val="24"/>
                <w:szCs w:val="24"/>
              </w:rPr>
            </w:pPr>
            <w:r w:rsidRPr="00BC6836">
              <w:rPr>
                <w:rFonts w:eastAsia="Calibri"/>
                <w:sz w:val="24"/>
                <w:szCs w:val="24"/>
              </w:rPr>
              <w:t>Continuous Monitoring</w:t>
            </w:r>
          </w:p>
        </w:tc>
        <w:tc>
          <w:tcPr>
            <w:tcW w:w="8595" w:type="dxa"/>
          </w:tcPr>
          <w:p w:rsidR="00582BF4" w:rsidRPr="00BC6836" w:rsidP="00C001C3" w14:paraId="02E1587F" w14:textId="77777777">
            <w:pPr>
              <w:rPr>
                <w:rFonts w:eastAsia="Calibri"/>
                <w:sz w:val="24"/>
                <w:szCs w:val="24"/>
              </w:rPr>
            </w:pPr>
            <w:r w:rsidRPr="00BC6836">
              <w:rPr>
                <w:rFonts w:eastAsia="Calibri"/>
                <w:sz w:val="24"/>
                <w:szCs w:val="24"/>
              </w:rPr>
              <w:t xml:space="preserve">((84 projects) x (1 location x 250 days)) records x </w:t>
            </w:r>
            <w:r>
              <w:rPr>
                <w:rFonts w:eastAsia="Calibri"/>
                <w:sz w:val="24"/>
                <w:szCs w:val="24"/>
              </w:rPr>
              <w:t>.008</w:t>
            </w:r>
            <w:r w:rsidRPr="00BC6836">
              <w:rPr>
                <w:rFonts w:eastAsia="Calibri"/>
                <w:sz w:val="24"/>
                <w:szCs w:val="24"/>
              </w:rPr>
              <w:t xml:space="preserve"> hour = 168 hours</w:t>
            </w:r>
          </w:p>
        </w:tc>
      </w:tr>
      <w:tr w14:paraId="0137EBC6" w14:textId="77777777" w:rsidTr="00C001C3">
        <w:tblPrEx>
          <w:tblW w:w="10233" w:type="dxa"/>
          <w:tblLook w:val="04A0"/>
        </w:tblPrEx>
        <w:trPr>
          <w:trHeight w:val="560"/>
        </w:trPr>
        <w:tc>
          <w:tcPr>
            <w:tcW w:w="1638" w:type="dxa"/>
          </w:tcPr>
          <w:p w:rsidR="00582BF4" w:rsidRPr="00BC6836" w:rsidP="00C001C3" w14:paraId="726D9590" w14:textId="77777777">
            <w:pPr>
              <w:rPr>
                <w:rFonts w:eastAsia="Calibri"/>
                <w:sz w:val="24"/>
                <w:szCs w:val="24"/>
              </w:rPr>
            </w:pPr>
            <w:r w:rsidRPr="00BC6836">
              <w:rPr>
                <w:rFonts w:eastAsia="Calibri"/>
                <w:sz w:val="24"/>
                <w:szCs w:val="24"/>
              </w:rPr>
              <w:t>Simultaneous Monitoring</w:t>
            </w:r>
          </w:p>
        </w:tc>
        <w:tc>
          <w:tcPr>
            <w:tcW w:w="8595" w:type="dxa"/>
          </w:tcPr>
          <w:p w:rsidR="00582BF4" w:rsidRPr="00BC6836" w:rsidP="00C001C3" w14:paraId="710FAB9F" w14:textId="77777777">
            <w:pPr>
              <w:rPr>
                <w:rFonts w:eastAsia="Calibri"/>
                <w:sz w:val="24"/>
                <w:szCs w:val="24"/>
              </w:rPr>
            </w:pPr>
            <w:r w:rsidRPr="00BC6836">
              <w:rPr>
                <w:rFonts w:eastAsia="Calibri"/>
                <w:sz w:val="24"/>
                <w:szCs w:val="24"/>
              </w:rPr>
              <w:t xml:space="preserve">((84 projects x .5) x (5 locations x 250 days)) records x </w:t>
            </w:r>
            <w:r>
              <w:rPr>
                <w:rFonts w:eastAsia="Calibri"/>
                <w:sz w:val="24"/>
                <w:szCs w:val="24"/>
              </w:rPr>
              <w:t>1/60</w:t>
            </w:r>
            <w:r w:rsidRPr="00BC6836">
              <w:rPr>
                <w:rFonts w:eastAsia="Calibri"/>
                <w:sz w:val="24"/>
                <w:szCs w:val="24"/>
              </w:rPr>
              <w:t xml:space="preserve"> hour = 8</w:t>
            </w:r>
            <w:r>
              <w:rPr>
                <w:rFonts w:eastAsia="Calibri"/>
                <w:sz w:val="24"/>
                <w:szCs w:val="24"/>
              </w:rPr>
              <w:t>75</w:t>
            </w:r>
            <w:r w:rsidRPr="00BC6836">
              <w:rPr>
                <w:rFonts w:eastAsia="Calibri"/>
                <w:sz w:val="24"/>
                <w:szCs w:val="24"/>
              </w:rPr>
              <w:t xml:space="preserve"> hours                         </w:t>
            </w:r>
          </w:p>
        </w:tc>
      </w:tr>
      <w:tr w14:paraId="19535451" w14:textId="77777777" w:rsidTr="00C001C3">
        <w:tblPrEx>
          <w:tblW w:w="10233" w:type="dxa"/>
          <w:tblLook w:val="04A0"/>
        </w:tblPrEx>
        <w:trPr>
          <w:trHeight w:val="272"/>
        </w:trPr>
        <w:tc>
          <w:tcPr>
            <w:tcW w:w="1638" w:type="dxa"/>
          </w:tcPr>
          <w:p w:rsidR="00582BF4" w:rsidRPr="00BC6836" w:rsidP="00C001C3" w14:paraId="595CCBE4" w14:textId="77777777">
            <w:pPr>
              <w:rPr>
                <w:rFonts w:eastAsia="Calibri"/>
                <w:sz w:val="24"/>
                <w:szCs w:val="24"/>
              </w:rPr>
            </w:pPr>
            <w:r w:rsidRPr="00BC6836">
              <w:rPr>
                <w:rFonts w:eastAsia="Calibri"/>
                <w:sz w:val="24"/>
                <w:szCs w:val="24"/>
              </w:rPr>
              <w:t>Serial Monitoring</w:t>
            </w:r>
          </w:p>
        </w:tc>
        <w:tc>
          <w:tcPr>
            <w:tcW w:w="8595" w:type="dxa"/>
          </w:tcPr>
          <w:p w:rsidR="00582BF4" w:rsidRPr="00BC6836" w:rsidP="00C001C3" w14:paraId="5806D62D" w14:textId="77777777">
            <w:pPr>
              <w:rPr>
                <w:rFonts w:eastAsia="Calibri"/>
                <w:sz w:val="24"/>
                <w:szCs w:val="24"/>
              </w:rPr>
            </w:pPr>
            <w:r w:rsidRPr="00BC6836">
              <w:rPr>
                <w:rFonts w:eastAsia="Calibri"/>
                <w:sz w:val="24"/>
                <w:szCs w:val="24"/>
              </w:rPr>
              <w:t xml:space="preserve">((84 projects x .5) x (5 locations x 250 days)) records x </w:t>
            </w:r>
            <w:r>
              <w:rPr>
                <w:rFonts w:eastAsia="Calibri"/>
                <w:sz w:val="24"/>
                <w:szCs w:val="24"/>
              </w:rPr>
              <w:t>3/60</w:t>
            </w:r>
            <w:r w:rsidRPr="00BC6836">
              <w:rPr>
                <w:rFonts w:eastAsia="Calibri"/>
                <w:sz w:val="24"/>
                <w:szCs w:val="24"/>
              </w:rPr>
              <w:t xml:space="preserve"> hour = 2,625 hours</w:t>
            </w:r>
          </w:p>
        </w:tc>
      </w:tr>
      <w:tr w14:paraId="673F9577" w14:textId="77777777" w:rsidTr="00C001C3">
        <w:tblPrEx>
          <w:tblW w:w="10233" w:type="dxa"/>
          <w:tblLook w:val="04A0"/>
        </w:tblPrEx>
        <w:trPr>
          <w:trHeight w:val="272"/>
        </w:trPr>
        <w:tc>
          <w:tcPr>
            <w:tcW w:w="1638" w:type="dxa"/>
          </w:tcPr>
          <w:p w:rsidR="00582BF4" w:rsidRPr="00BC6836" w:rsidP="00C001C3" w14:paraId="2CD66458" w14:textId="77777777">
            <w:pPr>
              <w:rPr>
                <w:rFonts w:eastAsia="Calibri"/>
                <w:sz w:val="24"/>
                <w:szCs w:val="24"/>
              </w:rPr>
            </w:pPr>
            <w:r w:rsidRPr="00BC6836">
              <w:rPr>
                <w:rFonts w:eastAsia="Calibri"/>
                <w:sz w:val="24"/>
                <w:szCs w:val="24"/>
              </w:rPr>
              <w:t>Total Hours:</w:t>
            </w:r>
          </w:p>
        </w:tc>
        <w:tc>
          <w:tcPr>
            <w:tcW w:w="8595" w:type="dxa"/>
          </w:tcPr>
          <w:p w:rsidR="00582BF4" w:rsidRPr="00BC6836" w:rsidP="00C001C3" w14:paraId="37D4514C" w14:textId="77777777">
            <w:pPr>
              <w:rPr>
                <w:rFonts w:eastAsia="Calibri"/>
                <w:b/>
                <w:sz w:val="24"/>
                <w:szCs w:val="24"/>
              </w:rPr>
            </w:pPr>
            <w:r w:rsidRPr="00BC6836">
              <w:rPr>
                <w:rFonts w:eastAsia="Calibri"/>
                <w:b/>
                <w:sz w:val="24"/>
                <w:szCs w:val="24"/>
              </w:rPr>
              <w:t>3,6</w:t>
            </w:r>
            <w:r>
              <w:rPr>
                <w:rFonts w:eastAsia="Calibri"/>
                <w:b/>
                <w:sz w:val="24"/>
                <w:szCs w:val="24"/>
              </w:rPr>
              <w:t>68</w:t>
            </w:r>
            <w:r w:rsidRPr="00BC6836">
              <w:rPr>
                <w:rFonts w:eastAsia="Calibri"/>
                <w:b/>
                <w:sz w:val="24"/>
                <w:szCs w:val="24"/>
              </w:rPr>
              <w:t xml:space="preserve"> hours</w:t>
            </w:r>
          </w:p>
        </w:tc>
      </w:tr>
      <w:tr w14:paraId="5CE6AF12" w14:textId="77777777" w:rsidTr="00C001C3">
        <w:tblPrEx>
          <w:tblW w:w="10233" w:type="dxa"/>
          <w:tblLook w:val="04A0"/>
        </w:tblPrEx>
        <w:trPr>
          <w:trHeight w:val="272"/>
        </w:trPr>
        <w:tc>
          <w:tcPr>
            <w:tcW w:w="1638" w:type="dxa"/>
          </w:tcPr>
          <w:p w:rsidR="00582BF4" w:rsidRPr="00BC6836" w:rsidP="00C001C3" w14:paraId="0D55F3AA" w14:textId="77777777">
            <w:pPr>
              <w:rPr>
                <w:rFonts w:eastAsia="Calibri"/>
                <w:sz w:val="24"/>
                <w:szCs w:val="24"/>
              </w:rPr>
            </w:pPr>
            <w:r w:rsidRPr="00BC6836">
              <w:rPr>
                <w:rFonts w:eastAsia="Calibri"/>
                <w:sz w:val="24"/>
                <w:szCs w:val="24"/>
              </w:rPr>
              <w:t xml:space="preserve">Total Cost: </w:t>
            </w:r>
          </w:p>
        </w:tc>
        <w:tc>
          <w:tcPr>
            <w:tcW w:w="8595" w:type="dxa"/>
          </w:tcPr>
          <w:p w:rsidR="00582BF4" w:rsidRPr="00BC6836" w:rsidP="00C001C3" w14:paraId="357176C8" w14:textId="77777777">
            <w:pPr>
              <w:rPr>
                <w:rFonts w:eastAsia="Calibri"/>
                <w:b/>
                <w:sz w:val="24"/>
                <w:szCs w:val="24"/>
              </w:rPr>
            </w:pPr>
            <w:r w:rsidRPr="00F47EDC">
              <w:rPr>
                <w:rFonts w:eastAsia="Calibri"/>
                <w:b/>
                <w:sz w:val="24"/>
                <w:szCs w:val="24"/>
              </w:rPr>
              <w:t>3,6</w:t>
            </w:r>
            <w:r>
              <w:rPr>
                <w:rFonts w:eastAsia="Calibri"/>
                <w:b/>
                <w:sz w:val="24"/>
                <w:szCs w:val="24"/>
              </w:rPr>
              <w:t>68</w:t>
            </w:r>
            <w:r w:rsidRPr="00F47EDC">
              <w:rPr>
                <w:rFonts w:eastAsia="Calibri"/>
                <w:b/>
                <w:sz w:val="24"/>
                <w:szCs w:val="24"/>
              </w:rPr>
              <w:t xml:space="preserve"> hours x </w:t>
            </w:r>
            <w:r>
              <w:rPr>
                <w:rFonts w:eastAsia="Calibri"/>
                <w:b/>
                <w:sz w:val="24"/>
                <w:szCs w:val="24"/>
              </w:rPr>
              <w:t>$34.43</w:t>
            </w:r>
            <w:r w:rsidRPr="00F47EDC">
              <w:rPr>
                <w:rFonts w:eastAsia="Calibri"/>
                <w:b/>
                <w:sz w:val="24"/>
                <w:szCs w:val="24"/>
              </w:rPr>
              <w:t xml:space="preserve"> = $</w:t>
            </w:r>
            <w:r>
              <w:rPr>
                <w:rFonts w:eastAsia="Calibri"/>
                <w:b/>
                <w:sz w:val="24"/>
                <w:szCs w:val="24"/>
              </w:rPr>
              <w:t>126,289</w:t>
            </w:r>
            <w:r w:rsidRPr="00F47EDC">
              <w:rPr>
                <w:b/>
                <w:sz w:val="24"/>
                <w:szCs w:val="24"/>
              </w:rPr>
              <w:t xml:space="preserve"> </w:t>
            </w:r>
          </w:p>
        </w:tc>
      </w:tr>
    </w:tbl>
    <w:p w:rsidR="00582BF4" w:rsidRPr="00BC6836" w:rsidP="00582BF4" w14:paraId="18D72C45" w14:textId="77777777">
      <w:pPr>
        <w:ind w:left="2160" w:hanging="1440"/>
        <w:rPr>
          <w:rFonts w:eastAsia="Calibri"/>
          <w:b/>
          <w:sz w:val="24"/>
          <w:szCs w:val="24"/>
        </w:rPr>
      </w:pPr>
    </w:p>
    <w:p w:rsidR="00582BF4" w:rsidRPr="00BC6836" w:rsidP="00582BF4" w14:paraId="11CA07AB" w14:textId="77777777">
      <w:pPr>
        <w:rPr>
          <w:rFonts w:eastAsia="Calibri"/>
          <w:sz w:val="24"/>
          <w:szCs w:val="24"/>
          <w:u w:val="single"/>
        </w:rPr>
      </w:pPr>
      <w:r w:rsidRPr="00BC6836">
        <w:rPr>
          <w:rFonts w:eastAsia="Calibri"/>
          <w:sz w:val="24"/>
          <w:szCs w:val="24"/>
          <w:u w:val="single"/>
        </w:rPr>
        <w:t>Small and Medium-Bore projects</w:t>
      </w:r>
    </w:p>
    <w:p w:rsidR="00582BF4" w:rsidRPr="00BC6836" w:rsidP="00582BF4" w14:paraId="0E94F23B" w14:textId="77777777">
      <w:pPr>
        <w:rPr>
          <w:rFonts w:eastAsia="Calibri"/>
          <w:sz w:val="24"/>
          <w:szCs w:val="24"/>
          <w:u w:val="single"/>
        </w:rPr>
      </w:pPr>
    </w:p>
    <w:p w:rsidR="00582BF4" w:rsidRPr="00BC6836" w:rsidP="00582BF4" w14:paraId="031D8360" w14:textId="77777777">
      <w:pPr>
        <w:rPr>
          <w:rFonts w:eastAsia="Calibri"/>
          <w:sz w:val="24"/>
          <w:szCs w:val="24"/>
        </w:rPr>
      </w:pPr>
      <w:r w:rsidRPr="00BC6836">
        <w:rPr>
          <w:rFonts w:eastAsia="Calibri"/>
          <w:i/>
          <w:sz w:val="24"/>
          <w:szCs w:val="24"/>
        </w:rPr>
        <w:t>Projects with conventionally-bored tunnels</w:t>
      </w:r>
    </w:p>
    <w:p w:rsidR="00582BF4" w:rsidRPr="00BC6836" w:rsidP="00582BF4" w14:paraId="1E45A75C" w14:textId="77777777">
      <w:pPr>
        <w:rPr>
          <w:rFonts w:eastAsia="Calibri"/>
          <w:sz w:val="24"/>
          <w:szCs w:val="24"/>
        </w:rPr>
      </w:pPr>
    </w:p>
    <w:p w:rsidR="00582BF4" w:rsidRPr="00BC6836" w:rsidP="00582BF4" w14:paraId="713231B6" w14:textId="77777777">
      <w:pPr>
        <w:rPr>
          <w:rFonts w:eastAsia="Calibri"/>
          <w:sz w:val="24"/>
          <w:szCs w:val="24"/>
        </w:rPr>
      </w:pPr>
      <w:r w:rsidRPr="00BC6836">
        <w:rPr>
          <w:rFonts w:eastAsia="Calibri"/>
          <w:sz w:val="24"/>
          <w:szCs w:val="24"/>
        </w:rPr>
        <w:t xml:space="preserve">OSHA estimates that two-thirds (245) of the 368 small- and medium-bore projects use conventional boring techniques.  Additionally, the </w:t>
      </w:r>
      <w:r>
        <w:rPr>
          <w:rFonts w:eastAsia="Calibri"/>
          <w:sz w:val="24"/>
          <w:szCs w:val="24"/>
        </w:rPr>
        <w:t>a</w:t>
      </w:r>
      <w:r w:rsidRPr="00BC6836">
        <w:rPr>
          <w:rFonts w:eastAsia="Calibri"/>
          <w:sz w:val="24"/>
          <w:szCs w:val="24"/>
        </w:rPr>
        <w:t xml:space="preserve">gency assumes that contractors adopt the same monitoring protocol for these projects they implement for big-bore projects (i.e., at the face of the tunnel, and five additionally sites within the tunnel).  Accordingly, once-a-day continuous monitoring at the face of the tunnel results in a total of 250 records per project during a 250-day work-year.  At the other five locations, half of them collect the readings with simultaneous monitors and the other half use serial monitors; during a work-year, each of these monitors </w:t>
      </w:r>
      <w:r w:rsidRPr="00BC6836">
        <w:rPr>
          <w:rFonts w:eastAsia="Calibri"/>
          <w:sz w:val="24"/>
          <w:szCs w:val="24"/>
        </w:rPr>
        <w:t>obtain 1,250 records per project.  Therefore, this monitoring requirement results in the following burden hour and cost estimates each year:</w:t>
      </w:r>
    </w:p>
    <w:p w:rsidR="00582BF4" w:rsidRPr="00BC6836" w:rsidP="00582BF4" w14:paraId="2DAA1A4A" w14:textId="77777777">
      <w:pPr>
        <w:rPr>
          <w:rFonts w:eastAsia="Calibri"/>
          <w:sz w:val="24"/>
          <w:szCs w:val="24"/>
        </w:rPr>
      </w:pPr>
    </w:p>
    <w:p w:rsidR="00582BF4" w:rsidRPr="00BC6836" w:rsidP="00582BF4" w14:paraId="71BF566E" w14:textId="77777777">
      <w:pPr>
        <w:spacing w:after="200" w:line="276" w:lineRule="auto"/>
        <w:rPr>
          <w:rFonts w:eastAsia="Calibri"/>
          <w:b/>
          <w:sz w:val="24"/>
          <w:szCs w:val="24"/>
        </w:rPr>
      </w:pPr>
      <w:r w:rsidRPr="00BC6836">
        <w:rPr>
          <w:rFonts w:eastAsia="Calibri"/>
          <w:b/>
          <w:sz w:val="24"/>
          <w:szCs w:val="24"/>
        </w:rPr>
        <w:t>Table 4 - Small and Medium-Bore Projects</w:t>
      </w:r>
    </w:p>
    <w:p w:rsidR="00582BF4" w:rsidRPr="00BC6836" w:rsidP="00582BF4" w14:paraId="5463BA16" w14:textId="77777777">
      <w:pPr>
        <w:jc w:val="center"/>
        <w:rPr>
          <w:rFonts w:eastAsia="Calibri"/>
          <w:b/>
          <w:sz w:val="24"/>
          <w:szCs w:val="24"/>
        </w:rPr>
      </w:pPr>
      <w:r w:rsidRPr="00BC6836">
        <w:rPr>
          <w:rFonts w:eastAsia="Calibri"/>
          <w:b/>
          <w:sz w:val="24"/>
          <w:szCs w:val="24"/>
        </w:rPr>
        <w:t>Burden Hours by Monitoring --</w:t>
      </w:r>
      <w:r w:rsidRPr="00BC6836">
        <w:rPr>
          <w:b/>
          <w:sz w:val="24"/>
          <w:szCs w:val="24"/>
        </w:rPr>
        <w:t xml:space="preserve"> </w:t>
      </w:r>
      <w:r w:rsidRPr="00BC6836">
        <w:rPr>
          <w:rFonts w:eastAsia="Calibri"/>
          <w:b/>
          <w:sz w:val="24"/>
          <w:szCs w:val="24"/>
        </w:rPr>
        <w:t>Projects with conventionally-bored tunnels</w:t>
      </w:r>
    </w:p>
    <w:p w:rsidR="00582BF4" w:rsidRPr="00BC6836" w:rsidP="00582BF4" w14:paraId="10E6CF36" w14:textId="77777777">
      <w:pPr>
        <w:rPr>
          <w:rFonts w:eastAsia="Calibri"/>
          <w:b/>
          <w:sz w:val="24"/>
          <w:szCs w:val="24"/>
        </w:rPr>
      </w:pPr>
    </w:p>
    <w:tbl>
      <w:tblPr>
        <w:tblStyle w:val="TableGrid"/>
        <w:tblW w:w="10233" w:type="dxa"/>
        <w:tblLook w:val="04A0"/>
      </w:tblPr>
      <w:tblGrid>
        <w:gridCol w:w="1638"/>
        <w:gridCol w:w="8595"/>
      </w:tblGrid>
      <w:tr w14:paraId="6FDDFA06" w14:textId="77777777" w:rsidTr="00C001C3">
        <w:tblPrEx>
          <w:tblW w:w="10233" w:type="dxa"/>
          <w:tblLook w:val="04A0"/>
        </w:tblPrEx>
        <w:trPr>
          <w:trHeight w:val="545"/>
        </w:trPr>
        <w:tc>
          <w:tcPr>
            <w:tcW w:w="1638" w:type="dxa"/>
          </w:tcPr>
          <w:p w:rsidR="00582BF4" w:rsidRPr="00BC6836" w:rsidP="00C001C3" w14:paraId="01A80FB5" w14:textId="77777777">
            <w:pPr>
              <w:rPr>
                <w:rFonts w:eastAsia="Calibri"/>
                <w:sz w:val="24"/>
                <w:szCs w:val="24"/>
              </w:rPr>
            </w:pPr>
            <w:r w:rsidRPr="00BC6836">
              <w:rPr>
                <w:rFonts w:eastAsia="Calibri"/>
                <w:sz w:val="24"/>
                <w:szCs w:val="24"/>
              </w:rPr>
              <w:t>Continuous Monitoring</w:t>
            </w:r>
          </w:p>
        </w:tc>
        <w:tc>
          <w:tcPr>
            <w:tcW w:w="8595" w:type="dxa"/>
          </w:tcPr>
          <w:p w:rsidR="00582BF4" w:rsidRPr="00BC6836" w:rsidP="00C001C3" w14:paraId="276F3200" w14:textId="77777777">
            <w:pPr>
              <w:rPr>
                <w:rFonts w:eastAsia="Calibri"/>
                <w:sz w:val="24"/>
                <w:szCs w:val="24"/>
              </w:rPr>
            </w:pPr>
            <w:r w:rsidRPr="00BC6836">
              <w:rPr>
                <w:rFonts w:eastAsia="Calibri"/>
                <w:sz w:val="24"/>
                <w:szCs w:val="24"/>
              </w:rPr>
              <w:t xml:space="preserve">(245 projects x 250) records x </w:t>
            </w:r>
            <w:r>
              <w:rPr>
                <w:rFonts w:eastAsia="Calibri"/>
                <w:sz w:val="24"/>
                <w:szCs w:val="24"/>
              </w:rPr>
              <w:t>.008</w:t>
            </w:r>
            <w:r w:rsidRPr="00BC6836">
              <w:rPr>
                <w:rFonts w:eastAsia="Calibri"/>
                <w:sz w:val="24"/>
                <w:szCs w:val="24"/>
              </w:rPr>
              <w:t xml:space="preserve"> hour =</w:t>
            </w:r>
            <w:r>
              <w:rPr>
                <w:rFonts w:eastAsia="Calibri"/>
                <w:sz w:val="24"/>
                <w:szCs w:val="24"/>
              </w:rPr>
              <w:t xml:space="preserve"> 490</w:t>
            </w:r>
            <w:r w:rsidRPr="00BC6836">
              <w:rPr>
                <w:rFonts w:eastAsia="Calibri"/>
                <w:sz w:val="24"/>
                <w:szCs w:val="24"/>
              </w:rPr>
              <w:t xml:space="preserve"> hours</w:t>
            </w:r>
          </w:p>
        </w:tc>
      </w:tr>
      <w:tr w14:paraId="25E80A43" w14:textId="77777777" w:rsidTr="00C001C3">
        <w:tblPrEx>
          <w:tblW w:w="10233" w:type="dxa"/>
          <w:tblLook w:val="04A0"/>
        </w:tblPrEx>
        <w:trPr>
          <w:trHeight w:val="560"/>
        </w:trPr>
        <w:tc>
          <w:tcPr>
            <w:tcW w:w="1638" w:type="dxa"/>
          </w:tcPr>
          <w:p w:rsidR="00582BF4" w:rsidRPr="00BC6836" w:rsidP="00C001C3" w14:paraId="31CD9D39" w14:textId="77777777">
            <w:pPr>
              <w:rPr>
                <w:rFonts w:eastAsia="Calibri"/>
                <w:sz w:val="24"/>
                <w:szCs w:val="24"/>
              </w:rPr>
            </w:pPr>
            <w:r w:rsidRPr="00BC6836">
              <w:rPr>
                <w:rFonts w:eastAsia="Calibri"/>
                <w:sz w:val="24"/>
                <w:szCs w:val="24"/>
              </w:rPr>
              <w:t>Simultaneous Monitoring</w:t>
            </w:r>
          </w:p>
        </w:tc>
        <w:tc>
          <w:tcPr>
            <w:tcW w:w="8595" w:type="dxa"/>
          </w:tcPr>
          <w:p w:rsidR="00582BF4" w:rsidRPr="00BC6836" w:rsidP="00C001C3" w14:paraId="38155844" w14:textId="77777777">
            <w:pPr>
              <w:rPr>
                <w:rFonts w:eastAsia="Calibri"/>
                <w:sz w:val="24"/>
                <w:szCs w:val="24"/>
              </w:rPr>
            </w:pPr>
            <w:r w:rsidRPr="00BC6836">
              <w:rPr>
                <w:rFonts w:eastAsia="Calibri"/>
                <w:sz w:val="24"/>
                <w:szCs w:val="24"/>
              </w:rPr>
              <w:t xml:space="preserve">((245 projects x .5) x (5 locations x 250 days)) records x </w:t>
            </w:r>
            <w:r>
              <w:rPr>
                <w:rFonts w:eastAsia="Calibri"/>
                <w:sz w:val="24"/>
                <w:szCs w:val="24"/>
              </w:rPr>
              <w:t>1/60</w:t>
            </w:r>
            <w:r w:rsidRPr="00BC6836">
              <w:rPr>
                <w:rFonts w:eastAsia="Calibri"/>
                <w:sz w:val="24"/>
                <w:szCs w:val="24"/>
              </w:rPr>
              <w:t xml:space="preserve"> hour =                              2,</w:t>
            </w:r>
            <w:r>
              <w:rPr>
                <w:rFonts w:eastAsia="Calibri"/>
                <w:sz w:val="24"/>
                <w:szCs w:val="24"/>
              </w:rPr>
              <w:t>563 hours</w:t>
            </w:r>
          </w:p>
        </w:tc>
      </w:tr>
      <w:tr w14:paraId="45F72533" w14:textId="77777777" w:rsidTr="00C001C3">
        <w:tblPrEx>
          <w:tblW w:w="10233" w:type="dxa"/>
          <w:tblLook w:val="04A0"/>
        </w:tblPrEx>
        <w:trPr>
          <w:trHeight w:val="272"/>
        </w:trPr>
        <w:tc>
          <w:tcPr>
            <w:tcW w:w="1638" w:type="dxa"/>
          </w:tcPr>
          <w:p w:rsidR="00582BF4" w:rsidRPr="00BC6836" w:rsidP="00C001C3" w14:paraId="51DE72D9" w14:textId="77777777">
            <w:pPr>
              <w:rPr>
                <w:rFonts w:eastAsia="Calibri"/>
                <w:sz w:val="24"/>
                <w:szCs w:val="24"/>
              </w:rPr>
            </w:pPr>
            <w:r w:rsidRPr="00BC6836">
              <w:rPr>
                <w:rFonts w:eastAsia="Calibri"/>
                <w:sz w:val="24"/>
                <w:szCs w:val="24"/>
              </w:rPr>
              <w:t>Serial Monitoring</w:t>
            </w:r>
          </w:p>
        </w:tc>
        <w:tc>
          <w:tcPr>
            <w:tcW w:w="8595" w:type="dxa"/>
          </w:tcPr>
          <w:p w:rsidR="00582BF4" w:rsidRPr="00BC6836" w:rsidP="00C001C3" w14:paraId="5DE8C5BF" w14:textId="77777777">
            <w:pPr>
              <w:rPr>
                <w:rFonts w:eastAsia="Calibri"/>
                <w:sz w:val="24"/>
                <w:szCs w:val="24"/>
              </w:rPr>
            </w:pPr>
            <w:r w:rsidRPr="00BC6836">
              <w:rPr>
                <w:rFonts w:eastAsia="Calibri"/>
                <w:sz w:val="24"/>
                <w:szCs w:val="24"/>
              </w:rPr>
              <w:t xml:space="preserve">((245 projects x .5) x (5 locations x 250 days)) records x </w:t>
            </w:r>
            <w:r>
              <w:rPr>
                <w:rFonts w:eastAsia="Calibri"/>
                <w:sz w:val="24"/>
                <w:szCs w:val="24"/>
              </w:rPr>
              <w:t>3/60</w:t>
            </w:r>
            <w:r w:rsidRPr="00BC6836">
              <w:rPr>
                <w:rFonts w:eastAsia="Calibri"/>
                <w:sz w:val="24"/>
                <w:szCs w:val="24"/>
              </w:rPr>
              <w:t xml:space="preserve"> hour = 7,6</w:t>
            </w:r>
            <w:r>
              <w:rPr>
                <w:rFonts w:eastAsia="Calibri"/>
                <w:sz w:val="24"/>
                <w:szCs w:val="24"/>
              </w:rPr>
              <w:t>88</w:t>
            </w:r>
            <w:r w:rsidRPr="00BC6836">
              <w:rPr>
                <w:rFonts w:eastAsia="Calibri"/>
                <w:sz w:val="24"/>
                <w:szCs w:val="24"/>
              </w:rPr>
              <w:t xml:space="preserve"> hours</w:t>
            </w:r>
          </w:p>
        </w:tc>
      </w:tr>
      <w:tr w14:paraId="7D1C87BA" w14:textId="77777777" w:rsidTr="00C001C3">
        <w:tblPrEx>
          <w:tblW w:w="10233" w:type="dxa"/>
          <w:tblLook w:val="04A0"/>
        </w:tblPrEx>
        <w:trPr>
          <w:trHeight w:val="272"/>
        </w:trPr>
        <w:tc>
          <w:tcPr>
            <w:tcW w:w="1638" w:type="dxa"/>
          </w:tcPr>
          <w:p w:rsidR="00582BF4" w:rsidRPr="00BC6836" w:rsidP="00C001C3" w14:paraId="355AF630" w14:textId="77777777">
            <w:pPr>
              <w:rPr>
                <w:rFonts w:eastAsia="Calibri"/>
                <w:b/>
                <w:sz w:val="24"/>
                <w:szCs w:val="24"/>
              </w:rPr>
            </w:pPr>
            <w:r w:rsidRPr="00BC6836">
              <w:rPr>
                <w:rFonts w:eastAsia="Calibri"/>
                <w:b/>
                <w:sz w:val="24"/>
                <w:szCs w:val="24"/>
              </w:rPr>
              <w:t>Total Hours:</w:t>
            </w:r>
          </w:p>
        </w:tc>
        <w:tc>
          <w:tcPr>
            <w:tcW w:w="8595" w:type="dxa"/>
          </w:tcPr>
          <w:p w:rsidR="00582BF4" w:rsidRPr="00BC6836" w:rsidP="00C001C3" w14:paraId="7DA34F0C" w14:textId="77777777">
            <w:pPr>
              <w:rPr>
                <w:rFonts w:eastAsia="Calibri"/>
                <w:b/>
                <w:sz w:val="24"/>
                <w:szCs w:val="24"/>
              </w:rPr>
            </w:pPr>
            <w:r>
              <w:rPr>
                <w:rFonts w:eastAsia="Calibri"/>
                <w:b/>
                <w:sz w:val="24"/>
                <w:szCs w:val="24"/>
              </w:rPr>
              <w:t xml:space="preserve">10,741 </w:t>
            </w:r>
            <w:r w:rsidRPr="00BC6836">
              <w:rPr>
                <w:rFonts w:eastAsia="Calibri"/>
                <w:b/>
                <w:sz w:val="24"/>
                <w:szCs w:val="24"/>
              </w:rPr>
              <w:t>hours</w:t>
            </w:r>
          </w:p>
        </w:tc>
      </w:tr>
      <w:tr w14:paraId="56953F62" w14:textId="77777777" w:rsidTr="00C001C3">
        <w:tblPrEx>
          <w:tblW w:w="10233" w:type="dxa"/>
          <w:tblLook w:val="04A0"/>
        </w:tblPrEx>
        <w:trPr>
          <w:trHeight w:val="272"/>
        </w:trPr>
        <w:tc>
          <w:tcPr>
            <w:tcW w:w="1638" w:type="dxa"/>
          </w:tcPr>
          <w:p w:rsidR="00582BF4" w:rsidRPr="00F47EDC" w:rsidP="00C001C3" w14:paraId="4A8FDAE3" w14:textId="77777777">
            <w:pPr>
              <w:rPr>
                <w:rFonts w:eastAsia="Calibri"/>
                <w:b/>
                <w:sz w:val="24"/>
                <w:szCs w:val="24"/>
              </w:rPr>
            </w:pPr>
            <w:r w:rsidRPr="00F47EDC">
              <w:rPr>
                <w:rFonts w:eastAsia="Calibri"/>
                <w:b/>
                <w:sz w:val="24"/>
                <w:szCs w:val="24"/>
              </w:rPr>
              <w:t>Total Cost:</w:t>
            </w:r>
          </w:p>
        </w:tc>
        <w:tc>
          <w:tcPr>
            <w:tcW w:w="8595" w:type="dxa"/>
          </w:tcPr>
          <w:p w:rsidR="00582BF4" w:rsidRPr="00F47EDC" w:rsidP="00C001C3" w14:paraId="0BCD1B19" w14:textId="77777777">
            <w:pPr>
              <w:rPr>
                <w:rFonts w:eastAsia="Calibri"/>
                <w:b/>
                <w:sz w:val="24"/>
                <w:szCs w:val="24"/>
              </w:rPr>
            </w:pPr>
            <w:r w:rsidRPr="00F47EDC">
              <w:rPr>
                <w:rFonts w:eastAsia="Calibri"/>
                <w:b/>
                <w:sz w:val="24"/>
                <w:szCs w:val="24"/>
              </w:rPr>
              <w:t>1</w:t>
            </w:r>
            <w:r>
              <w:rPr>
                <w:rFonts w:eastAsia="Calibri"/>
                <w:b/>
                <w:sz w:val="24"/>
                <w:szCs w:val="24"/>
              </w:rPr>
              <w:t>0,741</w:t>
            </w:r>
            <w:r w:rsidRPr="00F47EDC">
              <w:rPr>
                <w:rFonts w:eastAsia="Calibri"/>
                <w:b/>
                <w:sz w:val="24"/>
                <w:szCs w:val="24"/>
              </w:rPr>
              <w:t xml:space="preserve"> hours x </w:t>
            </w:r>
            <w:r>
              <w:rPr>
                <w:rFonts w:eastAsia="Calibri"/>
                <w:b/>
                <w:sz w:val="24"/>
                <w:szCs w:val="24"/>
              </w:rPr>
              <w:t>$34.43</w:t>
            </w:r>
            <w:r w:rsidRPr="00F47EDC">
              <w:rPr>
                <w:rFonts w:eastAsia="Calibri"/>
                <w:b/>
                <w:sz w:val="24"/>
                <w:szCs w:val="24"/>
              </w:rPr>
              <w:t xml:space="preserve"> = $</w:t>
            </w:r>
            <w:r>
              <w:rPr>
                <w:rFonts w:eastAsia="Calibri"/>
                <w:b/>
                <w:sz w:val="24"/>
                <w:szCs w:val="24"/>
              </w:rPr>
              <w:t>369,813</w:t>
            </w:r>
          </w:p>
        </w:tc>
      </w:tr>
    </w:tbl>
    <w:p w:rsidR="00582BF4" w:rsidRPr="00BC6836" w:rsidP="00582BF4" w14:paraId="36AD805F" w14:textId="77777777">
      <w:pPr>
        <w:rPr>
          <w:rFonts w:eastAsia="Calibri"/>
          <w:sz w:val="24"/>
          <w:szCs w:val="24"/>
        </w:rPr>
      </w:pPr>
    </w:p>
    <w:p w:rsidR="00582BF4" w:rsidRPr="00BC6836" w:rsidP="00582BF4" w14:paraId="39229A53" w14:textId="77777777">
      <w:pPr>
        <w:rPr>
          <w:rFonts w:eastAsia="Calibri"/>
          <w:i/>
          <w:sz w:val="24"/>
          <w:szCs w:val="24"/>
          <w:u w:val="single"/>
        </w:rPr>
      </w:pPr>
      <w:r w:rsidRPr="00BC6836">
        <w:rPr>
          <w:rFonts w:eastAsia="Calibri"/>
          <w:i/>
          <w:sz w:val="24"/>
          <w:szCs w:val="24"/>
          <w:u w:val="single"/>
        </w:rPr>
        <w:t>Projects that bore with micro tunneling equipment</w:t>
      </w:r>
    </w:p>
    <w:p w:rsidR="00582BF4" w:rsidRPr="00BC6836" w:rsidP="00582BF4" w14:paraId="7F872582" w14:textId="77777777">
      <w:pPr>
        <w:rPr>
          <w:rFonts w:eastAsia="Calibri"/>
          <w:sz w:val="24"/>
          <w:szCs w:val="24"/>
        </w:rPr>
      </w:pPr>
    </w:p>
    <w:p w:rsidR="00582BF4" w:rsidRPr="00BC6836" w:rsidP="00582BF4" w14:paraId="7EB6F7BD" w14:textId="77777777">
      <w:pPr>
        <w:rPr>
          <w:rFonts w:eastAsia="Calibri"/>
          <w:sz w:val="24"/>
          <w:szCs w:val="24"/>
        </w:rPr>
      </w:pPr>
      <w:r w:rsidRPr="00BC6836">
        <w:rPr>
          <w:rFonts w:eastAsia="Calibri"/>
          <w:sz w:val="24"/>
          <w:szCs w:val="24"/>
        </w:rPr>
        <w:t xml:space="preserve">The remaining 123 small- and medium-bore projects consist of tunnels bored with micro tunneling equipment; this technology reduces worker entry into the underground-construction worksites compared to tunnels bored using conventional techniques, thereby reducing the monitoring requirements. Accordingly, the </w:t>
      </w:r>
      <w:r>
        <w:rPr>
          <w:rFonts w:eastAsia="Calibri"/>
          <w:sz w:val="24"/>
          <w:szCs w:val="24"/>
        </w:rPr>
        <w:t>a</w:t>
      </w:r>
      <w:r w:rsidRPr="00BC6836">
        <w:rPr>
          <w:rFonts w:eastAsia="Calibri"/>
          <w:sz w:val="24"/>
          <w:szCs w:val="24"/>
        </w:rPr>
        <w:t xml:space="preserve">gency estimates that contractors monitor each such project once daily at the face of the tunnel and at two sites within the tunnel.  In addition, OSHA assumes that contractors involved in micro tunneling use continuous monitors at the face of the tunnel, resulting in a total of 250 records per project during a 250-day work-year.  At the two remaining locations, half obtain the readings with simultaneous monitors and the other half use serial monitors; therefore, during a 250-day work-year, they use each </w:t>
      </w:r>
      <w:r>
        <w:rPr>
          <w:rFonts w:eastAsia="Calibri"/>
          <w:sz w:val="24"/>
          <w:szCs w:val="24"/>
        </w:rPr>
        <w:t>monitor</w:t>
      </w:r>
      <w:r w:rsidRPr="00BC6836">
        <w:rPr>
          <w:rFonts w:eastAsia="Calibri"/>
          <w:sz w:val="24"/>
          <w:szCs w:val="24"/>
        </w:rPr>
        <w:t xml:space="preserve"> to collect results for 250 records per project.  The yearly burden hour and cost estimates for this monitoring requirement are:</w:t>
      </w:r>
    </w:p>
    <w:p w:rsidR="00582BF4" w:rsidRPr="00BC6836" w:rsidP="00582BF4" w14:paraId="4C4B1641" w14:textId="77777777">
      <w:pPr>
        <w:rPr>
          <w:rFonts w:eastAsia="Calibri"/>
          <w:sz w:val="24"/>
          <w:szCs w:val="24"/>
        </w:rPr>
      </w:pPr>
    </w:p>
    <w:p w:rsidR="00582BF4" w:rsidRPr="00BC6836" w:rsidP="00582BF4" w14:paraId="77A19A8B" w14:textId="77777777">
      <w:pPr>
        <w:rPr>
          <w:rFonts w:eastAsia="Calibri"/>
          <w:b/>
          <w:sz w:val="24"/>
          <w:szCs w:val="24"/>
        </w:rPr>
      </w:pPr>
      <w:r w:rsidRPr="00BC6836">
        <w:rPr>
          <w:rFonts w:eastAsia="Calibri"/>
          <w:b/>
          <w:sz w:val="24"/>
          <w:szCs w:val="24"/>
        </w:rPr>
        <w:t>Table 5 - Burden Hours by Monitoring - Projects that bore with micro tunneling equipment</w:t>
      </w:r>
    </w:p>
    <w:p w:rsidR="00582BF4" w:rsidRPr="00BC6836" w:rsidP="00582BF4" w14:paraId="0DB2CC06" w14:textId="77777777">
      <w:pPr>
        <w:rPr>
          <w:rFonts w:eastAsia="Calibri"/>
          <w:sz w:val="24"/>
          <w:szCs w:val="24"/>
        </w:rPr>
      </w:pPr>
    </w:p>
    <w:tbl>
      <w:tblPr>
        <w:tblStyle w:val="TableGrid"/>
        <w:tblW w:w="10233" w:type="dxa"/>
        <w:tblLook w:val="04A0"/>
      </w:tblPr>
      <w:tblGrid>
        <w:gridCol w:w="1548"/>
        <w:gridCol w:w="8685"/>
      </w:tblGrid>
      <w:tr w14:paraId="36270746" w14:textId="77777777" w:rsidTr="00C001C3">
        <w:tblPrEx>
          <w:tblW w:w="10233" w:type="dxa"/>
          <w:tblLook w:val="04A0"/>
        </w:tblPrEx>
        <w:trPr>
          <w:trHeight w:val="545"/>
        </w:trPr>
        <w:tc>
          <w:tcPr>
            <w:tcW w:w="1548" w:type="dxa"/>
          </w:tcPr>
          <w:p w:rsidR="00582BF4" w:rsidRPr="00BC6836" w:rsidP="00C001C3" w14:paraId="1F49A9AB" w14:textId="77777777">
            <w:pPr>
              <w:rPr>
                <w:rFonts w:eastAsia="Calibri"/>
                <w:sz w:val="24"/>
                <w:szCs w:val="24"/>
              </w:rPr>
            </w:pPr>
            <w:r w:rsidRPr="00BC6836">
              <w:rPr>
                <w:rFonts w:eastAsia="Calibri"/>
                <w:sz w:val="24"/>
                <w:szCs w:val="24"/>
              </w:rPr>
              <w:t>Continuous Monitoring</w:t>
            </w:r>
          </w:p>
        </w:tc>
        <w:tc>
          <w:tcPr>
            <w:tcW w:w="8685" w:type="dxa"/>
          </w:tcPr>
          <w:p w:rsidR="00582BF4" w:rsidRPr="00BC6836" w:rsidP="00C001C3" w14:paraId="67FED465" w14:textId="77777777">
            <w:pPr>
              <w:rPr>
                <w:rFonts w:eastAsia="Calibri"/>
                <w:sz w:val="24"/>
                <w:szCs w:val="24"/>
              </w:rPr>
            </w:pPr>
            <w:r w:rsidRPr="00BC6836">
              <w:rPr>
                <w:rFonts w:eastAsia="Calibri"/>
                <w:sz w:val="24"/>
                <w:szCs w:val="24"/>
              </w:rPr>
              <w:t xml:space="preserve">123 projects x 250 records/days x </w:t>
            </w:r>
            <w:r>
              <w:rPr>
                <w:rFonts w:eastAsia="Calibri"/>
                <w:sz w:val="24"/>
                <w:szCs w:val="24"/>
              </w:rPr>
              <w:t>.008</w:t>
            </w:r>
            <w:r w:rsidRPr="00BC6836">
              <w:rPr>
                <w:rFonts w:eastAsia="Calibri"/>
                <w:sz w:val="24"/>
                <w:szCs w:val="24"/>
              </w:rPr>
              <w:t xml:space="preserve"> hour = 2</w:t>
            </w:r>
            <w:r>
              <w:rPr>
                <w:rFonts w:eastAsia="Calibri"/>
                <w:sz w:val="24"/>
                <w:szCs w:val="24"/>
              </w:rPr>
              <w:t>46</w:t>
            </w:r>
            <w:r w:rsidRPr="00BC6836">
              <w:rPr>
                <w:rFonts w:eastAsia="Calibri"/>
                <w:sz w:val="24"/>
                <w:szCs w:val="24"/>
              </w:rPr>
              <w:t xml:space="preserve"> hours</w:t>
            </w:r>
          </w:p>
        </w:tc>
      </w:tr>
      <w:tr w14:paraId="5646B081" w14:textId="77777777" w:rsidTr="00C001C3">
        <w:tblPrEx>
          <w:tblW w:w="10233" w:type="dxa"/>
          <w:tblLook w:val="04A0"/>
        </w:tblPrEx>
        <w:trPr>
          <w:trHeight w:val="560"/>
        </w:trPr>
        <w:tc>
          <w:tcPr>
            <w:tcW w:w="1548" w:type="dxa"/>
          </w:tcPr>
          <w:p w:rsidR="00582BF4" w:rsidRPr="00BC6836" w:rsidP="00C001C3" w14:paraId="124EE771" w14:textId="77777777">
            <w:pPr>
              <w:rPr>
                <w:rFonts w:eastAsia="Calibri"/>
                <w:sz w:val="24"/>
                <w:szCs w:val="24"/>
              </w:rPr>
            </w:pPr>
            <w:r w:rsidRPr="00BC6836">
              <w:rPr>
                <w:rFonts w:eastAsia="Calibri"/>
                <w:sz w:val="24"/>
                <w:szCs w:val="24"/>
              </w:rPr>
              <w:t>Simultaneous Monitoring</w:t>
            </w:r>
          </w:p>
        </w:tc>
        <w:tc>
          <w:tcPr>
            <w:tcW w:w="8685" w:type="dxa"/>
          </w:tcPr>
          <w:p w:rsidR="00582BF4" w:rsidRPr="00BC6836" w:rsidP="00C001C3" w14:paraId="781199D0" w14:textId="77777777">
            <w:pPr>
              <w:rPr>
                <w:rFonts w:eastAsia="Calibri"/>
                <w:sz w:val="24"/>
                <w:szCs w:val="24"/>
              </w:rPr>
            </w:pPr>
            <w:r w:rsidRPr="00BC6836">
              <w:rPr>
                <w:rFonts w:eastAsia="Calibri"/>
                <w:sz w:val="24"/>
                <w:szCs w:val="24"/>
              </w:rPr>
              <w:t xml:space="preserve">((123 projects x .5) x 250 records/days) x </w:t>
            </w:r>
            <w:r>
              <w:rPr>
                <w:rFonts w:eastAsia="Calibri"/>
                <w:sz w:val="24"/>
                <w:szCs w:val="24"/>
              </w:rPr>
              <w:t>1/60</w:t>
            </w:r>
            <w:r w:rsidRPr="00BC6836">
              <w:rPr>
                <w:rFonts w:eastAsia="Calibri"/>
                <w:sz w:val="24"/>
                <w:szCs w:val="24"/>
              </w:rPr>
              <w:t xml:space="preserve"> hour = 2</w:t>
            </w:r>
            <w:r>
              <w:rPr>
                <w:rFonts w:eastAsia="Calibri"/>
                <w:sz w:val="24"/>
                <w:szCs w:val="24"/>
              </w:rPr>
              <w:t>58</w:t>
            </w:r>
            <w:r w:rsidRPr="00BC6836">
              <w:rPr>
                <w:rFonts w:eastAsia="Calibri"/>
                <w:sz w:val="24"/>
                <w:szCs w:val="24"/>
              </w:rPr>
              <w:t xml:space="preserve"> hours</w:t>
            </w:r>
          </w:p>
        </w:tc>
      </w:tr>
      <w:tr w14:paraId="6E90F75B" w14:textId="77777777" w:rsidTr="00C001C3">
        <w:tblPrEx>
          <w:tblW w:w="10233" w:type="dxa"/>
          <w:tblLook w:val="04A0"/>
        </w:tblPrEx>
        <w:trPr>
          <w:trHeight w:val="272"/>
        </w:trPr>
        <w:tc>
          <w:tcPr>
            <w:tcW w:w="1548" w:type="dxa"/>
          </w:tcPr>
          <w:p w:rsidR="00582BF4" w:rsidRPr="00BC6836" w:rsidP="00C001C3" w14:paraId="70EE2D16" w14:textId="77777777">
            <w:pPr>
              <w:rPr>
                <w:rFonts w:eastAsia="Calibri"/>
                <w:sz w:val="24"/>
                <w:szCs w:val="24"/>
              </w:rPr>
            </w:pPr>
            <w:r w:rsidRPr="00BC6836">
              <w:rPr>
                <w:rFonts w:eastAsia="Calibri"/>
                <w:sz w:val="24"/>
                <w:szCs w:val="24"/>
              </w:rPr>
              <w:t>Serial Monitoring</w:t>
            </w:r>
          </w:p>
        </w:tc>
        <w:tc>
          <w:tcPr>
            <w:tcW w:w="8685" w:type="dxa"/>
          </w:tcPr>
          <w:p w:rsidR="00582BF4" w:rsidRPr="00BC6836" w:rsidP="00C001C3" w14:paraId="7C44983B" w14:textId="77777777">
            <w:pPr>
              <w:rPr>
                <w:rFonts w:eastAsia="Calibri"/>
                <w:sz w:val="24"/>
                <w:szCs w:val="24"/>
              </w:rPr>
            </w:pPr>
            <w:r w:rsidRPr="00BC6836">
              <w:rPr>
                <w:rFonts w:eastAsia="Calibri"/>
                <w:sz w:val="24"/>
                <w:szCs w:val="24"/>
              </w:rPr>
              <w:t xml:space="preserve">((123 projects x .5) x 250 records/day) x </w:t>
            </w:r>
            <w:r>
              <w:rPr>
                <w:rFonts w:eastAsia="Calibri"/>
                <w:sz w:val="24"/>
                <w:szCs w:val="24"/>
              </w:rPr>
              <w:t>3/60</w:t>
            </w:r>
            <w:r w:rsidRPr="00BC6836">
              <w:rPr>
                <w:rFonts w:eastAsia="Calibri"/>
                <w:sz w:val="24"/>
                <w:szCs w:val="24"/>
              </w:rPr>
              <w:t xml:space="preserve"> hour = 7</w:t>
            </w:r>
            <w:r>
              <w:rPr>
                <w:rFonts w:eastAsia="Calibri"/>
                <w:sz w:val="24"/>
                <w:szCs w:val="24"/>
              </w:rPr>
              <w:t>75</w:t>
            </w:r>
            <w:r w:rsidRPr="00BC6836">
              <w:rPr>
                <w:rFonts w:eastAsia="Calibri"/>
                <w:sz w:val="24"/>
                <w:szCs w:val="24"/>
              </w:rPr>
              <w:t xml:space="preserve"> hours</w:t>
            </w:r>
          </w:p>
        </w:tc>
      </w:tr>
      <w:tr w14:paraId="1C46A9DA" w14:textId="77777777" w:rsidTr="00C001C3">
        <w:tblPrEx>
          <w:tblW w:w="10233" w:type="dxa"/>
          <w:tblLook w:val="04A0"/>
        </w:tblPrEx>
        <w:trPr>
          <w:trHeight w:val="272"/>
        </w:trPr>
        <w:tc>
          <w:tcPr>
            <w:tcW w:w="1548" w:type="dxa"/>
          </w:tcPr>
          <w:p w:rsidR="00582BF4" w:rsidRPr="00BC6836" w:rsidP="00C001C3" w14:paraId="4A6E5BDD" w14:textId="77777777">
            <w:pPr>
              <w:rPr>
                <w:rFonts w:eastAsia="Calibri"/>
                <w:b/>
                <w:sz w:val="24"/>
                <w:szCs w:val="24"/>
              </w:rPr>
            </w:pPr>
            <w:r w:rsidRPr="00BC6836">
              <w:rPr>
                <w:rFonts w:eastAsia="Calibri"/>
                <w:b/>
                <w:sz w:val="24"/>
                <w:szCs w:val="24"/>
              </w:rPr>
              <w:t>Total hours:</w:t>
            </w:r>
          </w:p>
        </w:tc>
        <w:tc>
          <w:tcPr>
            <w:tcW w:w="8685" w:type="dxa"/>
          </w:tcPr>
          <w:p w:rsidR="00582BF4" w:rsidRPr="00BC6836" w:rsidP="00C001C3" w14:paraId="06C7063B" w14:textId="77777777">
            <w:pPr>
              <w:rPr>
                <w:rFonts w:eastAsia="Calibri"/>
                <w:b/>
                <w:sz w:val="24"/>
                <w:szCs w:val="24"/>
              </w:rPr>
            </w:pPr>
            <w:r w:rsidRPr="00BC6836">
              <w:rPr>
                <w:rFonts w:eastAsia="Calibri"/>
                <w:b/>
                <w:sz w:val="24"/>
                <w:szCs w:val="24"/>
              </w:rPr>
              <w:t>1,2</w:t>
            </w:r>
            <w:r>
              <w:rPr>
                <w:rFonts w:eastAsia="Calibri"/>
                <w:b/>
                <w:sz w:val="24"/>
                <w:szCs w:val="24"/>
              </w:rPr>
              <w:t>79</w:t>
            </w:r>
            <w:r w:rsidRPr="00BC6836">
              <w:rPr>
                <w:rFonts w:eastAsia="Calibri"/>
                <w:b/>
                <w:sz w:val="24"/>
                <w:szCs w:val="24"/>
              </w:rPr>
              <w:t xml:space="preserve"> hours</w:t>
            </w:r>
          </w:p>
        </w:tc>
      </w:tr>
      <w:tr w14:paraId="6124E765" w14:textId="77777777" w:rsidTr="00C001C3">
        <w:tblPrEx>
          <w:tblW w:w="10233" w:type="dxa"/>
          <w:tblLook w:val="04A0"/>
        </w:tblPrEx>
        <w:trPr>
          <w:trHeight w:val="272"/>
        </w:trPr>
        <w:tc>
          <w:tcPr>
            <w:tcW w:w="1548" w:type="dxa"/>
          </w:tcPr>
          <w:p w:rsidR="00582BF4" w:rsidRPr="00F47EDC" w:rsidP="00C001C3" w14:paraId="5DEECE4F" w14:textId="77777777">
            <w:pPr>
              <w:rPr>
                <w:rFonts w:eastAsia="Calibri"/>
                <w:b/>
                <w:sz w:val="24"/>
                <w:szCs w:val="24"/>
              </w:rPr>
            </w:pPr>
            <w:r w:rsidRPr="00F47EDC">
              <w:rPr>
                <w:rFonts w:eastAsia="Calibri"/>
                <w:b/>
                <w:sz w:val="24"/>
                <w:szCs w:val="24"/>
              </w:rPr>
              <w:t xml:space="preserve">Total Cost: </w:t>
            </w:r>
          </w:p>
        </w:tc>
        <w:tc>
          <w:tcPr>
            <w:tcW w:w="8685" w:type="dxa"/>
          </w:tcPr>
          <w:p w:rsidR="00582BF4" w:rsidRPr="00F47EDC" w:rsidP="00C001C3" w14:paraId="2D6D9CCB" w14:textId="77777777">
            <w:pPr>
              <w:rPr>
                <w:rFonts w:eastAsia="Calibri"/>
                <w:b/>
                <w:sz w:val="24"/>
                <w:szCs w:val="24"/>
              </w:rPr>
            </w:pPr>
            <w:r w:rsidRPr="00F47EDC">
              <w:rPr>
                <w:rFonts w:eastAsia="Calibri"/>
                <w:b/>
                <w:sz w:val="24"/>
                <w:szCs w:val="24"/>
              </w:rPr>
              <w:t>1,2</w:t>
            </w:r>
            <w:r>
              <w:rPr>
                <w:rFonts w:eastAsia="Calibri"/>
                <w:b/>
                <w:sz w:val="24"/>
                <w:szCs w:val="24"/>
              </w:rPr>
              <w:t>79</w:t>
            </w:r>
            <w:r w:rsidRPr="00F47EDC">
              <w:rPr>
                <w:rFonts w:eastAsia="Calibri"/>
                <w:b/>
                <w:sz w:val="24"/>
                <w:szCs w:val="24"/>
              </w:rPr>
              <w:t xml:space="preserve"> hours x </w:t>
            </w:r>
            <w:r>
              <w:rPr>
                <w:rFonts w:eastAsia="Calibri"/>
                <w:b/>
                <w:sz w:val="24"/>
                <w:szCs w:val="24"/>
              </w:rPr>
              <w:t>$34.43</w:t>
            </w:r>
            <w:r w:rsidRPr="00F47EDC">
              <w:rPr>
                <w:rFonts w:eastAsia="Calibri"/>
                <w:b/>
                <w:sz w:val="24"/>
                <w:szCs w:val="24"/>
              </w:rPr>
              <w:t xml:space="preserve"> = $</w:t>
            </w:r>
            <w:r>
              <w:rPr>
                <w:rFonts w:eastAsia="Calibri"/>
                <w:b/>
                <w:sz w:val="24"/>
                <w:szCs w:val="24"/>
              </w:rPr>
              <w:t>44,036</w:t>
            </w:r>
          </w:p>
        </w:tc>
      </w:tr>
    </w:tbl>
    <w:p w:rsidR="00582BF4" w:rsidP="00582BF4" w14:paraId="5FCDEAC0" w14:textId="77777777">
      <w:pPr>
        <w:rPr>
          <w:rFonts w:eastAsia="Calibri"/>
          <w:i/>
          <w:sz w:val="24"/>
          <w:szCs w:val="24"/>
        </w:rPr>
      </w:pPr>
    </w:p>
    <w:p w:rsidR="00582BF4" w:rsidRPr="00BC6836" w:rsidP="00582BF4" w14:paraId="79B3B884" w14:textId="77777777">
      <w:pPr>
        <w:rPr>
          <w:rFonts w:eastAsia="Calibri"/>
          <w:sz w:val="24"/>
          <w:szCs w:val="24"/>
        </w:rPr>
      </w:pPr>
      <w:r w:rsidRPr="00BC6836">
        <w:rPr>
          <w:rFonts w:eastAsia="Calibri"/>
          <w:i/>
          <w:sz w:val="24"/>
          <w:szCs w:val="24"/>
        </w:rPr>
        <w:t>Projects classified gassy or potentially gassy</w:t>
      </w:r>
    </w:p>
    <w:p w:rsidR="00582BF4" w:rsidRPr="00BC6836" w:rsidP="00582BF4" w14:paraId="7EBA87F3" w14:textId="77777777">
      <w:pPr>
        <w:rPr>
          <w:rFonts w:eastAsia="Calibri"/>
          <w:sz w:val="24"/>
          <w:szCs w:val="24"/>
        </w:rPr>
      </w:pPr>
    </w:p>
    <w:p w:rsidR="00582BF4" w:rsidRPr="00BC6836" w:rsidP="00582BF4" w14:paraId="54FE79F9" w14:textId="77777777">
      <w:pPr>
        <w:rPr>
          <w:rFonts w:eastAsia="Calibri"/>
          <w:sz w:val="24"/>
          <w:szCs w:val="24"/>
        </w:rPr>
      </w:pPr>
      <w:r w:rsidRPr="00BC6836">
        <w:rPr>
          <w:rFonts w:eastAsia="Calibri"/>
          <w:sz w:val="24"/>
          <w:szCs w:val="24"/>
        </w:rPr>
        <w:t xml:space="preserve">OSHA assumes that these gassy projects require continuous monitoring at the face of the tunnel and at five locations within the tunnel, and that these monitors have an automatic signaling device that activates an alarm (at the jobsite, above ground, or both) if a gas exceeds a preset level.  The </w:t>
      </w:r>
      <w:r>
        <w:rPr>
          <w:rFonts w:eastAsia="Calibri"/>
          <w:sz w:val="24"/>
          <w:szCs w:val="24"/>
        </w:rPr>
        <w:t>a</w:t>
      </w:r>
      <w:r w:rsidRPr="00BC6836">
        <w:rPr>
          <w:rFonts w:eastAsia="Calibri"/>
          <w:sz w:val="24"/>
          <w:szCs w:val="24"/>
        </w:rPr>
        <w:t xml:space="preserve">gency estimates that the contractors read and record the results from a monitor twice each shift (for three shifts each day) during a 250-day work-year, for a yearly total of 1,500 records for each monitor.  With nine gassy projects under construction each year, the annual burden hours and </w:t>
      </w:r>
      <w:r>
        <w:rPr>
          <w:rFonts w:eastAsia="Calibri"/>
          <w:sz w:val="24"/>
          <w:szCs w:val="24"/>
        </w:rPr>
        <w:t>costs</w:t>
      </w:r>
      <w:r w:rsidRPr="00BC6836">
        <w:rPr>
          <w:rFonts w:eastAsia="Calibri"/>
          <w:sz w:val="24"/>
          <w:szCs w:val="24"/>
        </w:rPr>
        <w:t xml:space="preserve"> associated with monitoring gassy projects are:</w:t>
      </w:r>
    </w:p>
    <w:p w:rsidR="00582BF4" w:rsidRPr="00BC6836" w:rsidP="00582BF4" w14:paraId="419A39AC" w14:textId="77777777">
      <w:pPr>
        <w:rPr>
          <w:rFonts w:eastAsia="Calibri"/>
          <w:sz w:val="24"/>
          <w:szCs w:val="24"/>
        </w:rPr>
      </w:pPr>
      <w:r w:rsidRPr="00BC6836">
        <w:rPr>
          <w:rFonts w:eastAsia="Calibri"/>
          <w:sz w:val="24"/>
          <w:szCs w:val="24"/>
        </w:rPr>
        <w:tab/>
      </w:r>
    </w:p>
    <w:p w:rsidR="00582BF4" w:rsidRPr="00BC6836" w:rsidP="00582BF4" w14:paraId="54A34AC2" w14:textId="77777777">
      <w:pPr>
        <w:ind w:left="2160" w:hanging="1440"/>
        <w:rPr>
          <w:rFonts w:eastAsia="Calibri"/>
          <w:sz w:val="24"/>
          <w:szCs w:val="24"/>
        </w:rPr>
      </w:pPr>
      <w:r w:rsidRPr="00BC6836">
        <w:rPr>
          <w:rFonts w:eastAsia="Calibri"/>
          <w:sz w:val="24"/>
          <w:szCs w:val="24"/>
        </w:rPr>
        <w:t>Burden hours:</w:t>
      </w:r>
      <w:r w:rsidRPr="00BC6836">
        <w:rPr>
          <w:rFonts w:eastAsia="Calibri"/>
          <w:sz w:val="24"/>
          <w:szCs w:val="24"/>
        </w:rPr>
        <w:tab/>
        <w:t xml:space="preserve">((9 projects x 6 locations x 250 days) x </w:t>
      </w:r>
      <w:r>
        <w:rPr>
          <w:rFonts w:eastAsia="Calibri"/>
          <w:sz w:val="24"/>
          <w:szCs w:val="24"/>
        </w:rPr>
        <w:t>.008</w:t>
      </w:r>
      <w:r w:rsidRPr="00BC6836">
        <w:rPr>
          <w:rFonts w:eastAsia="Calibri"/>
          <w:sz w:val="24"/>
          <w:szCs w:val="24"/>
        </w:rPr>
        <w:t xml:space="preserve"> hour) = 1</w:t>
      </w:r>
      <w:r>
        <w:rPr>
          <w:rFonts w:eastAsia="Calibri"/>
          <w:sz w:val="24"/>
          <w:szCs w:val="24"/>
        </w:rPr>
        <w:t>08</w:t>
      </w:r>
      <w:r w:rsidRPr="00BC6836">
        <w:rPr>
          <w:rFonts w:eastAsia="Calibri"/>
          <w:sz w:val="24"/>
          <w:szCs w:val="24"/>
        </w:rPr>
        <w:t xml:space="preserve"> hours</w:t>
      </w:r>
    </w:p>
    <w:p w:rsidR="00582BF4" w:rsidRPr="00BC6836" w:rsidP="00582BF4" w14:paraId="1777D510" w14:textId="77777777">
      <w:pPr>
        <w:rPr>
          <w:rFonts w:eastAsia="Calibri"/>
          <w:sz w:val="24"/>
          <w:szCs w:val="24"/>
        </w:rPr>
      </w:pPr>
    </w:p>
    <w:p w:rsidR="00582BF4" w:rsidRPr="00BC6836" w:rsidP="00582BF4" w14:paraId="6B357F75" w14:textId="77777777">
      <w:pPr>
        <w:rPr>
          <w:rFonts w:eastAsia="Calibri"/>
          <w:sz w:val="24"/>
          <w:szCs w:val="24"/>
        </w:rPr>
      </w:pPr>
      <w:r w:rsidRPr="00BC6836">
        <w:rPr>
          <w:rFonts w:eastAsia="Calibri"/>
          <w:sz w:val="24"/>
          <w:szCs w:val="24"/>
        </w:rPr>
        <w:tab/>
        <w:t>Cost:</w:t>
      </w:r>
      <w:r w:rsidRPr="00BC6836">
        <w:rPr>
          <w:rFonts w:eastAsia="Calibri"/>
          <w:sz w:val="24"/>
          <w:szCs w:val="24"/>
        </w:rPr>
        <w:tab/>
      </w:r>
      <w:r w:rsidRPr="00BC6836">
        <w:rPr>
          <w:rFonts w:eastAsia="Calibri"/>
          <w:sz w:val="24"/>
          <w:szCs w:val="24"/>
        </w:rPr>
        <w:tab/>
        <w:t>1</w:t>
      </w:r>
      <w:r>
        <w:rPr>
          <w:rFonts w:eastAsia="Calibri"/>
          <w:sz w:val="24"/>
          <w:szCs w:val="24"/>
        </w:rPr>
        <w:t>08</w:t>
      </w:r>
      <w:r w:rsidRPr="00BC6836">
        <w:rPr>
          <w:rFonts w:eastAsia="Calibri"/>
          <w:sz w:val="24"/>
          <w:szCs w:val="24"/>
        </w:rPr>
        <w:t xml:space="preserve"> hours x </w:t>
      </w:r>
      <w:r>
        <w:rPr>
          <w:rFonts w:eastAsia="Calibri"/>
          <w:sz w:val="24"/>
          <w:szCs w:val="24"/>
        </w:rPr>
        <w:t>$34.43</w:t>
      </w:r>
      <w:r w:rsidRPr="00BC6836">
        <w:rPr>
          <w:rFonts w:eastAsia="Calibri"/>
          <w:sz w:val="24"/>
          <w:szCs w:val="24"/>
        </w:rPr>
        <w:t xml:space="preserve"> = $3,</w:t>
      </w:r>
      <w:r>
        <w:rPr>
          <w:rFonts w:eastAsia="Calibri"/>
          <w:sz w:val="24"/>
          <w:szCs w:val="24"/>
        </w:rPr>
        <w:t>718</w:t>
      </w:r>
    </w:p>
    <w:p w:rsidR="00582BF4" w:rsidRPr="00BC6836" w:rsidP="00582BF4" w14:paraId="7E6791A1" w14:textId="77777777">
      <w:pPr>
        <w:rPr>
          <w:rFonts w:eastAsia="Calibri"/>
          <w:sz w:val="24"/>
          <w:szCs w:val="24"/>
        </w:rPr>
      </w:pPr>
    </w:p>
    <w:p w:rsidR="00582BF4" w:rsidRPr="00BC6836" w:rsidP="00582BF4" w14:paraId="664ABD81" w14:textId="77777777">
      <w:pPr>
        <w:rPr>
          <w:rFonts w:eastAsia="Calibri"/>
          <w:sz w:val="24"/>
          <w:szCs w:val="24"/>
        </w:rPr>
      </w:pPr>
      <w:r w:rsidRPr="00BC6836">
        <w:rPr>
          <w:rFonts w:eastAsia="Calibri"/>
          <w:sz w:val="24"/>
          <w:szCs w:val="24"/>
          <w:u w:val="single"/>
        </w:rPr>
        <w:t xml:space="preserve">Monitor Calibration                                           </w:t>
      </w:r>
    </w:p>
    <w:p w:rsidR="00582BF4" w:rsidRPr="00BC6836" w:rsidP="00582BF4" w14:paraId="5C54ECFB" w14:textId="77777777">
      <w:pPr>
        <w:rPr>
          <w:rFonts w:eastAsia="Calibri"/>
          <w:sz w:val="24"/>
          <w:szCs w:val="24"/>
        </w:rPr>
      </w:pPr>
    </w:p>
    <w:p w:rsidR="00582BF4" w:rsidRPr="00BC6836" w:rsidP="00582BF4" w14:paraId="41144156" w14:textId="77777777">
      <w:pPr>
        <w:rPr>
          <w:rFonts w:eastAsia="Calibri"/>
          <w:sz w:val="24"/>
          <w:szCs w:val="24"/>
        </w:rPr>
      </w:pPr>
      <w:r w:rsidRPr="00BC6836">
        <w:rPr>
          <w:rFonts w:eastAsia="Calibri"/>
          <w:sz w:val="24"/>
          <w:szCs w:val="24"/>
        </w:rPr>
        <w:t xml:space="preserve">The </w:t>
      </w:r>
      <w:r>
        <w:rPr>
          <w:rFonts w:eastAsia="Calibri"/>
          <w:sz w:val="24"/>
          <w:szCs w:val="24"/>
        </w:rPr>
        <w:t>a</w:t>
      </w:r>
      <w:r w:rsidRPr="00BC6836">
        <w:rPr>
          <w:rFonts w:eastAsia="Calibri"/>
          <w:sz w:val="24"/>
          <w:szCs w:val="24"/>
        </w:rPr>
        <w:t>gency assumes that a contractor must calibrate and recharge the battery for each monitor once a day.  OSHA estimates that, on average, a construction worker trained to calibrate monitors spends about 10 minutes (</w:t>
      </w:r>
      <w:r>
        <w:rPr>
          <w:rFonts w:eastAsia="Calibri"/>
          <w:sz w:val="24"/>
          <w:szCs w:val="24"/>
        </w:rPr>
        <w:t>10/60</w:t>
      </w:r>
      <w:r w:rsidRPr="00BC6836">
        <w:rPr>
          <w:rFonts w:eastAsia="Calibri"/>
          <w:sz w:val="24"/>
          <w:szCs w:val="24"/>
        </w:rPr>
        <w:t xml:space="preserve"> hour</w:t>
      </w:r>
      <w:r>
        <w:rPr>
          <w:rFonts w:eastAsia="Calibri"/>
          <w:sz w:val="24"/>
          <w:szCs w:val="24"/>
        </w:rPr>
        <w:t>s</w:t>
      </w:r>
      <w:r w:rsidRPr="00BC6836">
        <w:rPr>
          <w:rFonts w:eastAsia="Calibri"/>
          <w:sz w:val="24"/>
          <w:szCs w:val="24"/>
        </w:rPr>
        <w:t>) calibrating a continuous monitor and takes about five minutes (</w:t>
      </w:r>
      <w:r>
        <w:rPr>
          <w:rFonts w:eastAsia="Calibri"/>
          <w:sz w:val="24"/>
          <w:szCs w:val="24"/>
        </w:rPr>
        <w:t>5/60</w:t>
      </w:r>
      <w:r w:rsidRPr="00BC6836">
        <w:rPr>
          <w:rFonts w:eastAsia="Calibri"/>
          <w:sz w:val="24"/>
          <w:szCs w:val="24"/>
        </w:rPr>
        <w:t xml:space="preserve"> hour) to calibrate a simultaneous or serial monitor.  Recharging and calibrating utilize technically sophisticated docking stations, which in the near future will reduce the burden </w:t>
      </w:r>
      <w:r>
        <w:rPr>
          <w:rFonts w:eastAsia="Calibri"/>
          <w:sz w:val="24"/>
          <w:szCs w:val="24"/>
        </w:rPr>
        <w:t>of downloading, recording data, calibrating,</w:t>
      </w:r>
      <w:r w:rsidRPr="00BC6836">
        <w:rPr>
          <w:rFonts w:eastAsia="Calibri"/>
          <w:sz w:val="24"/>
          <w:szCs w:val="24"/>
        </w:rPr>
        <w:t xml:space="preserve"> and recharging monitors by automating the processes. </w:t>
      </w:r>
      <w:r>
        <w:rPr>
          <w:rFonts w:eastAsia="Calibri"/>
          <w:sz w:val="24"/>
          <w:szCs w:val="24"/>
        </w:rPr>
        <w:t xml:space="preserve">Based on industry reports, the agency takes a conservative burden </w:t>
      </w:r>
      <w:r w:rsidRPr="00BC6836">
        <w:rPr>
          <w:rFonts w:eastAsia="Calibri"/>
          <w:sz w:val="24"/>
          <w:szCs w:val="24"/>
        </w:rPr>
        <w:t xml:space="preserve">that a significantly increasing number of monitors dock with automated docking stations. </w:t>
      </w:r>
    </w:p>
    <w:p w:rsidR="00582BF4" w:rsidRPr="00BC6836" w:rsidP="00582BF4" w14:paraId="411B4627" w14:textId="77777777">
      <w:pPr>
        <w:rPr>
          <w:rFonts w:eastAsia="Calibri"/>
          <w:sz w:val="24"/>
          <w:szCs w:val="24"/>
        </w:rPr>
      </w:pPr>
    </w:p>
    <w:p w:rsidR="00582BF4" w:rsidP="00582BF4" w14:paraId="4E5F0BB3" w14:textId="77777777">
      <w:pPr>
        <w:rPr>
          <w:rFonts w:eastAsia="Calibri"/>
          <w:sz w:val="24"/>
          <w:szCs w:val="24"/>
        </w:rPr>
      </w:pPr>
      <w:r w:rsidRPr="00BC6836">
        <w:rPr>
          <w:rFonts w:eastAsia="Calibri"/>
          <w:b/>
          <w:sz w:val="24"/>
          <w:szCs w:val="24"/>
        </w:rPr>
        <w:t>Big-bore projects</w:t>
      </w:r>
      <w:r w:rsidRPr="00BC6836">
        <w:rPr>
          <w:rFonts w:eastAsia="Calibri"/>
          <w:sz w:val="24"/>
          <w:szCs w:val="24"/>
        </w:rPr>
        <w:t>:</w:t>
      </w:r>
    </w:p>
    <w:p w:rsidR="00582BF4" w:rsidRPr="00BC6836" w:rsidP="00582BF4" w14:paraId="2F50C172" w14:textId="77777777">
      <w:pPr>
        <w:rPr>
          <w:rFonts w:eastAsia="Calibri"/>
          <w:sz w:val="24"/>
          <w:szCs w:val="24"/>
        </w:rPr>
      </w:pPr>
      <w:r>
        <w:rPr>
          <w:rFonts w:eastAsia="Calibri"/>
          <w:sz w:val="24"/>
          <w:szCs w:val="24"/>
        </w:rPr>
        <w:t xml:space="preserve"> </w:t>
      </w:r>
    </w:p>
    <w:p w:rsidR="00582BF4" w:rsidRPr="00BC6836" w:rsidP="00582BF4" w14:paraId="481A1013" w14:textId="77777777">
      <w:pPr>
        <w:ind w:firstLine="720"/>
        <w:rPr>
          <w:rFonts w:eastAsia="Calibri"/>
          <w:sz w:val="24"/>
          <w:szCs w:val="24"/>
        </w:rPr>
      </w:pPr>
      <w:r w:rsidRPr="00BC6836">
        <w:rPr>
          <w:rFonts w:eastAsia="Calibri"/>
          <w:sz w:val="24"/>
          <w:szCs w:val="24"/>
        </w:rPr>
        <w:t>Continuous Monitoring Calibrations, 84 projects x 1 location x 250 days = 21,000</w:t>
      </w:r>
    </w:p>
    <w:p w:rsidR="00582BF4" w:rsidRPr="00BC6836" w:rsidP="00582BF4" w14:paraId="2AE784B1" w14:textId="77777777">
      <w:pPr>
        <w:ind w:left="720"/>
        <w:rPr>
          <w:rFonts w:eastAsia="Calibri"/>
          <w:sz w:val="24"/>
          <w:szCs w:val="24"/>
        </w:rPr>
      </w:pPr>
      <w:r w:rsidRPr="00247050">
        <w:rPr>
          <w:rFonts w:eastAsia="Calibri"/>
          <w:sz w:val="24"/>
          <w:szCs w:val="24"/>
        </w:rPr>
        <w:t>Simultaneous or serial monitor calibrations, 84 projects x 5 locations x 250 days = 105,000</w:t>
      </w:r>
    </w:p>
    <w:p w:rsidR="00582BF4" w:rsidRPr="00BC6836" w:rsidP="00582BF4" w14:paraId="0EDA4156" w14:textId="77777777">
      <w:pPr>
        <w:ind w:left="720"/>
        <w:rPr>
          <w:rFonts w:eastAsia="Calibri"/>
          <w:sz w:val="24"/>
          <w:szCs w:val="24"/>
        </w:rPr>
      </w:pPr>
    </w:p>
    <w:p w:rsidR="00582BF4" w:rsidP="00582BF4" w14:paraId="66093B35" w14:textId="77777777">
      <w:pPr>
        <w:rPr>
          <w:rFonts w:eastAsia="Calibri"/>
          <w:sz w:val="24"/>
          <w:szCs w:val="24"/>
        </w:rPr>
      </w:pPr>
      <w:r w:rsidRPr="00BC6836">
        <w:rPr>
          <w:rFonts w:eastAsia="Calibri"/>
          <w:b/>
          <w:sz w:val="24"/>
          <w:szCs w:val="24"/>
        </w:rPr>
        <w:t>Small- and medium conventional bore projects</w:t>
      </w:r>
      <w:r w:rsidRPr="00BC6836">
        <w:rPr>
          <w:rFonts w:eastAsia="Calibri"/>
          <w:sz w:val="24"/>
          <w:szCs w:val="24"/>
        </w:rPr>
        <w:t>:</w:t>
      </w:r>
    </w:p>
    <w:p w:rsidR="00582BF4" w:rsidRPr="00BC6836" w:rsidP="00582BF4" w14:paraId="0B315E96" w14:textId="77777777">
      <w:pPr>
        <w:rPr>
          <w:rFonts w:eastAsia="Calibri"/>
          <w:sz w:val="24"/>
          <w:szCs w:val="24"/>
        </w:rPr>
      </w:pPr>
    </w:p>
    <w:p w:rsidR="00582BF4" w:rsidRPr="00BC6836" w:rsidP="00582BF4" w14:paraId="00065D6A" w14:textId="77777777">
      <w:pPr>
        <w:ind w:left="720"/>
        <w:rPr>
          <w:rFonts w:eastAsia="Calibri"/>
          <w:sz w:val="24"/>
          <w:szCs w:val="24"/>
        </w:rPr>
      </w:pPr>
      <w:r w:rsidRPr="00BC6836">
        <w:rPr>
          <w:rFonts w:eastAsia="Calibri"/>
          <w:sz w:val="24"/>
          <w:szCs w:val="24"/>
        </w:rPr>
        <w:t>Continuous Monitoring Calibrations, 245 projects x 1 location x 250 days = 61,250 Simultaneous or serial monitor calibrations 245 projects x 5 additional sites x 250 days = 306,250</w:t>
      </w:r>
    </w:p>
    <w:p w:rsidR="00582BF4" w:rsidRPr="00BC6836" w:rsidP="00582BF4" w14:paraId="0F3A5279" w14:textId="77777777">
      <w:pPr>
        <w:ind w:left="720"/>
        <w:rPr>
          <w:rFonts w:eastAsia="Calibri"/>
          <w:sz w:val="24"/>
          <w:szCs w:val="24"/>
        </w:rPr>
      </w:pPr>
    </w:p>
    <w:p w:rsidR="00582BF4" w:rsidP="00582BF4" w14:paraId="4B7AB0D1" w14:textId="77777777">
      <w:pPr>
        <w:rPr>
          <w:rFonts w:eastAsia="Calibri"/>
          <w:sz w:val="24"/>
          <w:szCs w:val="24"/>
        </w:rPr>
      </w:pPr>
      <w:r w:rsidRPr="00BC6836">
        <w:rPr>
          <w:rFonts w:eastAsia="Calibri"/>
          <w:b/>
          <w:sz w:val="24"/>
          <w:szCs w:val="24"/>
        </w:rPr>
        <w:t>Small- and medium micro tunnel project</w:t>
      </w:r>
      <w:r w:rsidRPr="00BC6836">
        <w:rPr>
          <w:rFonts w:eastAsia="Calibri"/>
          <w:sz w:val="24"/>
          <w:szCs w:val="24"/>
        </w:rPr>
        <w:t>s:</w:t>
      </w:r>
    </w:p>
    <w:p w:rsidR="00582BF4" w:rsidRPr="00BC6836" w:rsidP="00582BF4" w14:paraId="3CDE26A6" w14:textId="77777777">
      <w:pPr>
        <w:rPr>
          <w:rFonts w:eastAsia="Calibri"/>
          <w:sz w:val="24"/>
          <w:szCs w:val="24"/>
        </w:rPr>
      </w:pPr>
      <w:r w:rsidRPr="00BC6836">
        <w:rPr>
          <w:rFonts w:eastAsia="Calibri"/>
          <w:sz w:val="24"/>
          <w:szCs w:val="24"/>
        </w:rPr>
        <w:t xml:space="preserve"> </w:t>
      </w:r>
    </w:p>
    <w:p w:rsidR="00582BF4" w:rsidRPr="00BC6836" w:rsidP="00582BF4" w14:paraId="317D8513" w14:textId="77777777">
      <w:pPr>
        <w:ind w:firstLine="720"/>
        <w:rPr>
          <w:rFonts w:eastAsia="Calibri"/>
          <w:sz w:val="24"/>
          <w:szCs w:val="24"/>
        </w:rPr>
      </w:pPr>
      <w:r w:rsidRPr="00BC6836">
        <w:rPr>
          <w:rFonts w:eastAsia="Calibri"/>
          <w:sz w:val="24"/>
          <w:szCs w:val="24"/>
        </w:rPr>
        <w:t xml:space="preserve">Continuous Monitoring Calibrations, 123 projects x 250 days x 1 face of tunnel = </w:t>
      </w:r>
      <w:r w:rsidRPr="00BC6836">
        <w:rPr>
          <w:rFonts w:eastAsia="Calibri"/>
          <w:sz w:val="24"/>
          <w:szCs w:val="24"/>
        </w:rPr>
        <w:tab/>
        <w:t xml:space="preserve">30,750 </w:t>
      </w:r>
    </w:p>
    <w:p w:rsidR="00582BF4" w:rsidRPr="00BC6836" w:rsidP="00582BF4" w14:paraId="3766EA6B" w14:textId="77777777">
      <w:pPr>
        <w:ind w:left="720"/>
        <w:rPr>
          <w:rFonts w:eastAsia="Calibri"/>
          <w:sz w:val="24"/>
          <w:szCs w:val="24"/>
        </w:rPr>
      </w:pPr>
      <w:r w:rsidRPr="00BC6836">
        <w:rPr>
          <w:rFonts w:eastAsia="Calibri"/>
          <w:sz w:val="24"/>
          <w:szCs w:val="24"/>
        </w:rPr>
        <w:t>Simultaneous or serial monitor calibrations 123 projects x 2 remaining locations x 250 days = 61,500</w:t>
      </w:r>
    </w:p>
    <w:p w:rsidR="00582BF4" w:rsidRPr="00BC6836" w:rsidP="00582BF4" w14:paraId="023BCD69" w14:textId="77777777">
      <w:pPr>
        <w:ind w:firstLine="720"/>
        <w:rPr>
          <w:rFonts w:eastAsia="Calibri"/>
          <w:sz w:val="24"/>
          <w:szCs w:val="24"/>
        </w:rPr>
      </w:pPr>
    </w:p>
    <w:p w:rsidR="00582BF4" w:rsidP="00582BF4" w14:paraId="4B43F402" w14:textId="77777777">
      <w:pPr>
        <w:rPr>
          <w:rFonts w:eastAsia="Calibri"/>
          <w:sz w:val="24"/>
          <w:szCs w:val="24"/>
        </w:rPr>
      </w:pPr>
      <w:r w:rsidRPr="00BC6836">
        <w:rPr>
          <w:rFonts w:eastAsia="Calibri"/>
          <w:b/>
          <w:sz w:val="24"/>
          <w:szCs w:val="24"/>
        </w:rPr>
        <w:t>Gassy classified projects</w:t>
      </w:r>
      <w:r w:rsidRPr="00BC6836">
        <w:rPr>
          <w:rFonts w:eastAsia="Calibri"/>
          <w:sz w:val="24"/>
          <w:szCs w:val="24"/>
        </w:rPr>
        <w:t>:</w:t>
      </w:r>
    </w:p>
    <w:p w:rsidR="00582BF4" w:rsidRPr="00BC6836" w:rsidP="00582BF4" w14:paraId="08F4D9C8" w14:textId="77777777">
      <w:pPr>
        <w:rPr>
          <w:rFonts w:eastAsia="Calibri"/>
          <w:sz w:val="24"/>
          <w:szCs w:val="24"/>
        </w:rPr>
      </w:pPr>
      <w:r w:rsidRPr="00BC6836">
        <w:rPr>
          <w:rFonts w:eastAsia="Calibri"/>
          <w:sz w:val="24"/>
          <w:szCs w:val="24"/>
        </w:rPr>
        <w:t xml:space="preserve"> </w:t>
      </w:r>
    </w:p>
    <w:p w:rsidR="00582BF4" w:rsidRPr="00BC6836" w:rsidP="00582BF4" w14:paraId="34538B19" w14:textId="77777777">
      <w:pPr>
        <w:ind w:left="720"/>
        <w:rPr>
          <w:rFonts w:eastAsia="Calibri"/>
          <w:sz w:val="24"/>
          <w:szCs w:val="24"/>
        </w:rPr>
      </w:pPr>
      <w:r w:rsidRPr="00BC6836">
        <w:rPr>
          <w:rFonts w:eastAsia="Calibri"/>
          <w:sz w:val="24"/>
          <w:szCs w:val="24"/>
        </w:rPr>
        <w:t xml:space="preserve">Continuous Monitor Calibrations, 9 projects x (2 twice a day x 3 shifts) x 250 days = 13,500 </w:t>
      </w:r>
    </w:p>
    <w:p w:rsidR="00582BF4" w:rsidRPr="00BC6836" w:rsidP="00582BF4" w14:paraId="040C15D4" w14:textId="77777777">
      <w:pPr>
        <w:ind w:left="720"/>
        <w:rPr>
          <w:rFonts w:eastAsia="Calibri"/>
          <w:sz w:val="24"/>
          <w:szCs w:val="24"/>
        </w:rPr>
      </w:pPr>
    </w:p>
    <w:p w:rsidR="00582BF4" w:rsidRPr="00BC6836" w:rsidP="00582BF4" w14:paraId="5EAE0E07" w14:textId="77777777">
      <w:pPr>
        <w:rPr>
          <w:rFonts w:eastAsia="Calibri"/>
          <w:sz w:val="24"/>
          <w:szCs w:val="24"/>
        </w:rPr>
      </w:pPr>
      <w:r w:rsidRPr="00BC6836">
        <w:rPr>
          <w:rFonts w:eastAsia="Calibri"/>
          <w:sz w:val="24"/>
          <w:szCs w:val="24"/>
        </w:rPr>
        <w:t>Therefore, the total number of continuous monitor calibrations is 126,500 (21,000 + 61,250 +30,750 + 13,500), and the total number of simultaneous or serial monitor calibrations is 472,750 (105,000 + 306,250 + 61,500).  Accordingly, the annual burden hour and cost estimates for this calibration requirement are:</w:t>
      </w:r>
    </w:p>
    <w:p w:rsidR="00582BF4" w:rsidRPr="00BC6836" w:rsidP="00582BF4" w14:paraId="565CFC3B" w14:textId="77777777">
      <w:pPr>
        <w:rPr>
          <w:rFonts w:eastAsia="Calibri"/>
          <w:sz w:val="24"/>
          <w:szCs w:val="24"/>
        </w:rPr>
      </w:pPr>
    </w:p>
    <w:p w:rsidR="00582BF4" w:rsidRPr="00BC6836" w:rsidP="00582BF4" w14:paraId="48454D88" w14:textId="77777777">
      <w:pPr>
        <w:ind w:left="2160" w:hanging="1440"/>
        <w:rPr>
          <w:rFonts w:eastAsia="Calibri"/>
          <w:sz w:val="24"/>
          <w:szCs w:val="24"/>
        </w:rPr>
      </w:pPr>
      <w:r w:rsidRPr="00BC6836">
        <w:rPr>
          <w:rFonts w:eastAsia="Calibri"/>
          <w:sz w:val="24"/>
          <w:szCs w:val="24"/>
        </w:rPr>
        <w:t>Burden hours:</w:t>
      </w:r>
      <w:r w:rsidRPr="00BC6836">
        <w:rPr>
          <w:rFonts w:eastAsia="Calibri"/>
          <w:sz w:val="24"/>
          <w:szCs w:val="24"/>
        </w:rPr>
        <w:tab/>
        <w:t xml:space="preserve">(126,500 continuous monitor measurements x </w:t>
      </w:r>
      <w:r>
        <w:rPr>
          <w:rFonts w:eastAsia="Calibri"/>
          <w:sz w:val="24"/>
          <w:szCs w:val="24"/>
        </w:rPr>
        <w:t>10/60</w:t>
      </w:r>
      <w:r w:rsidRPr="00BC6836">
        <w:rPr>
          <w:rFonts w:eastAsia="Calibri"/>
          <w:sz w:val="24"/>
          <w:szCs w:val="24"/>
        </w:rPr>
        <w:t xml:space="preserve"> hour</w:t>
      </w:r>
      <w:r>
        <w:rPr>
          <w:rFonts w:eastAsia="Calibri"/>
          <w:sz w:val="24"/>
          <w:szCs w:val="24"/>
        </w:rPr>
        <w:t xml:space="preserve"> = 21,083 hours </w:t>
      </w:r>
      <w:r w:rsidRPr="00BC6836">
        <w:rPr>
          <w:rFonts w:eastAsia="Calibri"/>
          <w:sz w:val="24"/>
          <w:szCs w:val="24"/>
        </w:rPr>
        <w:t xml:space="preserve">+ (472,750 simultaneous or serial monitor measurements x </w:t>
      </w:r>
      <w:r>
        <w:rPr>
          <w:rFonts w:eastAsia="Calibri"/>
          <w:sz w:val="24"/>
          <w:szCs w:val="24"/>
        </w:rPr>
        <w:t xml:space="preserve">5/60 </w:t>
      </w:r>
      <w:r w:rsidRPr="00BC6836">
        <w:rPr>
          <w:rFonts w:eastAsia="Calibri"/>
          <w:sz w:val="24"/>
          <w:szCs w:val="24"/>
        </w:rPr>
        <w:t>hour</w:t>
      </w:r>
      <w:r>
        <w:rPr>
          <w:rFonts w:eastAsia="Calibri"/>
          <w:sz w:val="24"/>
          <w:szCs w:val="24"/>
        </w:rPr>
        <w:t xml:space="preserve"> = </w:t>
      </w:r>
      <w:r w:rsidRPr="00BC6836">
        <w:rPr>
          <w:rFonts w:eastAsia="Calibri"/>
          <w:sz w:val="24"/>
          <w:szCs w:val="24"/>
        </w:rPr>
        <w:t>39,396</w:t>
      </w:r>
      <w:r>
        <w:rPr>
          <w:rFonts w:eastAsia="Calibri"/>
          <w:sz w:val="24"/>
          <w:szCs w:val="24"/>
        </w:rPr>
        <w:t xml:space="preserve"> hours)) = 60,479</w:t>
      </w:r>
      <w:r w:rsidRPr="00BC6836">
        <w:rPr>
          <w:rFonts w:eastAsia="Calibri"/>
          <w:sz w:val="24"/>
          <w:szCs w:val="24"/>
        </w:rPr>
        <w:t xml:space="preserve"> hours</w:t>
      </w:r>
    </w:p>
    <w:p w:rsidR="00582BF4" w:rsidRPr="00BC6836" w:rsidP="00582BF4" w14:paraId="25BC3C0A" w14:textId="77777777">
      <w:pPr>
        <w:rPr>
          <w:rFonts w:eastAsia="Calibri"/>
          <w:sz w:val="24"/>
          <w:szCs w:val="24"/>
        </w:rPr>
      </w:pPr>
    </w:p>
    <w:p w:rsidR="00582BF4" w:rsidRPr="00BC6836" w:rsidP="00582BF4" w14:paraId="4158191C" w14:textId="77777777">
      <w:pPr>
        <w:rPr>
          <w:rFonts w:eastAsia="Calibri"/>
          <w:sz w:val="24"/>
          <w:szCs w:val="24"/>
        </w:rPr>
      </w:pPr>
      <w:r w:rsidRPr="00BC6836">
        <w:rPr>
          <w:rFonts w:eastAsia="Calibri"/>
          <w:sz w:val="24"/>
          <w:szCs w:val="24"/>
        </w:rPr>
        <w:tab/>
        <w:t>Cost:</w:t>
      </w:r>
      <w:r w:rsidRPr="00BC6836">
        <w:rPr>
          <w:rFonts w:eastAsia="Calibri"/>
          <w:sz w:val="24"/>
          <w:szCs w:val="24"/>
        </w:rPr>
        <w:tab/>
      </w:r>
      <w:r w:rsidRPr="00BC6836">
        <w:rPr>
          <w:rFonts w:eastAsia="Calibri"/>
          <w:sz w:val="24"/>
          <w:szCs w:val="24"/>
        </w:rPr>
        <w:tab/>
      </w:r>
      <w:r>
        <w:rPr>
          <w:rFonts w:eastAsia="Calibri"/>
          <w:sz w:val="24"/>
          <w:szCs w:val="24"/>
        </w:rPr>
        <w:t>60,479</w:t>
      </w:r>
      <w:r w:rsidRPr="00BC6836">
        <w:rPr>
          <w:rFonts w:eastAsia="Calibri"/>
          <w:sz w:val="24"/>
          <w:szCs w:val="24"/>
        </w:rPr>
        <w:t xml:space="preserve"> hours x </w:t>
      </w:r>
      <w:r>
        <w:rPr>
          <w:rFonts w:eastAsia="Calibri"/>
          <w:sz w:val="24"/>
          <w:szCs w:val="24"/>
        </w:rPr>
        <w:t>$34.43</w:t>
      </w:r>
      <w:r w:rsidRPr="00BC6836">
        <w:rPr>
          <w:rFonts w:eastAsia="Calibri"/>
          <w:sz w:val="24"/>
          <w:szCs w:val="24"/>
        </w:rPr>
        <w:t xml:space="preserve"> = $</w:t>
      </w:r>
      <w:r>
        <w:rPr>
          <w:rFonts w:eastAsia="Calibri"/>
          <w:sz w:val="24"/>
          <w:szCs w:val="24"/>
        </w:rPr>
        <w:t>2,082,293</w:t>
      </w:r>
    </w:p>
    <w:p w:rsidR="00582BF4" w:rsidRPr="00BC6836" w:rsidP="00582BF4" w14:paraId="6BC819F7" w14:textId="77777777">
      <w:pPr>
        <w:rPr>
          <w:rFonts w:eastAsia="Calibri"/>
          <w:sz w:val="24"/>
          <w:szCs w:val="24"/>
        </w:rPr>
      </w:pPr>
    </w:p>
    <w:p w:rsidR="00582BF4" w:rsidRPr="00BC6836" w:rsidP="00582BF4" w14:paraId="76990DEA" w14:textId="77777777">
      <w:pPr>
        <w:spacing w:after="200" w:line="276" w:lineRule="auto"/>
        <w:rPr>
          <w:rFonts w:eastAsia="Calibri"/>
          <w:b/>
          <w:sz w:val="24"/>
          <w:szCs w:val="24"/>
        </w:rPr>
      </w:pPr>
      <w:r w:rsidRPr="00BC6836">
        <w:rPr>
          <w:rFonts w:eastAsia="Calibri"/>
          <w:b/>
          <w:sz w:val="24"/>
          <w:szCs w:val="24"/>
        </w:rPr>
        <w:t>(D)  Maintaining Check-In/Check-Out Procedures (§1926.800(c))</w:t>
      </w:r>
    </w:p>
    <w:p w:rsidR="00582BF4" w:rsidRPr="00BC6836" w:rsidP="00582BF4" w14:paraId="68B7CD81" w14:textId="77777777">
      <w:pPr>
        <w:rPr>
          <w:rFonts w:eastAsia="Calibri"/>
          <w:sz w:val="24"/>
          <w:szCs w:val="24"/>
        </w:rPr>
      </w:pPr>
      <w:r w:rsidRPr="00BC6836">
        <w:rPr>
          <w:rFonts w:eastAsia="Calibri"/>
          <w:sz w:val="24"/>
          <w:szCs w:val="24"/>
        </w:rPr>
        <w:t>The standard requires that employers must maintain a check-in/check-out procedure to ensure that aboveground personnel can determine an accurate count of the number of persons underground in the event of an emergency.</w:t>
      </w:r>
    </w:p>
    <w:p w:rsidR="00582BF4" w:rsidRPr="00BC6836" w:rsidP="00582BF4" w14:paraId="6E53C5AC" w14:textId="77777777">
      <w:pPr>
        <w:rPr>
          <w:rFonts w:eastAsia="Calibri"/>
          <w:sz w:val="24"/>
          <w:szCs w:val="24"/>
        </w:rPr>
      </w:pPr>
    </w:p>
    <w:p w:rsidR="00582BF4" w:rsidRPr="00BC6836" w:rsidP="00582BF4" w14:paraId="1ED34256" w14:textId="77777777">
      <w:pPr>
        <w:rPr>
          <w:rFonts w:eastAsia="Calibri"/>
          <w:sz w:val="24"/>
          <w:szCs w:val="24"/>
        </w:rPr>
      </w:pPr>
      <w:r w:rsidRPr="00BC6836">
        <w:rPr>
          <w:rFonts w:eastAsia="Calibri"/>
          <w:sz w:val="24"/>
          <w:szCs w:val="24"/>
        </w:rPr>
        <w:t>OSHA believes that the underground construction company established a company-wide check-in/check-out procedure ensuring that aboveground personnel have accurate counts of the number of people underground.  The Agency estimates that it would take 2 minutes (</w:t>
      </w:r>
      <w:r>
        <w:rPr>
          <w:rFonts w:eastAsia="Calibri"/>
          <w:sz w:val="24"/>
          <w:szCs w:val="24"/>
        </w:rPr>
        <w:t>2/60</w:t>
      </w:r>
      <w:r w:rsidRPr="00BC6836">
        <w:rPr>
          <w:rFonts w:eastAsia="Calibri"/>
          <w:sz w:val="24"/>
          <w:szCs w:val="24"/>
        </w:rPr>
        <w:t xml:space="preserve"> </w:t>
      </w:r>
      <w:r>
        <w:rPr>
          <w:rFonts w:eastAsia="Calibri"/>
          <w:sz w:val="24"/>
          <w:szCs w:val="24"/>
        </w:rPr>
        <w:t>hours</w:t>
      </w:r>
      <w:r w:rsidRPr="00BC6836">
        <w:rPr>
          <w:rFonts w:eastAsia="Calibri"/>
          <w:sz w:val="24"/>
          <w:szCs w:val="24"/>
        </w:rPr>
        <w:t>) to maintain this procedure.</w:t>
      </w:r>
    </w:p>
    <w:p w:rsidR="00582BF4" w:rsidRPr="00BC6836" w:rsidP="00582BF4" w14:paraId="29A4919E" w14:textId="77777777">
      <w:pPr>
        <w:rPr>
          <w:rFonts w:eastAsia="Calibri"/>
          <w:sz w:val="24"/>
          <w:szCs w:val="24"/>
        </w:rPr>
      </w:pPr>
    </w:p>
    <w:p w:rsidR="00582BF4" w:rsidRPr="00BC6836" w:rsidP="00582BF4" w14:paraId="297332F7" w14:textId="77777777">
      <w:pPr>
        <w:rPr>
          <w:rFonts w:eastAsia="Calibri"/>
          <w:sz w:val="24"/>
          <w:szCs w:val="24"/>
        </w:rPr>
      </w:pPr>
      <w:r w:rsidRPr="00BC6836">
        <w:rPr>
          <w:rFonts w:eastAsia="Calibri"/>
          <w:sz w:val="24"/>
          <w:szCs w:val="24"/>
        </w:rPr>
        <w:tab/>
        <w:t>Burden hour:</w:t>
      </w:r>
      <w:r w:rsidRPr="00BC6836">
        <w:rPr>
          <w:rFonts w:eastAsia="Calibri"/>
          <w:sz w:val="24"/>
          <w:szCs w:val="24"/>
        </w:rPr>
        <w:tab/>
        <w:t xml:space="preserve">461 projects x </w:t>
      </w:r>
      <w:r>
        <w:rPr>
          <w:rFonts w:eastAsia="Calibri"/>
          <w:sz w:val="24"/>
          <w:szCs w:val="24"/>
        </w:rPr>
        <w:t xml:space="preserve">2/60 </w:t>
      </w:r>
      <w:r w:rsidRPr="00BC6836">
        <w:rPr>
          <w:rFonts w:eastAsia="Calibri"/>
          <w:sz w:val="24"/>
          <w:szCs w:val="24"/>
        </w:rPr>
        <w:t>hour = 1</w:t>
      </w:r>
      <w:r>
        <w:rPr>
          <w:rFonts w:eastAsia="Calibri"/>
          <w:sz w:val="24"/>
          <w:szCs w:val="24"/>
        </w:rPr>
        <w:t>5</w:t>
      </w:r>
      <w:r w:rsidRPr="00BC6836">
        <w:rPr>
          <w:rFonts w:eastAsia="Calibri"/>
          <w:sz w:val="24"/>
          <w:szCs w:val="24"/>
        </w:rPr>
        <w:t xml:space="preserve"> hours</w:t>
      </w:r>
    </w:p>
    <w:p w:rsidR="00582BF4" w:rsidRPr="00BC6836" w:rsidP="00582BF4" w14:paraId="4376FC08" w14:textId="77777777">
      <w:pPr>
        <w:rPr>
          <w:rFonts w:eastAsia="Calibri"/>
          <w:sz w:val="24"/>
          <w:szCs w:val="24"/>
        </w:rPr>
      </w:pPr>
    </w:p>
    <w:p w:rsidR="00582BF4" w:rsidP="00582BF4" w14:paraId="46AF91A1" w14:textId="77777777">
      <w:pPr>
        <w:rPr>
          <w:rFonts w:eastAsia="Calibri"/>
          <w:sz w:val="24"/>
          <w:szCs w:val="24"/>
        </w:rPr>
      </w:pPr>
      <w:r w:rsidRPr="00BC6836">
        <w:rPr>
          <w:rFonts w:eastAsia="Calibri"/>
          <w:sz w:val="24"/>
          <w:szCs w:val="24"/>
        </w:rPr>
        <w:tab/>
        <w:t>Cost:</w:t>
      </w:r>
      <w:r w:rsidRPr="00BC6836">
        <w:rPr>
          <w:rFonts w:eastAsia="Calibri"/>
          <w:sz w:val="24"/>
          <w:szCs w:val="24"/>
        </w:rPr>
        <w:tab/>
      </w:r>
      <w:r w:rsidRPr="00BC6836">
        <w:rPr>
          <w:rFonts w:eastAsia="Calibri"/>
          <w:sz w:val="24"/>
          <w:szCs w:val="24"/>
        </w:rPr>
        <w:tab/>
        <w:t>1</w:t>
      </w:r>
      <w:r>
        <w:rPr>
          <w:rFonts w:eastAsia="Calibri"/>
          <w:sz w:val="24"/>
          <w:szCs w:val="24"/>
        </w:rPr>
        <w:t>5</w:t>
      </w:r>
      <w:r w:rsidRPr="00BC6836">
        <w:rPr>
          <w:rFonts w:eastAsia="Calibri"/>
          <w:sz w:val="24"/>
          <w:szCs w:val="24"/>
        </w:rPr>
        <w:t xml:space="preserve"> hours x </w:t>
      </w:r>
      <w:r>
        <w:rPr>
          <w:rFonts w:eastAsia="Calibri"/>
          <w:sz w:val="24"/>
          <w:szCs w:val="24"/>
        </w:rPr>
        <w:t>$34.43</w:t>
      </w:r>
      <w:r w:rsidRPr="00BC6836">
        <w:rPr>
          <w:rFonts w:eastAsia="Calibri"/>
          <w:sz w:val="24"/>
          <w:szCs w:val="24"/>
        </w:rPr>
        <w:t xml:space="preserve">= </w:t>
      </w:r>
      <w:r>
        <w:rPr>
          <w:rFonts w:eastAsia="Calibri"/>
          <w:sz w:val="24"/>
          <w:szCs w:val="24"/>
        </w:rPr>
        <w:t>$516</w:t>
      </w:r>
    </w:p>
    <w:p w:rsidR="00582BF4" w:rsidRPr="00BC6836" w:rsidP="00582BF4" w14:paraId="58729558" w14:textId="77777777">
      <w:pPr>
        <w:rPr>
          <w:rFonts w:eastAsia="Calibri"/>
          <w:sz w:val="24"/>
          <w:szCs w:val="24"/>
        </w:rPr>
      </w:pPr>
    </w:p>
    <w:p w:rsidR="00582BF4" w:rsidP="00582BF4" w14:paraId="3ED8323A" w14:textId="77777777">
      <w:pPr>
        <w:jc w:val="center"/>
        <w:rPr>
          <w:rFonts w:eastAsia="Calibri"/>
          <w:b/>
        </w:rPr>
      </w:pPr>
    </w:p>
    <w:p w:rsidR="00582BF4" w:rsidP="00582BF4" w14:paraId="070BAC12" w14:textId="77777777">
      <w:pPr>
        <w:jc w:val="center"/>
        <w:rPr>
          <w:rFonts w:eastAsia="Calibri"/>
          <w:b/>
          <w:sz w:val="24"/>
          <w:szCs w:val="24"/>
        </w:rPr>
      </w:pPr>
      <w:r w:rsidRPr="00C12F2A">
        <w:rPr>
          <w:rFonts w:eastAsia="Calibri"/>
          <w:b/>
          <w:sz w:val="24"/>
          <w:szCs w:val="24"/>
        </w:rPr>
        <w:t xml:space="preserve">Table 6 - Estimated Annualized Respondent Hour and Cost Burdens </w:t>
      </w:r>
    </w:p>
    <w:p w:rsidR="00582BF4" w:rsidRPr="00D23214" w:rsidP="00582BF4" w14:paraId="65D4EF93" w14:textId="77777777">
      <w:pPr>
        <w:jc w:val="center"/>
        <w:rPr>
          <w:rFonts w:eastAsia="Calibri"/>
        </w:rPr>
      </w:pPr>
    </w:p>
    <w:tbl>
      <w:tblPr>
        <w:tblpPr w:leftFromText="180" w:rightFromText="180" w:vertAnchor="text" w:tblpX="-460" w:tblpY="1"/>
        <w:tblOverlap w:val="never"/>
        <w:tblW w:w="105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620"/>
        <w:gridCol w:w="1350"/>
        <w:gridCol w:w="1260"/>
        <w:gridCol w:w="1170"/>
        <w:gridCol w:w="1440"/>
        <w:gridCol w:w="1260"/>
        <w:gridCol w:w="1160"/>
        <w:gridCol w:w="1270"/>
      </w:tblGrid>
      <w:tr w14:paraId="2944E836" w14:textId="77777777" w:rsidTr="00C001C3">
        <w:tblPrEx>
          <w:tblW w:w="105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Ex>
        <w:trPr>
          <w:trHeight w:val="2365"/>
          <w:tblHeader/>
        </w:trPr>
        <w:tc>
          <w:tcPr>
            <w:tcW w:w="1620" w:type="dxa"/>
            <w:shd w:val="clear" w:color="auto" w:fill="C9C9C9" w:themeFill="accent3" w:themeFillTint="99"/>
            <w:vAlign w:val="center"/>
          </w:tcPr>
          <w:p w:rsidR="00582BF4" w:rsidRPr="00D23214" w:rsidP="00C001C3" w14:paraId="34F7CDB8" w14:textId="77777777">
            <w:pPr>
              <w:jc w:val="center"/>
              <w:rPr>
                <w:b/>
                <w:bCs/>
                <w:color w:val="000000"/>
              </w:rPr>
            </w:pPr>
            <w:r w:rsidRPr="00D23214">
              <w:rPr>
                <w:rFonts w:eastAsia="Calibri"/>
                <w:b/>
              </w:rPr>
              <w:br w:type="page"/>
            </w:r>
            <w:r w:rsidRPr="00D23214">
              <w:rPr>
                <w:b/>
                <w:bCs/>
                <w:color w:val="000000"/>
              </w:rPr>
              <w:t>Collections</w:t>
            </w:r>
          </w:p>
          <w:p w:rsidR="00582BF4" w:rsidRPr="00D23214" w:rsidP="00C001C3" w14:paraId="219BD43A" w14:textId="77777777">
            <w:pPr>
              <w:jc w:val="center"/>
              <w:rPr>
                <w:b/>
                <w:bCs/>
                <w:color w:val="000000"/>
              </w:rPr>
            </w:pPr>
            <w:r w:rsidRPr="00D23214">
              <w:rPr>
                <w:b/>
                <w:bCs/>
                <w:color w:val="000000"/>
              </w:rPr>
              <w:t xml:space="preserve"> of </w:t>
            </w:r>
          </w:p>
          <w:p w:rsidR="00582BF4" w:rsidRPr="00D23214" w:rsidP="00C001C3" w14:paraId="72297A60" w14:textId="77777777">
            <w:pPr>
              <w:jc w:val="center"/>
              <w:rPr>
                <w:b/>
                <w:bCs/>
                <w:color w:val="000000"/>
              </w:rPr>
            </w:pPr>
            <w:r w:rsidRPr="00D23214">
              <w:rPr>
                <w:b/>
                <w:bCs/>
                <w:color w:val="000000"/>
              </w:rPr>
              <w:t>Information</w:t>
            </w:r>
          </w:p>
        </w:tc>
        <w:tc>
          <w:tcPr>
            <w:tcW w:w="1350" w:type="dxa"/>
            <w:shd w:val="clear" w:color="auto" w:fill="C9C9C9" w:themeFill="accent3" w:themeFillTint="99"/>
            <w:vAlign w:val="center"/>
          </w:tcPr>
          <w:p w:rsidR="00582BF4" w:rsidRPr="00D23214" w:rsidP="00C001C3" w14:paraId="3C48B5C1" w14:textId="77777777">
            <w:pPr>
              <w:jc w:val="center"/>
              <w:rPr>
                <w:b/>
                <w:color w:val="000000"/>
              </w:rPr>
            </w:pPr>
            <w:r w:rsidRPr="00D23214">
              <w:rPr>
                <w:b/>
                <w:color w:val="000000"/>
              </w:rPr>
              <w:t xml:space="preserve">No. </w:t>
            </w:r>
          </w:p>
          <w:p w:rsidR="00582BF4" w:rsidRPr="00D23214" w:rsidP="00C001C3" w14:paraId="4C7170C6" w14:textId="77777777">
            <w:pPr>
              <w:jc w:val="center"/>
              <w:rPr>
                <w:b/>
                <w:color w:val="000000"/>
              </w:rPr>
            </w:pPr>
            <w:r w:rsidRPr="00D23214">
              <w:rPr>
                <w:b/>
                <w:color w:val="000000"/>
              </w:rPr>
              <w:t xml:space="preserve">of </w:t>
            </w:r>
          </w:p>
          <w:p w:rsidR="00582BF4" w:rsidRPr="00D23214" w:rsidP="00C001C3" w14:paraId="37003698" w14:textId="77777777">
            <w:pPr>
              <w:jc w:val="center"/>
              <w:rPr>
                <w:b/>
                <w:color w:val="000000"/>
              </w:rPr>
            </w:pPr>
            <w:r w:rsidRPr="00D23214">
              <w:rPr>
                <w:b/>
                <w:color w:val="000000"/>
              </w:rPr>
              <w:t xml:space="preserve">Respondents </w:t>
            </w:r>
          </w:p>
          <w:p w:rsidR="00582BF4" w:rsidRPr="00D23214" w:rsidP="00C001C3" w14:paraId="1E3B36D1" w14:textId="77777777">
            <w:pPr>
              <w:jc w:val="center"/>
              <w:rPr>
                <w:b/>
                <w:color w:val="000000"/>
              </w:rPr>
            </w:pPr>
          </w:p>
          <w:p w:rsidR="00582BF4" w:rsidRPr="00D23214" w:rsidP="00C001C3" w14:paraId="60B2C258" w14:textId="77777777">
            <w:pPr>
              <w:jc w:val="center"/>
              <w:rPr>
                <w:b/>
                <w:color w:val="000000"/>
              </w:rPr>
            </w:pPr>
          </w:p>
        </w:tc>
        <w:tc>
          <w:tcPr>
            <w:tcW w:w="1260" w:type="dxa"/>
            <w:shd w:val="clear" w:color="auto" w:fill="C9C9C9" w:themeFill="accent3" w:themeFillTint="99"/>
            <w:vAlign w:val="center"/>
          </w:tcPr>
          <w:p w:rsidR="00582BF4" w:rsidRPr="00D23214" w:rsidP="00C001C3" w14:paraId="44D6A2AE" w14:textId="77777777">
            <w:pPr>
              <w:jc w:val="center"/>
              <w:rPr>
                <w:b/>
                <w:color w:val="000000"/>
              </w:rPr>
            </w:pPr>
            <w:r w:rsidRPr="00D23214">
              <w:rPr>
                <w:b/>
                <w:color w:val="000000"/>
              </w:rPr>
              <w:t xml:space="preserve">No. </w:t>
            </w:r>
          </w:p>
          <w:p w:rsidR="00582BF4" w:rsidRPr="00D23214" w:rsidP="00C001C3" w14:paraId="792BB896" w14:textId="77777777">
            <w:pPr>
              <w:jc w:val="center"/>
              <w:rPr>
                <w:b/>
                <w:color w:val="000000"/>
              </w:rPr>
            </w:pPr>
            <w:r w:rsidRPr="00D23214">
              <w:rPr>
                <w:b/>
                <w:color w:val="000000"/>
              </w:rPr>
              <w:t>of Responses per Respondent</w:t>
            </w:r>
          </w:p>
          <w:p w:rsidR="00582BF4" w:rsidRPr="00D23214" w:rsidP="00C001C3" w14:paraId="1D55485B" w14:textId="77777777">
            <w:pPr>
              <w:jc w:val="center"/>
              <w:rPr>
                <w:b/>
                <w:color w:val="000000"/>
              </w:rPr>
            </w:pPr>
            <w:r w:rsidRPr="00D23214">
              <w:rPr>
                <w:b/>
                <w:color w:val="000000"/>
              </w:rPr>
              <w:t xml:space="preserve"> </w:t>
            </w:r>
          </w:p>
          <w:p w:rsidR="00582BF4" w:rsidRPr="00D23214" w:rsidP="00C001C3" w14:paraId="6BC59A41" w14:textId="77777777">
            <w:pPr>
              <w:jc w:val="center"/>
              <w:rPr>
                <w:b/>
                <w:color w:val="000000"/>
              </w:rPr>
            </w:pPr>
          </w:p>
        </w:tc>
        <w:tc>
          <w:tcPr>
            <w:tcW w:w="1170" w:type="dxa"/>
            <w:shd w:val="clear" w:color="auto" w:fill="C9C9C9" w:themeFill="accent3" w:themeFillTint="99"/>
            <w:vAlign w:val="center"/>
          </w:tcPr>
          <w:p w:rsidR="00582BF4" w:rsidRPr="00D23214" w:rsidP="00C001C3" w14:paraId="16BBAF98" w14:textId="77777777">
            <w:pPr>
              <w:jc w:val="center"/>
              <w:rPr>
                <w:b/>
                <w:bCs/>
                <w:color w:val="000000"/>
              </w:rPr>
            </w:pPr>
            <w:r w:rsidRPr="00D23214">
              <w:rPr>
                <w:b/>
                <w:bCs/>
                <w:color w:val="000000"/>
              </w:rPr>
              <w:t>Total</w:t>
            </w:r>
          </w:p>
          <w:p w:rsidR="00582BF4" w:rsidRPr="00D23214" w:rsidP="00C001C3" w14:paraId="394C16FD" w14:textId="77777777">
            <w:pPr>
              <w:jc w:val="center"/>
              <w:rPr>
                <w:b/>
                <w:bCs/>
                <w:color w:val="000000"/>
              </w:rPr>
            </w:pPr>
            <w:r w:rsidRPr="00D23214">
              <w:rPr>
                <w:b/>
                <w:bCs/>
                <w:color w:val="000000"/>
              </w:rPr>
              <w:t xml:space="preserve">No. </w:t>
            </w:r>
          </w:p>
          <w:p w:rsidR="00582BF4" w:rsidRPr="00D23214" w:rsidP="00C001C3" w14:paraId="371AA74D" w14:textId="77777777">
            <w:pPr>
              <w:jc w:val="center"/>
              <w:rPr>
                <w:b/>
                <w:bCs/>
                <w:color w:val="000000"/>
              </w:rPr>
            </w:pPr>
            <w:r w:rsidRPr="00D23214">
              <w:rPr>
                <w:b/>
                <w:bCs/>
                <w:color w:val="000000"/>
              </w:rPr>
              <w:t xml:space="preserve">of Responses </w:t>
            </w:r>
          </w:p>
          <w:p w:rsidR="00582BF4" w:rsidRPr="00D23214" w:rsidP="00C001C3" w14:paraId="14910214" w14:textId="77777777">
            <w:pPr>
              <w:jc w:val="center"/>
              <w:rPr>
                <w:b/>
                <w:bCs/>
                <w:color w:val="000000"/>
              </w:rPr>
            </w:pPr>
          </w:p>
          <w:p w:rsidR="00582BF4" w:rsidRPr="00D23214" w:rsidP="00C001C3" w14:paraId="1A096939" w14:textId="77777777">
            <w:pPr>
              <w:jc w:val="center"/>
              <w:rPr>
                <w:b/>
                <w:bCs/>
                <w:i/>
                <w:color w:val="000000"/>
              </w:rPr>
            </w:pPr>
          </w:p>
        </w:tc>
        <w:tc>
          <w:tcPr>
            <w:tcW w:w="1440" w:type="dxa"/>
            <w:shd w:val="clear" w:color="auto" w:fill="C9C9C9" w:themeFill="accent3" w:themeFillTint="99"/>
            <w:vAlign w:val="center"/>
          </w:tcPr>
          <w:p w:rsidR="00582BF4" w:rsidRPr="00D23214" w:rsidP="00C001C3" w14:paraId="76166CC5" w14:textId="77777777">
            <w:pPr>
              <w:jc w:val="center"/>
              <w:rPr>
                <w:b/>
                <w:bCs/>
                <w:color w:val="000000"/>
              </w:rPr>
            </w:pPr>
            <w:r w:rsidRPr="00D23214">
              <w:rPr>
                <w:b/>
                <w:bCs/>
                <w:color w:val="000000"/>
              </w:rPr>
              <w:t xml:space="preserve">Avg. Burden </w:t>
            </w:r>
          </w:p>
          <w:p w:rsidR="00582BF4" w:rsidRPr="00D23214" w:rsidP="00C001C3" w14:paraId="5557C331" w14:textId="77777777">
            <w:pPr>
              <w:jc w:val="center"/>
              <w:rPr>
                <w:b/>
                <w:bCs/>
                <w:color w:val="000000"/>
              </w:rPr>
            </w:pPr>
            <w:r w:rsidRPr="00D23214">
              <w:rPr>
                <w:b/>
                <w:bCs/>
                <w:color w:val="000000"/>
              </w:rPr>
              <w:t>per Response (in H</w:t>
            </w:r>
            <w:r>
              <w:rPr>
                <w:b/>
                <w:bCs/>
                <w:color w:val="000000"/>
              </w:rPr>
              <w:t>ou</w:t>
            </w:r>
            <w:r w:rsidRPr="00D23214">
              <w:rPr>
                <w:b/>
                <w:bCs/>
                <w:color w:val="000000"/>
              </w:rPr>
              <w:t>rs)</w:t>
            </w:r>
          </w:p>
          <w:p w:rsidR="00582BF4" w:rsidRPr="00D23214" w:rsidP="00C001C3" w14:paraId="22E811EF" w14:textId="77777777">
            <w:pPr>
              <w:jc w:val="center"/>
              <w:rPr>
                <w:b/>
                <w:bCs/>
                <w:color w:val="000000"/>
              </w:rPr>
            </w:pPr>
          </w:p>
          <w:p w:rsidR="00582BF4" w:rsidRPr="00D23214" w:rsidP="00C001C3" w14:paraId="3C04BD37" w14:textId="77777777">
            <w:pPr>
              <w:jc w:val="center"/>
              <w:rPr>
                <w:b/>
                <w:bCs/>
                <w:i/>
                <w:color w:val="000000"/>
              </w:rPr>
            </w:pPr>
          </w:p>
        </w:tc>
        <w:tc>
          <w:tcPr>
            <w:tcW w:w="1260" w:type="dxa"/>
            <w:shd w:val="clear" w:color="auto" w:fill="C9C9C9" w:themeFill="accent3" w:themeFillTint="99"/>
            <w:vAlign w:val="center"/>
          </w:tcPr>
          <w:p w:rsidR="00582BF4" w:rsidRPr="00D23214" w:rsidP="00C001C3" w14:paraId="1CDBB416" w14:textId="77777777">
            <w:pPr>
              <w:jc w:val="center"/>
              <w:rPr>
                <w:b/>
                <w:bCs/>
                <w:color w:val="000000"/>
              </w:rPr>
            </w:pPr>
            <w:r w:rsidRPr="00D23214">
              <w:rPr>
                <w:b/>
                <w:bCs/>
                <w:color w:val="000000"/>
              </w:rPr>
              <w:t xml:space="preserve">Total Burden Hours </w:t>
            </w:r>
            <w:r w:rsidRPr="00D82B08">
              <w:rPr>
                <w:b/>
                <w:bCs/>
                <w:i/>
                <w:color w:val="000000"/>
              </w:rPr>
              <w:t>(rounded)</w:t>
            </w:r>
            <w:r w:rsidRPr="00D23214">
              <w:rPr>
                <w:b/>
                <w:bCs/>
                <w:color w:val="000000"/>
              </w:rPr>
              <w:t xml:space="preserve"> </w:t>
            </w:r>
          </w:p>
          <w:p w:rsidR="00582BF4" w:rsidRPr="00D23214" w:rsidP="00C001C3" w14:paraId="33985FF3" w14:textId="77777777">
            <w:pPr>
              <w:jc w:val="center"/>
              <w:rPr>
                <w:b/>
                <w:bCs/>
                <w:color w:val="000000"/>
              </w:rPr>
            </w:pPr>
          </w:p>
          <w:p w:rsidR="00582BF4" w:rsidRPr="00D23214" w:rsidP="00C001C3" w14:paraId="77A5AA57" w14:textId="77777777">
            <w:pPr>
              <w:jc w:val="center"/>
              <w:rPr>
                <w:b/>
                <w:bCs/>
                <w:i/>
                <w:color w:val="000000"/>
              </w:rPr>
            </w:pPr>
          </w:p>
        </w:tc>
        <w:tc>
          <w:tcPr>
            <w:tcW w:w="1160" w:type="dxa"/>
            <w:shd w:val="clear" w:color="auto" w:fill="C9C9C9" w:themeFill="accent3" w:themeFillTint="99"/>
            <w:vAlign w:val="center"/>
          </w:tcPr>
          <w:p w:rsidR="00582BF4" w:rsidRPr="00D23214" w:rsidP="00C001C3" w14:paraId="2984CD3C" w14:textId="77777777">
            <w:pPr>
              <w:jc w:val="center"/>
              <w:rPr>
                <w:b/>
                <w:bCs/>
                <w:color w:val="000000"/>
              </w:rPr>
            </w:pPr>
            <w:r>
              <w:rPr>
                <w:b/>
                <w:bCs/>
                <w:color w:val="000000"/>
              </w:rPr>
              <w:t xml:space="preserve">Loaded Hourly </w:t>
            </w:r>
            <w:r w:rsidRPr="00D23214">
              <w:rPr>
                <w:b/>
                <w:bCs/>
                <w:color w:val="000000"/>
              </w:rPr>
              <w:t xml:space="preserve">Wage  </w:t>
            </w:r>
          </w:p>
          <w:p w:rsidR="00582BF4" w:rsidRPr="00D23214" w:rsidP="00C001C3" w14:paraId="66C23390" w14:textId="77777777">
            <w:pPr>
              <w:jc w:val="center"/>
              <w:rPr>
                <w:b/>
                <w:bCs/>
                <w:color w:val="000000"/>
              </w:rPr>
            </w:pPr>
          </w:p>
          <w:p w:rsidR="00582BF4" w:rsidRPr="00D23214" w:rsidP="00C001C3" w14:paraId="43410111" w14:textId="77777777">
            <w:pPr>
              <w:jc w:val="center"/>
              <w:rPr>
                <w:b/>
                <w:bCs/>
                <w:color w:val="000000"/>
              </w:rPr>
            </w:pPr>
          </w:p>
        </w:tc>
        <w:tc>
          <w:tcPr>
            <w:tcW w:w="1270" w:type="dxa"/>
            <w:shd w:val="clear" w:color="auto" w:fill="C9C9C9" w:themeFill="accent3" w:themeFillTint="99"/>
            <w:noWrap/>
            <w:vAlign w:val="center"/>
          </w:tcPr>
          <w:p w:rsidR="00582BF4" w:rsidRPr="00D23214" w:rsidP="00C001C3" w14:paraId="2FD2B647" w14:textId="77777777">
            <w:pPr>
              <w:jc w:val="center"/>
              <w:rPr>
                <w:b/>
                <w:bCs/>
                <w:color w:val="000000"/>
              </w:rPr>
            </w:pPr>
            <w:r w:rsidRPr="00D23214">
              <w:rPr>
                <w:b/>
                <w:bCs/>
                <w:color w:val="000000"/>
              </w:rPr>
              <w:t xml:space="preserve">Total Burden Costs </w:t>
            </w:r>
          </w:p>
          <w:p w:rsidR="00582BF4" w:rsidRPr="00D23214" w:rsidP="00C001C3" w14:paraId="41A7981C" w14:textId="77777777">
            <w:pPr>
              <w:jc w:val="center"/>
              <w:rPr>
                <w:b/>
                <w:bCs/>
                <w:i/>
                <w:color w:val="000000"/>
              </w:rPr>
            </w:pPr>
            <w:r>
              <w:rPr>
                <w:b/>
                <w:bCs/>
                <w:i/>
                <w:color w:val="000000"/>
              </w:rPr>
              <w:t xml:space="preserve">(rounded) </w:t>
            </w:r>
          </w:p>
          <w:p w:rsidR="00582BF4" w:rsidRPr="00D23214" w:rsidP="00C001C3" w14:paraId="55834D9A" w14:textId="77777777">
            <w:pPr>
              <w:jc w:val="center"/>
              <w:rPr>
                <w:b/>
                <w:bCs/>
                <w:i/>
                <w:color w:val="000000"/>
              </w:rPr>
            </w:pPr>
          </w:p>
        </w:tc>
      </w:tr>
      <w:tr w14:paraId="297D89DB" w14:textId="77777777" w:rsidTr="00C001C3">
        <w:tblPrEx>
          <w:tblW w:w="10530" w:type="dxa"/>
          <w:tblLayout w:type="fixed"/>
          <w:tblLook w:val="04A0"/>
        </w:tblPrEx>
        <w:trPr>
          <w:trHeight w:val="510"/>
        </w:trPr>
        <w:tc>
          <w:tcPr>
            <w:tcW w:w="1620" w:type="dxa"/>
            <w:shd w:val="clear" w:color="auto" w:fill="auto"/>
            <w:vAlign w:val="center"/>
            <w:hideMark/>
          </w:tcPr>
          <w:p w:rsidR="00582BF4" w:rsidRPr="00D23214" w:rsidP="00C001C3" w14:paraId="538D1C3C" w14:textId="77777777">
            <w:pPr>
              <w:rPr>
                <w:b/>
                <w:bCs/>
                <w:color w:val="000000"/>
              </w:rPr>
            </w:pPr>
            <w:r w:rsidRPr="00D23214">
              <w:rPr>
                <w:b/>
                <w:bCs/>
                <w:color w:val="000000"/>
              </w:rPr>
              <w:t>A. Posting Warning Signs and Notices **</w:t>
            </w:r>
          </w:p>
        </w:tc>
        <w:tc>
          <w:tcPr>
            <w:tcW w:w="1350" w:type="dxa"/>
            <w:shd w:val="clear" w:color="000000" w:fill="D9D9D9"/>
            <w:vAlign w:val="center"/>
            <w:hideMark/>
          </w:tcPr>
          <w:p w:rsidR="00582BF4" w:rsidRPr="00D23214" w:rsidP="00C001C3" w14:paraId="6781019C" w14:textId="77777777">
            <w:pPr>
              <w:jc w:val="center"/>
              <w:rPr>
                <w:color w:val="000000"/>
              </w:rPr>
            </w:pPr>
            <w:r w:rsidRPr="00D23214">
              <w:rPr>
                <w:color w:val="000000"/>
              </w:rPr>
              <w:t> </w:t>
            </w:r>
          </w:p>
        </w:tc>
        <w:tc>
          <w:tcPr>
            <w:tcW w:w="1260" w:type="dxa"/>
            <w:shd w:val="clear" w:color="000000" w:fill="D9D9D9"/>
            <w:vAlign w:val="center"/>
            <w:hideMark/>
          </w:tcPr>
          <w:p w:rsidR="00582BF4" w:rsidRPr="00D23214" w:rsidP="00C001C3" w14:paraId="5B27B961" w14:textId="77777777">
            <w:pPr>
              <w:jc w:val="center"/>
              <w:rPr>
                <w:color w:val="000000"/>
              </w:rPr>
            </w:pPr>
            <w:r w:rsidRPr="00D23214">
              <w:rPr>
                <w:color w:val="000000"/>
              </w:rPr>
              <w:t> </w:t>
            </w:r>
          </w:p>
        </w:tc>
        <w:tc>
          <w:tcPr>
            <w:tcW w:w="1170" w:type="dxa"/>
            <w:shd w:val="clear" w:color="000000" w:fill="D9D9D9"/>
            <w:vAlign w:val="center"/>
            <w:hideMark/>
          </w:tcPr>
          <w:p w:rsidR="00582BF4" w:rsidRPr="00D23214" w:rsidP="00C001C3" w14:paraId="1DFF93CF" w14:textId="77777777">
            <w:pPr>
              <w:jc w:val="center"/>
              <w:rPr>
                <w:color w:val="000000"/>
              </w:rPr>
            </w:pPr>
            <w:r w:rsidRPr="00D23214">
              <w:rPr>
                <w:bCs/>
                <w:color w:val="000000"/>
              </w:rPr>
              <w:t> </w:t>
            </w:r>
          </w:p>
        </w:tc>
        <w:tc>
          <w:tcPr>
            <w:tcW w:w="1440" w:type="dxa"/>
            <w:shd w:val="clear" w:color="000000" w:fill="D9D9D9"/>
            <w:vAlign w:val="center"/>
            <w:hideMark/>
          </w:tcPr>
          <w:p w:rsidR="00582BF4" w:rsidRPr="00D23214" w:rsidP="00C001C3" w14:paraId="70D6304E" w14:textId="77777777">
            <w:pPr>
              <w:jc w:val="center"/>
              <w:rPr>
                <w:color w:val="000000"/>
              </w:rPr>
            </w:pPr>
            <w:r w:rsidRPr="00D23214">
              <w:rPr>
                <w:color w:val="000000"/>
              </w:rPr>
              <w:t> </w:t>
            </w:r>
          </w:p>
        </w:tc>
        <w:tc>
          <w:tcPr>
            <w:tcW w:w="1260" w:type="dxa"/>
            <w:shd w:val="clear" w:color="000000" w:fill="D9D9D9"/>
            <w:vAlign w:val="center"/>
            <w:hideMark/>
          </w:tcPr>
          <w:p w:rsidR="00582BF4" w:rsidRPr="00D23214" w:rsidP="00C001C3" w14:paraId="640824CF" w14:textId="77777777">
            <w:pPr>
              <w:jc w:val="center"/>
              <w:rPr>
                <w:color w:val="000000"/>
              </w:rPr>
            </w:pPr>
            <w:r w:rsidRPr="00D23214">
              <w:rPr>
                <w:bCs/>
                <w:color w:val="000000"/>
              </w:rPr>
              <w:t> </w:t>
            </w:r>
          </w:p>
        </w:tc>
        <w:tc>
          <w:tcPr>
            <w:tcW w:w="1160" w:type="dxa"/>
            <w:shd w:val="clear" w:color="000000" w:fill="D9D9D9"/>
            <w:vAlign w:val="center"/>
            <w:hideMark/>
          </w:tcPr>
          <w:p w:rsidR="00582BF4" w:rsidRPr="00D23214" w:rsidP="00C001C3" w14:paraId="2778F86F" w14:textId="77777777">
            <w:pPr>
              <w:jc w:val="center"/>
              <w:rPr>
                <w:color w:val="000000"/>
              </w:rPr>
            </w:pPr>
            <w:r w:rsidRPr="00D23214">
              <w:rPr>
                <w:bCs/>
                <w:color w:val="000000"/>
              </w:rPr>
              <w:t> </w:t>
            </w:r>
          </w:p>
        </w:tc>
        <w:tc>
          <w:tcPr>
            <w:tcW w:w="1270" w:type="dxa"/>
            <w:shd w:val="clear" w:color="000000" w:fill="D9D9D9"/>
            <w:noWrap/>
            <w:vAlign w:val="bottom"/>
            <w:hideMark/>
          </w:tcPr>
          <w:p w:rsidR="00582BF4" w:rsidRPr="00D23214" w:rsidP="00C001C3" w14:paraId="66DF8EFE" w14:textId="77777777">
            <w:pPr>
              <w:rPr>
                <w:color w:val="000000"/>
              </w:rPr>
            </w:pPr>
            <w:r w:rsidRPr="00D23214">
              <w:rPr>
                <w:color w:val="000000"/>
              </w:rPr>
              <w:t> </w:t>
            </w:r>
          </w:p>
        </w:tc>
      </w:tr>
      <w:tr w14:paraId="36039088" w14:textId="77777777" w:rsidTr="00C001C3">
        <w:tblPrEx>
          <w:tblW w:w="10530" w:type="dxa"/>
          <w:tblLayout w:type="fixed"/>
          <w:tblLook w:val="04A0"/>
        </w:tblPrEx>
        <w:trPr>
          <w:trHeight w:val="525"/>
        </w:trPr>
        <w:tc>
          <w:tcPr>
            <w:tcW w:w="1620" w:type="dxa"/>
            <w:shd w:val="clear" w:color="auto" w:fill="auto"/>
            <w:vAlign w:val="center"/>
            <w:hideMark/>
          </w:tcPr>
          <w:p w:rsidR="00582BF4" w:rsidRPr="00D23214" w:rsidP="00C001C3" w14:paraId="501E5965" w14:textId="77777777">
            <w:pPr>
              <w:rPr>
                <w:color w:val="000000"/>
              </w:rPr>
            </w:pPr>
            <w:r w:rsidRPr="00D23214">
              <w:rPr>
                <w:color w:val="000000"/>
              </w:rPr>
              <w:t>1. §1926.800</w:t>
            </w:r>
            <w:r>
              <w:rPr>
                <w:color w:val="000000"/>
              </w:rPr>
              <w:t xml:space="preserve"> </w:t>
            </w:r>
            <w:r w:rsidRPr="00D23214">
              <w:rPr>
                <w:color w:val="000000"/>
              </w:rPr>
              <w:t xml:space="preserve">(m)(2) (ii) and (t)(1)(iv)(B) </w:t>
            </w:r>
          </w:p>
        </w:tc>
        <w:tc>
          <w:tcPr>
            <w:tcW w:w="1350" w:type="dxa"/>
            <w:shd w:val="clear" w:color="auto" w:fill="auto"/>
            <w:vAlign w:val="center"/>
            <w:hideMark/>
          </w:tcPr>
          <w:p w:rsidR="00582BF4" w:rsidRPr="00D23214" w:rsidP="00C001C3" w14:paraId="3758526E" w14:textId="77777777">
            <w:pPr>
              <w:jc w:val="center"/>
              <w:rPr>
                <w:color w:val="000000"/>
              </w:rPr>
            </w:pPr>
            <w:r w:rsidRPr="00D23214">
              <w:rPr>
                <w:color w:val="000000"/>
              </w:rPr>
              <w:t>461</w:t>
            </w:r>
          </w:p>
        </w:tc>
        <w:tc>
          <w:tcPr>
            <w:tcW w:w="1260" w:type="dxa"/>
            <w:shd w:val="clear" w:color="auto" w:fill="auto"/>
            <w:vAlign w:val="center"/>
            <w:hideMark/>
          </w:tcPr>
          <w:p w:rsidR="00582BF4" w:rsidRPr="00D23214" w:rsidP="00C001C3" w14:paraId="525F1E86" w14:textId="77777777">
            <w:pPr>
              <w:jc w:val="center"/>
              <w:rPr>
                <w:color w:val="000000"/>
              </w:rPr>
            </w:pPr>
            <w:r w:rsidRPr="00D23214">
              <w:rPr>
                <w:color w:val="000000"/>
              </w:rPr>
              <w:t>2</w:t>
            </w:r>
          </w:p>
        </w:tc>
        <w:tc>
          <w:tcPr>
            <w:tcW w:w="1170" w:type="dxa"/>
            <w:shd w:val="clear" w:color="auto" w:fill="auto"/>
            <w:vAlign w:val="center"/>
            <w:hideMark/>
          </w:tcPr>
          <w:p w:rsidR="00582BF4" w:rsidRPr="00D23214" w:rsidP="00C001C3" w14:paraId="2622EF58" w14:textId="77777777">
            <w:pPr>
              <w:jc w:val="center"/>
              <w:rPr>
                <w:color w:val="000000"/>
              </w:rPr>
            </w:pPr>
            <w:r w:rsidRPr="00D23214">
              <w:rPr>
                <w:color w:val="000000"/>
              </w:rPr>
              <w:t>922</w:t>
            </w:r>
          </w:p>
        </w:tc>
        <w:tc>
          <w:tcPr>
            <w:tcW w:w="1440" w:type="dxa"/>
            <w:shd w:val="clear" w:color="auto" w:fill="auto"/>
            <w:vAlign w:val="center"/>
            <w:hideMark/>
          </w:tcPr>
          <w:p w:rsidR="00582BF4" w:rsidRPr="00D23214" w:rsidP="00C001C3" w14:paraId="2544D5B1" w14:textId="77777777">
            <w:pPr>
              <w:jc w:val="center"/>
              <w:rPr>
                <w:color w:val="000000"/>
              </w:rPr>
            </w:pPr>
            <w:r w:rsidRPr="00D23214">
              <w:rPr>
                <w:color w:val="000000"/>
              </w:rPr>
              <w:t>5/60</w:t>
            </w:r>
          </w:p>
        </w:tc>
        <w:tc>
          <w:tcPr>
            <w:tcW w:w="1260" w:type="dxa"/>
            <w:shd w:val="clear" w:color="auto" w:fill="auto"/>
            <w:vAlign w:val="center"/>
            <w:hideMark/>
          </w:tcPr>
          <w:p w:rsidR="00582BF4" w:rsidRPr="00D23214" w:rsidP="00C001C3" w14:paraId="5CC6AF28" w14:textId="77777777">
            <w:pPr>
              <w:jc w:val="center"/>
              <w:rPr>
                <w:color w:val="000000"/>
              </w:rPr>
            </w:pPr>
            <w:r w:rsidRPr="00D23214">
              <w:rPr>
                <w:color w:val="000000"/>
              </w:rPr>
              <w:t>77</w:t>
            </w:r>
          </w:p>
          <w:p w:rsidR="00582BF4" w:rsidRPr="00D23214" w:rsidP="00C001C3" w14:paraId="4D3A72CA" w14:textId="77777777">
            <w:pPr>
              <w:jc w:val="center"/>
              <w:rPr>
                <w:color w:val="000000"/>
                <w:highlight w:val="yellow"/>
              </w:rPr>
            </w:pPr>
          </w:p>
        </w:tc>
        <w:tc>
          <w:tcPr>
            <w:tcW w:w="1160" w:type="dxa"/>
            <w:shd w:val="clear" w:color="auto" w:fill="auto"/>
            <w:vAlign w:val="center"/>
          </w:tcPr>
          <w:p w:rsidR="00582BF4" w:rsidRPr="00D23214" w:rsidP="00C001C3" w14:paraId="56528061" w14:textId="77777777">
            <w:pPr>
              <w:jc w:val="center"/>
              <w:rPr>
                <w:color w:val="000000"/>
              </w:rPr>
            </w:pPr>
            <w:r w:rsidRPr="00354265">
              <w:rPr>
                <w:color w:val="000000"/>
              </w:rPr>
              <w:t>$34.43</w:t>
            </w:r>
          </w:p>
        </w:tc>
        <w:tc>
          <w:tcPr>
            <w:tcW w:w="1270" w:type="dxa"/>
            <w:shd w:val="clear" w:color="auto" w:fill="auto"/>
            <w:vAlign w:val="center"/>
            <w:hideMark/>
          </w:tcPr>
          <w:p w:rsidR="00582BF4" w:rsidRPr="00D23214" w:rsidP="00C001C3" w14:paraId="3613F0A4" w14:textId="77777777">
            <w:pPr>
              <w:jc w:val="center"/>
              <w:rPr>
                <w:color w:val="000000"/>
              </w:rPr>
            </w:pPr>
            <w:r>
              <w:rPr>
                <w:color w:val="000000"/>
              </w:rPr>
              <w:t>2,651</w:t>
            </w:r>
          </w:p>
        </w:tc>
      </w:tr>
      <w:tr w14:paraId="42855827" w14:textId="77777777" w:rsidTr="00C001C3">
        <w:tblPrEx>
          <w:tblW w:w="10530" w:type="dxa"/>
          <w:tblLayout w:type="fixed"/>
          <w:tblLook w:val="04A0"/>
        </w:tblPrEx>
        <w:trPr>
          <w:trHeight w:val="780"/>
        </w:trPr>
        <w:tc>
          <w:tcPr>
            <w:tcW w:w="1620" w:type="dxa"/>
            <w:shd w:val="clear" w:color="auto" w:fill="auto"/>
            <w:vAlign w:val="center"/>
            <w:hideMark/>
          </w:tcPr>
          <w:p w:rsidR="00582BF4" w:rsidRPr="00D23214" w:rsidP="00C001C3" w14:paraId="41CC79CA" w14:textId="77777777">
            <w:pPr>
              <w:rPr>
                <w:color w:val="000000"/>
              </w:rPr>
            </w:pPr>
            <w:r w:rsidRPr="00D23214">
              <w:rPr>
                <w:color w:val="000000"/>
              </w:rPr>
              <w:t>2. §1926.800</w:t>
            </w:r>
            <w:r>
              <w:rPr>
                <w:color w:val="000000"/>
              </w:rPr>
              <w:t xml:space="preserve"> </w:t>
            </w:r>
            <w:r w:rsidRPr="00D23214">
              <w:rPr>
                <w:color w:val="000000"/>
              </w:rPr>
              <w:t xml:space="preserve">(b)(3), (i)(3), (j)(1)(vi)(A), </w:t>
            </w:r>
            <w:r w:rsidRPr="00D23214">
              <w:rPr>
                <w:color w:val="000000"/>
              </w:rPr>
              <w:t>(o)(2) and (q)(11)</w:t>
            </w:r>
          </w:p>
        </w:tc>
        <w:tc>
          <w:tcPr>
            <w:tcW w:w="1350" w:type="dxa"/>
            <w:shd w:val="clear" w:color="auto" w:fill="auto"/>
            <w:vAlign w:val="center"/>
            <w:hideMark/>
          </w:tcPr>
          <w:p w:rsidR="00582BF4" w:rsidRPr="00D23214" w:rsidP="00C001C3" w14:paraId="5C68FFB1" w14:textId="77777777">
            <w:pPr>
              <w:jc w:val="center"/>
              <w:rPr>
                <w:color w:val="000000"/>
              </w:rPr>
            </w:pPr>
            <w:r>
              <w:rPr>
                <w:color w:val="000000"/>
              </w:rPr>
              <w:t>231</w:t>
            </w:r>
          </w:p>
        </w:tc>
        <w:tc>
          <w:tcPr>
            <w:tcW w:w="1260" w:type="dxa"/>
            <w:shd w:val="clear" w:color="auto" w:fill="auto"/>
            <w:vAlign w:val="center"/>
            <w:hideMark/>
          </w:tcPr>
          <w:p w:rsidR="00582BF4" w:rsidRPr="008A1100" w:rsidP="00C001C3" w14:paraId="432603D0" w14:textId="77777777">
            <w:pPr>
              <w:jc w:val="center"/>
              <w:rPr>
                <w:color w:val="000000"/>
              </w:rPr>
            </w:pPr>
            <w:r w:rsidRPr="00247050">
              <w:rPr>
                <w:color w:val="000000"/>
              </w:rPr>
              <w:t>5</w:t>
            </w:r>
          </w:p>
        </w:tc>
        <w:tc>
          <w:tcPr>
            <w:tcW w:w="1170" w:type="dxa"/>
            <w:shd w:val="clear" w:color="auto" w:fill="auto"/>
            <w:vAlign w:val="center"/>
            <w:hideMark/>
          </w:tcPr>
          <w:p w:rsidR="00582BF4" w:rsidRPr="008A1100" w:rsidP="00C001C3" w14:paraId="246D2C97" w14:textId="77777777">
            <w:pPr>
              <w:jc w:val="center"/>
              <w:rPr>
                <w:color w:val="000000"/>
              </w:rPr>
            </w:pPr>
            <w:r w:rsidRPr="008A1100">
              <w:rPr>
                <w:color w:val="000000"/>
              </w:rPr>
              <w:t>1,15</w:t>
            </w:r>
            <w:r w:rsidRPr="00247050">
              <w:rPr>
                <w:color w:val="000000"/>
              </w:rPr>
              <w:t>5</w:t>
            </w:r>
          </w:p>
        </w:tc>
        <w:tc>
          <w:tcPr>
            <w:tcW w:w="1440" w:type="dxa"/>
            <w:shd w:val="clear" w:color="auto" w:fill="auto"/>
            <w:vAlign w:val="center"/>
            <w:hideMark/>
          </w:tcPr>
          <w:p w:rsidR="00582BF4" w:rsidRPr="00D23214" w:rsidP="00C001C3" w14:paraId="0B545129" w14:textId="77777777">
            <w:pPr>
              <w:jc w:val="center"/>
              <w:rPr>
                <w:color w:val="000000"/>
              </w:rPr>
            </w:pPr>
            <w:r w:rsidRPr="00D23214">
              <w:rPr>
                <w:color w:val="000000"/>
              </w:rPr>
              <w:t>5/60</w:t>
            </w:r>
          </w:p>
        </w:tc>
        <w:tc>
          <w:tcPr>
            <w:tcW w:w="1260" w:type="dxa"/>
            <w:shd w:val="clear" w:color="auto" w:fill="auto"/>
            <w:vAlign w:val="center"/>
            <w:hideMark/>
          </w:tcPr>
          <w:p w:rsidR="00582BF4" w:rsidRPr="00D23214" w:rsidP="00C001C3" w14:paraId="3CBA3D21" w14:textId="77777777">
            <w:pPr>
              <w:jc w:val="center"/>
              <w:rPr>
                <w:color w:val="000000"/>
                <w:highlight w:val="yellow"/>
              </w:rPr>
            </w:pPr>
            <w:r w:rsidRPr="00D23214">
              <w:rPr>
                <w:color w:val="000000"/>
              </w:rPr>
              <w:t>9</w:t>
            </w:r>
            <w:r>
              <w:rPr>
                <w:color w:val="000000"/>
              </w:rPr>
              <w:t>6</w:t>
            </w:r>
          </w:p>
        </w:tc>
        <w:tc>
          <w:tcPr>
            <w:tcW w:w="1160" w:type="dxa"/>
            <w:shd w:val="clear" w:color="auto" w:fill="auto"/>
            <w:vAlign w:val="center"/>
          </w:tcPr>
          <w:p w:rsidR="00582BF4" w:rsidRPr="00D23214" w:rsidP="00C001C3" w14:paraId="4FC7ED69" w14:textId="77777777">
            <w:pPr>
              <w:jc w:val="center"/>
              <w:rPr>
                <w:color w:val="000000"/>
              </w:rPr>
            </w:pPr>
            <w:r w:rsidRPr="00354265">
              <w:rPr>
                <w:color w:val="000000"/>
              </w:rPr>
              <w:t>$34.43</w:t>
            </w:r>
          </w:p>
        </w:tc>
        <w:tc>
          <w:tcPr>
            <w:tcW w:w="1270" w:type="dxa"/>
            <w:shd w:val="clear" w:color="auto" w:fill="auto"/>
            <w:vAlign w:val="center"/>
            <w:hideMark/>
          </w:tcPr>
          <w:p w:rsidR="00582BF4" w:rsidRPr="00D23214" w:rsidP="00C001C3" w14:paraId="43EBA77E" w14:textId="77777777">
            <w:pPr>
              <w:jc w:val="center"/>
              <w:rPr>
                <w:color w:val="000000"/>
              </w:rPr>
            </w:pPr>
            <w:r>
              <w:rPr>
                <w:color w:val="000000"/>
              </w:rPr>
              <w:t>3,305</w:t>
            </w:r>
          </w:p>
        </w:tc>
      </w:tr>
      <w:tr w14:paraId="601D0B15" w14:textId="77777777" w:rsidTr="00C001C3">
        <w:tblPrEx>
          <w:tblW w:w="10530" w:type="dxa"/>
          <w:tblLayout w:type="fixed"/>
          <w:tblLook w:val="04A0"/>
        </w:tblPrEx>
        <w:trPr>
          <w:trHeight w:val="315"/>
        </w:trPr>
        <w:tc>
          <w:tcPr>
            <w:tcW w:w="1620" w:type="dxa"/>
            <w:shd w:val="clear" w:color="auto" w:fill="DBDBDB" w:themeFill="accent3" w:themeFillTint="66"/>
            <w:vAlign w:val="center"/>
            <w:hideMark/>
          </w:tcPr>
          <w:p w:rsidR="00582BF4" w:rsidRPr="00D23214" w:rsidP="00C001C3" w14:paraId="10939FAC" w14:textId="77777777">
            <w:pPr>
              <w:rPr>
                <w:b/>
                <w:bCs/>
                <w:color w:val="000000"/>
              </w:rPr>
            </w:pPr>
            <w:r w:rsidRPr="00D23214">
              <w:rPr>
                <w:b/>
                <w:bCs/>
                <w:color w:val="000000"/>
              </w:rPr>
              <w:t>Grand Total Posting</w:t>
            </w:r>
          </w:p>
        </w:tc>
        <w:tc>
          <w:tcPr>
            <w:tcW w:w="1350" w:type="dxa"/>
            <w:shd w:val="clear" w:color="auto" w:fill="DBDBDB" w:themeFill="accent3" w:themeFillTint="66"/>
            <w:vAlign w:val="center"/>
            <w:hideMark/>
          </w:tcPr>
          <w:p w:rsidR="00582BF4" w:rsidRPr="00D23214" w:rsidP="00C001C3" w14:paraId="0A613240" w14:textId="77777777">
            <w:pPr>
              <w:jc w:val="center"/>
              <w:rPr>
                <w:b/>
                <w:bCs/>
                <w:color w:val="000000"/>
              </w:rPr>
            </w:pPr>
          </w:p>
        </w:tc>
        <w:tc>
          <w:tcPr>
            <w:tcW w:w="1260" w:type="dxa"/>
            <w:shd w:val="clear" w:color="auto" w:fill="DBDBDB" w:themeFill="accent3" w:themeFillTint="66"/>
            <w:vAlign w:val="center"/>
            <w:hideMark/>
          </w:tcPr>
          <w:p w:rsidR="00582BF4" w:rsidRPr="008A1100" w:rsidP="00C001C3" w14:paraId="4DD16D88" w14:textId="77777777">
            <w:pPr>
              <w:jc w:val="center"/>
              <w:rPr>
                <w:b/>
                <w:bCs/>
                <w:color w:val="000000"/>
              </w:rPr>
            </w:pPr>
            <w:r w:rsidRPr="008A1100">
              <w:rPr>
                <w:bCs/>
                <w:color w:val="000000"/>
              </w:rPr>
              <w:t> </w:t>
            </w:r>
          </w:p>
        </w:tc>
        <w:tc>
          <w:tcPr>
            <w:tcW w:w="1170" w:type="dxa"/>
            <w:shd w:val="clear" w:color="auto" w:fill="DBDBDB" w:themeFill="accent3" w:themeFillTint="66"/>
            <w:vAlign w:val="center"/>
            <w:hideMark/>
          </w:tcPr>
          <w:p w:rsidR="00582BF4" w:rsidRPr="008A1100" w:rsidP="00C001C3" w14:paraId="7663E1A8" w14:textId="77777777">
            <w:pPr>
              <w:jc w:val="center"/>
              <w:rPr>
                <w:b/>
                <w:bCs/>
              </w:rPr>
            </w:pPr>
            <w:r w:rsidRPr="00247050">
              <w:rPr>
                <w:b/>
                <w:bCs/>
              </w:rPr>
              <w:t>2,077</w:t>
            </w:r>
          </w:p>
        </w:tc>
        <w:tc>
          <w:tcPr>
            <w:tcW w:w="1440" w:type="dxa"/>
            <w:shd w:val="clear" w:color="auto" w:fill="DBDBDB" w:themeFill="accent3" w:themeFillTint="66"/>
            <w:vAlign w:val="center"/>
            <w:hideMark/>
          </w:tcPr>
          <w:p w:rsidR="00582BF4" w:rsidRPr="00D23214" w:rsidP="00C001C3" w14:paraId="70D4CF68" w14:textId="77777777">
            <w:pPr>
              <w:jc w:val="center"/>
              <w:rPr>
                <w:b/>
                <w:bCs/>
                <w:color w:val="000000"/>
              </w:rPr>
            </w:pPr>
            <w:r w:rsidRPr="00D23214">
              <w:rPr>
                <w:b/>
                <w:bCs/>
                <w:color w:val="000000"/>
              </w:rPr>
              <w:t>-</w:t>
            </w:r>
          </w:p>
        </w:tc>
        <w:tc>
          <w:tcPr>
            <w:tcW w:w="1260" w:type="dxa"/>
            <w:shd w:val="clear" w:color="auto" w:fill="DBDBDB" w:themeFill="accent3" w:themeFillTint="66"/>
            <w:vAlign w:val="center"/>
            <w:hideMark/>
          </w:tcPr>
          <w:p w:rsidR="00582BF4" w:rsidRPr="00D23214" w:rsidP="00C001C3" w14:paraId="2F25BFD8" w14:textId="77777777">
            <w:pPr>
              <w:jc w:val="center"/>
              <w:rPr>
                <w:b/>
                <w:bCs/>
                <w:color w:val="000000"/>
              </w:rPr>
            </w:pPr>
            <w:r w:rsidRPr="00D23214">
              <w:rPr>
                <w:b/>
                <w:bCs/>
                <w:color w:val="000000"/>
              </w:rPr>
              <w:t>17</w:t>
            </w:r>
            <w:r>
              <w:rPr>
                <w:b/>
                <w:bCs/>
                <w:color w:val="000000"/>
              </w:rPr>
              <w:t>3</w:t>
            </w:r>
          </w:p>
          <w:p w:rsidR="00582BF4" w:rsidRPr="00D23214" w:rsidP="00C001C3" w14:paraId="563D8D12" w14:textId="77777777">
            <w:pPr>
              <w:jc w:val="center"/>
              <w:rPr>
                <w:bCs/>
                <w:color w:val="000000"/>
                <w:highlight w:val="yellow"/>
              </w:rPr>
            </w:pPr>
          </w:p>
        </w:tc>
        <w:tc>
          <w:tcPr>
            <w:tcW w:w="1160" w:type="dxa"/>
            <w:shd w:val="clear" w:color="auto" w:fill="DBDBDB" w:themeFill="accent3" w:themeFillTint="66"/>
            <w:vAlign w:val="center"/>
            <w:hideMark/>
          </w:tcPr>
          <w:p w:rsidR="00582BF4" w:rsidRPr="00D23214" w:rsidP="00C001C3" w14:paraId="1259CFF2" w14:textId="77777777">
            <w:pPr>
              <w:jc w:val="center"/>
              <w:rPr>
                <w:b/>
                <w:bCs/>
                <w:color w:val="000000"/>
              </w:rPr>
            </w:pPr>
          </w:p>
        </w:tc>
        <w:tc>
          <w:tcPr>
            <w:tcW w:w="1270" w:type="dxa"/>
            <w:shd w:val="clear" w:color="auto" w:fill="DBDBDB" w:themeFill="accent3" w:themeFillTint="66"/>
            <w:vAlign w:val="center"/>
            <w:hideMark/>
          </w:tcPr>
          <w:p w:rsidR="00582BF4" w:rsidRPr="00D23214" w:rsidP="00C001C3" w14:paraId="1A8B39AE" w14:textId="77777777">
            <w:pPr>
              <w:jc w:val="center"/>
              <w:rPr>
                <w:b/>
                <w:bCs/>
                <w:color w:val="000000"/>
              </w:rPr>
            </w:pPr>
            <w:r w:rsidRPr="00D23214">
              <w:rPr>
                <w:b/>
                <w:bCs/>
                <w:color w:val="000000"/>
              </w:rPr>
              <w:t>$</w:t>
            </w:r>
            <w:r>
              <w:rPr>
                <w:b/>
                <w:bCs/>
                <w:color w:val="000000"/>
              </w:rPr>
              <w:t>5,956</w:t>
            </w:r>
          </w:p>
          <w:p w:rsidR="00582BF4" w:rsidRPr="00D23214" w:rsidP="00C001C3" w14:paraId="6A30759E" w14:textId="77777777">
            <w:pPr>
              <w:jc w:val="center"/>
              <w:rPr>
                <w:b/>
                <w:bCs/>
                <w:color w:val="000000"/>
                <w:highlight w:val="yellow"/>
              </w:rPr>
            </w:pPr>
          </w:p>
        </w:tc>
      </w:tr>
      <w:tr w14:paraId="4841DC3B" w14:textId="77777777" w:rsidTr="00C001C3">
        <w:tblPrEx>
          <w:tblW w:w="10530" w:type="dxa"/>
          <w:tblLayout w:type="fixed"/>
          <w:tblLook w:val="04A0"/>
        </w:tblPrEx>
        <w:trPr>
          <w:trHeight w:val="1035"/>
        </w:trPr>
        <w:tc>
          <w:tcPr>
            <w:tcW w:w="1620" w:type="dxa"/>
            <w:shd w:val="clear" w:color="auto" w:fill="auto"/>
            <w:vAlign w:val="center"/>
            <w:hideMark/>
          </w:tcPr>
          <w:p w:rsidR="00582BF4" w:rsidRPr="00D23214" w:rsidP="00C001C3" w14:paraId="553F18EB" w14:textId="77777777">
            <w:pPr>
              <w:rPr>
                <w:b/>
                <w:bCs/>
                <w:color w:val="000000"/>
              </w:rPr>
            </w:pPr>
            <w:r w:rsidRPr="00D23214">
              <w:rPr>
                <w:b/>
                <w:bCs/>
                <w:color w:val="000000"/>
              </w:rPr>
              <w:t>B. Certifying Inspection Records for Hoists (paragraph (t)(3)(xxi) of §1926.800) **</w:t>
            </w:r>
          </w:p>
        </w:tc>
        <w:tc>
          <w:tcPr>
            <w:tcW w:w="1350" w:type="dxa"/>
            <w:shd w:val="clear" w:color="000000" w:fill="D9D9D9"/>
            <w:vAlign w:val="center"/>
            <w:hideMark/>
          </w:tcPr>
          <w:p w:rsidR="00582BF4" w:rsidRPr="00D23214" w:rsidP="00C001C3" w14:paraId="70ABC59C" w14:textId="77777777">
            <w:pPr>
              <w:jc w:val="center"/>
              <w:rPr>
                <w:color w:val="000000"/>
              </w:rPr>
            </w:pPr>
            <w:r w:rsidRPr="00D23214">
              <w:rPr>
                <w:color w:val="000000"/>
              </w:rPr>
              <w:t> </w:t>
            </w:r>
          </w:p>
        </w:tc>
        <w:tc>
          <w:tcPr>
            <w:tcW w:w="1260" w:type="dxa"/>
            <w:shd w:val="clear" w:color="000000" w:fill="D9D9D9"/>
            <w:vAlign w:val="center"/>
            <w:hideMark/>
          </w:tcPr>
          <w:p w:rsidR="00582BF4" w:rsidRPr="00D23214" w:rsidP="00C001C3" w14:paraId="08C8F480" w14:textId="77777777">
            <w:pPr>
              <w:jc w:val="center"/>
              <w:rPr>
                <w:color w:val="000000"/>
              </w:rPr>
            </w:pPr>
            <w:r w:rsidRPr="00D23214">
              <w:rPr>
                <w:color w:val="000000"/>
              </w:rPr>
              <w:t> </w:t>
            </w:r>
          </w:p>
        </w:tc>
        <w:tc>
          <w:tcPr>
            <w:tcW w:w="1170" w:type="dxa"/>
            <w:shd w:val="clear" w:color="000000" w:fill="D9D9D9"/>
            <w:vAlign w:val="center"/>
            <w:hideMark/>
          </w:tcPr>
          <w:p w:rsidR="00582BF4" w:rsidRPr="00D23214" w:rsidP="00C001C3" w14:paraId="20588BAC" w14:textId="77777777">
            <w:pPr>
              <w:jc w:val="center"/>
              <w:rPr>
                <w:color w:val="000000"/>
              </w:rPr>
            </w:pPr>
            <w:r w:rsidRPr="00D23214">
              <w:rPr>
                <w:color w:val="000000"/>
              </w:rPr>
              <w:t> </w:t>
            </w:r>
          </w:p>
        </w:tc>
        <w:tc>
          <w:tcPr>
            <w:tcW w:w="1440" w:type="dxa"/>
            <w:shd w:val="clear" w:color="000000" w:fill="D9D9D9"/>
            <w:vAlign w:val="center"/>
            <w:hideMark/>
          </w:tcPr>
          <w:p w:rsidR="00582BF4" w:rsidRPr="00D23214" w:rsidP="00C001C3" w14:paraId="7FF30FA9" w14:textId="77777777">
            <w:pPr>
              <w:jc w:val="center"/>
              <w:rPr>
                <w:color w:val="000000"/>
              </w:rPr>
            </w:pPr>
            <w:r w:rsidRPr="00D23214">
              <w:rPr>
                <w:color w:val="000000"/>
              </w:rPr>
              <w:t> </w:t>
            </w:r>
          </w:p>
        </w:tc>
        <w:tc>
          <w:tcPr>
            <w:tcW w:w="1260" w:type="dxa"/>
            <w:shd w:val="clear" w:color="000000" w:fill="D9D9D9"/>
            <w:vAlign w:val="center"/>
            <w:hideMark/>
          </w:tcPr>
          <w:p w:rsidR="00582BF4" w:rsidRPr="00D23214" w:rsidP="00C001C3" w14:paraId="2AACBFDB" w14:textId="77777777">
            <w:pPr>
              <w:jc w:val="center"/>
              <w:rPr>
                <w:color w:val="000000"/>
              </w:rPr>
            </w:pPr>
            <w:r w:rsidRPr="00D23214">
              <w:rPr>
                <w:color w:val="000000"/>
              </w:rPr>
              <w:t> </w:t>
            </w:r>
          </w:p>
        </w:tc>
        <w:tc>
          <w:tcPr>
            <w:tcW w:w="1160" w:type="dxa"/>
            <w:shd w:val="clear" w:color="000000" w:fill="D9D9D9"/>
            <w:vAlign w:val="center"/>
            <w:hideMark/>
          </w:tcPr>
          <w:p w:rsidR="00582BF4" w:rsidRPr="00D23214" w:rsidP="00C001C3" w14:paraId="4048F8F8" w14:textId="77777777">
            <w:pPr>
              <w:jc w:val="center"/>
              <w:rPr>
                <w:color w:val="000000"/>
              </w:rPr>
            </w:pPr>
            <w:r w:rsidRPr="00D23214">
              <w:rPr>
                <w:color w:val="000000"/>
              </w:rPr>
              <w:t> </w:t>
            </w:r>
          </w:p>
        </w:tc>
        <w:tc>
          <w:tcPr>
            <w:tcW w:w="1270" w:type="dxa"/>
            <w:shd w:val="clear" w:color="000000" w:fill="D9D9D9"/>
            <w:noWrap/>
            <w:vAlign w:val="bottom"/>
            <w:hideMark/>
          </w:tcPr>
          <w:p w:rsidR="00582BF4" w:rsidRPr="00D23214" w:rsidP="00C001C3" w14:paraId="4A8415B7" w14:textId="77777777">
            <w:pPr>
              <w:rPr>
                <w:color w:val="000000"/>
              </w:rPr>
            </w:pPr>
            <w:r w:rsidRPr="00D23214">
              <w:rPr>
                <w:color w:val="000000"/>
              </w:rPr>
              <w:t> </w:t>
            </w:r>
          </w:p>
        </w:tc>
      </w:tr>
      <w:tr w14:paraId="0C98C15C" w14:textId="77777777" w:rsidTr="00C001C3">
        <w:tblPrEx>
          <w:tblW w:w="10530" w:type="dxa"/>
          <w:tblLayout w:type="fixed"/>
          <w:tblLook w:val="04A0"/>
        </w:tblPrEx>
        <w:trPr>
          <w:trHeight w:val="315"/>
        </w:trPr>
        <w:tc>
          <w:tcPr>
            <w:tcW w:w="1620" w:type="dxa"/>
            <w:shd w:val="clear" w:color="auto" w:fill="auto"/>
            <w:vAlign w:val="center"/>
            <w:hideMark/>
          </w:tcPr>
          <w:p w:rsidR="00582BF4" w:rsidRPr="00D23214" w:rsidP="00C001C3" w14:paraId="21AA999A" w14:textId="77777777">
            <w:pPr>
              <w:rPr>
                <w:color w:val="000000"/>
              </w:rPr>
            </w:pPr>
            <w:r w:rsidRPr="00D23214">
              <w:rPr>
                <w:color w:val="000000"/>
              </w:rPr>
              <w:t>1. Inspections</w:t>
            </w:r>
          </w:p>
        </w:tc>
        <w:tc>
          <w:tcPr>
            <w:tcW w:w="1350" w:type="dxa"/>
            <w:shd w:val="clear" w:color="auto" w:fill="auto"/>
            <w:vAlign w:val="center"/>
            <w:hideMark/>
          </w:tcPr>
          <w:p w:rsidR="00582BF4" w:rsidRPr="00D23214" w:rsidP="00C001C3" w14:paraId="28D37E71" w14:textId="77777777">
            <w:pPr>
              <w:jc w:val="center"/>
              <w:rPr>
                <w:color w:val="000000"/>
              </w:rPr>
            </w:pPr>
            <w:r w:rsidRPr="00D23214">
              <w:rPr>
                <w:color w:val="000000"/>
              </w:rPr>
              <w:t>23</w:t>
            </w:r>
            <w:r>
              <w:rPr>
                <w:color w:val="000000"/>
              </w:rPr>
              <w:t>1</w:t>
            </w:r>
          </w:p>
        </w:tc>
        <w:tc>
          <w:tcPr>
            <w:tcW w:w="1260" w:type="dxa"/>
            <w:shd w:val="clear" w:color="auto" w:fill="auto"/>
            <w:vAlign w:val="center"/>
            <w:hideMark/>
          </w:tcPr>
          <w:p w:rsidR="00582BF4" w:rsidRPr="00D23214" w:rsidP="00C001C3" w14:paraId="54A67231" w14:textId="77777777">
            <w:pPr>
              <w:jc w:val="center"/>
              <w:rPr>
                <w:color w:val="000000"/>
              </w:rPr>
            </w:pPr>
            <w:r w:rsidRPr="00D23214">
              <w:rPr>
                <w:color w:val="000000"/>
              </w:rPr>
              <w:t>1</w:t>
            </w:r>
          </w:p>
        </w:tc>
        <w:tc>
          <w:tcPr>
            <w:tcW w:w="1170" w:type="dxa"/>
            <w:shd w:val="clear" w:color="auto" w:fill="auto"/>
            <w:vAlign w:val="center"/>
            <w:hideMark/>
          </w:tcPr>
          <w:p w:rsidR="00582BF4" w:rsidRPr="00D23214" w:rsidP="00C001C3" w14:paraId="1077A409" w14:textId="77777777">
            <w:pPr>
              <w:jc w:val="center"/>
              <w:rPr>
                <w:color w:val="000000"/>
              </w:rPr>
            </w:pPr>
            <w:r w:rsidRPr="00D23214">
              <w:rPr>
                <w:color w:val="000000"/>
              </w:rPr>
              <w:t>231</w:t>
            </w:r>
          </w:p>
        </w:tc>
        <w:tc>
          <w:tcPr>
            <w:tcW w:w="1440" w:type="dxa"/>
            <w:shd w:val="clear" w:color="auto" w:fill="auto"/>
            <w:vAlign w:val="center"/>
            <w:hideMark/>
          </w:tcPr>
          <w:p w:rsidR="00582BF4" w:rsidRPr="00D23214" w:rsidP="00C001C3" w14:paraId="58DCA5C4" w14:textId="77777777">
            <w:pPr>
              <w:jc w:val="center"/>
              <w:rPr>
                <w:color w:val="000000"/>
              </w:rPr>
            </w:pPr>
            <w:r w:rsidRPr="00D23214">
              <w:rPr>
                <w:color w:val="000000"/>
              </w:rPr>
              <w:t>1.00</w:t>
            </w:r>
          </w:p>
        </w:tc>
        <w:tc>
          <w:tcPr>
            <w:tcW w:w="1260" w:type="dxa"/>
            <w:shd w:val="clear" w:color="auto" w:fill="auto"/>
            <w:vAlign w:val="center"/>
            <w:hideMark/>
          </w:tcPr>
          <w:p w:rsidR="00582BF4" w:rsidRPr="00D23214" w:rsidP="00C001C3" w14:paraId="23D02865" w14:textId="77777777">
            <w:pPr>
              <w:jc w:val="center"/>
              <w:rPr>
                <w:color w:val="000000"/>
              </w:rPr>
            </w:pPr>
            <w:r w:rsidRPr="00D23214">
              <w:rPr>
                <w:color w:val="000000"/>
              </w:rPr>
              <w:t>231</w:t>
            </w:r>
          </w:p>
        </w:tc>
        <w:tc>
          <w:tcPr>
            <w:tcW w:w="1160" w:type="dxa"/>
            <w:shd w:val="clear" w:color="auto" w:fill="auto"/>
            <w:vAlign w:val="center"/>
          </w:tcPr>
          <w:p w:rsidR="00582BF4" w:rsidRPr="00D82B08" w:rsidP="00C001C3" w14:paraId="03AA7C84" w14:textId="77777777">
            <w:pPr>
              <w:jc w:val="center"/>
              <w:rPr>
                <w:color w:val="000000"/>
              </w:rPr>
            </w:pPr>
            <w:r w:rsidRPr="00354265">
              <w:rPr>
                <w:color w:val="000000"/>
              </w:rPr>
              <w:t>$34.43</w:t>
            </w:r>
          </w:p>
        </w:tc>
        <w:tc>
          <w:tcPr>
            <w:tcW w:w="1270" w:type="dxa"/>
            <w:shd w:val="clear" w:color="auto" w:fill="auto"/>
            <w:vAlign w:val="center"/>
          </w:tcPr>
          <w:p w:rsidR="00582BF4" w:rsidRPr="00D23214" w:rsidP="00C001C3" w14:paraId="3E7794EB" w14:textId="77777777">
            <w:pPr>
              <w:jc w:val="center"/>
              <w:rPr>
                <w:color w:val="000000"/>
              </w:rPr>
            </w:pPr>
            <w:r>
              <w:rPr>
                <w:color w:val="000000"/>
              </w:rPr>
              <w:t>$7,953</w:t>
            </w:r>
          </w:p>
        </w:tc>
      </w:tr>
      <w:tr w14:paraId="0CA4B5EF" w14:textId="77777777" w:rsidTr="00C001C3">
        <w:tblPrEx>
          <w:tblW w:w="10530" w:type="dxa"/>
          <w:tblLayout w:type="fixed"/>
          <w:tblLook w:val="04A0"/>
        </w:tblPrEx>
        <w:trPr>
          <w:trHeight w:val="315"/>
        </w:trPr>
        <w:tc>
          <w:tcPr>
            <w:tcW w:w="1620" w:type="dxa"/>
            <w:shd w:val="clear" w:color="auto" w:fill="auto"/>
            <w:vAlign w:val="center"/>
            <w:hideMark/>
          </w:tcPr>
          <w:p w:rsidR="00582BF4" w:rsidRPr="00D23214" w:rsidP="00C001C3" w14:paraId="5B3E8C8F" w14:textId="77777777">
            <w:pPr>
              <w:rPr>
                <w:color w:val="000000"/>
              </w:rPr>
            </w:pPr>
            <w:r w:rsidRPr="00D23214">
              <w:rPr>
                <w:color w:val="000000"/>
              </w:rPr>
              <w:t>2. Projects</w:t>
            </w:r>
          </w:p>
        </w:tc>
        <w:tc>
          <w:tcPr>
            <w:tcW w:w="1350" w:type="dxa"/>
            <w:shd w:val="clear" w:color="auto" w:fill="auto"/>
            <w:vAlign w:val="center"/>
            <w:hideMark/>
          </w:tcPr>
          <w:p w:rsidR="00582BF4" w:rsidRPr="00D23214" w:rsidP="00C001C3" w14:paraId="09A33540" w14:textId="77777777">
            <w:pPr>
              <w:jc w:val="center"/>
              <w:rPr>
                <w:color w:val="000000"/>
              </w:rPr>
            </w:pPr>
            <w:r w:rsidRPr="00D23214">
              <w:rPr>
                <w:color w:val="000000"/>
              </w:rPr>
              <w:t>23</w:t>
            </w:r>
            <w:r>
              <w:rPr>
                <w:color w:val="000000"/>
              </w:rPr>
              <w:t>1</w:t>
            </w:r>
          </w:p>
        </w:tc>
        <w:tc>
          <w:tcPr>
            <w:tcW w:w="1260" w:type="dxa"/>
            <w:shd w:val="clear" w:color="auto" w:fill="auto"/>
            <w:vAlign w:val="center"/>
            <w:hideMark/>
          </w:tcPr>
          <w:p w:rsidR="00582BF4" w:rsidRPr="00D23214" w:rsidP="00C001C3" w14:paraId="553E8FEC" w14:textId="77777777">
            <w:pPr>
              <w:jc w:val="center"/>
              <w:rPr>
                <w:color w:val="000000"/>
              </w:rPr>
            </w:pPr>
            <w:r w:rsidRPr="00FC47CD">
              <w:rPr>
                <w:color w:val="000000"/>
              </w:rPr>
              <w:t>4</w:t>
            </w:r>
          </w:p>
        </w:tc>
        <w:tc>
          <w:tcPr>
            <w:tcW w:w="1170" w:type="dxa"/>
            <w:shd w:val="clear" w:color="auto" w:fill="auto"/>
            <w:vAlign w:val="center"/>
            <w:hideMark/>
          </w:tcPr>
          <w:p w:rsidR="00582BF4" w:rsidRPr="00D23214" w:rsidP="00C001C3" w14:paraId="5C242900" w14:textId="77777777">
            <w:pPr>
              <w:jc w:val="center"/>
              <w:rPr>
                <w:color w:val="000000"/>
              </w:rPr>
            </w:pPr>
            <w:r w:rsidRPr="00D23214">
              <w:rPr>
                <w:color w:val="000000"/>
              </w:rPr>
              <w:t>92</w:t>
            </w:r>
            <w:r w:rsidRPr="00FC47CD">
              <w:rPr>
                <w:color w:val="000000"/>
              </w:rPr>
              <w:t>4</w:t>
            </w:r>
          </w:p>
        </w:tc>
        <w:tc>
          <w:tcPr>
            <w:tcW w:w="1440" w:type="dxa"/>
            <w:shd w:val="clear" w:color="auto" w:fill="auto"/>
            <w:vAlign w:val="center"/>
            <w:hideMark/>
          </w:tcPr>
          <w:p w:rsidR="00582BF4" w:rsidRPr="00D23214" w:rsidP="00C001C3" w14:paraId="7245BDCA" w14:textId="77777777">
            <w:pPr>
              <w:jc w:val="center"/>
              <w:rPr>
                <w:color w:val="000000"/>
              </w:rPr>
            </w:pPr>
            <w:r w:rsidRPr="00D23214">
              <w:rPr>
                <w:color w:val="000000"/>
              </w:rPr>
              <w:t>1.00</w:t>
            </w:r>
          </w:p>
        </w:tc>
        <w:tc>
          <w:tcPr>
            <w:tcW w:w="1260" w:type="dxa"/>
            <w:shd w:val="clear" w:color="auto" w:fill="auto"/>
            <w:vAlign w:val="center"/>
            <w:hideMark/>
          </w:tcPr>
          <w:p w:rsidR="00582BF4" w:rsidRPr="00D23214" w:rsidP="00C001C3" w14:paraId="788ED196" w14:textId="77777777">
            <w:pPr>
              <w:jc w:val="center"/>
              <w:rPr>
                <w:color w:val="000000"/>
              </w:rPr>
            </w:pPr>
            <w:r w:rsidRPr="00D23214">
              <w:rPr>
                <w:color w:val="000000"/>
              </w:rPr>
              <w:t>92</w:t>
            </w:r>
            <w:r w:rsidRPr="00FC47CD">
              <w:rPr>
                <w:color w:val="000000"/>
              </w:rPr>
              <w:t>4</w:t>
            </w:r>
          </w:p>
        </w:tc>
        <w:tc>
          <w:tcPr>
            <w:tcW w:w="1160" w:type="dxa"/>
            <w:shd w:val="clear" w:color="auto" w:fill="auto"/>
            <w:vAlign w:val="center"/>
          </w:tcPr>
          <w:p w:rsidR="00582BF4" w:rsidRPr="00D82B08" w:rsidP="00C001C3" w14:paraId="1A0B5437" w14:textId="77777777">
            <w:pPr>
              <w:jc w:val="center"/>
              <w:rPr>
                <w:color w:val="000000"/>
              </w:rPr>
            </w:pPr>
            <w:r w:rsidRPr="00354265">
              <w:rPr>
                <w:color w:val="000000"/>
              </w:rPr>
              <w:t>$34.43</w:t>
            </w:r>
          </w:p>
        </w:tc>
        <w:tc>
          <w:tcPr>
            <w:tcW w:w="1270" w:type="dxa"/>
            <w:shd w:val="clear" w:color="auto" w:fill="auto"/>
            <w:vAlign w:val="center"/>
          </w:tcPr>
          <w:p w:rsidR="00582BF4" w:rsidRPr="00D23214" w:rsidP="00C001C3" w14:paraId="3FAA8B09" w14:textId="77777777">
            <w:pPr>
              <w:jc w:val="center"/>
              <w:rPr>
                <w:color w:val="000000"/>
              </w:rPr>
            </w:pPr>
            <w:r>
              <w:rPr>
                <w:color w:val="000000"/>
              </w:rPr>
              <w:t>$31,813</w:t>
            </w:r>
          </w:p>
        </w:tc>
      </w:tr>
      <w:tr w14:paraId="0966DB3B" w14:textId="77777777" w:rsidTr="00C001C3">
        <w:tblPrEx>
          <w:tblW w:w="10530" w:type="dxa"/>
          <w:tblLayout w:type="fixed"/>
          <w:tblLook w:val="04A0"/>
        </w:tblPrEx>
        <w:trPr>
          <w:trHeight w:val="525"/>
        </w:trPr>
        <w:tc>
          <w:tcPr>
            <w:tcW w:w="1620" w:type="dxa"/>
            <w:shd w:val="clear" w:color="auto" w:fill="C9C9C9" w:themeFill="accent3" w:themeFillTint="99"/>
            <w:vAlign w:val="center"/>
            <w:hideMark/>
          </w:tcPr>
          <w:p w:rsidR="00582BF4" w:rsidRPr="00D23214" w:rsidP="00C001C3" w14:paraId="25E44740" w14:textId="77777777">
            <w:pPr>
              <w:rPr>
                <w:b/>
                <w:bCs/>
                <w:color w:val="000000"/>
              </w:rPr>
            </w:pPr>
            <w:r>
              <w:rPr>
                <w:b/>
                <w:bCs/>
                <w:color w:val="000000"/>
              </w:rPr>
              <w:t xml:space="preserve">Subtotal </w:t>
            </w:r>
            <w:r w:rsidRPr="00D23214">
              <w:rPr>
                <w:b/>
                <w:bCs/>
                <w:color w:val="000000"/>
              </w:rPr>
              <w:t>Inspection Records</w:t>
            </w:r>
          </w:p>
        </w:tc>
        <w:tc>
          <w:tcPr>
            <w:tcW w:w="1350" w:type="dxa"/>
            <w:shd w:val="clear" w:color="auto" w:fill="C9C9C9" w:themeFill="accent3" w:themeFillTint="99"/>
            <w:vAlign w:val="center"/>
            <w:hideMark/>
          </w:tcPr>
          <w:p w:rsidR="00582BF4" w:rsidRPr="00D23214" w:rsidP="00C001C3" w14:paraId="418E2948" w14:textId="77777777">
            <w:pPr>
              <w:jc w:val="center"/>
              <w:rPr>
                <w:b/>
                <w:bCs/>
                <w:color w:val="000000"/>
              </w:rPr>
            </w:pPr>
          </w:p>
        </w:tc>
        <w:tc>
          <w:tcPr>
            <w:tcW w:w="1260" w:type="dxa"/>
            <w:shd w:val="clear" w:color="auto" w:fill="C9C9C9" w:themeFill="accent3" w:themeFillTint="99"/>
            <w:vAlign w:val="center"/>
            <w:hideMark/>
          </w:tcPr>
          <w:p w:rsidR="00582BF4" w:rsidRPr="00D23214" w:rsidP="00C001C3" w14:paraId="05D2907E" w14:textId="77777777">
            <w:pPr>
              <w:jc w:val="center"/>
              <w:rPr>
                <w:color w:val="000000"/>
              </w:rPr>
            </w:pPr>
            <w:r w:rsidRPr="00D23214">
              <w:rPr>
                <w:color w:val="000000"/>
              </w:rPr>
              <w:t>-</w:t>
            </w:r>
          </w:p>
        </w:tc>
        <w:tc>
          <w:tcPr>
            <w:tcW w:w="1170" w:type="dxa"/>
            <w:shd w:val="clear" w:color="auto" w:fill="C9C9C9" w:themeFill="accent3" w:themeFillTint="99"/>
            <w:vAlign w:val="center"/>
            <w:hideMark/>
          </w:tcPr>
          <w:p w:rsidR="00582BF4" w:rsidRPr="00D23214" w:rsidP="00C001C3" w14:paraId="79FDE35F" w14:textId="77777777">
            <w:pPr>
              <w:jc w:val="center"/>
              <w:rPr>
                <w:b/>
                <w:bCs/>
                <w:color w:val="000000"/>
              </w:rPr>
            </w:pPr>
            <w:r w:rsidRPr="008A1100">
              <w:rPr>
                <w:b/>
                <w:bCs/>
                <w:color w:val="000000"/>
              </w:rPr>
              <w:t>1,1</w:t>
            </w:r>
            <w:r>
              <w:rPr>
                <w:b/>
                <w:bCs/>
                <w:color w:val="000000"/>
              </w:rPr>
              <w:t>5</w:t>
            </w:r>
            <w:r w:rsidRPr="008A1100">
              <w:rPr>
                <w:b/>
                <w:bCs/>
                <w:color w:val="000000"/>
              </w:rPr>
              <w:t>5</w:t>
            </w:r>
          </w:p>
        </w:tc>
        <w:tc>
          <w:tcPr>
            <w:tcW w:w="1440" w:type="dxa"/>
            <w:shd w:val="clear" w:color="auto" w:fill="C9C9C9" w:themeFill="accent3" w:themeFillTint="99"/>
            <w:vAlign w:val="center"/>
            <w:hideMark/>
          </w:tcPr>
          <w:p w:rsidR="00582BF4" w:rsidRPr="00D23214" w:rsidP="00C001C3" w14:paraId="1C08BD28" w14:textId="77777777">
            <w:pPr>
              <w:jc w:val="center"/>
              <w:rPr>
                <w:b/>
                <w:color w:val="000000"/>
              </w:rPr>
            </w:pPr>
            <w:r w:rsidRPr="00D23214">
              <w:rPr>
                <w:b/>
                <w:color w:val="000000"/>
              </w:rPr>
              <w:t>-</w:t>
            </w:r>
          </w:p>
        </w:tc>
        <w:tc>
          <w:tcPr>
            <w:tcW w:w="1260" w:type="dxa"/>
            <w:shd w:val="clear" w:color="auto" w:fill="C9C9C9" w:themeFill="accent3" w:themeFillTint="99"/>
            <w:vAlign w:val="center"/>
            <w:hideMark/>
          </w:tcPr>
          <w:p w:rsidR="00582BF4" w:rsidRPr="00D23214" w:rsidP="00C001C3" w14:paraId="164D74EF" w14:textId="77777777">
            <w:pPr>
              <w:jc w:val="center"/>
              <w:rPr>
                <w:b/>
                <w:bCs/>
                <w:color w:val="000000"/>
                <w:highlight w:val="yellow"/>
              </w:rPr>
            </w:pPr>
            <w:r w:rsidRPr="00D23214">
              <w:rPr>
                <w:b/>
                <w:bCs/>
                <w:color w:val="000000"/>
              </w:rPr>
              <w:t>1,15</w:t>
            </w:r>
            <w:r w:rsidRPr="00F5119C">
              <w:rPr>
                <w:b/>
                <w:bCs/>
                <w:color w:val="000000"/>
              </w:rPr>
              <w:t>5</w:t>
            </w:r>
          </w:p>
        </w:tc>
        <w:tc>
          <w:tcPr>
            <w:tcW w:w="1160" w:type="dxa"/>
            <w:shd w:val="clear" w:color="auto" w:fill="C9C9C9" w:themeFill="accent3" w:themeFillTint="99"/>
            <w:vAlign w:val="center"/>
            <w:hideMark/>
          </w:tcPr>
          <w:p w:rsidR="00582BF4" w:rsidRPr="00D23214" w:rsidP="00C001C3" w14:paraId="348BC0A7" w14:textId="77777777">
            <w:pPr>
              <w:jc w:val="center"/>
              <w:rPr>
                <w:b/>
                <w:bCs/>
                <w:color w:val="000000"/>
              </w:rPr>
            </w:pPr>
          </w:p>
        </w:tc>
        <w:tc>
          <w:tcPr>
            <w:tcW w:w="1270" w:type="dxa"/>
            <w:shd w:val="clear" w:color="auto" w:fill="C9C9C9" w:themeFill="accent3" w:themeFillTint="99"/>
            <w:vAlign w:val="center"/>
            <w:hideMark/>
          </w:tcPr>
          <w:p w:rsidR="00582BF4" w:rsidRPr="00D23214" w:rsidP="00C001C3" w14:paraId="706A999C" w14:textId="77777777">
            <w:pPr>
              <w:jc w:val="center"/>
              <w:rPr>
                <w:b/>
                <w:bCs/>
                <w:color w:val="000000"/>
              </w:rPr>
            </w:pPr>
          </w:p>
          <w:p w:rsidR="00582BF4" w:rsidRPr="00206663" w:rsidP="00C001C3" w14:paraId="4493F8CC" w14:textId="77777777">
            <w:pPr>
              <w:jc w:val="center"/>
              <w:rPr>
                <w:b/>
                <w:bCs/>
              </w:rPr>
            </w:pPr>
            <w:r w:rsidRPr="00206663">
              <w:rPr>
                <w:b/>
                <w:bCs/>
              </w:rPr>
              <w:t>$</w:t>
            </w:r>
            <w:r w:rsidRPr="00F5119C">
              <w:rPr>
                <w:b/>
                <w:bCs/>
              </w:rPr>
              <w:t>39,</w:t>
            </w:r>
            <w:r>
              <w:rPr>
                <w:b/>
                <w:bCs/>
              </w:rPr>
              <w:t xml:space="preserve">766 </w:t>
            </w:r>
          </w:p>
          <w:p w:rsidR="00582BF4" w:rsidRPr="00D23214" w:rsidP="00C001C3" w14:paraId="7BBC7F26" w14:textId="77777777">
            <w:pPr>
              <w:jc w:val="center"/>
              <w:rPr>
                <w:b/>
                <w:bCs/>
                <w:color w:val="000000"/>
              </w:rPr>
            </w:pPr>
          </w:p>
        </w:tc>
      </w:tr>
      <w:tr w14:paraId="7F609DB4" w14:textId="77777777" w:rsidTr="00C001C3">
        <w:tblPrEx>
          <w:tblW w:w="10530" w:type="dxa"/>
          <w:tblLayout w:type="fixed"/>
          <w:tblLook w:val="04A0"/>
        </w:tblPrEx>
        <w:trPr>
          <w:trHeight w:val="315"/>
        </w:trPr>
        <w:tc>
          <w:tcPr>
            <w:tcW w:w="1620" w:type="dxa"/>
            <w:shd w:val="clear" w:color="auto" w:fill="auto"/>
            <w:vAlign w:val="center"/>
          </w:tcPr>
          <w:p w:rsidR="00582BF4" w:rsidRPr="00D23214" w:rsidP="00C001C3" w14:paraId="49F514D0" w14:textId="77777777">
            <w:pPr>
              <w:rPr>
                <w:b/>
                <w:bCs/>
                <w:color w:val="000000"/>
              </w:rPr>
            </w:pPr>
          </w:p>
        </w:tc>
        <w:tc>
          <w:tcPr>
            <w:tcW w:w="1350" w:type="dxa"/>
            <w:shd w:val="clear" w:color="auto" w:fill="auto"/>
            <w:vAlign w:val="center"/>
          </w:tcPr>
          <w:p w:rsidR="00582BF4" w:rsidRPr="00D23214" w:rsidP="00C001C3" w14:paraId="5A2C5A1C" w14:textId="77777777">
            <w:pPr>
              <w:jc w:val="center"/>
              <w:rPr>
                <w:b/>
                <w:bCs/>
                <w:color w:val="000000"/>
              </w:rPr>
            </w:pPr>
          </w:p>
        </w:tc>
        <w:tc>
          <w:tcPr>
            <w:tcW w:w="1260" w:type="dxa"/>
            <w:shd w:val="clear" w:color="auto" w:fill="auto"/>
            <w:vAlign w:val="center"/>
          </w:tcPr>
          <w:p w:rsidR="00582BF4" w:rsidRPr="00D23214" w:rsidP="00C001C3" w14:paraId="7289C93F" w14:textId="77777777">
            <w:pPr>
              <w:jc w:val="center"/>
              <w:rPr>
                <w:b/>
                <w:bCs/>
                <w:color w:val="000000"/>
              </w:rPr>
            </w:pPr>
          </w:p>
        </w:tc>
        <w:tc>
          <w:tcPr>
            <w:tcW w:w="1170" w:type="dxa"/>
            <w:shd w:val="clear" w:color="auto" w:fill="auto"/>
            <w:vAlign w:val="center"/>
          </w:tcPr>
          <w:p w:rsidR="00582BF4" w:rsidRPr="00D23214" w:rsidP="00C001C3" w14:paraId="2AFA775D" w14:textId="77777777">
            <w:pPr>
              <w:jc w:val="center"/>
              <w:rPr>
                <w:b/>
                <w:bCs/>
                <w:color w:val="000000"/>
              </w:rPr>
            </w:pPr>
          </w:p>
        </w:tc>
        <w:tc>
          <w:tcPr>
            <w:tcW w:w="1440" w:type="dxa"/>
            <w:shd w:val="clear" w:color="auto" w:fill="auto"/>
            <w:vAlign w:val="center"/>
          </w:tcPr>
          <w:p w:rsidR="00582BF4" w:rsidRPr="00D23214" w:rsidP="00C001C3" w14:paraId="65C1FFD4" w14:textId="77777777">
            <w:pPr>
              <w:jc w:val="center"/>
              <w:rPr>
                <w:b/>
                <w:bCs/>
                <w:color w:val="000000"/>
              </w:rPr>
            </w:pPr>
            <w:r w:rsidRPr="00D23214">
              <w:rPr>
                <w:b/>
                <w:bCs/>
                <w:color w:val="000000"/>
              </w:rPr>
              <w:t> </w:t>
            </w:r>
          </w:p>
        </w:tc>
        <w:tc>
          <w:tcPr>
            <w:tcW w:w="1260" w:type="dxa"/>
            <w:shd w:val="clear" w:color="auto" w:fill="auto"/>
            <w:vAlign w:val="center"/>
          </w:tcPr>
          <w:p w:rsidR="00582BF4" w:rsidRPr="00D23214" w:rsidP="00C001C3" w14:paraId="5E804812" w14:textId="77777777">
            <w:pPr>
              <w:jc w:val="center"/>
              <w:rPr>
                <w:b/>
                <w:bCs/>
                <w:color w:val="000000"/>
                <w:highlight w:val="yellow"/>
              </w:rPr>
            </w:pPr>
          </w:p>
        </w:tc>
        <w:tc>
          <w:tcPr>
            <w:tcW w:w="1160" w:type="dxa"/>
            <w:shd w:val="clear" w:color="auto" w:fill="auto"/>
            <w:vAlign w:val="center"/>
          </w:tcPr>
          <w:p w:rsidR="00582BF4" w:rsidRPr="00D23214" w:rsidP="00C001C3" w14:paraId="7A59D57E" w14:textId="77777777">
            <w:pPr>
              <w:jc w:val="center"/>
              <w:rPr>
                <w:b/>
                <w:bCs/>
                <w:color w:val="000000"/>
              </w:rPr>
            </w:pPr>
          </w:p>
        </w:tc>
        <w:tc>
          <w:tcPr>
            <w:tcW w:w="1270" w:type="dxa"/>
            <w:shd w:val="clear" w:color="auto" w:fill="auto"/>
            <w:vAlign w:val="center"/>
          </w:tcPr>
          <w:p w:rsidR="00582BF4" w:rsidRPr="00D23214" w:rsidP="00C001C3" w14:paraId="636045BF" w14:textId="77777777">
            <w:pPr>
              <w:jc w:val="center"/>
              <w:rPr>
                <w:b/>
                <w:bCs/>
                <w:color w:val="000000"/>
              </w:rPr>
            </w:pPr>
          </w:p>
        </w:tc>
      </w:tr>
      <w:tr w14:paraId="27F3B257" w14:textId="77777777" w:rsidTr="00C001C3">
        <w:tblPrEx>
          <w:tblW w:w="10530" w:type="dxa"/>
          <w:tblLayout w:type="fixed"/>
          <w:tblLook w:val="04A0"/>
        </w:tblPrEx>
        <w:trPr>
          <w:trHeight w:val="525"/>
        </w:trPr>
        <w:tc>
          <w:tcPr>
            <w:tcW w:w="1620" w:type="dxa"/>
            <w:shd w:val="clear" w:color="auto" w:fill="auto"/>
            <w:vAlign w:val="center"/>
            <w:hideMark/>
          </w:tcPr>
          <w:p w:rsidR="00582BF4" w:rsidRPr="00D23214" w:rsidP="00C001C3" w14:paraId="388F031E" w14:textId="77777777">
            <w:pPr>
              <w:rPr>
                <w:b/>
                <w:bCs/>
                <w:color w:val="000000"/>
              </w:rPr>
            </w:pPr>
            <w:r w:rsidRPr="00D23214">
              <w:rPr>
                <w:b/>
                <w:bCs/>
                <w:color w:val="000000"/>
              </w:rPr>
              <w:t>C. Recordkeeping - Air Quality Tests (§1926.800(j))</w:t>
            </w:r>
          </w:p>
        </w:tc>
        <w:tc>
          <w:tcPr>
            <w:tcW w:w="1350" w:type="dxa"/>
            <w:shd w:val="clear" w:color="000000" w:fill="D9D9D9"/>
            <w:vAlign w:val="center"/>
            <w:hideMark/>
          </w:tcPr>
          <w:p w:rsidR="00582BF4" w:rsidRPr="00D23214" w:rsidP="00C001C3" w14:paraId="61777222" w14:textId="77777777">
            <w:pPr>
              <w:jc w:val="center"/>
              <w:rPr>
                <w:color w:val="000000"/>
              </w:rPr>
            </w:pPr>
            <w:r w:rsidRPr="00D23214">
              <w:rPr>
                <w:color w:val="000000"/>
              </w:rPr>
              <w:t> </w:t>
            </w:r>
          </w:p>
        </w:tc>
        <w:tc>
          <w:tcPr>
            <w:tcW w:w="1260" w:type="dxa"/>
            <w:shd w:val="clear" w:color="000000" w:fill="D9D9D9"/>
            <w:vAlign w:val="center"/>
            <w:hideMark/>
          </w:tcPr>
          <w:p w:rsidR="00582BF4" w:rsidRPr="00D23214" w:rsidP="00C001C3" w14:paraId="3E627332" w14:textId="77777777">
            <w:pPr>
              <w:jc w:val="center"/>
              <w:rPr>
                <w:color w:val="000000"/>
              </w:rPr>
            </w:pPr>
            <w:r w:rsidRPr="00D23214">
              <w:rPr>
                <w:color w:val="000000"/>
              </w:rPr>
              <w:t> </w:t>
            </w:r>
          </w:p>
        </w:tc>
        <w:tc>
          <w:tcPr>
            <w:tcW w:w="1170" w:type="dxa"/>
            <w:shd w:val="clear" w:color="000000" w:fill="D9D9D9"/>
            <w:vAlign w:val="center"/>
            <w:hideMark/>
          </w:tcPr>
          <w:p w:rsidR="00582BF4" w:rsidRPr="00D23214" w:rsidP="00C001C3" w14:paraId="61EA0DC5" w14:textId="77777777">
            <w:pPr>
              <w:jc w:val="center"/>
              <w:rPr>
                <w:color w:val="000000"/>
              </w:rPr>
            </w:pPr>
            <w:r w:rsidRPr="00D23214">
              <w:rPr>
                <w:color w:val="000000"/>
              </w:rPr>
              <w:t> </w:t>
            </w:r>
          </w:p>
        </w:tc>
        <w:tc>
          <w:tcPr>
            <w:tcW w:w="1440" w:type="dxa"/>
            <w:shd w:val="clear" w:color="000000" w:fill="D9D9D9"/>
            <w:vAlign w:val="center"/>
            <w:hideMark/>
          </w:tcPr>
          <w:p w:rsidR="00582BF4" w:rsidRPr="00D23214" w:rsidP="00C001C3" w14:paraId="6B1F18C7" w14:textId="77777777">
            <w:pPr>
              <w:jc w:val="center"/>
              <w:rPr>
                <w:color w:val="000000"/>
              </w:rPr>
            </w:pPr>
            <w:r w:rsidRPr="00D23214">
              <w:rPr>
                <w:color w:val="000000"/>
              </w:rPr>
              <w:t> </w:t>
            </w:r>
          </w:p>
        </w:tc>
        <w:tc>
          <w:tcPr>
            <w:tcW w:w="1260" w:type="dxa"/>
            <w:shd w:val="clear" w:color="000000" w:fill="D9D9D9"/>
            <w:vAlign w:val="center"/>
            <w:hideMark/>
          </w:tcPr>
          <w:p w:rsidR="00582BF4" w:rsidRPr="00D23214" w:rsidP="00C001C3" w14:paraId="23067ECF" w14:textId="77777777">
            <w:pPr>
              <w:jc w:val="center"/>
              <w:rPr>
                <w:b/>
                <w:color w:val="000000"/>
              </w:rPr>
            </w:pPr>
            <w:r w:rsidRPr="00D23214">
              <w:rPr>
                <w:b/>
                <w:color w:val="000000"/>
              </w:rPr>
              <w:t> </w:t>
            </w:r>
          </w:p>
        </w:tc>
        <w:tc>
          <w:tcPr>
            <w:tcW w:w="1160" w:type="dxa"/>
            <w:shd w:val="clear" w:color="000000" w:fill="D9D9D9"/>
            <w:vAlign w:val="center"/>
            <w:hideMark/>
          </w:tcPr>
          <w:p w:rsidR="00582BF4" w:rsidRPr="00D23214" w:rsidP="00C001C3" w14:paraId="4B3B900F" w14:textId="77777777">
            <w:pPr>
              <w:jc w:val="center"/>
              <w:rPr>
                <w:color w:val="000000"/>
              </w:rPr>
            </w:pPr>
            <w:r w:rsidRPr="00D23214">
              <w:rPr>
                <w:color w:val="000000"/>
              </w:rPr>
              <w:t> </w:t>
            </w:r>
          </w:p>
        </w:tc>
        <w:tc>
          <w:tcPr>
            <w:tcW w:w="1270" w:type="dxa"/>
            <w:shd w:val="clear" w:color="000000" w:fill="D9D9D9"/>
            <w:noWrap/>
            <w:vAlign w:val="bottom"/>
            <w:hideMark/>
          </w:tcPr>
          <w:p w:rsidR="00582BF4" w:rsidRPr="00D23214" w:rsidP="00C001C3" w14:paraId="47126684" w14:textId="77777777">
            <w:pPr>
              <w:rPr>
                <w:color w:val="000000"/>
              </w:rPr>
            </w:pPr>
            <w:r w:rsidRPr="00D23214">
              <w:rPr>
                <w:color w:val="000000"/>
              </w:rPr>
              <w:t> </w:t>
            </w:r>
          </w:p>
        </w:tc>
      </w:tr>
      <w:tr w14:paraId="2AEC5BDB" w14:textId="77777777" w:rsidTr="00C001C3">
        <w:tblPrEx>
          <w:tblW w:w="10530" w:type="dxa"/>
          <w:tblLayout w:type="fixed"/>
          <w:tblLook w:val="04A0"/>
        </w:tblPrEx>
        <w:trPr>
          <w:trHeight w:val="60"/>
        </w:trPr>
        <w:tc>
          <w:tcPr>
            <w:tcW w:w="1620" w:type="dxa"/>
            <w:shd w:val="clear" w:color="auto" w:fill="auto"/>
            <w:vAlign w:val="center"/>
            <w:hideMark/>
          </w:tcPr>
          <w:p w:rsidR="00582BF4" w:rsidRPr="00D23214" w:rsidP="00C001C3" w14:paraId="4B0D8C05" w14:textId="77777777">
            <w:pPr>
              <w:rPr>
                <w:color w:val="000000"/>
              </w:rPr>
            </w:pPr>
            <w:r w:rsidRPr="00D23214">
              <w:rPr>
                <w:color w:val="000000"/>
              </w:rPr>
              <w:t>1.Big-Bore Projects</w:t>
            </w:r>
          </w:p>
        </w:tc>
        <w:tc>
          <w:tcPr>
            <w:tcW w:w="1350" w:type="dxa"/>
            <w:shd w:val="clear" w:color="000000" w:fill="D9D9D9"/>
            <w:vAlign w:val="center"/>
            <w:hideMark/>
          </w:tcPr>
          <w:p w:rsidR="00582BF4" w:rsidRPr="00D23214" w:rsidP="00C001C3" w14:paraId="61C1828B" w14:textId="77777777">
            <w:pPr>
              <w:jc w:val="center"/>
              <w:rPr>
                <w:color w:val="000000"/>
              </w:rPr>
            </w:pPr>
            <w:r w:rsidRPr="00D23214">
              <w:rPr>
                <w:color w:val="000000"/>
              </w:rPr>
              <w:t> </w:t>
            </w:r>
          </w:p>
        </w:tc>
        <w:tc>
          <w:tcPr>
            <w:tcW w:w="1260" w:type="dxa"/>
            <w:shd w:val="clear" w:color="000000" w:fill="D9D9D9"/>
            <w:vAlign w:val="center"/>
            <w:hideMark/>
          </w:tcPr>
          <w:p w:rsidR="00582BF4" w:rsidRPr="00D23214" w:rsidP="00C001C3" w14:paraId="57B9E975" w14:textId="77777777">
            <w:pPr>
              <w:jc w:val="center"/>
              <w:rPr>
                <w:color w:val="000000"/>
              </w:rPr>
            </w:pPr>
            <w:r w:rsidRPr="00D23214">
              <w:rPr>
                <w:color w:val="000000"/>
              </w:rPr>
              <w:t> </w:t>
            </w:r>
          </w:p>
        </w:tc>
        <w:tc>
          <w:tcPr>
            <w:tcW w:w="1170" w:type="dxa"/>
            <w:shd w:val="clear" w:color="000000" w:fill="D9D9D9"/>
            <w:vAlign w:val="center"/>
            <w:hideMark/>
          </w:tcPr>
          <w:p w:rsidR="00582BF4" w:rsidRPr="00D23214" w:rsidP="00C001C3" w14:paraId="123E1AFA" w14:textId="77777777">
            <w:pPr>
              <w:jc w:val="center"/>
              <w:rPr>
                <w:color w:val="000000"/>
              </w:rPr>
            </w:pPr>
            <w:r w:rsidRPr="00D23214">
              <w:rPr>
                <w:color w:val="000000"/>
              </w:rPr>
              <w:t> </w:t>
            </w:r>
          </w:p>
        </w:tc>
        <w:tc>
          <w:tcPr>
            <w:tcW w:w="1440" w:type="dxa"/>
            <w:shd w:val="clear" w:color="000000" w:fill="D9D9D9"/>
            <w:vAlign w:val="center"/>
            <w:hideMark/>
          </w:tcPr>
          <w:p w:rsidR="00582BF4" w:rsidRPr="00D23214" w:rsidP="00C001C3" w14:paraId="739DAAC1" w14:textId="77777777">
            <w:pPr>
              <w:jc w:val="center"/>
              <w:rPr>
                <w:color w:val="000000"/>
              </w:rPr>
            </w:pPr>
            <w:r w:rsidRPr="00D23214">
              <w:rPr>
                <w:color w:val="000000"/>
              </w:rPr>
              <w:t> </w:t>
            </w:r>
          </w:p>
        </w:tc>
        <w:tc>
          <w:tcPr>
            <w:tcW w:w="1260" w:type="dxa"/>
            <w:shd w:val="clear" w:color="000000" w:fill="D9D9D9"/>
            <w:vAlign w:val="center"/>
            <w:hideMark/>
          </w:tcPr>
          <w:p w:rsidR="00582BF4" w:rsidRPr="00D23214" w:rsidP="00C001C3" w14:paraId="02ACA853" w14:textId="77777777">
            <w:pPr>
              <w:jc w:val="center"/>
              <w:rPr>
                <w:b/>
                <w:color w:val="000000"/>
              </w:rPr>
            </w:pPr>
            <w:r w:rsidRPr="00D23214">
              <w:rPr>
                <w:b/>
                <w:color w:val="000000"/>
              </w:rPr>
              <w:t> </w:t>
            </w:r>
          </w:p>
        </w:tc>
        <w:tc>
          <w:tcPr>
            <w:tcW w:w="1160" w:type="dxa"/>
            <w:shd w:val="clear" w:color="000000" w:fill="D9D9D9"/>
            <w:vAlign w:val="center"/>
            <w:hideMark/>
          </w:tcPr>
          <w:p w:rsidR="00582BF4" w:rsidRPr="00D23214" w:rsidP="00C001C3" w14:paraId="34C23585" w14:textId="77777777">
            <w:pPr>
              <w:jc w:val="center"/>
              <w:rPr>
                <w:color w:val="000000"/>
              </w:rPr>
            </w:pPr>
            <w:r w:rsidRPr="00D23214">
              <w:rPr>
                <w:color w:val="000000"/>
              </w:rPr>
              <w:t> </w:t>
            </w:r>
          </w:p>
        </w:tc>
        <w:tc>
          <w:tcPr>
            <w:tcW w:w="1270" w:type="dxa"/>
            <w:shd w:val="clear" w:color="000000" w:fill="D9D9D9"/>
            <w:noWrap/>
            <w:vAlign w:val="bottom"/>
            <w:hideMark/>
          </w:tcPr>
          <w:p w:rsidR="00582BF4" w:rsidRPr="00D23214" w:rsidP="00C001C3" w14:paraId="198C0018" w14:textId="77777777">
            <w:pPr>
              <w:rPr>
                <w:color w:val="000000"/>
              </w:rPr>
            </w:pPr>
            <w:r w:rsidRPr="00D23214">
              <w:rPr>
                <w:color w:val="000000"/>
              </w:rPr>
              <w:t> </w:t>
            </w:r>
          </w:p>
        </w:tc>
      </w:tr>
      <w:tr w14:paraId="482178A7" w14:textId="77777777" w:rsidTr="00C001C3">
        <w:tblPrEx>
          <w:tblW w:w="10530" w:type="dxa"/>
          <w:tblLayout w:type="fixed"/>
          <w:tblLook w:val="04A0"/>
        </w:tblPrEx>
        <w:trPr>
          <w:trHeight w:val="315"/>
        </w:trPr>
        <w:tc>
          <w:tcPr>
            <w:tcW w:w="1620" w:type="dxa"/>
            <w:shd w:val="clear" w:color="auto" w:fill="auto"/>
            <w:vAlign w:val="center"/>
            <w:hideMark/>
          </w:tcPr>
          <w:p w:rsidR="00582BF4" w:rsidRPr="00D23214" w:rsidP="00C001C3" w14:paraId="488CB0CE" w14:textId="77777777">
            <w:pPr>
              <w:rPr>
                <w:i/>
                <w:iCs/>
                <w:color w:val="000000"/>
              </w:rPr>
            </w:pPr>
            <w:r w:rsidRPr="00D23214">
              <w:rPr>
                <w:i/>
                <w:iCs/>
                <w:color w:val="000000"/>
              </w:rPr>
              <w:t>Continuous Monitoring</w:t>
            </w:r>
          </w:p>
        </w:tc>
        <w:tc>
          <w:tcPr>
            <w:tcW w:w="1350" w:type="dxa"/>
            <w:shd w:val="clear" w:color="auto" w:fill="auto"/>
            <w:vAlign w:val="center"/>
            <w:hideMark/>
          </w:tcPr>
          <w:p w:rsidR="00582BF4" w:rsidRPr="00D23214" w:rsidP="00C001C3" w14:paraId="5867BD47" w14:textId="77777777">
            <w:pPr>
              <w:jc w:val="center"/>
              <w:rPr>
                <w:color w:val="000000"/>
              </w:rPr>
            </w:pPr>
            <w:r w:rsidRPr="00D23214">
              <w:rPr>
                <w:color w:val="000000"/>
              </w:rPr>
              <w:t>84</w:t>
            </w:r>
          </w:p>
        </w:tc>
        <w:tc>
          <w:tcPr>
            <w:tcW w:w="1260" w:type="dxa"/>
            <w:shd w:val="clear" w:color="auto" w:fill="auto"/>
            <w:vAlign w:val="center"/>
            <w:hideMark/>
          </w:tcPr>
          <w:p w:rsidR="00582BF4" w:rsidRPr="00D23214" w:rsidP="00C001C3" w14:paraId="1ED542F5" w14:textId="77777777">
            <w:pPr>
              <w:jc w:val="center"/>
              <w:rPr>
                <w:color w:val="000000"/>
              </w:rPr>
            </w:pPr>
            <w:r w:rsidRPr="00D23214">
              <w:rPr>
                <w:color w:val="000000"/>
              </w:rPr>
              <w:t>250</w:t>
            </w:r>
          </w:p>
        </w:tc>
        <w:tc>
          <w:tcPr>
            <w:tcW w:w="1170" w:type="dxa"/>
            <w:shd w:val="clear" w:color="auto" w:fill="auto"/>
            <w:vAlign w:val="center"/>
            <w:hideMark/>
          </w:tcPr>
          <w:p w:rsidR="00582BF4" w:rsidRPr="00D23214" w:rsidP="00C001C3" w14:paraId="767675A3" w14:textId="77777777">
            <w:pPr>
              <w:jc w:val="center"/>
              <w:rPr>
                <w:color w:val="000000"/>
              </w:rPr>
            </w:pPr>
            <w:r w:rsidRPr="00D23214">
              <w:rPr>
                <w:color w:val="000000"/>
              </w:rPr>
              <w:t>21,000</w:t>
            </w:r>
          </w:p>
        </w:tc>
        <w:tc>
          <w:tcPr>
            <w:tcW w:w="1440" w:type="dxa"/>
            <w:shd w:val="clear" w:color="auto" w:fill="auto"/>
            <w:vAlign w:val="center"/>
            <w:hideMark/>
          </w:tcPr>
          <w:p w:rsidR="00582BF4" w:rsidRPr="00D23214" w:rsidP="00C001C3" w14:paraId="398BD6BE" w14:textId="77777777">
            <w:pPr>
              <w:jc w:val="center"/>
              <w:rPr>
                <w:color w:val="000000"/>
              </w:rPr>
            </w:pPr>
            <w:r>
              <w:rPr>
                <w:color w:val="000000"/>
              </w:rPr>
              <w:t>.008</w:t>
            </w:r>
          </w:p>
        </w:tc>
        <w:tc>
          <w:tcPr>
            <w:tcW w:w="1260" w:type="dxa"/>
            <w:shd w:val="clear" w:color="auto" w:fill="auto"/>
            <w:vAlign w:val="center"/>
            <w:hideMark/>
          </w:tcPr>
          <w:p w:rsidR="00582BF4" w:rsidRPr="00416217" w:rsidP="00C001C3" w14:paraId="44B9F97C" w14:textId="77777777">
            <w:pPr>
              <w:jc w:val="center"/>
              <w:rPr>
                <w:bCs/>
                <w:color w:val="000000"/>
              </w:rPr>
            </w:pPr>
            <w:r w:rsidRPr="00416217">
              <w:rPr>
                <w:bCs/>
                <w:color w:val="000000"/>
              </w:rPr>
              <w:t>168</w:t>
            </w:r>
          </w:p>
        </w:tc>
        <w:tc>
          <w:tcPr>
            <w:tcW w:w="1160" w:type="dxa"/>
            <w:shd w:val="clear" w:color="auto" w:fill="auto"/>
            <w:vAlign w:val="center"/>
          </w:tcPr>
          <w:p w:rsidR="00582BF4" w:rsidRPr="00D23214" w:rsidP="00C001C3" w14:paraId="2DA4E84F" w14:textId="77777777">
            <w:pPr>
              <w:jc w:val="center"/>
              <w:rPr>
                <w:color w:val="000000"/>
              </w:rPr>
            </w:pPr>
            <w:r w:rsidRPr="00354265">
              <w:rPr>
                <w:color w:val="000000"/>
              </w:rPr>
              <w:t>$34.43</w:t>
            </w:r>
          </w:p>
        </w:tc>
        <w:tc>
          <w:tcPr>
            <w:tcW w:w="1270" w:type="dxa"/>
            <w:shd w:val="clear" w:color="auto" w:fill="auto"/>
          </w:tcPr>
          <w:p w:rsidR="00582BF4" w:rsidRPr="00D23214" w:rsidP="00C001C3" w14:paraId="2A70E582" w14:textId="77777777">
            <w:pPr>
              <w:jc w:val="center"/>
              <w:rPr>
                <w:color w:val="000000"/>
              </w:rPr>
            </w:pPr>
            <w:r w:rsidRPr="00A76F94">
              <w:t>$5,784</w:t>
            </w:r>
          </w:p>
        </w:tc>
      </w:tr>
      <w:tr w14:paraId="22E90428" w14:textId="77777777" w:rsidTr="00C001C3">
        <w:tblPrEx>
          <w:tblW w:w="10530" w:type="dxa"/>
          <w:tblLayout w:type="fixed"/>
          <w:tblLook w:val="04A0"/>
        </w:tblPrEx>
        <w:trPr>
          <w:trHeight w:val="315"/>
        </w:trPr>
        <w:tc>
          <w:tcPr>
            <w:tcW w:w="1620" w:type="dxa"/>
            <w:shd w:val="clear" w:color="auto" w:fill="auto"/>
            <w:vAlign w:val="center"/>
            <w:hideMark/>
          </w:tcPr>
          <w:p w:rsidR="00582BF4" w:rsidRPr="00D23214" w:rsidP="00C001C3" w14:paraId="471E82FF" w14:textId="77777777">
            <w:pPr>
              <w:rPr>
                <w:i/>
                <w:iCs/>
                <w:color w:val="000000"/>
              </w:rPr>
            </w:pPr>
            <w:r w:rsidRPr="00D23214">
              <w:rPr>
                <w:i/>
                <w:iCs/>
                <w:color w:val="000000"/>
              </w:rPr>
              <w:t>Simultaneous Monitoring</w:t>
            </w:r>
          </w:p>
        </w:tc>
        <w:tc>
          <w:tcPr>
            <w:tcW w:w="1350" w:type="dxa"/>
            <w:shd w:val="clear" w:color="auto" w:fill="auto"/>
            <w:vAlign w:val="center"/>
            <w:hideMark/>
          </w:tcPr>
          <w:p w:rsidR="00582BF4" w:rsidRPr="00D23214" w:rsidP="00C001C3" w14:paraId="789452CA" w14:textId="77777777">
            <w:pPr>
              <w:jc w:val="center"/>
              <w:rPr>
                <w:color w:val="000000"/>
              </w:rPr>
            </w:pPr>
            <w:r w:rsidRPr="00D23214">
              <w:rPr>
                <w:color w:val="000000"/>
              </w:rPr>
              <w:t>42</w:t>
            </w:r>
          </w:p>
        </w:tc>
        <w:tc>
          <w:tcPr>
            <w:tcW w:w="1260" w:type="dxa"/>
            <w:shd w:val="clear" w:color="auto" w:fill="auto"/>
            <w:vAlign w:val="center"/>
            <w:hideMark/>
          </w:tcPr>
          <w:p w:rsidR="00582BF4" w:rsidRPr="00D23214" w:rsidP="00C001C3" w14:paraId="6D390DA2" w14:textId="77777777">
            <w:pPr>
              <w:jc w:val="center"/>
              <w:rPr>
                <w:color w:val="000000"/>
              </w:rPr>
            </w:pPr>
            <w:r w:rsidRPr="00D23214">
              <w:rPr>
                <w:color w:val="000000"/>
              </w:rPr>
              <w:t>1,250</w:t>
            </w:r>
          </w:p>
        </w:tc>
        <w:tc>
          <w:tcPr>
            <w:tcW w:w="1170" w:type="dxa"/>
            <w:shd w:val="clear" w:color="auto" w:fill="auto"/>
            <w:vAlign w:val="center"/>
            <w:hideMark/>
          </w:tcPr>
          <w:p w:rsidR="00582BF4" w:rsidRPr="00D23214" w:rsidP="00C001C3" w14:paraId="40CD029A" w14:textId="77777777">
            <w:pPr>
              <w:jc w:val="center"/>
              <w:rPr>
                <w:color w:val="000000"/>
              </w:rPr>
            </w:pPr>
            <w:r w:rsidRPr="00D23214">
              <w:rPr>
                <w:color w:val="000000"/>
              </w:rPr>
              <w:t>52,500</w:t>
            </w:r>
          </w:p>
        </w:tc>
        <w:tc>
          <w:tcPr>
            <w:tcW w:w="1440" w:type="dxa"/>
            <w:shd w:val="clear" w:color="auto" w:fill="auto"/>
            <w:vAlign w:val="center"/>
            <w:hideMark/>
          </w:tcPr>
          <w:p w:rsidR="00582BF4" w:rsidRPr="00D23214" w:rsidP="00C001C3" w14:paraId="13E9A670" w14:textId="77777777">
            <w:pPr>
              <w:jc w:val="center"/>
              <w:rPr>
                <w:color w:val="000000"/>
              </w:rPr>
            </w:pPr>
            <w:r w:rsidRPr="00D23214">
              <w:rPr>
                <w:color w:val="000000"/>
              </w:rPr>
              <w:t>1/60</w:t>
            </w:r>
          </w:p>
        </w:tc>
        <w:tc>
          <w:tcPr>
            <w:tcW w:w="1260" w:type="dxa"/>
            <w:shd w:val="clear" w:color="auto" w:fill="auto"/>
            <w:vAlign w:val="center"/>
            <w:hideMark/>
          </w:tcPr>
          <w:p w:rsidR="00582BF4" w:rsidRPr="006342EC" w:rsidP="00C001C3" w14:paraId="05A2DE06" w14:textId="77777777">
            <w:pPr>
              <w:jc w:val="center"/>
              <w:rPr>
                <w:bCs/>
                <w:color w:val="000000"/>
              </w:rPr>
            </w:pPr>
            <w:r w:rsidRPr="006342EC">
              <w:rPr>
                <w:bCs/>
                <w:color w:val="000000"/>
              </w:rPr>
              <w:t>875</w:t>
            </w:r>
          </w:p>
        </w:tc>
        <w:tc>
          <w:tcPr>
            <w:tcW w:w="1160" w:type="dxa"/>
            <w:shd w:val="clear" w:color="auto" w:fill="auto"/>
            <w:vAlign w:val="center"/>
          </w:tcPr>
          <w:p w:rsidR="00582BF4" w:rsidRPr="00D23214" w:rsidP="00C001C3" w14:paraId="542C3CA8" w14:textId="77777777">
            <w:pPr>
              <w:jc w:val="center"/>
              <w:rPr>
                <w:color w:val="000000"/>
              </w:rPr>
            </w:pPr>
            <w:r w:rsidRPr="00354265">
              <w:rPr>
                <w:color w:val="000000"/>
              </w:rPr>
              <w:t>$34.43</w:t>
            </w:r>
          </w:p>
        </w:tc>
        <w:tc>
          <w:tcPr>
            <w:tcW w:w="1270" w:type="dxa"/>
            <w:shd w:val="clear" w:color="auto" w:fill="auto"/>
          </w:tcPr>
          <w:p w:rsidR="00582BF4" w:rsidRPr="00D23214" w:rsidP="00C001C3" w14:paraId="401FE6E0" w14:textId="77777777">
            <w:pPr>
              <w:jc w:val="center"/>
              <w:rPr>
                <w:color w:val="000000"/>
              </w:rPr>
            </w:pPr>
            <w:r w:rsidRPr="00A76F94">
              <w:t>$30,126</w:t>
            </w:r>
          </w:p>
        </w:tc>
      </w:tr>
      <w:tr w14:paraId="5ED049F1" w14:textId="77777777" w:rsidTr="00C001C3">
        <w:tblPrEx>
          <w:tblW w:w="10530" w:type="dxa"/>
          <w:tblLayout w:type="fixed"/>
          <w:tblLook w:val="04A0"/>
        </w:tblPrEx>
        <w:trPr>
          <w:trHeight w:val="315"/>
        </w:trPr>
        <w:tc>
          <w:tcPr>
            <w:tcW w:w="1620" w:type="dxa"/>
            <w:shd w:val="clear" w:color="auto" w:fill="auto"/>
            <w:vAlign w:val="center"/>
            <w:hideMark/>
          </w:tcPr>
          <w:p w:rsidR="00582BF4" w:rsidRPr="001B1793" w:rsidP="00C001C3" w14:paraId="605131C5" w14:textId="77777777">
            <w:pPr>
              <w:rPr>
                <w:i/>
                <w:iCs/>
                <w:color w:val="000000"/>
              </w:rPr>
            </w:pPr>
            <w:r w:rsidRPr="001B1793">
              <w:rPr>
                <w:i/>
                <w:iCs/>
                <w:color w:val="000000"/>
              </w:rPr>
              <w:t>Serial Monitoring</w:t>
            </w:r>
          </w:p>
        </w:tc>
        <w:tc>
          <w:tcPr>
            <w:tcW w:w="1350" w:type="dxa"/>
            <w:shd w:val="clear" w:color="auto" w:fill="auto"/>
            <w:vAlign w:val="center"/>
            <w:hideMark/>
          </w:tcPr>
          <w:p w:rsidR="00582BF4" w:rsidRPr="001B1793" w:rsidP="00C001C3" w14:paraId="25EF3819" w14:textId="77777777">
            <w:pPr>
              <w:jc w:val="center"/>
              <w:rPr>
                <w:color w:val="000000"/>
              </w:rPr>
            </w:pPr>
            <w:r w:rsidRPr="001B1793">
              <w:rPr>
                <w:color w:val="000000"/>
              </w:rPr>
              <w:t>42</w:t>
            </w:r>
          </w:p>
        </w:tc>
        <w:tc>
          <w:tcPr>
            <w:tcW w:w="1260" w:type="dxa"/>
            <w:shd w:val="clear" w:color="auto" w:fill="auto"/>
            <w:vAlign w:val="center"/>
            <w:hideMark/>
          </w:tcPr>
          <w:p w:rsidR="00582BF4" w:rsidRPr="001B1793" w:rsidP="00C001C3" w14:paraId="6547CF47" w14:textId="77777777">
            <w:pPr>
              <w:jc w:val="center"/>
              <w:rPr>
                <w:color w:val="000000"/>
              </w:rPr>
            </w:pPr>
            <w:r w:rsidRPr="001B1793">
              <w:rPr>
                <w:color w:val="000000"/>
              </w:rPr>
              <w:t>1,250</w:t>
            </w:r>
          </w:p>
        </w:tc>
        <w:tc>
          <w:tcPr>
            <w:tcW w:w="1170" w:type="dxa"/>
            <w:shd w:val="clear" w:color="auto" w:fill="auto"/>
            <w:vAlign w:val="center"/>
            <w:hideMark/>
          </w:tcPr>
          <w:p w:rsidR="00582BF4" w:rsidRPr="001B1793" w:rsidP="00C001C3" w14:paraId="0EE7B97A" w14:textId="77777777">
            <w:pPr>
              <w:jc w:val="center"/>
              <w:rPr>
                <w:color w:val="000000"/>
              </w:rPr>
            </w:pPr>
            <w:r w:rsidRPr="001B1793">
              <w:rPr>
                <w:color w:val="000000"/>
              </w:rPr>
              <w:t>52,500</w:t>
            </w:r>
          </w:p>
        </w:tc>
        <w:tc>
          <w:tcPr>
            <w:tcW w:w="1440" w:type="dxa"/>
            <w:shd w:val="clear" w:color="auto" w:fill="auto"/>
            <w:vAlign w:val="center"/>
            <w:hideMark/>
          </w:tcPr>
          <w:p w:rsidR="00582BF4" w:rsidRPr="001B1793" w:rsidP="00C001C3" w14:paraId="6AC33943" w14:textId="77777777">
            <w:pPr>
              <w:jc w:val="center"/>
              <w:rPr>
                <w:color w:val="000000"/>
              </w:rPr>
            </w:pPr>
            <w:r w:rsidRPr="001B1793">
              <w:rPr>
                <w:color w:val="000000"/>
              </w:rPr>
              <w:t>3/60</w:t>
            </w:r>
          </w:p>
        </w:tc>
        <w:tc>
          <w:tcPr>
            <w:tcW w:w="1260" w:type="dxa"/>
            <w:shd w:val="clear" w:color="auto" w:fill="auto"/>
            <w:vAlign w:val="center"/>
            <w:hideMark/>
          </w:tcPr>
          <w:p w:rsidR="00582BF4" w:rsidRPr="006342EC" w:rsidP="00C001C3" w14:paraId="5E78A52A" w14:textId="77777777">
            <w:pPr>
              <w:jc w:val="center"/>
              <w:rPr>
                <w:bCs/>
                <w:color w:val="000000"/>
              </w:rPr>
            </w:pPr>
            <w:r w:rsidRPr="006342EC">
              <w:rPr>
                <w:bCs/>
                <w:color w:val="000000"/>
              </w:rPr>
              <w:t>2,625</w:t>
            </w:r>
          </w:p>
        </w:tc>
        <w:tc>
          <w:tcPr>
            <w:tcW w:w="1160" w:type="dxa"/>
            <w:shd w:val="clear" w:color="auto" w:fill="auto"/>
            <w:vAlign w:val="center"/>
          </w:tcPr>
          <w:p w:rsidR="00582BF4" w:rsidRPr="001B1793" w:rsidP="00C001C3" w14:paraId="556536B1" w14:textId="77777777">
            <w:pPr>
              <w:jc w:val="center"/>
              <w:rPr>
                <w:color w:val="000000"/>
              </w:rPr>
            </w:pPr>
            <w:r w:rsidRPr="001B1793">
              <w:rPr>
                <w:color w:val="000000"/>
              </w:rPr>
              <w:t>$34.43</w:t>
            </w:r>
          </w:p>
        </w:tc>
        <w:tc>
          <w:tcPr>
            <w:tcW w:w="1270" w:type="dxa"/>
            <w:shd w:val="clear" w:color="auto" w:fill="auto"/>
          </w:tcPr>
          <w:p w:rsidR="00582BF4" w:rsidRPr="001B1793" w:rsidP="00C001C3" w14:paraId="26EFF680" w14:textId="77777777">
            <w:pPr>
              <w:jc w:val="center"/>
              <w:rPr>
                <w:color w:val="000000"/>
              </w:rPr>
            </w:pPr>
            <w:r w:rsidRPr="001B1793">
              <w:t>$90,379</w:t>
            </w:r>
          </w:p>
        </w:tc>
      </w:tr>
      <w:tr w14:paraId="683E586E" w14:textId="77777777" w:rsidTr="00C001C3">
        <w:tblPrEx>
          <w:tblW w:w="10530" w:type="dxa"/>
          <w:tblLayout w:type="fixed"/>
          <w:tblLook w:val="04A0"/>
        </w:tblPrEx>
        <w:trPr>
          <w:trHeight w:val="315"/>
        </w:trPr>
        <w:tc>
          <w:tcPr>
            <w:tcW w:w="1620" w:type="dxa"/>
            <w:shd w:val="clear" w:color="auto" w:fill="DBDBDB" w:themeFill="accent3" w:themeFillTint="66"/>
            <w:vAlign w:val="center"/>
            <w:hideMark/>
          </w:tcPr>
          <w:p w:rsidR="00582BF4" w:rsidRPr="001B1793" w:rsidP="00C001C3" w14:paraId="77B17A4A" w14:textId="77777777">
            <w:pPr>
              <w:rPr>
                <w:b/>
                <w:bCs/>
                <w:color w:val="000000"/>
              </w:rPr>
            </w:pPr>
            <w:r w:rsidRPr="001B1793">
              <w:rPr>
                <w:b/>
                <w:bCs/>
                <w:color w:val="000000"/>
              </w:rPr>
              <w:t>Subtotal Monitoring Records</w:t>
            </w:r>
          </w:p>
        </w:tc>
        <w:tc>
          <w:tcPr>
            <w:tcW w:w="1350" w:type="dxa"/>
            <w:tcBorders>
              <w:bottom w:val="single" w:sz="8" w:space="0" w:color="auto"/>
            </w:tcBorders>
            <w:shd w:val="clear" w:color="auto" w:fill="DBDBDB" w:themeFill="accent3" w:themeFillTint="66"/>
            <w:vAlign w:val="center"/>
            <w:hideMark/>
          </w:tcPr>
          <w:p w:rsidR="00582BF4" w:rsidRPr="001B1793" w:rsidP="00C001C3" w14:paraId="6EAD5D9E" w14:textId="77777777">
            <w:pPr>
              <w:jc w:val="center"/>
              <w:rPr>
                <w:b/>
                <w:color w:val="000000"/>
              </w:rPr>
            </w:pPr>
          </w:p>
        </w:tc>
        <w:tc>
          <w:tcPr>
            <w:tcW w:w="1260" w:type="dxa"/>
            <w:tcBorders>
              <w:bottom w:val="single" w:sz="8" w:space="0" w:color="auto"/>
            </w:tcBorders>
            <w:shd w:val="clear" w:color="auto" w:fill="DBDBDB" w:themeFill="accent3" w:themeFillTint="66"/>
            <w:vAlign w:val="center"/>
            <w:hideMark/>
          </w:tcPr>
          <w:p w:rsidR="00582BF4" w:rsidRPr="001B1793" w:rsidP="00C001C3" w14:paraId="0BED769B" w14:textId="77777777">
            <w:pPr>
              <w:jc w:val="center"/>
              <w:rPr>
                <w:b/>
                <w:color w:val="000000"/>
              </w:rPr>
            </w:pPr>
            <w:r w:rsidRPr="001B1793">
              <w:rPr>
                <w:b/>
                <w:color w:val="000000"/>
              </w:rPr>
              <w:t>-</w:t>
            </w:r>
          </w:p>
        </w:tc>
        <w:tc>
          <w:tcPr>
            <w:tcW w:w="1170" w:type="dxa"/>
            <w:tcBorders>
              <w:bottom w:val="single" w:sz="8" w:space="0" w:color="auto"/>
            </w:tcBorders>
            <w:shd w:val="clear" w:color="auto" w:fill="DBDBDB" w:themeFill="accent3" w:themeFillTint="66"/>
            <w:vAlign w:val="center"/>
            <w:hideMark/>
          </w:tcPr>
          <w:p w:rsidR="00582BF4" w:rsidRPr="001B1793" w:rsidP="00C001C3" w14:paraId="2FEBC3B2" w14:textId="77777777">
            <w:pPr>
              <w:jc w:val="center"/>
              <w:rPr>
                <w:b/>
                <w:color w:val="000000"/>
              </w:rPr>
            </w:pPr>
            <w:r w:rsidRPr="001B1793">
              <w:rPr>
                <w:b/>
                <w:color w:val="000000"/>
              </w:rPr>
              <w:t>126,000</w:t>
            </w:r>
          </w:p>
        </w:tc>
        <w:tc>
          <w:tcPr>
            <w:tcW w:w="1440" w:type="dxa"/>
            <w:tcBorders>
              <w:bottom w:val="single" w:sz="8" w:space="0" w:color="auto"/>
            </w:tcBorders>
            <w:shd w:val="clear" w:color="auto" w:fill="DBDBDB" w:themeFill="accent3" w:themeFillTint="66"/>
            <w:vAlign w:val="center"/>
            <w:hideMark/>
          </w:tcPr>
          <w:p w:rsidR="00582BF4" w:rsidRPr="001B1793" w:rsidP="00C001C3" w14:paraId="02BF3DAA" w14:textId="77777777">
            <w:pPr>
              <w:jc w:val="center"/>
              <w:rPr>
                <w:color w:val="000000"/>
              </w:rPr>
            </w:pPr>
            <w:r w:rsidRPr="001B1793">
              <w:rPr>
                <w:color w:val="000000"/>
              </w:rPr>
              <w:t>-</w:t>
            </w:r>
          </w:p>
        </w:tc>
        <w:tc>
          <w:tcPr>
            <w:tcW w:w="1260" w:type="dxa"/>
            <w:tcBorders>
              <w:bottom w:val="single" w:sz="8" w:space="0" w:color="auto"/>
            </w:tcBorders>
            <w:shd w:val="clear" w:color="auto" w:fill="DBDBDB" w:themeFill="accent3" w:themeFillTint="66"/>
            <w:vAlign w:val="center"/>
            <w:hideMark/>
          </w:tcPr>
          <w:p w:rsidR="00582BF4" w:rsidRPr="006342EC" w:rsidP="00C001C3" w14:paraId="7DAD467F" w14:textId="77777777">
            <w:pPr>
              <w:jc w:val="center"/>
              <w:rPr>
                <w:b/>
                <w:color w:val="000000"/>
              </w:rPr>
            </w:pPr>
            <w:r w:rsidRPr="001B1793">
              <w:rPr>
                <w:b/>
                <w:color w:val="000000"/>
              </w:rPr>
              <w:t>3,668</w:t>
            </w:r>
          </w:p>
        </w:tc>
        <w:tc>
          <w:tcPr>
            <w:tcW w:w="1160" w:type="dxa"/>
            <w:tcBorders>
              <w:bottom w:val="single" w:sz="8" w:space="0" w:color="auto"/>
            </w:tcBorders>
            <w:shd w:val="clear" w:color="auto" w:fill="DBDBDB" w:themeFill="accent3" w:themeFillTint="66"/>
            <w:vAlign w:val="center"/>
            <w:hideMark/>
          </w:tcPr>
          <w:p w:rsidR="00582BF4" w:rsidRPr="001B1793" w:rsidP="00C001C3" w14:paraId="7B7668A0" w14:textId="77777777">
            <w:pPr>
              <w:jc w:val="center"/>
              <w:rPr>
                <w:b/>
                <w:color w:val="000000"/>
              </w:rPr>
            </w:pPr>
          </w:p>
        </w:tc>
        <w:tc>
          <w:tcPr>
            <w:tcW w:w="1270" w:type="dxa"/>
            <w:tcBorders>
              <w:bottom w:val="single" w:sz="8" w:space="0" w:color="auto"/>
            </w:tcBorders>
            <w:shd w:val="clear" w:color="auto" w:fill="DBDBDB" w:themeFill="accent3" w:themeFillTint="66"/>
            <w:vAlign w:val="center"/>
            <w:hideMark/>
          </w:tcPr>
          <w:p w:rsidR="00582BF4" w:rsidRPr="006342EC" w:rsidP="00C001C3" w14:paraId="0898C807" w14:textId="77777777">
            <w:pPr>
              <w:jc w:val="center"/>
              <w:rPr>
                <w:b/>
                <w:color w:val="000000"/>
              </w:rPr>
            </w:pPr>
            <w:r w:rsidRPr="001B1793">
              <w:rPr>
                <w:b/>
                <w:color w:val="000000"/>
              </w:rPr>
              <w:t>$126,289</w:t>
            </w:r>
          </w:p>
        </w:tc>
      </w:tr>
      <w:tr w14:paraId="22A81BCE" w14:textId="77777777" w:rsidTr="00C001C3">
        <w:tblPrEx>
          <w:tblW w:w="10530" w:type="dxa"/>
          <w:tblLayout w:type="fixed"/>
          <w:tblLook w:val="04A0"/>
        </w:tblPrEx>
        <w:trPr>
          <w:cantSplit/>
          <w:trHeight w:val="600"/>
        </w:trPr>
        <w:tc>
          <w:tcPr>
            <w:tcW w:w="1620" w:type="dxa"/>
            <w:shd w:val="clear" w:color="auto" w:fill="auto"/>
            <w:vAlign w:val="center"/>
            <w:hideMark/>
          </w:tcPr>
          <w:p w:rsidR="00582BF4" w:rsidRPr="001B1793" w:rsidP="00C001C3" w14:paraId="3AD37463" w14:textId="77777777">
            <w:pPr>
              <w:rPr>
                <w:color w:val="000000"/>
              </w:rPr>
            </w:pPr>
            <w:r w:rsidRPr="001B1793">
              <w:rPr>
                <w:color w:val="000000"/>
              </w:rPr>
              <w:t>2. Small and medium conventional bore projects</w:t>
            </w:r>
          </w:p>
        </w:tc>
        <w:tc>
          <w:tcPr>
            <w:tcW w:w="1350" w:type="dxa"/>
            <w:shd w:val="clear" w:color="000000" w:fill="D9D9D9" w:themeFill="background1" w:themeFillShade="D9"/>
            <w:vAlign w:val="center"/>
            <w:hideMark/>
          </w:tcPr>
          <w:p w:rsidR="00582BF4" w:rsidRPr="001B1793" w:rsidP="00C001C3" w14:paraId="5D24E08A" w14:textId="77777777">
            <w:pPr>
              <w:jc w:val="center"/>
              <w:rPr>
                <w:color w:val="000000"/>
              </w:rPr>
            </w:pPr>
            <w:r w:rsidRPr="001B1793">
              <w:rPr>
                <w:color w:val="000000"/>
              </w:rPr>
              <w:t> </w:t>
            </w:r>
          </w:p>
        </w:tc>
        <w:tc>
          <w:tcPr>
            <w:tcW w:w="1260" w:type="dxa"/>
            <w:shd w:val="clear" w:color="000000" w:fill="D9D9D9" w:themeFill="background1" w:themeFillShade="D9"/>
            <w:vAlign w:val="center"/>
            <w:hideMark/>
          </w:tcPr>
          <w:p w:rsidR="00582BF4" w:rsidRPr="001B1793" w:rsidP="00C001C3" w14:paraId="6AC70185" w14:textId="77777777">
            <w:pPr>
              <w:jc w:val="center"/>
              <w:rPr>
                <w:color w:val="000000"/>
              </w:rPr>
            </w:pPr>
            <w:r w:rsidRPr="001B1793">
              <w:rPr>
                <w:color w:val="000000"/>
              </w:rPr>
              <w:t> </w:t>
            </w:r>
          </w:p>
        </w:tc>
        <w:tc>
          <w:tcPr>
            <w:tcW w:w="1170" w:type="dxa"/>
            <w:shd w:val="clear" w:color="000000" w:fill="D9D9D9" w:themeFill="background1" w:themeFillShade="D9"/>
            <w:vAlign w:val="center"/>
            <w:hideMark/>
          </w:tcPr>
          <w:p w:rsidR="00582BF4" w:rsidRPr="001B1793" w:rsidP="00C001C3" w14:paraId="6F924107" w14:textId="77777777">
            <w:pPr>
              <w:jc w:val="center"/>
              <w:rPr>
                <w:color w:val="000000"/>
              </w:rPr>
            </w:pPr>
            <w:r w:rsidRPr="001B1793">
              <w:rPr>
                <w:color w:val="000000"/>
              </w:rPr>
              <w:t> </w:t>
            </w:r>
          </w:p>
        </w:tc>
        <w:tc>
          <w:tcPr>
            <w:tcW w:w="1440" w:type="dxa"/>
            <w:shd w:val="clear" w:color="000000" w:fill="D9D9D9" w:themeFill="background1" w:themeFillShade="D9"/>
            <w:vAlign w:val="center"/>
            <w:hideMark/>
          </w:tcPr>
          <w:p w:rsidR="00582BF4" w:rsidRPr="001B1793" w:rsidP="00C001C3" w14:paraId="58D5912B" w14:textId="77777777">
            <w:pPr>
              <w:jc w:val="center"/>
              <w:rPr>
                <w:color w:val="000000"/>
              </w:rPr>
            </w:pPr>
            <w:r w:rsidRPr="001B1793">
              <w:rPr>
                <w:color w:val="000000"/>
              </w:rPr>
              <w:t> </w:t>
            </w:r>
          </w:p>
        </w:tc>
        <w:tc>
          <w:tcPr>
            <w:tcW w:w="1260" w:type="dxa"/>
            <w:shd w:val="clear" w:color="000000" w:fill="D9D9D9" w:themeFill="background1" w:themeFillShade="D9"/>
            <w:vAlign w:val="center"/>
            <w:hideMark/>
          </w:tcPr>
          <w:p w:rsidR="00582BF4" w:rsidRPr="006342EC" w:rsidP="00C001C3" w14:paraId="142F008E" w14:textId="77777777">
            <w:pPr>
              <w:jc w:val="center"/>
              <w:rPr>
                <w:b/>
                <w:color w:val="000000"/>
              </w:rPr>
            </w:pPr>
            <w:r w:rsidRPr="001B1793">
              <w:rPr>
                <w:b/>
                <w:color w:val="000000"/>
              </w:rPr>
              <w:t> </w:t>
            </w:r>
          </w:p>
        </w:tc>
        <w:tc>
          <w:tcPr>
            <w:tcW w:w="1160" w:type="dxa"/>
            <w:shd w:val="clear" w:color="000000" w:fill="D9D9D9" w:themeFill="background1" w:themeFillShade="D9"/>
            <w:vAlign w:val="center"/>
            <w:hideMark/>
          </w:tcPr>
          <w:p w:rsidR="00582BF4" w:rsidRPr="001B1793" w:rsidP="00C001C3" w14:paraId="6A350A92" w14:textId="77777777">
            <w:pPr>
              <w:jc w:val="center"/>
              <w:rPr>
                <w:color w:val="000000"/>
              </w:rPr>
            </w:pPr>
            <w:r w:rsidRPr="001B1793">
              <w:rPr>
                <w:color w:val="000000"/>
              </w:rPr>
              <w:t> </w:t>
            </w:r>
          </w:p>
        </w:tc>
        <w:tc>
          <w:tcPr>
            <w:tcW w:w="1270" w:type="dxa"/>
            <w:shd w:val="clear" w:color="000000" w:fill="D9D9D9" w:themeFill="background1" w:themeFillShade="D9"/>
            <w:vAlign w:val="center"/>
            <w:hideMark/>
          </w:tcPr>
          <w:p w:rsidR="00582BF4" w:rsidRPr="001B1793" w:rsidP="00C001C3" w14:paraId="0FE36BB8" w14:textId="77777777">
            <w:pPr>
              <w:jc w:val="center"/>
              <w:rPr>
                <w:color w:val="000000"/>
              </w:rPr>
            </w:pPr>
            <w:r w:rsidRPr="001B1793">
              <w:rPr>
                <w:color w:val="000000"/>
              </w:rPr>
              <w:t> </w:t>
            </w:r>
          </w:p>
        </w:tc>
      </w:tr>
      <w:tr w14:paraId="48C3103E" w14:textId="77777777" w:rsidTr="00C001C3">
        <w:tblPrEx>
          <w:tblW w:w="10530" w:type="dxa"/>
          <w:tblLayout w:type="fixed"/>
          <w:tblLook w:val="04A0"/>
        </w:tblPrEx>
        <w:trPr>
          <w:trHeight w:val="315"/>
        </w:trPr>
        <w:tc>
          <w:tcPr>
            <w:tcW w:w="1620" w:type="dxa"/>
            <w:shd w:val="clear" w:color="auto" w:fill="auto"/>
            <w:vAlign w:val="center"/>
            <w:hideMark/>
          </w:tcPr>
          <w:p w:rsidR="00582BF4" w:rsidRPr="001B1793" w:rsidP="00C001C3" w14:paraId="263F7CE3" w14:textId="77777777">
            <w:pPr>
              <w:rPr>
                <w:i/>
                <w:iCs/>
                <w:color w:val="000000"/>
              </w:rPr>
            </w:pPr>
            <w:r w:rsidRPr="001B1793">
              <w:rPr>
                <w:i/>
                <w:iCs/>
                <w:color w:val="000000"/>
              </w:rPr>
              <w:t>Continuous Monitoring</w:t>
            </w:r>
          </w:p>
        </w:tc>
        <w:tc>
          <w:tcPr>
            <w:tcW w:w="1350" w:type="dxa"/>
            <w:shd w:val="clear" w:color="auto" w:fill="auto"/>
            <w:vAlign w:val="center"/>
            <w:hideMark/>
          </w:tcPr>
          <w:p w:rsidR="00582BF4" w:rsidRPr="001B1793" w:rsidP="00C001C3" w14:paraId="6CA6DC24" w14:textId="77777777">
            <w:pPr>
              <w:jc w:val="center"/>
              <w:rPr>
                <w:color w:val="000000"/>
              </w:rPr>
            </w:pPr>
            <w:r w:rsidRPr="001B1793">
              <w:rPr>
                <w:color w:val="000000"/>
              </w:rPr>
              <w:t>245</w:t>
            </w:r>
          </w:p>
        </w:tc>
        <w:tc>
          <w:tcPr>
            <w:tcW w:w="1260" w:type="dxa"/>
            <w:shd w:val="clear" w:color="auto" w:fill="auto"/>
            <w:vAlign w:val="center"/>
            <w:hideMark/>
          </w:tcPr>
          <w:p w:rsidR="00582BF4" w:rsidRPr="001B1793" w:rsidP="00C001C3" w14:paraId="58583C73" w14:textId="77777777">
            <w:pPr>
              <w:jc w:val="center"/>
              <w:rPr>
                <w:color w:val="000000"/>
              </w:rPr>
            </w:pPr>
            <w:r w:rsidRPr="001B1793">
              <w:rPr>
                <w:color w:val="000000"/>
              </w:rPr>
              <w:t>250</w:t>
            </w:r>
          </w:p>
        </w:tc>
        <w:tc>
          <w:tcPr>
            <w:tcW w:w="1170" w:type="dxa"/>
            <w:shd w:val="clear" w:color="auto" w:fill="auto"/>
            <w:vAlign w:val="center"/>
            <w:hideMark/>
          </w:tcPr>
          <w:p w:rsidR="00582BF4" w:rsidRPr="001B1793" w:rsidP="00C001C3" w14:paraId="4C13ECDB" w14:textId="77777777">
            <w:pPr>
              <w:jc w:val="center"/>
              <w:rPr>
                <w:color w:val="000000"/>
              </w:rPr>
            </w:pPr>
            <w:r w:rsidRPr="001B1793">
              <w:rPr>
                <w:color w:val="000000"/>
              </w:rPr>
              <w:t>61,250</w:t>
            </w:r>
          </w:p>
        </w:tc>
        <w:tc>
          <w:tcPr>
            <w:tcW w:w="1440" w:type="dxa"/>
            <w:shd w:val="clear" w:color="auto" w:fill="auto"/>
            <w:vAlign w:val="center"/>
            <w:hideMark/>
          </w:tcPr>
          <w:p w:rsidR="00582BF4" w:rsidRPr="001B1793" w:rsidP="00C001C3" w14:paraId="337268AC" w14:textId="77777777">
            <w:pPr>
              <w:jc w:val="center"/>
              <w:rPr>
                <w:color w:val="000000"/>
              </w:rPr>
            </w:pPr>
            <w:r w:rsidRPr="001B1793">
              <w:rPr>
                <w:color w:val="000000"/>
              </w:rPr>
              <w:t>.008</w:t>
            </w:r>
          </w:p>
        </w:tc>
        <w:tc>
          <w:tcPr>
            <w:tcW w:w="1260" w:type="dxa"/>
            <w:shd w:val="clear" w:color="auto" w:fill="auto"/>
            <w:vAlign w:val="center"/>
            <w:hideMark/>
          </w:tcPr>
          <w:p w:rsidR="00582BF4" w:rsidRPr="006342EC" w:rsidP="00C001C3" w14:paraId="47266387" w14:textId="77777777">
            <w:pPr>
              <w:jc w:val="center"/>
              <w:rPr>
                <w:bCs/>
                <w:color w:val="000000"/>
              </w:rPr>
            </w:pPr>
            <w:r w:rsidRPr="006342EC">
              <w:rPr>
                <w:bCs/>
                <w:color w:val="000000"/>
              </w:rPr>
              <w:t>490</w:t>
            </w:r>
          </w:p>
        </w:tc>
        <w:tc>
          <w:tcPr>
            <w:tcW w:w="1160" w:type="dxa"/>
            <w:shd w:val="clear" w:color="auto" w:fill="auto"/>
            <w:vAlign w:val="center"/>
          </w:tcPr>
          <w:p w:rsidR="00582BF4" w:rsidRPr="001B1793" w:rsidP="00C001C3" w14:paraId="26C5121A" w14:textId="77777777">
            <w:pPr>
              <w:jc w:val="center"/>
              <w:rPr>
                <w:color w:val="000000"/>
              </w:rPr>
            </w:pPr>
            <w:r w:rsidRPr="001B1793">
              <w:rPr>
                <w:color w:val="000000"/>
              </w:rPr>
              <w:t>$34.43</w:t>
            </w:r>
          </w:p>
        </w:tc>
        <w:tc>
          <w:tcPr>
            <w:tcW w:w="1270" w:type="dxa"/>
            <w:shd w:val="clear" w:color="auto" w:fill="auto"/>
          </w:tcPr>
          <w:p w:rsidR="00582BF4" w:rsidRPr="001B1793" w:rsidP="00C001C3" w14:paraId="71544409" w14:textId="77777777">
            <w:pPr>
              <w:jc w:val="center"/>
              <w:rPr>
                <w:color w:val="000000"/>
              </w:rPr>
            </w:pPr>
            <w:r w:rsidRPr="001B1793">
              <w:t>$16,871</w:t>
            </w:r>
          </w:p>
        </w:tc>
      </w:tr>
      <w:tr w14:paraId="08174D6F" w14:textId="77777777" w:rsidTr="00C001C3">
        <w:tblPrEx>
          <w:tblW w:w="10530" w:type="dxa"/>
          <w:tblLayout w:type="fixed"/>
          <w:tblLook w:val="04A0"/>
        </w:tblPrEx>
        <w:trPr>
          <w:trHeight w:val="315"/>
        </w:trPr>
        <w:tc>
          <w:tcPr>
            <w:tcW w:w="1620" w:type="dxa"/>
            <w:shd w:val="clear" w:color="auto" w:fill="auto"/>
            <w:vAlign w:val="center"/>
            <w:hideMark/>
          </w:tcPr>
          <w:p w:rsidR="00582BF4" w:rsidRPr="001B1793" w:rsidP="00C001C3" w14:paraId="7E5307D7" w14:textId="77777777">
            <w:pPr>
              <w:rPr>
                <w:i/>
                <w:iCs/>
                <w:color w:val="000000"/>
              </w:rPr>
            </w:pPr>
            <w:r w:rsidRPr="001B1793">
              <w:rPr>
                <w:i/>
                <w:iCs/>
                <w:color w:val="000000"/>
              </w:rPr>
              <w:t>Simultaneous Monitoring</w:t>
            </w:r>
          </w:p>
        </w:tc>
        <w:tc>
          <w:tcPr>
            <w:tcW w:w="1350" w:type="dxa"/>
            <w:shd w:val="clear" w:color="auto" w:fill="auto"/>
            <w:vAlign w:val="center"/>
            <w:hideMark/>
          </w:tcPr>
          <w:p w:rsidR="00582BF4" w:rsidRPr="001B1793" w:rsidP="00C001C3" w14:paraId="5260C3D5" w14:textId="77777777">
            <w:pPr>
              <w:jc w:val="center"/>
              <w:rPr>
                <w:color w:val="000000"/>
              </w:rPr>
            </w:pPr>
            <w:r w:rsidRPr="001B1793">
              <w:rPr>
                <w:color w:val="000000"/>
              </w:rPr>
              <w:t>123</w:t>
            </w:r>
          </w:p>
        </w:tc>
        <w:tc>
          <w:tcPr>
            <w:tcW w:w="1260" w:type="dxa"/>
            <w:shd w:val="clear" w:color="auto" w:fill="auto"/>
            <w:vAlign w:val="center"/>
            <w:hideMark/>
          </w:tcPr>
          <w:p w:rsidR="00582BF4" w:rsidRPr="001B1793" w:rsidP="00C001C3" w14:paraId="65459E9D" w14:textId="77777777">
            <w:pPr>
              <w:jc w:val="center"/>
              <w:rPr>
                <w:color w:val="000000"/>
              </w:rPr>
            </w:pPr>
            <w:r w:rsidRPr="001B1793">
              <w:rPr>
                <w:color w:val="000000"/>
              </w:rPr>
              <w:t>1,250</w:t>
            </w:r>
          </w:p>
        </w:tc>
        <w:tc>
          <w:tcPr>
            <w:tcW w:w="1170" w:type="dxa"/>
            <w:shd w:val="clear" w:color="auto" w:fill="auto"/>
            <w:vAlign w:val="center"/>
            <w:hideMark/>
          </w:tcPr>
          <w:p w:rsidR="00582BF4" w:rsidRPr="001B1793" w:rsidP="00C001C3" w14:paraId="3AE2DDE1" w14:textId="77777777">
            <w:pPr>
              <w:jc w:val="center"/>
              <w:rPr>
                <w:color w:val="000000"/>
              </w:rPr>
            </w:pPr>
            <w:r w:rsidRPr="001B1793">
              <w:rPr>
                <w:color w:val="000000"/>
              </w:rPr>
              <w:t>153,750</w:t>
            </w:r>
          </w:p>
        </w:tc>
        <w:tc>
          <w:tcPr>
            <w:tcW w:w="1440" w:type="dxa"/>
            <w:shd w:val="clear" w:color="auto" w:fill="auto"/>
            <w:vAlign w:val="center"/>
            <w:hideMark/>
          </w:tcPr>
          <w:p w:rsidR="00582BF4" w:rsidRPr="001B1793" w:rsidP="00C001C3" w14:paraId="2C66C958" w14:textId="77777777">
            <w:pPr>
              <w:jc w:val="center"/>
              <w:rPr>
                <w:color w:val="000000"/>
              </w:rPr>
            </w:pPr>
            <w:r w:rsidRPr="001B1793">
              <w:rPr>
                <w:color w:val="000000"/>
              </w:rPr>
              <w:t>1/60</w:t>
            </w:r>
          </w:p>
        </w:tc>
        <w:tc>
          <w:tcPr>
            <w:tcW w:w="1260" w:type="dxa"/>
            <w:shd w:val="clear" w:color="auto" w:fill="auto"/>
            <w:vAlign w:val="center"/>
            <w:hideMark/>
          </w:tcPr>
          <w:p w:rsidR="00582BF4" w:rsidRPr="006342EC" w:rsidP="00C001C3" w14:paraId="7E470F2E" w14:textId="77777777">
            <w:pPr>
              <w:jc w:val="center"/>
              <w:rPr>
                <w:bCs/>
                <w:color w:val="000000"/>
              </w:rPr>
            </w:pPr>
            <w:r w:rsidRPr="006342EC">
              <w:rPr>
                <w:bCs/>
                <w:color w:val="000000"/>
              </w:rPr>
              <w:t>2,563</w:t>
            </w:r>
          </w:p>
          <w:p w:rsidR="00582BF4" w:rsidRPr="006342EC" w:rsidP="00C001C3" w14:paraId="071E4C3A" w14:textId="77777777">
            <w:pPr>
              <w:jc w:val="center"/>
              <w:rPr>
                <w:bCs/>
                <w:color w:val="000000"/>
              </w:rPr>
            </w:pPr>
          </w:p>
        </w:tc>
        <w:tc>
          <w:tcPr>
            <w:tcW w:w="1160" w:type="dxa"/>
            <w:shd w:val="clear" w:color="auto" w:fill="auto"/>
            <w:vAlign w:val="center"/>
          </w:tcPr>
          <w:p w:rsidR="00582BF4" w:rsidRPr="001B1793" w:rsidP="00C001C3" w14:paraId="305F11EE" w14:textId="77777777">
            <w:pPr>
              <w:jc w:val="center"/>
              <w:rPr>
                <w:color w:val="000000"/>
              </w:rPr>
            </w:pPr>
            <w:r w:rsidRPr="001B1793">
              <w:rPr>
                <w:color w:val="000000"/>
              </w:rPr>
              <w:t>$34.43</w:t>
            </w:r>
          </w:p>
        </w:tc>
        <w:tc>
          <w:tcPr>
            <w:tcW w:w="1270" w:type="dxa"/>
            <w:shd w:val="clear" w:color="auto" w:fill="auto"/>
          </w:tcPr>
          <w:p w:rsidR="00582BF4" w:rsidRPr="001B1793" w:rsidP="00C001C3" w14:paraId="4A3FAE87" w14:textId="77777777">
            <w:pPr>
              <w:jc w:val="center"/>
              <w:rPr>
                <w:color w:val="000000"/>
              </w:rPr>
            </w:pPr>
            <w:r w:rsidRPr="001B1793">
              <w:t>$88,244</w:t>
            </w:r>
          </w:p>
        </w:tc>
      </w:tr>
      <w:tr w14:paraId="420738D1" w14:textId="77777777" w:rsidTr="00C001C3">
        <w:tblPrEx>
          <w:tblW w:w="10530" w:type="dxa"/>
          <w:tblLayout w:type="fixed"/>
          <w:tblLook w:val="04A0"/>
        </w:tblPrEx>
        <w:trPr>
          <w:trHeight w:val="315"/>
        </w:trPr>
        <w:tc>
          <w:tcPr>
            <w:tcW w:w="1620" w:type="dxa"/>
            <w:shd w:val="clear" w:color="auto" w:fill="auto"/>
            <w:vAlign w:val="center"/>
            <w:hideMark/>
          </w:tcPr>
          <w:p w:rsidR="00582BF4" w:rsidRPr="001B1793" w:rsidP="00C001C3" w14:paraId="01024D61" w14:textId="77777777">
            <w:pPr>
              <w:rPr>
                <w:i/>
                <w:iCs/>
                <w:color w:val="000000"/>
              </w:rPr>
            </w:pPr>
            <w:r w:rsidRPr="001B1793">
              <w:rPr>
                <w:i/>
                <w:iCs/>
                <w:color w:val="000000"/>
              </w:rPr>
              <w:t>Serial Monitoring</w:t>
            </w:r>
          </w:p>
        </w:tc>
        <w:tc>
          <w:tcPr>
            <w:tcW w:w="1350" w:type="dxa"/>
            <w:shd w:val="clear" w:color="auto" w:fill="auto"/>
            <w:vAlign w:val="center"/>
            <w:hideMark/>
          </w:tcPr>
          <w:p w:rsidR="00582BF4" w:rsidRPr="001B1793" w:rsidP="00C001C3" w14:paraId="505F429A" w14:textId="77777777">
            <w:pPr>
              <w:jc w:val="center"/>
              <w:rPr>
                <w:color w:val="000000"/>
              </w:rPr>
            </w:pPr>
            <w:r w:rsidRPr="001B1793">
              <w:rPr>
                <w:color w:val="000000"/>
              </w:rPr>
              <w:t>123</w:t>
            </w:r>
          </w:p>
        </w:tc>
        <w:tc>
          <w:tcPr>
            <w:tcW w:w="1260" w:type="dxa"/>
            <w:shd w:val="clear" w:color="auto" w:fill="auto"/>
            <w:vAlign w:val="center"/>
            <w:hideMark/>
          </w:tcPr>
          <w:p w:rsidR="00582BF4" w:rsidRPr="001B1793" w:rsidP="00C001C3" w14:paraId="718AE8E8" w14:textId="77777777">
            <w:pPr>
              <w:jc w:val="center"/>
              <w:rPr>
                <w:color w:val="000000"/>
              </w:rPr>
            </w:pPr>
            <w:r w:rsidRPr="001B1793">
              <w:rPr>
                <w:color w:val="000000"/>
              </w:rPr>
              <w:t>1,250</w:t>
            </w:r>
          </w:p>
        </w:tc>
        <w:tc>
          <w:tcPr>
            <w:tcW w:w="1170" w:type="dxa"/>
            <w:shd w:val="clear" w:color="auto" w:fill="auto"/>
            <w:vAlign w:val="center"/>
            <w:hideMark/>
          </w:tcPr>
          <w:p w:rsidR="00582BF4" w:rsidRPr="001B1793" w:rsidP="00C001C3" w14:paraId="79160536" w14:textId="77777777">
            <w:pPr>
              <w:jc w:val="center"/>
              <w:rPr>
                <w:color w:val="000000"/>
              </w:rPr>
            </w:pPr>
            <w:r w:rsidRPr="001B1793">
              <w:rPr>
                <w:color w:val="000000"/>
              </w:rPr>
              <w:t>153,750</w:t>
            </w:r>
          </w:p>
        </w:tc>
        <w:tc>
          <w:tcPr>
            <w:tcW w:w="1440" w:type="dxa"/>
            <w:shd w:val="clear" w:color="auto" w:fill="auto"/>
            <w:vAlign w:val="center"/>
            <w:hideMark/>
          </w:tcPr>
          <w:p w:rsidR="00582BF4" w:rsidRPr="001B1793" w:rsidP="00C001C3" w14:paraId="5CD2EF69" w14:textId="77777777">
            <w:pPr>
              <w:jc w:val="center"/>
              <w:rPr>
                <w:color w:val="000000"/>
              </w:rPr>
            </w:pPr>
            <w:r w:rsidRPr="001B1793">
              <w:rPr>
                <w:color w:val="000000"/>
              </w:rPr>
              <w:t>3/60</w:t>
            </w:r>
          </w:p>
        </w:tc>
        <w:tc>
          <w:tcPr>
            <w:tcW w:w="1260" w:type="dxa"/>
            <w:shd w:val="clear" w:color="auto" w:fill="auto"/>
            <w:vAlign w:val="center"/>
            <w:hideMark/>
          </w:tcPr>
          <w:p w:rsidR="00582BF4" w:rsidRPr="006342EC" w:rsidP="00C001C3" w14:paraId="233786A8" w14:textId="77777777">
            <w:pPr>
              <w:jc w:val="center"/>
              <w:rPr>
                <w:bCs/>
                <w:color w:val="000000"/>
              </w:rPr>
            </w:pPr>
            <w:r w:rsidRPr="006342EC">
              <w:rPr>
                <w:bCs/>
              </w:rPr>
              <w:t>7,688</w:t>
            </w:r>
          </w:p>
        </w:tc>
        <w:tc>
          <w:tcPr>
            <w:tcW w:w="1160" w:type="dxa"/>
            <w:shd w:val="clear" w:color="auto" w:fill="auto"/>
            <w:vAlign w:val="center"/>
          </w:tcPr>
          <w:p w:rsidR="00582BF4" w:rsidRPr="001B1793" w:rsidP="00C001C3" w14:paraId="2435AA02" w14:textId="77777777">
            <w:pPr>
              <w:jc w:val="center"/>
              <w:rPr>
                <w:color w:val="000000"/>
              </w:rPr>
            </w:pPr>
            <w:r w:rsidRPr="001B1793">
              <w:rPr>
                <w:color w:val="000000"/>
              </w:rPr>
              <w:t>$34.43</w:t>
            </w:r>
          </w:p>
        </w:tc>
        <w:tc>
          <w:tcPr>
            <w:tcW w:w="1270" w:type="dxa"/>
            <w:shd w:val="clear" w:color="auto" w:fill="auto"/>
          </w:tcPr>
          <w:p w:rsidR="00582BF4" w:rsidRPr="001B1793" w:rsidP="00C001C3" w14:paraId="39C7D370" w14:textId="77777777">
            <w:pPr>
              <w:jc w:val="center"/>
              <w:rPr>
                <w:color w:val="000000"/>
              </w:rPr>
            </w:pPr>
            <w:r w:rsidRPr="001B1793">
              <w:t>$264,698</w:t>
            </w:r>
          </w:p>
        </w:tc>
      </w:tr>
      <w:tr w14:paraId="5AEDCFFE" w14:textId="77777777" w:rsidTr="00C001C3">
        <w:tblPrEx>
          <w:tblW w:w="10530" w:type="dxa"/>
          <w:tblLayout w:type="fixed"/>
          <w:tblLook w:val="04A0"/>
        </w:tblPrEx>
        <w:trPr>
          <w:trHeight w:val="315"/>
        </w:trPr>
        <w:tc>
          <w:tcPr>
            <w:tcW w:w="1620" w:type="dxa"/>
            <w:shd w:val="clear" w:color="auto" w:fill="DBDBDB" w:themeFill="accent3" w:themeFillTint="66"/>
            <w:vAlign w:val="center"/>
            <w:hideMark/>
          </w:tcPr>
          <w:p w:rsidR="00582BF4" w:rsidRPr="001B1793" w:rsidP="00C001C3" w14:paraId="2A1B8E8E" w14:textId="77777777">
            <w:pPr>
              <w:rPr>
                <w:b/>
                <w:bCs/>
                <w:color w:val="000000"/>
              </w:rPr>
            </w:pPr>
            <w:r w:rsidRPr="001B1793">
              <w:rPr>
                <w:b/>
                <w:bCs/>
                <w:color w:val="000000"/>
              </w:rPr>
              <w:t>Subtotal Monitoring</w:t>
            </w:r>
            <w:r w:rsidRPr="00D71729">
              <w:rPr>
                <w:b/>
                <w:bCs/>
                <w:color w:val="000000"/>
              </w:rPr>
              <w:t xml:space="preserve"> Records</w:t>
            </w:r>
          </w:p>
        </w:tc>
        <w:tc>
          <w:tcPr>
            <w:tcW w:w="1350" w:type="dxa"/>
            <w:tcBorders>
              <w:bottom w:val="single" w:sz="8" w:space="0" w:color="auto"/>
            </w:tcBorders>
            <w:shd w:val="clear" w:color="auto" w:fill="DBDBDB" w:themeFill="accent3" w:themeFillTint="66"/>
            <w:vAlign w:val="center"/>
            <w:hideMark/>
          </w:tcPr>
          <w:p w:rsidR="00582BF4" w:rsidRPr="001B1793" w:rsidP="00C001C3" w14:paraId="7E38B540" w14:textId="77777777">
            <w:pPr>
              <w:jc w:val="center"/>
              <w:rPr>
                <w:b/>
                <w:color w:val="000000"/>
              </w:rPr>
            </w:pPr>
          </w:p>
        </w:tc>
        <w:tc>
          <w:tcPr>
            <w:tcW w:w="1260" w:type="dxa"/>
            <w:tcBorders>
              <w:bottom w:val="single" w:sz="8" w:space="0" w:color="auto"/>
            </w:tcBorders>
            <w:shd w:val="clear" w:color="auto" w:fill="DBDBDB" w:themeFill="accent3" w:themeFillTint="66"/>
            <w:vAlign w:val="center"/>
            <w:hideMark/>
          </w:tcPr>
          <w:p w:rsidR="00582BF4" w:rsidRPr="001B1793" w:rsidP="00C001C3" w14:paraId="608E4605" w14:textId="77777777">
            <w:pPr>
              <w:jc w:val="center"/>
              <w:rPr>
                <w:b/>
                <w:color w:val="000000"/>
              </w:rPr>
            </w:pPr>
            <w:r w:rsidRPr="001B1793">
              <w:rPr>
                <w:b/>
                <w:color w:val="000000"/>
              </w:rPr>
              <w:t>-</w:t>
            </w:r>
          </w:p>
        </w:tc>
        <w:tc>
          <w:tcPr>
            <w:tcW w:w="1170" w:type="dxa"/>
            <w:tcBorders>
              <w:bottom w:val="single" w:sz="8" w:space="0" w:color="auto"/>
            </w:tcBorders>
            <w:shd w:val="clear" w:color="auto" w:fill="DBDBDB" w:themeFill="accent3" w:themeFillTint="66"/>
            <w:vAlign w:val="center"/>
            <w:hideMark/>
          </w:tcPr>
          <w:p w:rsidR="00582BF4" w:rsidRPr="001B1793" w:rsidP="00C001C3" w14:paraId="4D210BB3" w14:textId="77777777">
            <w:pPr>
              <w:jc w:val="center"/>
              <w:rPr>
                <w:b/>
                <w:color w:val="000000"/>
              </w:rPr>
            </w:pPr>
            <w:r w:rsidRPr="001B1793">
              <w:rPr>
                <w:b/>
                <w:color w:val="000000"/>
              </w:rPr>
              <w:t>368,750</w:t>
            </w:r>
          </w:p>
        </w:tc>
        <w:tc>
          <w:tcPr>
            <w:tcW w:w="1440" w:type="dxa"/>
            <w:tcBorders>
              <w:bottom w:val="single" w:sz="8" w:space="0" w:color="auto"/>
            </w:tcBorders>
            <w:shd w:val="clear" w:color="auto" w:fill="DBDBDB" w:themeFill="accent3" w:themeFillTint="66"/>
            <w:vAlign w:val="center"/>
            <w:hideMark/>
          </w:tcPr>
          <w:p w:rsidR="00582BF4" w:rsidRPr="001B1793" w:rsidP="00C001C3" w14:paraId="07CAC2B9" w14:textId="77777777">
            <w:pPr>
              <w:jc w:val="center"/>
              <w:rPr>
                <w:b/>
                <w:color w:val="000000"/>
              </w:rPr>
            </w:pPr>
            <w:r w:rsidRPr="001B1793">
              <w:rPr>
                <w:b/>
                <w:color w:val="000000"/>
              </w:rPr>
              <w:t>-</w:t>
            </w:r>
          </w:p>
        </w:tc>
        <w:tc>
          <w:tcPr>
            <w:tcW w:w="1260" w:type="dxa"/>
            <w:tcBorders>
              <w:bottom w:val="single" w:sz="8" w:space="0" w:color="auto"/>
            </w:tcBorders>
            <w:shd w:val="clear" w:color="auto" w:fill="DBDBDB" w:themeFill="accent3" w:themeFillTint="66"/>
            <w:vAlign w:val="center"/>
            <w:hideMark/>
          </w:tcPr>
          <w:p w:rsidR="00582BF4" w:rsidRPr="001B1793" w:rsidP="00C001C3" w14:paraId="089CEDE1" w14:textId="77777777">
            <w:pPr>
              <w:jc w:val="center"/>
              <w:rPr>
                <w:b/>
              </w:rPr>
            </w:pPr>
            <w:r w:rsidRPr="001B1793">
              <w:rPr>
                <w:b/>
              </w:rPr>
              <w:t>10,741</w:t>
            </w:r>
          </w:p>
          <w:p w:rsidR="00582BF4" w:rsidRPr="001B1793" w:rsidP="00C001C3" w14:paraId="075E8CD6" w14:textId="77777777">
            <w:pPr>
              <w:jc w:val="center"/>
              <w:rPr>
                <w:b/>
                <w:color w:val="FF0000"/>
              </w:rPr>
            </w:pPr>
          </w:p>
        </w:tc>
        <w:tc>
          <w:tcPr>
            <w:tcW w:w="1160" w:type="dxa"/>
            <w:tcBorders>
              <w:bottom w:val="single" w:sz="8" w:space="0" w:color="auto"/>
            </w:tcBorders>
            <w:shd w:val="clear" w:color="auto" w:fill="DBDBDB" w:themeFill="accent3" w:themeFillTint="66"/>
            <w:vAlign w:val="center"/>
          </w:tcPr>
          <w:p w:rsidR="00582BF4" w:rsidRPr="001B1793" w:rsidP="00C001C3" w14:paraId="514D94C7" w14:textId="77777777">
            <w:pPr>
              <w:jc w:val="center"/>
              <w:rPr>
                <w:b/>
                <w:color w:val="000000"/>
              </w:rPr>
            </w:pPr>
          </w:p>
        </w:tc>
        <w:tc>
          <w:tcPr>
            <w:tcW w:w="1270" w:type="dxa"/>
            <w:tcBorders>
              <w:bottom w:val="single" w:sz="8" w:space="0" w:color="auto"/>
            </w:tcBorders>
            <w:shd w:val="clear" w:color="auto" w:fill="DBDBDB" w:themeFill="accent3" w:themeFillTint="66"/>
          </w:tcPr>
          <w:p w:rsidR="00582BF4" w:rsidRPr="001B1793" w:rsidP="00C001C3" w14:paraId="2851887C" w14:textId="77777777">
            <w:pPr>
              <w:jc w:val="center"/>
              <w:rPr>
                <w:b/>
                <w:color w:val="000000"/>
              </w:rPr>
            </w:pPr>
            <w:r w:rsidRPr="001B1793">
              <w:t>$369,813</w:t>
            </w:r>
          </w:p>
        </w:tc>
      </w:tr>
      <w:tr w14:paraId="23F6685C" w14:textId="77777777" w:rsidTr="00C001C3">
        <w:tblPrEx>
          <w:tblW w:w="10530" w:type="dxa"/>
          <w:tblLayout w:type="fixed"/>
          <w:tblLook w:val="04A0"/>
        </w:tblPrEx>
        <w:trPr>
          <w:trHeight w:val="525"/>
        </w:trPr>
        <w:tc>
          <w:tcPr>
            <w:tcW w:w="1620" w:type="dxa"/>
            <w:shd w:val="clear" w:color="auto" w:fill="auto"/>
            <w:vAlign w:val="center"/>
            <w:hideMark/>
          </w:tcPr>
          <w:p w:rsidR="00582BF4" w:rsidRPr="00D23214" w:rsidP="00C001C3" w14:paraId="70512008" w14:textId="77777777">
            <w:pPr>
              <w:rPr>
                <w:color w:val="000000"/>
              </w:rPr>
            </w:pPr>
            <w:r w:rsidRPr="00D23214">
              <w:rPr>
                <w:color w:val="000000"/>
              </w:rPr>
              <w:t>3. Small and medium micro tunnel projects</w:t>
            </w:r>
          </w:p>
        </w:tc>
        <w:tc>
          <w:tcPr>
            <w:tcW w:w="1350" w:type="dxa"/>
            <w:shd w:val="clear" w:color="000000" w:fill="D9D9D9" w:themeFill="background1" w:themeFillShade="D9"/>
            <w:vAlign w:val="center"/>
            <w:hideMark/>
          </w:tcPr>
          <w:p w:rsidR="00582BF4" w:rsidRPr="00D23214" w:rsidP="00C001C3" w14:paraId="7346CE29" w14:textId="77777777">
            <w:pPr>
              <w:jc w:val="center"/>
              <w:rPr>
                <w:color w:val="000000"/>
              </w:rPr>
            </w:pPr>
            <w:r w:rsidRPr="00D23214">
              <w:rPr>
                <w:color w:val="000000"/>
              </w:rPr>
              <w:t> </w:t>
            </w:r>
          </w:p>
        </w:tc>
        <w:tc>
          <w:tcPr>
            <w:tcW w:w="1260" w:type="dxa"/>
            <w:shd w:val="clear" w:color="000000" w:fill="D9D9D9" w:themeFill="background1" w:themeFillShade="D9"/>
            <w:vAlign w:val="center"/>
            <w:hideMark/>
          </w:tcPr>
          <w:p w:rsidR="00582BF4" w:rsidRPr="00D23214" w:rsidP="00C001C3" w14:paraId="7E5FF373" w14:textId="77777777">
            <w:pPr>
              <w:jc w:val="center"/>
              <w:rPr>
                <w:color w:val="000000"/>
              </w:rPr>
            </w:pPr>
            <w:r w:rsidRPr="00D23214">
              <w:rPr>
                <w:color w:val="000000"/>
              </w:rPr>
              <w:t> </w:t>
            </w:r>
          </w:p>
        </w:tc>
        <w:tc>
          <w:tcPr>
            <w:tcW w:w="1170" w:type="dxa"/>
            <w:shd w:val="clear" w:color="000000" w:fill="D9D9D9" w:themeFill="background1" w:themeFillShade="D9"/>
            <w:vAlign w:val="center"/>
            <w:hideMark/>
          </w:tcPr>
          <w:p w:rsidR="00582BF4" w:rsidRPr="00D23214" w:rsidP="00C001C3" w14:paraId="420B8D05" w14:textId="77777777">
            <w:pPr>
              <w:jc w:val="center"/>
              <w:rPr>
                <w:color w:val="000000"/>
              </w:rPr>
            </w:pPr>
            <w:r w:rsidRPr="00D23214">
              <w:rPr>
                <w:color w:val="000000"/>
              </w:rPr>
              <w:t> </w:t>
            </w:r>
          </w:p>
        </w:tc>
        <w:tc>
          <w:tcPr>
            <w:tcW w:w="1440" w:type="dxa"/>
            <w:shd w:val="clear" w:color="000000" w:fill="D9D9D9" w:themeFill="background1" w:themeFillShade="D9"/>
            <w:vAlign w:val="center"/>
            <w:hideMark/>
          </w:tcPr>
          <w:p w:rsidR="00582BF4" w:rsidRPr="00D23214" w:rsidP="00C001C3" w14:paraId="502DD79A" w14:textId="77777777">
            <w:pPr>
              <w:jc w:val="center"/>
              <w:rPr>
                <w:color w:val="000000"/>
              </w:rPr>
            </w:pPr>
            <w:r w:rsidRPr="00D23214">
              <w:rPr>
                <w:color w:val="000000"/>
              </w:rPr>
              <w:t> </w:t>
            </w:r>
          </w:p>
        </w:tc>
        <w:tc>
          <w:tcPr>
            <w:tcW w:w="1260" w:type="dxa"/>
            <w:shd w:val="clear" w:color="000000" w:fill="D9D9D9" w:themeFill="background1" w:themeFillShade="D9"/>
            <w:vAlign w:val="center"/>
            <w:hideMark/>
          </w:tcPr>
          <w:p w:rsidR="00582BF4" w:rsidRPr="00D23214" w:rsidP="00C001C3" w14:paraId="09B5002C" w14:textId="77777777">
            <w:pPr>
              <w:jc w:val="center"/>
              <w:rPr>
                <w:color w:val="000000"/>
              </w:rPr>
            </w:pPr>
            <w:r w:rsidRPr="00D23214">
              <w:rPr>
                <w:color w:val="000000"/>
              </w:rPr>
              <w:t> </w:t>
            </w:r>
          </w:p>
        </w:tc>
        <w:tc>
          <w:tcPr>
            <w:tcW w:w="1160" w:type="dxa"/>
            <w:shd w:val="clear" w:color="000000" w:fill="D9D9D9" w:themeFill="background1" w:themeFillShade="D9"/>
            <w:vAlign w:val="center"/>
            <w:hideMark/>
          </w:tcPr>
          <w:p w:rsidR="00582BF4" w:rsidRPr="00D23214" w:rsidP="00C001C3" w14:paraId="7FD4478F" w14:textId="77777777">
            <w:pPr>
              <w:jc w:val="center"/>
              <w:rPr>
                <w:color w:val="000000"/>
              </w:rPr>
            </w:pPr>
            <w:r w:rsidRPr="00D23214">
              <w:rPr>
                <w:color w:val="000000"/>
              </w:rPr>
              <w:t> </w:t>
            </w:r>
          </w:p>
        </w:tc>
        <w:tc>
          <w:tcPr>
            <w:tcW w:w="1270" w:type="dxa"/>
            <w:shd w:val="clear" w:color="000000" w:fill="D9D9D9" w:themeFill="background1" w:themeFillShade="D9"/>
            <w:vAlign w:val="center"/>
            <w:hideMark/>
          </w:tcPr>
          <w:p w:rsidR="00582BF4" w:rsidRPr="00D23214" w:rsidP="00C001C3" w14:paraId="0DCA4644" w14:textId="77777777">
            <w:pPr>
              <w:jc w:val="center"/>
              <w:rPr>
                <w:color w:val="000000"/>
              </w:rPr>
            </w:pPr>
            <w:r w:rsidRPr="00D23214">
              <w:rPr>
                <w:color w:val="000000"/>
              </w:rPr>
              <w:t> </w:t>
            </w:r>
          </w:p>
        </w:tc>
      </w:tr>
      <w:tr w14:paraId="049C6A22" w14:textId="77777777" w:rsidTr="00C001C3">
        <w:tblPrEx>
          <w:tblW w:w="10530" w:type="dxa"/>
          <w:tblLayout w:type="fixed"/>
          <w:tblLook w:val="04A0"/>
        </w:tblPrEx>
        <w:trPr>
          <w:trHeight w:val="315"/>
        </w:trPr>
        <w:tc>
          <w:tcPr>
            <w:tcW w:w="1620" w:type="dxa"/>
            <w:shd w:val="clear" w:color="auto" w:fill="auto"/>
            <w:vAlign w:val="center"/>
            <w:hideMark/>
          </w:tcPr>
          <w:p w:rsidR="00582BF4" w:rsidRPr="00D23214" w:rsidP="00C001C3" w14:paraId="3F0E5A1A" w14:textId="77777777">
            <w:pPr>
              <w:rPr>
                <w:i/>
                <w:iCs/>
                <w:color w:val="000000"/>
              </w:rPr>
            </w:pPr>
            <w:r w:rsidRPr="00D23214">
              <w:rPr>
                <w:i/>
                <w:iCs/>
                <w:color w:val="000000"/>
              </w:rPr>
              <w:t>Continuous Monitoring</w:t>
            </w:r>
          </w:p>
        </w:tc>
        <w:tc>
          <w:tcPr>
            <w:tcW w:w="1350" w:type="dxa"/>
            <w:shd w:val="clear" w:color="auto" w:fill="auto"/>
            <w:vAlign w:val="center"/>
            <w:hideMark/>
          </w:tcPr>
          <w:p w:rsidR="00582BF4" w:rsidRPr="00D23214" w:rsidP="00C001C3" w14:paraId="24A378A1" w14:textId="77777777">
            <w:pPr>
              <w:jc w:val="center"/>
              <w:rPr>
                <w:color w:val="000000"/>
              </w:rPr>
            </w:pPr>
            <w:r w:rsidRPr="00D23214">
              <w:rPr>
                <w:color w:val="000000"/>
              </w:rPr>
              <w:t>123</w:t>
            </w:r>
          </w:p>
        </w:tc>
        <w:tc>
          <w:tcPr>
            <w:tcW w:w="1260" w:type="dxa"/>
            <w:shd w:val="clear" w:color="auto" w:fill="auto"/>
            <w:vAlign w:val="center"/>
            <w:hideMark/>
          </w:tcPr>
          <w:p w:rsidR="00582BF4" w:rsidRPr="00D23214" w:rsidP="00C001C3" w14:paraId="2E578285" w14:textId="77777777">
            <w:pPr>
              <w:jc w:val="center"/>
              <w:rPr>
                <w:color w:val="000000"/>
              </w:rPr>
            </w:pPr>
            <w:r w:rsidRPr="00D23214">
              <w:rPr>
                <w:color w:val="000000"/>
              </w:rPr>
              <w:t>250</w:t>
            </w:r>
          </w:p>
        </w:tc>
        <w:tc>
          <w:tcPr>
            <w:tcW w:w="1170" w:type="dxa"/>
            <w:shd w:val="clear" w:color="auto" w:fill="auto"/>
            <w:vAlign w:val="center"/>
            <w:hideMark/>
          </w:tcPr>
          <w:p w:rsidR="00582BF4" w:rsidRPr="00D23214" w:rsidP="00C001C3" w14:paraId="6E36ED79" w14:textId="77777777">
            <w:pPr>
              <w:jc w:val="center"/>
              <w:rPr>
                <w:color w:val="000000"/>
              </w:rPr>
            </w:pPr>
            <w:r w:rsidRPr="00D23214">
              <w:rPr>
                <w:color w:val="000000"/>
              </w:rPr>
              <w:t>30,750</w:t>
            </w:r>
          </w:p>
        </w:tc>
        <w:tc>
          <w:tcPr>
            <w:tcW w:w="1440" w:type="dxa"/>
            <w:shd w:val="clear" w:color="auto" w:fill="auto"/>
            <w:vAlign w:val="center"/>
            <w:hideMark/>
          </w:tcPr>
          <w:p w:rsidR="00582BF4" w:rsidRPr="00D23214" w:rsidP="00C001C3" w14:paraId="4C412DE6" w14:textId="77777777">
            <w:pPr>
              <w:jc w:val="center"/>
              <w:rPr>
                <w:color w:val="000000"/>
              </w:rPr>
            </w:pPr>
            <w:r>
              <w:rPr>
                <w:color w:val="000000"/>
              </w:rPr>
              <w:t>.008</w:t>
            </w:r>
          </w:p>
        </w:tc>
        <w:tc>
          <w:tcPr>
            <w:tcW w:w="1260" w:type="dxa"/>
            <w:shd w:val="clear" w:color="auto" w:fill="auto"/>
            <w:vAlign w:val="center"/>
            <w:hideMark/>
          </w:tcPr>
          <w:p w:rsidR="00582BF4" w:rsidP="00C001C3" w14:paraId="7B8A9C9B" w14:textId="77777777">
            <w:pPr>
              <w:jc w:val="center"/>
              <w:rPr>
                <w:color w:val="000000"/>
              </w:rPr>
            </w:pPr>
          </w:p>
          <w:p w:rsidR="00582BF4" w:rsidRPr="00D23214" w:rsidP="00C001C3" w14:paraId="0FA6CE2A" w14:textId="77777777">
            <w:pPr>
              <w:rPr>
                <w:color w:val="000000"/>
                <w:highlight w:val="yellow"/>
              </w:rPr>
            </w:pPr>
            <w:r>
              <w:rPr>
                <w:color w:val="000000"/>
              </w:rPr>
              <w:t xml:space="preserve">       246</w:t>
            </w:r>
            <w:r w:rsidRPr="00D23214">
              <w:rPr>
                <w:color w:val="000000"/>
              </w:rPr>
              <w:t xml:space="preserve"> </w:t>
            </w:r>
          </w:p>
          <w:p w:rsidR="00582BF4" w:rsidRPr="00D23214" w:rsidP="00C001C3" w14:paraId="0D3FCB72" w14:textId="77777777">
            <w:pPr>
              <w:jc w:val="center"/>
              <w:rPr>
                <w:color w:val="000000"/>
                <w:highlight w:val="yellow"/>
              </w:rPr>
            </w:pPr>
          </w:p>
        </w:tc>
        <w:tc>
          <w:tcPr>
            <w:tcW w:w="1160" w:type="dxa"/>
            <w:shd w:val="clear" w:color="auto" w:fill="auto"/>
            <w:vAlign w:val="center"/>
          </w:tcPr>
          <w:p w:rsidR="00582BF4" w:rsidRPr="00D23214" w:rsidP="00C001C3" w14:paraId="636C9201" w14:textId="77777777">
            <w:pPr>
              <w:jc w:val="center"/>
              <w:rPr>
                <w:color w:val="000000"/>
              </w:rPr>
            </w:pPr>
            <w:r w:rsidRPr="00354265">
              <w:rPr>
                <w:color w:val="000000"/>
              </w:rPr>
              <w:t>$34.43</w:t>
            </w:r>
          </w:p>
        </w:tc>
        <w:tc>
          <w:tcPr>
            <w:tcW w:w="1270" w:type="dxa"/>
            <w:shd w:val="clear" w:color="auto" w:fill="auto"/>
          </w:tcPr>
          <w:p w:rsidR="00582BF4" w:rsidRPr="00D23214" w:rsidP="00C001C3" w14:paraId="572A160A" w14:textId="77777777">
            <w:pPr>
              <w:jc w:val="center"/>
              <w:rPr>
                <w:color w:val="000000"/>
              </w:rPr>
            </w:pPr>
            <w:r w:rsidRPr="000F7043">
              <w:t>$8,470</w:t>
            </w:r>
          </w:p>
        </w:tc>
      </w:tr>
      <w:tr w14:paraId="4DB3F2D7" w14:textId="77777777" w:rsidTr="00C001C3">
        <w:tblPrEx>
          <w:tblW w:w="10530" w:type="dxa"/>
          <w:tblLayout w:type="fixed"/>
          <w:tblLook w:val="04A0"/>
        </w:tblPrEx>
        <w:trPr>
          <w:trHeight w:val="315"/>
        </w:trPr>
        <w:tc>
          <w:tcPr>
            <w:tcW w:w="1620" w:type="dxa"/>
            <w:shd w:val="clear" w:color="auto" w:fill="auto"/>
            <w:vAlign w:val="center"/>
            <w:hideMark/>
          </w:tcPr>
          <w:p w:rsidR="00582BF4" w:rsidRPr="00D23214" w:rsidP="00C001C3" w14:paraId="7FA04E6C" w14:textId="77777777">
            <w:pPr>
              <w:rPr>
                <w:i/>
                <w:iCs/>
                <w:color w:val="000000"/>
              </w:rPr>
            </w:pPr>
            <w:r w:rsidRPr="00D23214">
              <w:rPr>
                <w:i/>
                <w:iCs/>
                <w:color w:val="000000"/>
              </w:rPr>
              <w:t>Simultaneous Monitoring</w:t>
            </w:r>
          </w:p>
        </w:tc>
        <w:tc>
          <w:tcPr>
            <w:tcW w:w="1350" w:type="dxa"/>
            <w:shd w:val="clear" w:color="auto" w:fill="auto"/>
            <w:vAlign w:val="center"/>
            <w:hideMark/>
          </w:tcPr>
          <w:p w:rsidR="00582BF4" w:rsidRPr="00D23214" w:rsidP="00C001C3" w14:paraId="43ED8EA7" w14:textId="77777777">
            <w:pPr>
              <w:jc w:val="center"/>
              <w:rPr>
                <w:color w:val="000000"/>
              </w:rPr>
            </w:pPr>
            <w:r w:rsidRPr="00D23214">
              <w:rPr>
                <w:color w:val="000000"/>
              </w:rPr>
              <w:t>6</w:t>
            </w:r>
            <w:r>
              <w:rPr>
                <w:color w:val="000000"/>
              </w:rPr>
              <w:t>2</w:t>
            </w:r>
          </w:p>
        </w:tc>
        <w:tc>
          <w:tcPr>
            <w:tcW w:w="1260" w:type="dxa"/>
            <w:shd w:val="clear" w:color="auto" w:fill="auto"/>
            <w:vAlign w:val="center"/>
            <w:hideMark/>
          </w:tcPr>
          <w:p w:rsidR="00582BF4" w:rsidRPr="00D23214" w:rsidP="00C001C3" w14:paraId="0B867B9B" w14:textId="77777777">
            <w:pPr>
              <w:jc w:val="center"/>
              <w:rPr>
                <w:color w:val="000000"/>
              </w:rPr>
            </w:pPr>
            <w:r w:rsidRPr="00D23214">
              <w:rPr>
                <w:color w:val="000000"/>
              </w:rPr>
              <w:t>250</w:t>
            </w:r>
          </w:p>
        </w:tc>
        <w:tc>
          <w:tcPr>
            <w:tcW w:w="1170" w:type="dxa"/>
            <w:shd w:val="clear" w:color="auto" w:fill="auto"/>
            <w:vAlign w:val="center"/>
            <w:hideMark/>
          </w:tcPr>
          <w:p w:rsidR="00582BF4" w:rsidRPr="00D23214" w:rsidP="00C001C3" w14:paraId="4140A21B" w14:textId="77777777">
            <w:pPr>
              <w:jc w:val="center"/>
              <w:rPr>
                <w:color w:val="000000"/>
              </w:rPr>
            </w:pPr>
            <w:r w:rsidRPr="00D23214">
              <w:rPr>
                <w:color w:val="000000"/>
              </w:rPr>
              <w:t>15,</w:t>
            </w:r>
            <w:r>
              <w:rPr>
                <w:color w:val="000000"/>
              </w:rPr>
              <w:t>500</w:t>
            </w:r>
          </w:p>
        </w:tc>
        <w:tc>
          <w:tcPr>
            <w:tcW w:w="1440" w:type="dxa"/>
            <w:shd w:val="clear" w:color="auto" w:fill="auto"/>
            <w:vAlign w:val="center"/>
            <w:hideMark/>
          </w:tcPr>
          <w:p w:rsidR="00582BF4" w:rsidRPr="00D23214" w:rsidP="00C001C3" w14:paraId="6797B382" w14:textId="77777777">
            <w:pPr>
              <w:jc w:val="center"/>
              <w:rPr>
                <w:color w:val="000000"/>
              </w:rPr>
            </w:pPr>
            <w:r w:rsidRPr="00D23214">
              <w:rPr>
                <w:color w:val="000000"/>
              </w:rPr>
              <w:t>1/60</w:t>
            </w:r>
          </w:p>
        </w:tc>
        <w:tc>
          <w:tcPr>
            <w:tcW w:w="1260" w:type="dxa"/>
            <w:shd w:val="clear" w:color="auto" w:fill="auto"/>
            <w:vAlign w:val="center"/>
            <w:hideMark/>
          </w:tcPr>
          <w:p w:rsidR="00582BF4" w:rsidRPr="00D23214" w:rsidP="00C001C3" w14:paraId="41CE69ED" w14:textId="77777777">
            <w:pPr>
              <w:jc w:val="center"/>
              <w:rPr>
                <w:color w:val="000000"/>
              </w:rPr>
            </w:pPr>
            <w:r w:rsidRPr="00D23214">
              <w:rPr>
                <w:color w:val="000000"/>
              </w:rPr>
              <w:t>25</w:t>
            </w:r>
            <w:r>
              <w:rPr>
                <w:color w:val="000000"/>
              </w:rPr>
              <w:t>8</w:t>
            </w:r>
          </w:p>
          <w:p w:rsidR="00582BF4" w:rsidRPr="00D23214" w:rsidP="00C001C3" w14:paraId="26C291ED" w14:textId="77777777">
            <w:pPr>
              <w:jc w:val="center"/>
              <w:rPr>
                <w:color w:val="000000"/>
                <w:highlight w:val="yellow"/>
              </w:rPr>
            </w:pPr>
          </w:p>
        </w:tc>
        <w:tc>
          <w:tcPr>
            <w:tcW w:w="1160" w:type="dxa"/>
            <w:shd w:val="clear" w:color="auto" w:fill="auto"/>
            <w:vAlign w:val="center"/>
          </w:tcPr>
          <w:p w:rsidR="00582BF4" w:rsidRPr="00D23214" w:rsidP="00C001C3" w14:paraId="1164E8FF" w14:textId="77777777">
            <w:pPr>
              <w:jc w:val="center"/>
              <w:rPr>
                <w:color w:val="000000"/>
              </w:rPr>
            </w:pPr>
            <w:r w:rsidRPr="00354265">
              <w:rPr>
                <w:color w:val="000000"/>
              </w:rPr>
              <w:t>$34.43</w:t>
            </w:r>
          </w:p>
        </w:tc>
        <w:tc>
          <w:tcPr>
            <w:tcW w:w="1270" w:type="dxa"/>
            <w:shd w:val="clear" w:color="auto" w:fill="auto"/>
          </w:tcPr>
          <w:p w:rsidR="00582BF4" w:rsidRPr="00D23214" w:rsidP="00C001C3" w14:paraId="674B4571" w14:textId="77777777">
            <w:pPr>
              <w:jc w:val="center"/>
              <w:rPr>
                <w:color w:val="000000"/>
              </w:rPr>
            </w:pPr>
            <w:r w:rsidRPr="000F7043">
              <w:t>$8,883</w:t>
            </w:r>
          </w:p>
        </w:tc>
      </w:tr>
      <w:tr w14:paraId="19041351" w14:textId="77777777" w:rsidTr="00C001C3">
        <w:tblPrEx>
          <w:tblW w:w="10530" w:type="dxa"/>
          <w:tblLayout w:type="fixed"/>
          <w:tblLook w:val="04A0"/>
        </w:tblPrEx>
        <w:trPr>
          <w:trHeight w:val="315"/>
        </w:trPr>
        <w:tc>
          <w:tcPr>
            <w:tcW w:w="1620" w:type="dxa"/>
            <w:shd w:val="clear" w:color="auto" w:fill="auto"/>
            <w:vAlign w:val="center"/>
            <w:hideMark/>
          </w:tcPr>
          <w:p w:rsidR="00582BF4" w:rsidRPr="00D23214" w:rsidP="00C001C3" w14:paraId="0B780670" w14:textId="77777777">
            <w:pPr>
              <w:rPr>
                <w:i/>
                <w:iCs/>
                <w:color w:val="000000"/>
              </w:rPr>
            </w:pPr>
            <w:r w:rsidRPr="00D23214">
              <w:rPr>
                <w:i/>
                <w:iCs/>
                <w:color w:val="000000"/>
              </w:rPr>
              <w:t>Serial Monitoring</w:t>
            </w:r>
          </w:p>
        </w:tc>
        <w:tc>
          <w:tcPr>
            <w:tcW w:w="1350" w:type="dxa"/>
            <w:shd w:val="clear" w:color="auto" w:fill="auto"/>
            <w:vAlign w:val="center"/>
            <w:hideMark/>
          </w:tcPr>
          <w:p w:rsidR="00582BF4" w:rsidRPr="00D23214" w:rsidP="00C001C3" w14:paraId="169BB27C" w14:textId="77777777">
            <w:pPr>
              <w:jc w:val="center"/>
              <w:rPr>
                <w:color w:val="000000"/>
              </w:rPr>
            </w:pPr>
            <w:r w:rsidRPr="00D23214">
              <w:rPr>
                <w:color w:val="000000"/>
              </w:rPr>
              <w:t>6</w:t>
            </w:r>
            <w:r>
              <w:rPr>
                <w:color w:val="000000"/>
              </w:rPr>
              <w:t>2</w:t>
            </w:r>
          </w:p>
        </w:tc>
        <w:tc>
          <w:tcPr>
            <w:tcW w:w="1260" w:type="dxa"/>
            <w:shd w:val="clear" w:color="auto" w:fill="auto"/>
            <w:vAlign w:val="center"/>
            <w:hideMark/>
          </w:tcPr>
          <w:p w:rsidR="00582BF4" w:rsidRPr="00D23214" w:rsidP="00C001C3" w14:paraId="6E1AF092" w14:textId="77777777">
            <w:pPr>
              <w:jc w:val="center"/>
              <w:rPr>
                <w:color w:val="000000"/>
              </w:rPr>
            </w:pPr>
            <w:r w:rsidRPr="00D23214">
              <w:rPr>
                <w:color w:val="000000"/>
              </w:rPr>
              <w:t>250</w:t>
            </w:r>
          </w:p>
        </w:tc>
        <w:tc>
          <w:tcPr>
            <w:tcW w:w="1170" w:type="dxa"/>
            <w:shd w:val="clear" w:color="auto" w:fill="auto"/>
            <w:vAlign w:val="center"/>
            <w:hideMark/>
          </w:tcPr>
          <w:p w:rsidR="00582BF4" w:rsidRPr="00D23214" w:rsidP="00C001C3" w14:paraId="1A8C13B7" w14:textId="77777777">
            <w:pPr>
              <w:jc w:val="center"/>
              <w:rPr>
                <w:color w:val="000000"/>
              </w:rPr>
            </w:pPr>
            <w:r w:rsidRPr="00D23214">
              <w:rPr>
                <w:color w:val="000000"/>
              </w:rPr>
              <w:t>15,</w:t>
            </w:r>
            <w:r>
              <w:rPr>
                <w:color w:val="000000"/>
              </w:rPr>
              <w:t>500</w:t>
            </w:r>
          </w:p>
        </w:tc>
        <w:tc>
          <w:tcPr>
            <w:tcW w:w="1440" w:type="dxa"/>
            <w:shd w:val="clear" w:color="auto" w:fill="auto"/>
            <w:vAlign w:val="center"/>
            <w:hideMark/>
          </w:tcPr>
          <w:p w:rsidR="00582BF4" w:rsidRPr="00D23214" w:rsidP="00C001C3" w14:paraId="0ADD24EE" w14:textId="77777777">
            <w:pPr>
              <w:jc w:val="center"/>
              <w:rPr>
                <w:color w:val="000000"/>
              </w:rPr>
            </w:pPr>
            <w:r w:rsidRPr="00D23214">
              <w:rPr>
                <w:color w:val="000000"/>
              </w:rPr>
              <w:t>3/60</w:t>
            </w:r>
          </w:p>
        </w:tc>
        <w:tc>
          <w:tcPr>
            <w:tcW w:w="1260" w:type="dxa"/>
            <w:shd w:val="clear" w:color="auto" w:fill="auto"/>
            <w:vAlign w:val="center"/>
            <w:hideMark/>
          </w:tcPr>
          <w:p w:rsidR="00582BF4" w:rsidRPr="00D23214" w:rsidP="00C001C3" w14:paraId="60DE82F2" w14:textId="77777777">
            <w:pPr>
              <w:jc w:val="center"/>
              <w:rPr>
                <w:color w:val="000000"/>
                <w:highlight w:val="yellow"/>
              </w:rPr>
            </w:pPr>
            <w:r w:rsidRPr="00D23214">
              <w:rPr>
                <w:color w:val="000000"/>
              </w:rPr>
              <w:t>7</w:t>
            </w:r>
            <w:r>
              <w:rPr>
                <w:color w:val="000000"/>
              </w:rPr>
              <w:t>75</w:t>
            </w:r>
          </w:p>
        </w:tc>
        <w:tc>
          <w:tcPr>
            <w:tcW w:w="1160" w:type="dxa"/>
            <w:shd w:val="clear" w:color="auto" w:fill="auto"/>
            <w:vAlign w:val="center"/>
          </w:tcPr>
          <w:p w:rsidR="00582BF4" w:rsidRPr="00D23214" w:rsidP="00C001C3" w14:paraId="53525880" w14:textId="77777777">
            <w:pPr>
              <w:jc w:val="center"/>
              <w:rPr>
                <w:color w:val="000000"/>
              </w:rPr>
            </w:pPr>
            <w:r w:rsidRPr="00354265">
              <w:rPr>
                <w:color w:val="000000"/>
              </w:rPr>
              <w:t>$34.43</w:t>
            </w:r>
          </w:p>
        </w:tc>
        <w:tc>
          <w:tcPr>
            <w:tcW w:w="1270" w:type="dxa"/>
            <w:shd w:val="clear" w:color="auto" w:fill="auto"/>
          </w:tcPr>
          <w:p w:rsidR="00582BF4" w:rsidRPr="00D23214" w:rsidP="00C001C3" w14:paraId="191A177F" w14:textId="77777777">
            <w:pPr>
              <w:jc w:val="center"/>
              <w:rPr>
                <w:color w:val="000000"/>
              </w:rPr>
            </w:pPr>
            <w:r w:rsidRPr="000F7043">
              <w:t>$26,683</w:t>
            </w:r>
          </w:p>
        </w:tc>
      </w:tr>
      <w:tr w14:paraId="12E349CA" w14:textId="77777777" w:rsidTr="00C001C3">
        <w:tblPrEx>
          <w:tblW w:w="10530" w:type="dxa"/>
          <w:tblLayout w:type="fixed"/>
          <w:tblLook w:val="04A0"/>
        </w:tblPrEx>
        <w:trPr>
          <w:trHeight w:val="315"/>
        </w:trPr>
        <w:tc>
          <w:tcPr>
            <w:tcW w:w="1620" w:type="dxa"/>
            <w:shd w:val="clear" w:color="auto" w:fill="DBDBDB" w:themeFill="accent3" w:themeFillTint="66"/>
            <w:vAlign w:val="center"/>
            <w:hideMark/>
          </w:tcPr>
          <w:p w:rsidR="00582BF4" w:rsidRPr="001B1793" w:rsidP="00C001C3" w14:paraId="4C65DC66" w14:textId="77777777">
            <w:pPr>
              <w:rPr>
                <w:b/>
                <w:bCs/>
                <w:color w:val="000000"/>
              </w:rPr>
            </w:pPr>
            <w:r w:rsidRPr="001B1793">
              <w:rPr>
                <w:b/>
                <w:bCs/>
                <w:color w:val="000000"/>
              </w:rPr>
              <w:t>Subtotal Recordkeeping Monitoring</w:t>
            </w:r>
          </w:p>
        </w:tc>
        <w:tc>
          <w:tcPr>
            <w:tcW w:w="1350" w:type="dxa"/>
            <w:shd w:val="clear" w:color="auto" w:fill="DBDBDB" w:themeFill="accent3" w:themeFillTint="66"/>
            <w:vAlign w:val="center"/>
            <w:hideMark/>
          </w:tcPr>
          <w:p w:rsidR="00582BF4" w:rsidRPr="001B1793" w:rsidP="00C001C3" w14:paraId="7AC503F3" w14:textId="77777777">
            <w:pPr>
              <w:jc w:val="center"/>
              <w:rPr>
                <w:b/>
                <w:color w:val="000000"/>
              </w:rPr>
            </w:pPr>
          </w:p>
        </w:tc>
        <w:tc>
          <w:tcPr>
            <w:tcW w:w="1260" w:type="dxa"/>
            <w:shd w:val="clear" w:color="auto" w:fill="DBDBDB" w:themeFill="accent3" w:themeFillTint="66"/>
            <w:vAlign w:val="center"/>
            <w:hideMark/>
          </w:tcPr>
          <w:p w:rsidR="00582BF4" w:rsidRPr="001B1793" w:rsidP="00C001C3" w14:paraId="73358BBE" w14:textId="77777777">
            <w:pPr>
              <w:jc w:val="center"/>
              <w:rPr>
                <w:b/>
                <w:color w:val="000000"/>
              </w:rPr>
            </w:pPr>
            <w:r w:rsidRPr="001B1793">
              <w:rPr>
                <w:b/>
                <w:color w:val="000000"/>
              </w:rPr>
              <w:t>-</w:t>
            </w:r>
          </w:p>
        </w:tc>
        <w:tc>
          <w:tcPr>
            <w:tcW w:w="1170" w:type="dxa"/>
            <w:shd w:val="clear" w:color="auto" w:fill="DBDBDB" w:themeFill="accent3" w:themeFillTint="66"/>
            <w:vAlign w:val="center"/>
            <w:hideMark/>
          </w:tcPr>
          <w:p w:rsidR="00582BF4" w:rsidRPr="001B1793" w:rsidP="00C001C3" w14:paraId="683EEBA3" w14:textId="77777777">
            <w:pPr>
              <w:jc w:val="center"/>
              <w:rPr>
                <w:b/>
                <w:color w:val="000000"/>
              </w:rPr>
            </w:pPr>
            <w:r w:rsidRPr="001B1793">
              <w:rPr>
                <w:b/>
                <w:color w:val="000000"/>
              </w:rPr>
              <w:t>61,750</w:t>
            </w:r>
          </w:p>
        </w:tc>
        <w:tc>
          <w:tcPr>
            <w:tcW w:w="1440" w:type="dxa"/>
            <w:shd w:val="clear" w:color="auto" w:fill="DBDBDB" w:themeFill="accent3" w:themeFillTint="66"/>
            <w:vAlign w:val="center"/>
            <w:hideMark/>
          </w:tcPr>
          <w:p w:rsidR="00582BF4" w:rsidRPr="001B1793" w:rsidP="00C001C3" w14:paraId="50E2B08B" w14:textId="77777777">
            <w:pPr>
              <w:jc w:val="center"/>
              <w:rPr>
                <w:color w:val="000000"/>
              </w:rPr>
            </w:pPr>
            <w:r w:rsidRPr="001B1793">
              <w:rPr>
                <w:color w:val="000000"/>
              </w:rPr>
              <w:t>-</w:t>
            </w:r>
          </w:p>
        </w:tc>
        <w:tc>
          <w:tcPr>
            <w:tcW w:w="1260" w:type="dxa"/>
            <w:shd w:val="clear" w:color="auto" w:fill="DBDBDB" w:themeFill="accent3" w:themeFillTint="66"/>
            <w:vAlign w:val="center"/>
            <w:hideMark/>
          </w:tcPr>
          <w:p w:rsidR="00582BF4" w:rsidRPr="00BD730D" w:rsidP="00C001C3" w14:paraId="239BA6A7" w14:textId="77777777">
            <w:pPr>
              <w:jc w:val="center"/>
              <w:rPr>
                <w:b/>
                <w:color w:val="000000"/>
                <w:highlight w:val="yellow"/>
              </w:rPr>
            </w:pPr>
            <w:r w:rsidRPr="001B1793">
              <w:rPr>
                <w:b/>
              </w:rPr>
              <w:t>1,279</w:t>
            </w:r>
          </w:p>
        </w:tc>
        <w:tc>
          <w:tcPr>
            <w:tcW w:w="1160" w:type="dxa"/>
            <w:shd w:val="clear" w:color="auto" w:fill="DBDBDB" w:themeFill="accent3" w:themeFillTint="66"/>
            <w:vAlign w:val="center"/>
          </w:tcPr>
          <w:p w:rsidR="00582BF4" w:rsidRPr="001B1793" w:rsidP="00C001C3" w14:paraId="25552C90" w14:textId="77777777">
            <w:pPr>
              <w:jc w:val="center"/>
              <w:rPr>
                <w:b/>
                <w:color w:val="000000"/>
              </w:rPr>
            </w:pPr>
            <w:r w:rsidRPr="0094672D">
              <w:rPr>
                <w:b/>
                <w:color w:val="000000"/>
              </w:rPr>
              <w:t>-</w:t>
            </w:r>
          </w:p>
        </w:tc>
        <w:tc>
          <w:tcPr>
            <w:tcW w:w="1270" w:type="dxa"/>
            <w:shd w:val="clear" w:color="auto" w:fill="DBDBDB" w:themeFill="accent3" w:themeFillTint="66"/>
          </w:tcPr>
          <w:p w:rsidR="00582BF4" w:rsidRPr="0094672D" w:rsidP="00C001C3" w14:paraId="4F9B4643" w14:textId="77777777">
            <w:pPr>
              <w:jc w:val="center"/>
              <w:rPr>
                <w:bCs/>
                <w:color w:val="FF0000"/>
              </w:rPr>
            </w:pPr>
            <w:r w:rsidRPr="0094672D">
              <w:rPr>
                <w:bCs/>
              </w:rPr>
              <w:t>$44,036</w:t>
            </w:r>
          </w:p>
        </w:tc>
      </w:tr>
      <w:tr w14:paraId="18394FE5" w14:textId="77777777" w:rsidTr="00C001C3">
        <w:tblPrEx>
          <w:tblW w:w="10530" w:type="dxa"/>
          <w:tblLayout w:type="fixed"/>
          <w:tblLook w:val="04A0"/>
        </w:tblPrEx>
        <w:trPr>
          <w:trHeight w:val="450"/>
        </w:trPr>
        <w:tc>
          <w:tcPr>
            <w:tcW w:w="1620" w:type="dxa"/>
            <w:shd w:val="clear" w:color="auto" w:fill="auto"/>
            <w:vAlign w:val="center"/>
            <w:hideMark/>
          </w:tcPr>
          <w:p w:rsidR="00582BF4" w:rsidRPr="001B1793" w:rsidP="00C001C3" w14:paraId="34928EDE" w14:textId="77777777">
            <w:pPr>
              <w:rPr>
                <w:color w:val="000000"/>
              </w:rPr>
            </w:pPr>
            <w:r w:rsidRPr="001B1793">
              <w:rPr>
                <w:color w:val="000000"/>
              </w:rPr>
              <w:t>4. Gassy classified projects</w:t>
            </w:r>
          </w:p>
        </w:tc>
        <w:tc>
          <w:tcPr>
            <w:tcW w:w="1350" w:type="dxa"/>
            <w:shd w:val="clear" w:color="auto" w:fill="auto"/>
            <w:vAlign w:val="center"/>
            <w:hideMark/>
          </w:tcPr>
          <w:p w:rsidR="00582BF4" w:rsidRPr="001B1793" w:rsidP="00C001C3" w14:paraId="757FB53C" w14:textId="77777777">
            <w:pPr>
              <w:jc w:val="center"/>
              <w:rPr>
                <w:color w:val="000000"/>
              </w:rPr>
            </w:pPr>
            <w:r w:rsidRPr="001B1793">
              <w:rPr>
                <w:color w:val="000000"/>
              </w:rPr>
              <w:t>9</w:t>
            </w:r>
          </w:p>
        </w:tc>
        <w:tc>
          <w:tcPr>
            <w:tcW w:w="1260" w:type="dxa"/>
            <w:shd w:val="clear" w:color="auto" w:fill="auto"/>
            <w:vAlign w:val="center"/>
            <w:hideMark/>
          </w:tcPr>
          <w:p w:rsidR="00582BF4" w:rsidRPr="00416217" w:rsidP="00C001C3" w14:paraId="3F58AFCA" w14:textId="77777777">
            <w:pPr>
              <w:jc w:val="center"/>
            </w:pPr>
            <w:r w:rsidRPr="00416217">
              <w:t>1,500</w:t>
            </w:r>
          </w:p>
        </w:tc>
        <w:tc>
          <w:tcPr>
            <w:tcW w:w="1170" w:type="dxa"/>
            <w:shd w:val="clear" w:color="auto" w:fill="auto"/>
            <w:vAlign w:val="center"/>
            <w:hideMark/>
          </w:tcPr>
          <w:p w:rsidR="00582BF4" w:rsidRPr="00416217" w:rsidP="00C001C3" w14:paraId="485CAEED" w14:textId="77777777">
            <w:pPr>
              <w:jc w:val="center"/>
            </w:pPr>
            <w:r w:rsidRPr="00416217">
              <w:t>13,500</w:t>
            </w:r>
          </w:p>
        </w:tc>
        <w:tc>
          <w:tcPr>
            <w:tcW w:w="1440" w:type="dxa"/>
            <w:shd w:val="clear" w:color="auto" w:fill="auto"/>
            <w:vAlign w:val="center"/>
            <w:hideMark/>
          </w:tcPr>
          <w:p w:rsidR="00582BF4" w:rsidRPr="00416217" w:rsidP="00C001C3" w14:paraId="26AF8C12" w14:textId="77777777">
            <w:pPr>
              <w:jc w:val="center"/>
            </w:pPr>
            <w:r w:rsidRPr="00416217">
              <w:t>.008</w:t>
            </w:r>
          </w:p>
        </w:tc>
        <w:tc>
          <w:tcPr>
            <w:tcW w:w="1260" w:type="dxa"/>
            <w:shd w:val="clear" w:color="auto" w:fill="auto"/>
            <w:vAlign w:val="center"/>
            <w:hideMark/>
          </w:tcPr>
          <w:p w:rsidR="00582BF4" w:rsidRPr="00BD730D" w:rsidP="00C001C3" w14:paraId="379D5D70" w14:textId="77777777">
            <w:pPr>
              <w:jc w:val="center"/>
              <w:rPr>
                <w:b/>
                <w:color w:val="000000"/>
                <w:highlight w:val="yellow"/>
              </w:rPr>
            </w:pPr>
            <w:r w:rsidRPr="001B1793">
              <w:rPr>
                <w:b/>
                <w:color w:val="000000"/>
              </w:rPr>
              <w:t>108</w:t>
            </w:r>
          </w:p>
        </w:tc>
        <w:tc>
          <w:tcPr>
            <w:tcW w:w="1160" w:type="dxa"/>
            <w:shd w:val="clear" w:color="auto" w:fill="auto"/>
            <w:vAlign w:val="center"/>
          </w:tcPr>
          <w:p w:rsidR="00582BF4" w:rsidRPr="001B1793" w:rsidP="00C001C3" w14:paraId="2B1675CB" w14:textId="77777777">
            <w:pPr>
              <w:jc w:val="center"/>
              <w:rPr>
                <w:b/>
                <w:color w:val="000000"/>
              </w:rPr>
            </w:pPr>
            <w:r w:rsidRPr="001B1793">
              <w:rPr>
                <w:b/>
                <w:color w:val="000000"/>
              </w:rPr>
              <w:t>$34.43</w:t>
            </w:r>
          </w:p>
        </w:tc>
        <w:tc>
          <w:tcPr>
            <w:tcW w:w="1270" w:type="dxa"/>
            <w:shd w:val="clear" w:color="auto" w:fill="auto"/>
            <w:vAlign w:val="center"/>
          </w:tcPr>
          <w:p w:rsidR="00582BF4" w:rsidRPr="001B1793" w:rsidP="00C001C3" w14:paraId="17B1BA00" w14:textId="77777777">
            <w:pPr>
              <w:jc w:val="center"/>
              <w:rPr>
                <w:b/>
                <w:color w:val="000000"/>
              </w:rPr>
            </w:pPr>
            <w:r w:rsidRPr="001B1793">
              <w:rPr>
                <w:b/>
                <w:color w:val="000000"/>
              </w:rPr>
              <w:t>$3,718</w:t>
            </w:r>
          </w:p>
        </w:tc>
      </w:tr>
      <w:tr w14:paraId="3D6BB754" w14:textId="77777777" w:rsidTr="00C001C3">
        <w:tblPrEx>
          <w:tblW w:w="10530" w:type="dxa"/>
          <w:tblLayout w:type="fixed"/>
          <w:tblLook w:val="04A0"/>
        </w:tblPrEx>
        <w:trPr>
          <w:trHeight w:val="570"/>
        </w:trPr>
        <w:tc>
          <w:tcPr>
            <w:tcW w:w="1620" w:type="dxa"/>
            <w:shd w:val="clear" w:color="auto" w:fill="C9C9C9" w:themeFill="accent3" w:themeFillTint="99"/>
            <w:vAlign w:val="center"/>
            <w:hideMark/>
          </w:tcPr>
          <w:p w:rsidR="00582BF4" w:rsidRPr="001B1793" w:rsidP="00C001C3" w14:paraId="69BAB903" w14:textId="77777777">
            <w:pPr>
              <w:rPr>
                <w:b/>
                <w:bCs/>
                <w:color w:val="000000"/>
              </w:rPr>
            </w:pPr>
            <w:r w:rsidRPr="001B1793">
              <w:rPr>
                <w:b/>
                <w:bCs/>
                <w:color w:val="000000"/>
              </w:rPr>
              <w:t>Grand Total Monitoring</w:t>
            </w:r>
          </w:p>
        </w:tc>
        <w:tc>
          <w:tcPr>
            <w:tcW w:w="1350" w:type="dxa"/>
            <w:tcBorders>
              <w:bottom w:val="single" w:sz="8" w:space="0" w:color="auto"/>
            </w:tcBorders>
            <w:shd w:val="clear" w:color="auto" w:fill="C9C9C9" w:themeFill="accent3" w:themeFillTint="99"/>
            <w:vAlign w:val="center"/>
            <w:hideMark/>
          </w:tcPr>
          <w:p w:rsidR="00582BF4" w:rsidRPr="001B1793" w:rsidP="00C001C3" w14:paraId="3B58AA77" w14:textId="77777777">
            <w:pPr>
              <w:jc w:val="center"/>
              <w:rPr>
                <w:b/>
                <w:color w:val="000000"/>
              </w:rPr>
            </w:pPr>
          </w:p>
        </w:tc>
        <w:tc>
          <w:tcPr>
            <w:tcW w:w="1260" w:type="dxa"/>
            <w:tcBorders>
              <w:bottom w:val="single" w:sz="8" w:space="0" w:color="auto"/>
            </w:tcBorders>
            <w:shd w:val="clear" w:color="auto" w:fill="C9C9C9" w:themeFill="accent3" w:themeFillTint="99"/>
            <w:vAlign w:val="center"/>
            <w:hideMark/>
          </w:tcPr>
          <w:p w:rsidR="00582BF4" w:rsidRPr="00416217" w:rsidP="00C001C3" w14:paraId="5390732B" w14:textId="77777777">
            <w:pPr>
              <w:jc w:val="center"/>
              <w:rPr>
                <w:b/>
              </w:rPr>
            </w:pPr>
            <w:r w:rsidRPr="00416217">
              <w:rPr>
                <w:b/>
              </w:rPr>
              <w:t>-</w:t>
            </w:r>
          </w:p>
        </w:tc>
        <w:tc>
          <w:tcPr>
            <w:tcW w:w="1170" w:type="dxa"/>
            <w:tcBorders>
              <w:bottom w:val="single" w:sz="8" w:space="0" w:color="auto"/>
            </w:tcBorders>
            <w:shd w:val="clear" w:color="auto" w:fill="C9C9C9" w:themeFill="accent3" w:themeFillTint="99"/>
            <w:vAlign w:val="center"/>
            <w:hideMark/>
          </w:tcPr>
          <w:p w:rsidR="00582BF4" w:rsidRPr="00416217" w:rsidP="00C001C3" w14:paraId="679F0D96" w14:textId="77777777">
            <w:pPr>
              <w:jc w:val="center"/>
              <w:rPr>
                <w:b/>
              </w:rPr>
            </w:pPr>
            <w:r w:rsidRPr="00416217">
              <w:rPr>
                <w:b/>
              </w:rPr>
              <w:t>570,000</w:t>
            </w:r>
          </w:p>
        </w:tc>
        <w:tc>
          <w:tcPr>
            <w:tcW w:w="1440" w:type="dxa"/>
            <w:tcBorders>
              <w:bottom w:val="single" w:sz="8" w:space="0" w:color="auto"/>
            </w:tcBorders>
            <w:shd w:val="clear" w:color="auto" w:fill="C9C9C9" w:themeFill="accent3" w:themeFillTint="99"/>
            <w:vAlign w:val="center"/>
            <w:hideMark/>
          </w:tcPr>
          <w:p w:rsidR="00582BF4" w:rsidRPr="00416217" w:rsidP="00C001C3" w14:paraId="5BD932F2" w14:textId="77777777">
            <w:pPr>
              <w:jc w:val="center"/>
              <w:rPr>
                <w:b/>
              </w:rPr>
            </w:pPr>
            <w:r w:rsidRPr="00416217">
              <w:rPr>
                <w:b/>
              </w:rPr>
              <w:t>-</w:t>
            </w:r>
          </w:p>
        </w:tc>
        <w:tc>
          <w:tcPr>
            <w:tcW w:w="1260" w:type="dxa"/>
            <w:tcBorders>
              <w:bottom w:val="single" w:sz="8" w:space="0" w:color="auto"/>
            </w:tcBorders>
            <w:shd w:val="clear" w:color="auto" w:fill="C9C9C9" w:themeFill="accent3" w:themeFillTint="99"/>
            <w:vAlign w:val="center"/>
            <w:hideMark/>
          </w:tcPr>
          <w:p w:rsidR="00582BF4" w:rsidRPr="001B1793" w:rsidP="00C001C3" w14:paraId="368446A1" w14:textId="77777777">
            <w:pPr>
              <w:jc w:val="center"/>
              <w:rPr>
                <w:b/>
                <w:color w:val="000000"/>
              </w:rPr>
            </w:pPr>
            <w:r w:rsidRPr="001B1793">
              <w:rPr>
                <w:b/>
                <w:color w:val="000000"/>
              </w:rPr>
              <w:t>15,796</w:t>
            </w:r>
          </w:p>
        </w:tc>
        <w:tc>
          <w:tcPr>
            <w:tcW w:w="1160" w:type="dxa"/>
            <w:tcBorders>
              <w:bottom w:val="single" w:sz="8" w:space="0" w:color="auto"/>
            </w:tcBorders>
            <w:shd w:val="clear" w:color="auto" w:fill="C9C9C9" w:themeFill="accent3" w:themeFillTint="99"/>
            <w:vAlign w:val="center"/>
            <w:hideMark/>
          </w:tcPr>
          <w:p w:rsidR="00582BF4" w:rsidRPr="001B1793" w:rsidP="00C001C3" w14:paraId="0B966ABB" w14:textId="77777777">
            <w:pPr>
              <w:jc w:val="center"/>
              <w:rPr>
                <w:b/>
                <w:color w:val="000000"/>
              </w:rPr>
            </w:pPr>
            <w:r w:rsidRPr="001B1793">
              <w:rPr>
                <w:b/>
                <w:color w:val="000000"/>
              </w:rPr>
              <w:t>$34.43</w:t>
            </w:r>
          </w:p>
        </w:tc>
        <w:tc>
          <w:tcPr>
            <w:tcW w:w="1270" w:type="dxa"/>
            <w:tcBorders>
              <w:bottom w:val="single" w:sz="8" w:space="0" w:color="auto"/>
            </w:tcBorders>
            <w:shd w:val="clear" w:color="auto" w:fill="C9C9C9" w:themeFill="accent3" w:themeFillTint="99"/>
            <w:vAlign w:val="center"/>
            <w:hideMark/>
          </w:tcPr>
          <w:p w:rsidR="00582BF4" w:rsidRPr="001B1793" w:rsidP="00C001C3" w14:paraId="24892C0D" w14:textId="77777777">
            <w:pPr>
              <w:jc w:val="center"/>
              <w:rPr>
                <w:b/>
                <w:color w:val="000000"/>
              </w:rPr>
            </w:pPr>
            <w:r w:rsidRPr="001B1793">
              <w:rPr>
                <w:b/>
                <w:color w:val="000000"/>
              </w:rPr>
              <w:t>$543,856</w:t>
            </w:r>
          </w:p>
        </w:tc>
      </w:tr>
      <w:tr w14:paraId="006D53EE" w14:textId="77777777" w:rsidTr="00C001C3">
        <w:tblPrEx>
          <w:tblW w:w="10530" w:type="dxa"/>
          <w:tblLayout w:type="fixed"/>
          <w:tblLook w:val="04A0"/>
        </w:tblPrEx>
        <w:trPr>
          <w:trHeight w:val="525"/>
        </w:trPr>
        <w:tc>
          <w:tcPr>
            <w:tcW w:w="1620" w:type="dxa"/>
            <w:shd w:val="clear" w:color="auto" w:fill="auto"/>
            <w:vAlign w:val="center"/>
            <w:hideMark/>
          </w:tcPr>
          <w:p w:rsidR="00582BF4" w:rsidRPr="00D23214" w:rsidP="00C001C3" w14:paraId="6864EBBA" w14:textId="77777777">
            <w:pPr>
              <w:rPr>
                <w:color w:val="000000"/>
              </w:rPr>
            </w:pPr>
            <w:r w:rsidRPr="00D23214">
              <w:rPr>
                <w:color w:val="000000"/>
              </w:rPr>
              <w:t>5. Monitor Calibration - Continuous Monitoring</w:t>
            </w:r>
          </w:p>
        </w:tc>
        <w:tc>
          <w:tcPr>
            <w:tcW w:w="1350" w:type="dxa"/>
            <w:shd w:val="clear" w:color="000000" w:fill="D9D9D9" w:themeFill="background1" w:themeFillShade="D9"/>
            <w:vAlign w:val="center"/>
            <w:hideMark/>
          </w:tcPr>
          <w:p w:rsidR="00582BF4" w:rsidRPr="00D23214" w:rsidP="00C001C3" w14:paraId="02B43316" w14:textId="77777777">
            <w:pPr>
              <w:jc w:val="center"/>
              <w:rPr>
                <w:color w:val="000000"/>
              </w:rPr>
            </w:pPr>
            <w:r w:rsidRPr="00D23214">
              <w:rPr>
                <w:color w:val="000000"/>
              </w:rPr>
              <w:t> </w:t>
            </w:r>
          </w:p>
        </w:tc>
        <w:tc>
          <w:tcPr>
            <w:tcW w:w="1260" w:type="dxa"/>
            <w:shd w:val="clear" w:color="000000" w:fill="D9D9D9" w:themeFill="background1" w:themeFillShade="D9"/>
            <w:vAlign w:val="center"/>
            <w:hideMark/>
          </w:tcPr>
          <w:p w:rsidR="00582BF4" w:rsidRPr="00D23214" w:rsidP="00C001C3" w14:paraId="561897C6" w14:textId="77777777">
            <w:pPr>
              <w:jc w:val="center"/>
              <w:rPr>
                <w:color w:val="000000"/>
              </w:rPr>
            </w:pPr>
            <w:r w:rsidRPr="00D23214">
              <w:rPr>
                <w:color w:val="000000"/>
              </w:rPr>
              <w:t> </w:t>
            </w:r>
          </w:p>
        </w:tc>
        <w:tc>
          <w:tcPr>
            <w:tcW w:w="1170" w:type="dxa"/>
            <w:shd w:val="clear" w:color="000000" w:fill="D9D9D9" w:themeFill="background1" w:themeFillShade="D9"/>
            <w:vAlign w:val="center"/>
            <w:hideMark/>
          </w:tcPr>
          <w:p w:rsidR="00582BF4" w:rsidRPr="00D23214" w:rsidP="00C001C3" w14:paraId="08837D66" w14:textId="77777777">
            <w:pPr>
              <w:jc w:val="center"/>
              <w:rPr>
                <w:color w:val="000000"/>
              </w:rPr>
            </w:pPr>
            <w:r w:rsidRPr="00D23214">
              <w:rPr>
                <w:color w:val="000000"/>
              </w:rPr>
              <w:t> </w:t>
            </w:r>
          </w:p>
        </w:tc>
        <w:tc>
          <w:tcPr>
            <w:tcW w:w="1440" w:type="dxa"/>
            <w:shd w:val="clear" w:color="000000" w:fill="D9D9D9" w:themeFill="background1" w:themeFillShade="D9"/>
            <w:vAlign w:val="center"/>
            <w:hideMark/>
          </w:tcPr>
          <w:p w:rsidR="00582BF4" w:rsidRPr="00D23214" w:rsidP="00C001C3" w14:paraId="376E5CD7" w14:textId="77777777">
            <w:pPr>
              <w:jc w:val="center"/>
              <w:rPr>
                <w:color w:val="000000"/>
              </w:rPr>
            </w:pPr>
            <w:r w:rsidRPr="00D23214">
              <w:rPr>
                <w:color w:val="000000"/>
              </w:rPr>
              <w:t> </w:t>
            </w:r>
          </w:p>
        </w:tc>
        <w:tc>
          <w:tcPr>
            <w:tcW w:w="1260" w:type="dxa"/>
            <w:shd w:val="clear" w:color="000000" w:fill="D9D9D9" w:themeFill="background1" w:themeFillShade="D9"/>
            <w:vAlign w:val="center"/>
            <w:hideMark/>
          </w:tcPr>
          <w:p w:rsidR="00582BF4" w:rsidRPr="00D23214" w:rsidP="00C001C3" w14:paraId="1FEC7315" w14:textId="77777777">
            <w:pPr>
              <w:jc w:val="center"/>
              <w:rPr>
                <w:color w:val="000000"/>
              </w:rPr>
            </w:pPr>
            <w:r w:rsidRPr="00D23214">
              <w:rPr>
                <w:color w:val="000000"/>
              </w:rPr>
              <w:t> </w:t>
            </w:r>
          </w:p>
        </w:tc>
        <w:tc>
          <w:tcPr>
            <w:tcW w:w="1160" w:type="dxa"/>
            <w:shd w:val="clear" w:color="000000" w:fill="D9D9D9" w:themeFill="background1" w:themeFillShade="D9"/>
            <w:vAlign w:val="center"/>
            <w:hideMark/>
          </w:tcPr>
          <w:p w:rsidR="00582BF4" w:rsidRPr="00D23214" w:rsidP="00C001C3" w14:paraId="4D07B156" w14:textId="77777777">
            <w:pPr>
              <w:jc w:val="center"/>
              <w:rPr>
                <w:color w:val="000000"/>
              </w:rPr>
            </w:pPr>
            <w:r w:rsidRPr="00D23214">
              <w:rPr>
                <w:color w:val="000000"/>
              </w:rPr>
              <w:t> </w:t>
            </w:r>
          </w:p>
        </w:tc>
        <w:tc>
          <w:tcPr>
            <w:tcW w:w="1270" w:type="dxa"/>
            <w:shd w:val="clear" w:color="000000" w:fill="D9D9D9" w:themeFill="background1" w:themeFillShade="D9"/>
            <w:vAlign w:val="center"/>
            <w:hideMark/>
          </w:tcPr>
          <w:p w:rsidR="00582BF4" w:rsidRPr="00D23214" w:rsidP="00C001C3" w14:paraId="3B2B1FBC" w14:textId="77777777">
            <w:pPr>
              <w:jc w:val="center"/>
              <w:rPr>
                <w:color w:val="000000"/>
              </w:rPr>
            </w:pPr>
            <w:r w:rsidRPr="00D23214">
              <w:rPr>
                <w:color w:val="000000"/>
              </w:rPr>
              <w:t> </w:t>
            </w:r>
          </w:p>
        </w:tc>
      </w:tr>
      <w:tr w14:paraId="3B185619" w14:textId="77777777" w:rsidTr="00C001C3">
        <w:tblPrEx>
          <w:tblW w:w="10530" w:type="dxa"/>
          <w:tblLayout w:type="fixed"/>
          <w:tblLook w:val="04A0"/>
        </w:tblPrEx>
        <w:trPr>
          <w:trHeight w:val="315"/>
        </w:trPr>
        <w:tc>
          <w:tcPr>
            <w:tcW w:w="1620" w:type="dxa"/>
            <w:shd w:val="clear" w:color="auto" w:fill="auto"/>
            <w:vAlign w:val="center"/>
            <w:hideMark/>
          </w:tcPr>
          <w:p w:rsidR="00582BF4" w:rsidRPr="00D23214" w:rsidP="00C001C3" w14:paraId="7D3982C3" w14:textId="77777777">
            <w:pPr>
              <w:rPr>
                <w:i/>
                <w:iCs/>
                <w:color w:val="000000"/>
              </w:rPr>
            </w:pPr>
            <w:r w:rsidRPr="00D23214">
              <w:rPr>
                <w:i/>
                <w:iCs/>
                <w:color w:val="000000"/>
              </w:rPr>
              <w:t>Big-bore projects</w:t>
            </w:r>
          </w:p>
        </w:tc>
        <w:tc>
          <w:tcPr>
            <w:tcW w:w="1350" w:type="dxa"/>
            <w:shd w:val="clear" w:color="auto" w:fill="auto"/>
            <w:vAlign w:val="center"/>
            <w:hideMark/>
          </w:tcPr>
          <w:p w:rsidR="00582BF4" w:rsidRPr="00D23214" w:rsidP="00C001C3" w14:paraId="225A609D" w14:textId="77777777">
            <w:pPr>
              <w:jc w:val="center"/>
              <w:rPr>
                <w:color w:val="000000"/>
              </w:rPr>
            </w:pPr>
            <w:r w:rsidRPr="00D23214">
              <w:rPr>
                <w:color w:val="000000"/>
              </w:rPr>
              <w:t>84</w:t>
            </w:r>
          </w:p>
        </w:tc>
        <w:tc>
          <w:tcPr>
            <w:tcW w:w="1260" w:type="dxa"/>
            <w:shd w:val="clear" w:color="auto" w:fill="auto"/>
            <w:vAlign w:val="center"/>
            <w:hideMark/>
          </w:tcPr>
          <w:p w:rsidR="00582BF4" w:rsidRPr="00D23214" w:rsidP="00C001C3" w14:paraId="00392A1A" w14:textId="77777777">
            <w:pPr>
              <w:jc w:val="center"/>
              <w:rPr>
                <w:color w:val="000000"/>
              </w:rPr>
            </w:pPr>
            <w:r w:rsidRPr="00D23214">
              <w:rPr>
                <w:color w:val="000000"/>
              </w:rPr>
              <w:t>250</w:t>
            </w:r>
          </w:p>
        </w:tc>
        <w:tc>
          <w:tcPr>
            <w:tcW w:w="1170" w:type="dxa"/>
            <w:shd w:val="clear" w:color="auto" w:fill="auto"/>
            <w:vAlign w:val="center"/>
            <w:hideMark/>
          </w:tcPr>
          <w:p w:rsidR="00582BF4" w:rsidRPr="00D23214" w:rsidP="00C001C3" w14:paraId="2C10CA5D" w14:textId="77777777">
            <w:pPr>
              <w:jc w:val="center"/>
              <w:rPr>
                <w:color w:val="000000"/>
              </w:rPr>
            </w:pPr>
            <w:r w:rsidRPr="00D23214">
              <w:rPr>
                <w:color w:val="000000"/>
              </w:rPr>
              <w:t>21,000</w:t>
            </w:r>
          </w:p>
        </w:tc>
        <w:tc>
          <w:tcPr>
            <w:tcW w:w="1440" w:type="dxa"/>
            <w:shd w:val="clear" w:color="auto" w:fill="auto"/>
            <w:vAlign w:val="center"/>
            <w:hideMark/>
          </w:tcPr>
          <w:p w:rsidR="00582BF4" w:rsidRPr="00D23214" w:rsidP="00C001C3" w14:paraId="1B301DFE" w14:textId="77777777">
            <w:pPr>
              <w:jc w:val="center"/>
              <w:rPr>
                <w:color w:val="000000"/>
              </w:rPr>
            </w:pPr>
            <w:r>
              <w:rPr>
                <w:color w:val="000000"/>
              </w:rPr>
              <w:t>10/60</w:t>
            </w:r>
          </w:p>
        </w:tc>
        <w:tc>
          <w:tcPr>
            <w:tcW w:w="1260" w:type="dxa"/>
            <w:shd w:val="clear" w:color="auto" w:fill="auto"/>
            <w:vAlign w:val="center"/>
            <w:hideMark/>
          </w:tcPr>
          <w:p w:rsidR="00582BF4" w:rsidRPr="00D23214" w:rsidP="00C001C3" w14:paraId="1FFB50B9" w14:textId="77777777">
            <w:pPr>
              <w:jc w:val="center"/>
              <w:rPr>
                <w:color w:val="000000"/>
              </w:rPr>
            </w:pPr>
            <w:r>
              <w:rPr>
                <w:color w:val="000000"/>
              </w:rPr>
              <w:t>3,500</w:t>
            </w:r>
          </w:p>
        </w:tc>
        <w:tc>
          <w:tcPr>
            <w:tcW w:w="1160" w:type="dxa"/>
            <w:shd w:val="clear" w:color="auto" w:fill="auto"/>
            <w:hideMark/>
          </w:tcPr>
          <w:p w:rsidR="00582BF4" w:rsidRPr="00D23214" w:rsidP="00C001C3" w14:paraId="07548C92" w14:textId="77777777">
            <w:pPr>
              <w:jc w:val="center"/>
              <w:rPr>
                <w:color w:val="000000"/>
              </w:rPr>
            </w:pPr>
            <w:r w:rsidRPr="001D5181">
              <w:t xml:space="preserve">$34.43 </w:t>
            </w:r>
          </w:p>
        </w:tc>
        <w:tc>
          <w:tcPr>
            <w:tcW w:w="1270" w:type="dxa"/>
            <w:shd w:val="clear" w:color="auto" w:fill="auto"/>
          </w:tcPr>
          <w:p w:rsidR="00582BF4" w:rsidRPr="00D23214" w:rsidP="00C001C3" w14:paraId="51A17BD4" w14:textId="77777777">
            <w:pPr>
              <w:jc w:val="center"/>
              <w:rPr>
                <w:color w:val="000000"/>
              </w:rPr>
            </w:pPr>
            <w:r w:rsidRPr="000E23F0">
              <w:t>$120,505</w:t>
            </w:r>
          </w:p>
        </w:tc>
      </w:tr>
      <w:tr w14:paraId="701DC2CA" w14:textId="77777777" w:rsidTr="00C001C3">
        <w:tblPrEx>
          <w:tblW w:w="10530" w:type="dxa"/>
          <w:tblLayout w:type="fixed"/>
          <w:tblLook w:val="04A0"/>
        </w:tblPrEx>
        <w:trPr>
          <w:trHeight w:val="780"/>
        </w:trPr>
        <w:tc>
          <w:tcPr>
            <w:tcW w:w="1620" w:type="dxa"/>
            <w:shd w:val="clear" w:color="auto" w:fill="auto"/>
            <w:vAlign w:val="center"/>
            <w:hideMark/>
          </w:tcPr>
          <w:p w:rsidR="00582BF4" w:rsidRPr="00D23214" w:rsidP="00C001C3" w14:paraId="2FABCE02" w14:textId="77777777">
            <w:pPr>
              <w:rPr>
                <w:i/>
                <w:iCs/>
                <w:color w:val="000000"/>
              </w:rPr>
            </w:pPr>
            <w:r w:rsidRPr="00D23214">
              <w:rPr>
                <w:i/>
                <w:iCs/>
                <w:color w:val="000000"/>
              </w:rPr>
              <w:t>Small and medium conventional bore projects</w:t>
            </w:r>
          </w:p>
        </w:tc>
        <w:tc>
          <w:tcPr>
            <w:tcW w:w="1350" w:type="dxa"/>
            <w:shd w:val="clear" w:color="auto" w:fill="auto"/>
            <w:vAlign w:val="center"/>
            <w:hideMark/>
          </w:tcPr>
          <w:p w:rsidR="00582BF4" w:rsidRPr="00D23214" w:rsidP="00C001C3" w14:paraId="6D0ADCCB" w14:textId="77777777">
            <w:pPr>
              <w:jc w:val="center"/>
              <w:rPr>
                <w:color w:val="000000"/>
              </w:rPr>
            </w:pPr>
            <w:r w:rsidRPr="00D23214">
              <w:rPr>
                <w:color w:val="000000"/>
              </w:rPr>
              <w:t>245</w:t>
            </w:r>
          </w:p>
        </w:tc>
        <w:tc>
          <w:tcPr>
            <w:tcW w:w="1260" w:type="dxa"/>
            <w:shd w:val="clear" w:color="auto" w:fill="auto"/>
            <w:vAlign w:val="center"/>
            <w:hideMark/>
          </w:tcPr>
          <w:p w:rsidR="00582BF4" w:rsidRPr="00D23214" w:rsidP="00C001C3" w14:paraId="54C54F2E" w14:textId="77777777">
            <w:pPr>
              <w:jc w:val="center"/>
              <w:rPr>
                <w:color w:val="000000"/>
              </w:rPr>
            </w:pPr>
            <w:r w:rsidRPr="00D23214">
              <w:rPr>
                <w:color w:val="000000"/>
              </w:rPr>
              <w:t>250</w:t>
            </w:r>
          </w:p>
        </w:tc>
        <w:tc>
          <w:tcPr>
            <w:tcW w:w="1170" w:type="dxa"/>
            <w:shd w:val="clear" w:color="auto" w:fill="auto"/>
            <w:vAlign w:val="center"/>
            <w:hideMark/>
          </w:tcPr>
          <w:p w:rsidR="00582BF4" w:rsidRPr="00D23214" w:rsidP="00C001C3" w14:paraId="307B863B" w14:textId="77777777">
            <w:pPr>
              <w:jc w:val="center"/>
              <w:rPr>
                <w:color w:val="000000"/>
              </w:rPr>
            </w:pPr>
            <w:r w:rsidRPr="00D23214">
              <w:rPr>
                <w:color w:val="000000"/>
              </w:rPr>
              <w:t>61,250</w:t>
            </w:r>
          </w:p>
        </w:tc>
        <w:tc>
          <w:tcPr>
            <w:tcW w:w="1440" w:type="dxa"/>
            <w:shd w:val="clear" w:color="auto" w:fill="auto"/>
            <w:vAlign w:val="center"/>
            <w:hideMark/>
          </w:tcPr>
          <w:p w:rsidR="00582BF4" w:rsidRPr="00D23214" w:rsidP="00C001C3" w14:paraId="0DD95C34" w14:textId="77777777">
            <w:pPr>
              <w:jc w:val="center"/>
              <w:rPr>
                <w:color w:val="000000"/>
              </w:rPr>
            </w:pPr>
            <w:r>
              <w:rPr>
                <w:color w:val="000000"/>
              </w:rPr>
              <w:t>10/60</w:t>
            </w:r>
            <w:r w:rsidRPr="00D23214">
              <w:rPr>
                <w:color w:val="000000"/>
              </w:rPr>
              <w:t>-</w:t>
            </w:r>
          </w:p>
        </w:tc>
        <w:tc>
          <w:tcPr>
            <w:tcW w:w="1260" w:type="dxa"/>
            <w:shd w:val="clear" w:color="auto" w:fill="auto"/>
            <w:vAlign w:val="center"/>
            <w:hideMark/>
          </w:tcPr>
          <w:p w:rsidR="00582BF4" w:rsidRPr="00D23214" w:rsidP="00C001C3" w14:paraId="66B2F767" w14:textId="77777777">
            <w:pPr>
              <w:jc w:val="center"/>
              <w:rPr>
                <w:color w:val="000000"/>
              </w:rPr>
            </w:pPr>
            <w:r>
              <w:rPr>
                <w:color w:val="000000"/>
              </w:rPr>
              <w:t>10,208</w:t>
            </w:r>
          </w:p>
        </w:tc>
        <w:tc>
          <w:tcPr>
            <w:tcW w:w="1160" w:type="dxa"/>
            <w:shd w:val="clear" w:color="auto" w:fill="auto"/>
            <w:hideMark/>
          </w:tcPr>
          <w:p w:rsidR="00582BF4" w:rsidRPr="00D23214" w:rsidP="00C001C3" w14:paraId="7ACA1350" w14:textId="77777777">
            <w:pPr>
              <w:jc w:val="center"/>
              <w:rPr>
                <w:color w:val="000000"/>
              </w:rPr>
            </w:pPr>
            <w:r w:rsidRPr="001D5181">
              <w:t xml:space="preserve">$34.43 </w:t>
            </w:r>
          </w:p>
        </w:tc>
        <w:tc>
          <w:tcPr>
            <w:tcW w:w="1270" w:type="dxa"/>
            <w:shd w:val="clear" w:color="auto" w:fill="auto"/>
          </w:tcPr>
          <w:p w:rsidR="00582BF4" w:rsidRPr="00D23214" w:rsidP="00C001C3" w14:paraId="3553EFA8" w14:textId="77777777">
            <w:pPr>
              <w:jc w:val="center"/>
              <w:rPr>
                <w:color w:val="000000"/>
              </w:rPr>
            </w:pPr>
            <w:r w:rsidRPr="000E23F0">
              <w:t>$351,461</w:t>
            </w:r>
          </w:p>
        </w:tc>
      </w:tr>
      <w:tr w14:paraId="029075FD" w14:textId="77777777" w:rsidTr="00C001C3">
        <w:tblPrEx>
          <w:tblW w:w="10530" w:type="dxa"/>
          <w:tblLayout w:type="fixed"/>
          <w:tblLook w:val="04A0"/>
        </w:tblPrEx>
        <w:trPr>
          <w:trHeight w:val="525"/>
        </w:trPr>
        <w:tc>
          <w:tcPr>
            <w:tcW w:w="1620" w:type="dxa"/>
            <w:shd w:val="clear" w:color="auto" w:fill="auto"/>
            <w:vAlign w:val="center"/>
            <w:hideMark/>
          </w:tcPr>
          <w:p w:rsidR="00582BF4" w:rsidRPr="00D23214" w:rsidP="00C001C3" w14:paraId="40C6B984" w14:textId="77777777">
            <w:pPr>
              <w:rPr>
                <w:i/>
                <w:iCs/>
                <w:color w:val="000000"/>
              </w:rPr>
            </w:pPr>
            <w:r w:rsidRPr="00D23214">
              <w:rPr>
                <w:i/>
                <w:iCs/>
                <w:color w:val="000000"/>
              </w:rPr>
              <w:t>Small and medium micro tunnel projects</w:t>
            </w:r>
          </w:p>
        </w:tc>
        <w:tc>
          <w:tcPr>
            <w:tcW w:w="1350" w:type="dxa"/>
            <w:shd w:val="clear" w:color="auto" w:fill="auto"/>
            <w:vAlign w:val="center"/>
            <w:hideMark/>
          </w:tcPr>
          <w:p w:rsidR="00582BF4" w:rsidRPr="00D23214" w:rsidP="00C001C3" w14:paraId="22C7D9CB" w14:textId="77777777">
            <w:pPr>
              <w:jc w:val="center"/>
              <w:rPr>
                <w:color w:val="000000"/>
              </w:rPr>
            </w:pPr>
            <w:r w:rsidRPr="00D23214">
              <w:rPr>
                <w:color w:val="000000"/>
              </w:rPr>
              <w:t>123</w:t>
            </w:r>
          </w:p>
        </w:tc>
        <w:tc>
          <w:tcPr>
            <w:tcW w:w="1260" w:type="dxa"/>
            <w:shd w:val="clear" w:color="auto" w:fill="auto"/>
            <w:vAlign w:val="center"/>
            <w:hideMark/>
          </w:tcPr>
          <w:p w:rsidR="00582BF4" w:rsidRPr="00D23214" w:rsidP="00C001C3" w14:paraId="67FAF63E" w14:textId="77777777">
            <w:pPr>
              <w:jc w:val="center"/>
              <w:rPr>
                <w:color w:val="000000"/>
              </w:rPr>
            </w:pPr>
            <w:r w:rsidRPr="00D23214">
              <w:rPr>
                <w:color w:val="000000"/>
              </w:rPr>
              <w:t>250</w:t>
            </w:r>
          </w:p>
        </w:tc>
        <w:tc>
          <w:tcPr>
            <w:tcW w:w="1170" w:type="dxa"/>
            <w:shd w:val="clear" w:color="auto" w:fill="auto"/>
            <w:vAlign w:val="center"/>
            <w:hideMark/>
          </w:tcPr>
          <w:p w:rsidR="00582BF4" w:rsidRPr="00D23214" w:rsidP="00C001C3" w14:paraId="21C59CE4" w14:textId="77777777">
            <w:pPr>
              <w:jc w:val="center"/>
              <w:rPr>
                <w:color w:val="000000"/>
              </w:rPr>
            </w:pPr>
            <w:r w:rsidRPr="00D23214">
              <w:rPr>
                <w:color w:val="000000"/>
              </w:rPr>
              <w:t>30,750</w:t>
            </w:r>
          </w:p>
        </w:tc>
        <w:tc>
          <w:tcPr>
            <w:tcW w:w="1440" w:type="dxa"/>
            <w:shd w:val="clear" w:color="auto" w:fill="auto"/>
            <w:vAlign w:val="center"/>
            <w:hideMark/>
          </w:tcPr>
          <w:p w:rsidR="00582BF4" w:rsidRPr="00D23214" w:rsidP="00C001C3" w14:paraId="35208DAD" w14:textId="77777777">
            <w:pPr>
              <w:jc w:val="center"/>
              <w:rPr>
                <w:color w:val="000000"/>
              </w:rPr>
            </w:pPr>
            <w:r>
              <w:rPr>
                <w:color w:val="000000"/>
              </w:rPr>
              <w:t>10/60</w:t>
            </w:r>
            <w:r w:rsidRPr="00D23214">
              <w:rPr>
                <w:color w:val="000000"/>
              </w:rPr>
              <w:t>-</w:t>
            </w:r>
          </w:p>
        </w:tc>
        <w:tc>
          <w:tcPr>
            <w:tcW w:w="1260" w:type="dxa"/>
            <w:shd w:val="clear" w:color="auto" w:fill="auto"/>
            <w:vAlign w:val="center"/>
            <w:hideMark/>
          </w:tcPr>
          <w:p w:rsidR="00582BF4" w:rsidRPr="00D23214" w:rsidP="00C001C3" w14:paraId="3CE7FE30" w14:textId="77777777">
            <w:pPr>
              <w:jc w:val="center"/>
              <w:rPr>
                <w:color w:val="000000"/>
              </w:rPr>
            </w:pPr>
            <w:r>
              <w:rPr>
                <w:color w:val="000000"/>
              </w:rPr>
              <w:t>5,125</w:t>
            </w:r>
          </w:p>
        </w:tc>
        <w:tc>
          <w:tcPr>
            <w:tcW w:w="1160" w:type="dxa"/>
            <w:shd w:val="clear" w:color="auto" w:fill="auto"/>
            <w:hideMark/>
          </w:tcPr>
          <w:p w:rsidR="00582BF4" w:rsidRPr="00D23214" w:rsidP="00C001C3" w14:paraId="2B0F5733" w14:textId="77777777">
            <w:pPr>
              <w:jc w:val="center"/>
              <w:rPr>
                <w:color w:val="000000"/>
              </w:rPr>
            </w:pPr>
            <w:r w:rsidRPr="001D5181">
              <w:t xml:space="preserve">$34.43 </w:t>
            </w:r>
          </w:p>
        </w:tc>
        <w:tc>
          <w:tcPr>
            <w:tcW w:w="1270" w:type="dxa"/>
            <w:shd w:val="clear" w:color="auto" w:fill="auto"/>
          </w:tcPr>
          <w:p w:rsidR="00582BF4" w:rsidRPr="00D23214" w:rsidP="00C001C3" w14:paraId="0690F840" w14:textId="77777777">
            <w:pPr>
              <w:jc w:val="center"/>
              <w:rPr>
                <w:color w:val="000000"/>
              </w:rPr>
            </w:pPr>
            <w:r w:rsidRPr="000E23F0">
              <w:t>$176,454</w:t>
            </w:r>
          </w:p>
        </w:tc>
      </w:tr>
      <w:tr w14:paraId="28071C0C" w14:textId="77777777" w:rsidTr="00C001C3">
        <w:tblPrEx>
          <w:tblW w:w="10530" w:type="dxa"/>
          <w:tblLayout w:type="fixed"/>
          <w:tblLook w:val="04A0"/>
        </w:tblPrEx>
        <w:trPr>
          <w:trHeight w:val="315"/>
        </w:trPr>
        <w:tc>
          <w:tcPr>
            <w:tcW w:w="1620" w:type="dxa"/>
            <w:shd w:val="clear" w:color="auto" w:fill="auto"/>
            <w:vAlign w:val="center"/>
            <w:hideMark/>
          </w:tcPr>
          <w:p w:rsidR="00582BF4" w:rsidRPr="00D23214" w:rsidP="00C001C3" w14:paraId="7B0B0A01" w14:textId="77777777">
            <w:pPr>
              <w:rPr>
                <w:i/>
                <w:iCs/>
                <w:color w:val="000000"/>
              </w:rPr>
            </w:pPr>
            <w:r w:rsidRPr="00D23214">
              <w:rPr>
                <w:i/>
                <w:iCs/>
                <w:color w:val="000000"/>
              </w:rPr>
              <w:t>Gassy classified projects</w:t>
            </w:r>
          </w:p>
        </w:tc>
        <w:tc>
          <w:tcPr>
            <w:tcW w:w="1350" w:type="dxa"/>
            <w:shd w:val="clear" w:color="auto" w:fill="auto"/>
            <w:vAlign w:val="center"/>
            <w:hideMark/>
          </w:tcPr>
          <w:p w:rsidR="00582BF4" w:rsidRPr="00D23214" w:rsidP="00C001C3" w14:paraId="718BB0D0" w14:textId="77777777">
            <w:pPr>
              <w:jc w:val="center"/>
              <w:rPr>
                <w:color w:val="000000"/>
              </w:rPr>
            </w:pPr>
            <w:r w:rsidRPr="00D23214">
              <w:rPr>
                <w:color w:val="000000"/>
              </w:rPr>
              <w:t>9</w:t>
            </w:r>
          </w:p>
        </w:tc>
        <w:tc>
          <w:tcPr>
            <w:tcW w:w="1260" w:type="dxa"/>
            <w:shd w:val="clear" w:color="auto" w:fill="auto"/>
            <w:vAlign w:val="center"/>
            <w:hideMark/>
          </w:tcPr>
          <w:p w:rsidR="00582BF4" w:rsidRPr="00D23214" w:rsidP="00C001C3" w14:paraId="170B146D" w14:textId="77777777">
            <w:pPr>
              <w:jc w:val="center"/>
              <w:rPr>
                <w:color w:val="000000"/>
              </w:rPr>
            </w:pPr>
            <w:r w:rsidRPr="00D23214">
              <w:rPr>
                <w:color w:val="000000"/>
              </w:rPr>
              <w:t>1,500</w:t>
            </w:r>
          </w:p>
        </w:tc>
        <w:tc>
          <w:tcPr>
            <w:tcW w:w="1170" w:type="dxa"/>
            <w:shd w:val="clear" w:color="auto" w:fill="auto"/>
            <w:vAlign w:val="center"/>
            <w:hideMark/>
          </w:tcPr>
          <w:p w:rsidR="00582BF4" w:rsidRPr="00D23214" w:rsidP="00C001C3" w14:paraId="1F1B4CA0" w14:textId="77777777">
            <w:pPr>
              <w:jc w:val="center"/>
              <w:rPr>
                <w:color w:val="000000"/>
              </w:rPr>
            </w:pPr>
            <w:r w:rsidRPr="00D23214">
              <w:rPr>
                <w:color w:val="000000"/>
              </w:rPr>
              <w:t>13,500</w:t>
            </w:r>
          </w:p>
        </w:tc>
        <w:tc>
          <w:tcPr>
            <w:tcW w:w="1440" w:type="dxa"/>
            <w:shd w:val="clear" w:color="auto" w:fill="auto"/>
            <w:vAlign w:val="center"/>
            <w:hideMark/>
          </w:tcPr>
          <w:p w:rsidR="00582BF4" w:rsidRPr="00D23214" w:rsidP="00C001C3" w14:paraId="75576459" w14:textId="77777777">
            <w:pPr>
              <w:jc w:val="center"/>
              <w:rPr>
                <w:color w:val="000000"/>
              </w:rPr>
            </w:pPr>
            <w:r>
              <w:rPr>
                <w:color w:val="000000"/>
              </w:rPr>
              <w:t>10/60</w:t>
            </w:r>
            <w:r w:rsidRPr="00D23214">
              <w:rPr>
                <w:color w:val="000000"/>
              </w:rPr>
              <w:t>-</w:t>
            </w:r>
          </w:p>
        </w:tc>
        <w:tc>
          <w:tcPr>
            <w:tcW w:w="1260" w:type="dxa"/>
            <w:shd w:val="clear" w:color="auto" w:fill="auto"/>
            <w:vAlign w:val="center"/>
            <w:hideMark/>
          </w:tcPr>
          <w:p w:rsidR="00582BF4" w:rsidRPr="00D23214" w:rsidP="00C001C3" w14:paraId="34B19C73" w14:textId="77777777">
            <w:pPr>
              <w:jc w:val="center"/>
              <w:rPr>
                <w:color w:val="000000"/>
              </w:rPr>
            </w:pPr>
            <w:r>
              <w:rPr>
                <w:color w:val="000000"/>
              </w:rPr>
              <w:t>2,250</w:t>
            </w:r>
          </w:p>
        </w:tc>
        <w:tc>
          <w:tcPr>
            <w:tcW w:w="1160" w:type="dxa"/>
            <w:shd w:val="clear" w:color="auto" w:fill="auto"/>
            <w:hideMark/>
          </w:tcPr>
          <w:p w:rsidR="00582BF4" w:rsidRPr="00D23214" w:rsidP="00C001C3" w14:paraId="1CCBB3D5" w14:textId="77777777">
            <w:pPr>
              <w:jc w:val="center"/>
              <w:rPr>
                <w:color w:val="000000"/>
              </w:rPr>
            </w:pPr>
            <w:r w:rsidRPr="001D5181">
              <w:t xml:space="preserve">$34.43 </w:t>
            </w:r>
          </w:p>
        </w:tc>
        <w:tc>
          <w:tcPr>
            <w:tcW w:w="1270" w:type="dxa"/>
            <w:shd w:val="clear" w:color="auto" w:fill="auto"/>
          </w:tcPr>
          <w:p w:rsidR="00582BF4" w:rsidRPr="00D23214" w:rsidP="00C001C3" w14:paraId="4DBEB3DE" w14:textId="77777777">
            <w:pPr>
              <w:jc w:val="center"/>
              <w:rPr>
                <w:color w:val="000000"/>
              </w:rPr>
            </w:pPr>
            <w:r w:rsidRPr="000E23F0">
              <w:t>$77,468</w:t>
            </w:r>
          </w:p>
        </w:tc>
      </w:tr>
      <w:tr w14:paraId="60CE36CF" w14:textId="77777777" w:rsidTr="00C001C3">
        <w:tblPrEx>
          <w:tblW w:w="10530" w:type="dxa"/>
          <w:tblLayout w:type="fixed"/>
          <w:tblLook w:val="04A0"/>
        </w:tblPrEx>
        <w:trPr>
          <w:trHeight w:val="315"/>
        </w:trPr>
        <w:tc>
          <w:tcPr>
            <w:tcW w:w="1620" w:type="dxa"/>
            <w:shd w:val="clear" w:color="auto" w:fill="DBDBDB" w:themeFill="accent3" w:themeFillTint="66"/>
            <w:vAlign w:val="center"/>
            <w:hideMark/>
          </w:tcPr>
          <w:p w:rsidR="00582BF4" w:rsidRPr="00F81455" w:rsidP="00C001C3" w14:paraId="33CBCE61" w14:textId="77777777">
            <w:pPr>
              <w:rPr>
                <w:b/>
                <w:bCs/>
                <w:color w:val="000000"/>
              </w:rPr>
            </w:pPr>
            <w:r w:rsidRPr="00F81455">
              <w:rPr>
                <w:b/>
                <w:bCs/>
                <w:color w:val="000000"/>
              </w:rPr>
              <w:t>Subtotal Calibration</w:t>
            </w:r>
          </w:p>
        </w:tc>
        <w:tc>
          <w:tcPr>
            <w:tcW w:w="1350" w:type="dxa"/>
            <w:tcBorders>
              <w:bottom w:val="single" w:sz="8" w:space="0" w:color="auto"/>
            </w:tcBorders>
            <w:shd w:val="clear" w:color="auto" w:fill="DBDBDB" w:themeFill="accent3" w:themeFillTint="66"/>
            <w:vAlign w:val="center"/>
            <w:hideMark/>
          </w:tcPr>
          <w:p w:rsidR="00582BF4" w:rsidRPr="00F81455" w:rsidP="00C001C3" w14:paraId="2CB926CC" w14:textId="77777777">
            <w:pPr>
              <w:jc w:val="center"/>
              <w:rPr>
                <w:b/>
                <w:color w:val="000000"/>
              </w:rPr>
            </w:pPr>
          </w:p>
        </w:tc>
        <w:tc>
          <w:tcPr>
            <w:tcW w:w="1260" w:type="dxa"/>
            <w:tcBorders>
              <w:bottom w:val="single" w:sz="8" w:space="0" w:color="auto"/>
            </w:tcBorders>
            <w:shd w:val="clear" w:color="auto" w:fill="DBDBDB" w:themeFill="accent3" w:themeFillTint="66"/>
            <w:vAlign w:val="center"/>
            <w:hideMark/>
          </w:tcPr>
          <w:p w:rsidR="00582BF4" w:rsidRPr="00F81455" w:rsidP="00C001C3" w14:paraId="5612257E" w14:textId="77777777">
            <w:pPr>
              <w:jc w:val="center"/>
              <w:rPr>
                <w:b/>
                <w:color w:val="000000"/>
              </w:rPr>
            </w:pPr>
            <w:r w:rsidRPr="00F81455">
              <w:rPr>
                <w:b/>
                <w:color w:val="000000"/>
              </w:rPr>
              <w:t> </w:t>
            </w:r>
          </w:p>
        </w:tc>
        <w:tc>
          <w:tcPr>
            <w:tcW w:w="1170" w:type="dxa"/>
            <w:tcBorders>
              <w:bottom w:val="single" w:sz="8" w:space="0" w:color="auto"/>
            </w:tcBorders>
            <w:shd w:val="clear" w:color="auto" w:fill="DBDBDB" w:themeFill="accent3" w:themeFillTint="66"/>
            <w:vAlign w:val="center"/>
            <w:hideMark/>
          </w:tcPr>
          <w:p w:rsidR="00582BF4" w:rsidRPr="00F81455" w:rsidP="00C001C3" w14:paraId="11353442" w14:textId="77777777">
            <w:pPr>
              <w:jc w:val="center"/>
              <w:rPr>
                <w:b/>
                <w:color w:val="000000"/>
              </w:rPr>
            </w:pPr>
            <w:r w:rsidRPr="00F81455">
              <w:rPr>
                <w:b/>
                <w:color w:val="000000"/>
              </w:rPr>
              <w:t>126,500</w:t>
            </w:r>
          </w:p>
        </w:tc>
        <w:tc>
          <w:tcPr>
            <w:tcW w:w="1440" w:type="dxa"/>
            <w:tcBorders>
              <w:bottom w:val="single" w:sz="8" w:space="0" w:color="auto"/>
            </w:tcBorders>
            <w:shd w:val="clear" w:color="auto" w:fill="DBDBDB" w:themeFill="accent3" w:themeFillTint="66"/>
            <w:vAlign w:val="center"/>
            <w:hideMark/>
          </w:tcPr>
          <w:p w:rsidR="00582BF4" w:rsidRPr="00F81455" w:rsidP="00C001C3" w14:paraId="41228784" w14:textId="77777777">
            <w:pPr>
              <w:jc w:val="center"/>
              <w:rPr>
                <w:b/>
                <w:color w:val="000000"/>
              </w:rPr>
            </w:pPr>
          </w:p>
        </w:tc>
        <w:tc>
          <w:tcPr>
            <w:tcW w:w="1260" w:type="dxa"/>
            <w:tcBorders>
              <w:bottom w:val="single" w:sz="8" w:space="0" w:color="auto"/>
            </w:tcBorders>
            <w:shd w:val="clear" w:color="auto" w:fill="DBDBDB" w:themeFill="accent3" w:themeFillTint="66"/>
            <w:vAlign w:val="center"/>
            <w:hideMark/>
          </w:tcPr>
          <w:p w:rsidR="00582BF4" w:rsidRPr="00F81455" w:rsidP="00C001C3" w14:paraId="64B5ADFD" w14:textId="77777777">
            <w:pPr>
              <w:jc w:val="center"/>
              <w:rPr>
                <w:b/>
                <w:color w:val="000000"/>
              </w:rPr>
            </w:pPr>
            <w:r w:rsidRPr="00F81455">
              <w:rPr>
                <w:b/>
                <w:color w:val="000000"/>
              </w:rPr>
              <w:t>21,083</w:t>
            </w:r>
          </w:p>
        </w:tc>
        <w:tc>
          <w:tcPr>
            <w:tcW w:w="1160" w:type="dxa"/>
            <w:tcBorders>
              <w:bottom w:val="single" w:sz="8" w:space="0" w:color="auto"/>
            </w:tcBorders>
            <w:shd w:val="clear" w:color="auto" w:fill="DBDBDB" w:themeFill="accent3" w:themeFillTint="66"/>
            <w:vAlign w:val="center"/>
            <w:hideMark/>
          </w:tcPr>
          <w:p w:rsidR="00582BF4" w:rsidRPr="00F81455" w:rsidP="00C001C3" w14:paraId="28E0B75A" w14:textId="77777777">
            <w:pPr>
              <w:jc w:val="center"/>
              <w:rPr>
                <w:b/>
                <w:color w:val="000000"/>
              </w:rPr>
            </w:pPr>
          </w:p>
        </w:tc>
        <w:tc>
          <w:tcPr>
            <w:tcW w:w="1270" w:type="dxa"/>
            <w:tcBorders>
              <w:bottom w:val="single" w:sz="8" w:space="0" w:color="auto"/>
            </w:tcBorders>
            <w:shd w:val="clear" w:color="auto" w:fill="DBDBDB" w:themeFill="accent3" w:themeFillTint="66"/>
          </w:tcPr>
          <w:p w:rsidR="00582BF4" w:rsidRPr="00F81455" w:rsidP="00C001C3" w14:paraId="4FE6B583" w14:textId="77777777">
            <w:pPr>
              <w:jc w:val="center"/>
              <w:rPr>
                <w:b/>
                <w:color w:val="000000"/>
                <w:highlight w:val="yellow"/>
              </w:rPr>
            </w:pPr>
            <w:r w:rsidRPr="00F81455">
              <w:t>$725,888</w:t>
            </w:r>
          </w:p>
        </w:tc>
      </w:tr>
      <w:tr w14:paraId="4E883EBB" w14:textId="77777777" w:rsidTr="00C001C3">
        <w:tblPrEx>
          <w:tblW w:w="10530" w:type="dxa"/>
          <w:tblLayout w:type="fixed"/>
          <w:tblLook w:val="04A0"/>
        </w:tblPrEx>
        <w:trPr>
          <w:cantSplit/>
          <w:trHeight w:val="780"/>
        </w:trPr>
        <w:tc>
          <w:tcPr>
            <w:tcW w:w="1620" w:type="dxa"/>
            <w:shd w:val="clear" w:color="auto" w:fill="auto"/>
            <w:vAlign w:val="center"/>
            <w:hideMark/>
          </w:tcPr>
          <w:p w:rsidR="00582BF4" w:rsidRPr="00D23214" w:rsidP="00C001C3" w14:paraId="62198355" w14:textId="77777777">
            <w:pPr>
              <w:rPr>
                <w:color w:val="000000"/>
              </w:rPr>
            </w:pPr>
            <w:r w:rsidRPr="00D23214">
              <w:rPr>
                <w:color w:val="000000"/>
              </w:rPr>
              <w:t>6. Monitor Calibration - Simultaneous or serial monitoring</w:t>
            </w:r>
          </w:p>
        </w:tc>
        <w:tc>
          <w:tcPr>
            <w:tcW w:w="1350" w:type="dxa"/>
            <w:shd w:val="clear" w:color="000000" w:fill="D9D9D9" w:themeFill="background1" w:themeFillShade="D9"/>
            <w:vAlign w:val="center"/>
            <w:hideMark/>
          </w:tcPr>
          <w:p w:rsidR="00582BF4" w:rsidRPr="00D23214" w:rsidP="00C001C3" w14:paraId="07D02F72" w14:textId="77777777">
            <w:pPr>
              <w:jc w:val="center"/>
              <w:rPr>
                <w:color w:val="000000"/>
              </w:rPr>
            </w:pPr>
            <w:r w:rsidRPr="00D23214">
              <w:rPr>
                <w:color w:val="000000"/>
              </w:rPr>
              <w:t> </w:t>
            </w:r>
          </w:p>
        </w:tc>
        <w:tc>
          <w:tcPr>
            <w:tcW w:w="1260" w:type="dxa"/>
            <w:shd w:val="clear" w:color="000000" w:fill="D9D9D9" w:themeFill="background1" w:themeFillShade="D9"/>
            <w:vAlign w:val="center"/>
            <w:hideMark/>
          </w:tcPr>
          <w:p w:rsidR="00582BF4" w:rsidRPr="00D23214" w:rsidP="00C001C3" w14:paraId="58B8DA8A" w14:textId="77777777">
            <w:pPr>
              <w:jc w:val="center"/>
              <w:rPr>
                <w:color w:val="000000"/>
              </w:rPr>
            </w:pPr>
            <w:r w:rsidRPr="00D23214">
              <w:rPr>
                <w:color w:val="000000"/>
              </w:rPr>
              <w:t> </w:t>
            </w:r>
          </w:p>
        </w:tc>
        <w:tc>
          <w:tcPr>
            <w:tcW w:w="1170" w:type="dxa"/>
            <w:shd w:val="clear" w:color="000000" w:fill="D9D9D9" w:themeFill="background1" w:themeFillShade="D9"/>
            <w:vAlign w:val="center"/>
            <w:hideMark/>
          </w:tcPr>
          <w:p w:rsidR="00582BF4" w:rsidRPr="00D23214" w:rsidP="00C001C3" w14:paraId="46A4CDD4" w14:textId="77777777">
            <w:pPr>
              <w:jc w:val="center"/>
              <w:rPr>
                <w:color w:val="000000"/>
              </w:rPr>
            </w:pPr>
            <w:r w:rsidRPr="00D23214">
              <w:rPr>
                <w:color w:val="000000"/>
              </w:rPr>
              <w:t> </w:t>
            </w:r>
          </w:p>
        </w:tc>
        <w:tc>
          <w:tcPr>
            <w:tcW w:w="1440" w:type="dxa"/>
            <w:shd w:val="clear" w:color="000000" w:fill="D9D9D9" w:themeFill="background1" w:themeFillShade="D9"/>
            <w:vAlign w:val="center"/>
            <w:hideMark/>
          </w:tcPr>
          <w:p w:rsidR="00582BF4" w:rsidRPr="00D23214" w:rsidP="00C001C3" w14:paraId="3B7914DC" w14:textId="77777777">
            <w:pPr>
              <w:jc w:val="center"/>
              <w:rPr>
                <w:color w:val="000000"/>
              </w:rPr>
            </w:pPr>
            <w:r w:rsidRPr="00D23214">
              <w:rPr>
                <w:color w:val="000000"/>
              </w:rPr>
              <w:t> </w:t>
            </w:r>
          </w:p>
        </w:tc>
        <w:tc>
          <w:tcPr>
            <w:tcW w:w="1260" w:type="dxa"/>
            <w:shd w:val="clear" w:color="000000" w:fill="D9D9D9" w:themeFill="background1" w:themeFillShade="D9"/>
            <w:vAlign w:val="center"/>
            <w:hideMark/>
          </w:tcPr>
          <w:p w:rsidR="00582BF4" w:rsidRPr="00D23214" w:rsidP="00C001C3" w14:paraId="2F220368" w14:textId="77777777">
            <w:pPr>
              <w:jc w:val="center"/>
              <w:rPr>
                <w:color w:val="000000"/>
              </w:rPr>
            </w:pPr>
            <w:r w:rsidRPr="00D23214">
              <w:rPr>
                <w:color w:val="000000"/>
              </w:rPr>
              <w:t> </w:t>
            </w:r>
          </w:p>
        </w:tc>
        <w:tc>
          <w:tcPr>
            <w:tcW w:w="1160" w:type="dxa"/>
            <w:shd w:val="clear" w:color="000000" w:fill="D9D9D9" w:themeFill="background1" w:themeFillShade="D9"/>
            <w:vAlign w:val="center"/>
            <w:hideMark/>
          </w:tcPr>
          <w:p w:rsidR="00582BF4" w:rsidRPr="00D23214" w:rsidP="00C001C3" w14:paraId="46E96B32" w14:textId="77777777">
            <w:pPr>
              <w:jc w:val="center"/>
              <w:rPr>
                <w:color w:val="000000"/>
              </w:rPr>
            </w:pPr>
            <w:r w:rsidRPr="00D23214">
              <w:rPr>
                <w:color w:val="000000"/>
              </w:rPr>
              <w:t> </w:t>
            </w:r>
          </w:p>
        </w:tc>
        <w:tc>
          <w:tcPr>
            <w:tcW w:w="1270" w:type="dxa"/>
            <w:shd w:val="clear" w:color="000000" w:fill="D9D9D9" w:themeFill="background1" w:themeFillShade="D9"/>
            <w:vAlign w:val="center"/>
            <w:hideMark/>
          </w:tcPr>
          <w:p w:rsidR="00582BF4" w:rsidRPr="00D23214" w:rsidP="00C001C3" w14:paraId="03C242C5" w14:textId="77777777">
            <w:pPr>
              <w:jc w:val="center"/>
              <w:rPr>
                <w:color w:val="000000"/>
              </w:rPr>
            </w:pPr>
            <w:r w:rsidRPr="00D23214">
              <w:rPr>
                <w:color w:val="000000"/>
              </w:rPr>
              <w:t> </w:t>
            </w:r>
          </w:p>
        </w:tc>
      </w:tr>
      <w:tr w14:paraId="6A085FA4" w14:textId="77777777" w:rsidTr="00C001C3">
        <w:tblPrEx>
          <w:tblW w:w="10530" w:type="dxa"/>
          <w:tblLayout w:type="fixed"/>
          <w:tblLook w:val="04A0"/>
        </w:tblPrEx>
        <w:trPr>
          <w:trHeight w:val="315"/>
        </w:trPr>
        <w:tc>
          <w:tcPr>
            <w:tcW w:w="1620" w:type="dxa"/>
            <w:shd w:val="clear" w:color="auto" w:fill="auto"/>
            <w:vAlign w:val="center"/>
            <w:hideMark/>
          </w:tcPr>
          <w:p w:rsidR="00582BF4" w:rsidRPr="00D23214" w:rsidP="00C001C3" w14:paraId="5BDB6A7E" w14:textId="77777777">
            <w:pPr>
              <w:rPr>
                <w:i/>
                <w:iCs/>
                <w:color w:val="000000"/>
              </w:rPr>
            </w:pPr>
            <w:r w:rsidRPr="00D23214">
              <w:rPr>
                <w:i/>
                <w:iCs/>
                <w:color w:val="000000"/>
              </w:rPr>
              <w:t>Big-bore projects</w:t>
            </w:r>
          </w:p>
        </w:tc>
        <w:tc>
          <w:tcPr>
            <w:tcW w:w="1350" w:type="dxa"/>
            <w:shd w:val="clear" w:color="auto" w:fill="auto"/>
            <w:vAlign w:val="center"/>
            <w:hideMark/>
          </w:tcPr>
          <w:p w:rsidR="00582BF4" w:rsidRPr="00D23214" w:rsidP="00C001C3" w14:paraId="0B914675" w14:textId="77777777">
            <w:pPr>
              <w:jc w:val="center"/>
              <w:rPr>
                <w:color w:val="000000"/>
              </w:rPr>
            </w:pPr>
            <w:r w:rsidRPr="00D23214">
              <w:rPr>
                <w:color w:val="000000"/>
              </w:rPr>
              <w:t>84</w:t>
            </w:r>
          </w:p>
        </w:tc>
        <w:tc>
          <w:tcPr>
            <w:tcW w:w="1260" w:type="dxa"/>
            <w:shd w:val="clear" w:color="auto" w:fill="auto"/>
            <w:vAlign w:val="center"/>
            <w:hideMark/>
          </w:tcPr>
          <w:p w:rsidR="00582BF4" w:rsidRPr="00D23214" w:rsidP="00C001C3" w14:paraId="5F48B272" w14:textId="77777777">
            <w:pPr>
              <w:jc w:val="center"/>
              <w:rPr>
                <w:color w:val="000000"/>
              </w:rPr>
            </w:pPr>
            <w:r w:rsidRPr="00D23214">
              <w:rPr>
                <w:color w:val="000000"/>
              </w:rPr>
              <w:t>1,250</w:t>
            </w:r>
          </w:p>
        </w:tc>
        <w:tc>
          <w:tcPr>
            <w:tcW w:w="1170" w:type="dxa"/>
            <w:shd w:val="clear" w:color="auto" w:fill="auto"/>
            <w:vAlign w:val="center"/>
            <w:hideMark/>
          </w:tcPr>
          <w:p w:rsidR="00582BF4" w:rsidRPr="00D23214" w:rsidP="00C001C3" w14:paraId="02F2A53F" w14:textId="77777777">
            <w:pPr>
              <w:jc w:val="center"/>
              <w:rPr>
                <w:color w:val="000000"/>
              </w:rPr>
            </w:pPr>
            <w:r w:rsidRPr="00D23214">
              <w:rPr>
                <w:color w:val="000000"/>
              </w:rPr>
              <w:t>105,000</w:t>
            </w:r>
          </w:p>
        </w:tc>
        <w:tc>
          <w:tcPr>
            <w:tcW w:w="1440" w:type="dxa"/>
            <w:shd w:val="clear" w:color="auto" w:fill="auto"/>
            <w:vAlign w:val="center"/>
            <w:hideMark/>
          </w:tcPr>
          <w:p w:rsidR="00582BF4" w:rsidRPr="00D23214" w:rsidP="00C001C3" w14:paraId="31BA0F98" w14:textId="77777777">
            <w:pPr>
              <w:jc w:val="center"/>
              <w:rPr>
                <w:color w:val="000000"/>
              </w:rPr>
            </w:pPr>
            <w:r>
              <w:rPr>
                <w:color w:val="000000"/>
              </w:rPr>
              <w:t>5/60</w:t>
            </w:r>
          </w:p>
        </w:tc>
        <w:tc>
          <w:tcPr>
            <w:tcW w:w="1260" w:type="dxa"/>
            <w:shd w:val="clear" w:color="auto" w:fill="auto"/>
            <w:vAlign w:val="center"/>
            <w:hideMark/>
          </w:tcPr>
          <w:p w:rsidR="00582BF4" w:rsidRPr="00D23214" w:rsidP="00C001C3" w14:paraId="49F50C6B" w14:textId="77777777">
            <w:pPr>
              <w:jc w:val="center"/>
              <w:rPr>
                <w:color w:val="000000"/>
              </w:rPr>
            </w:pPr>
            <w:r>
              <w:rPr>
                <w:color w:val="000000"/>
              </w:rPr>
              <w:t>8,750</w:t>
            </w:r>
          </w:p>
        </w:tc>
        <w:tc>
          <w:tcPr>
            <w:tcW w:w="1160" w:type="dxa"/>
            <w:shd w:val="clear" w:color="auto" w:fill="auto"/>
            <w:vAlign w:val="center"/>
            <w:hideMark/>
          </w:tcPr>
          <w:p w:rsidR="00582BF4" w:rsidRPr="00D23214" w:rsidP="00C001C3" w14:paraId="58EA3950" w14:textId="77777777">
            <w:pPr>
              <w:jc w:val="center"/>
              <w:rPr>
                <w:color w:val="000000"/>
              </w:rPr>
            </w:pPr>
            <w:r>
              <w:rPr>
                <w:color w:val="000000"/>
              </w:rPr>
              <w:t>28.62</w:t>
            </w:r>
          </w:p>
        </w:tc>
        <w:tc>
          <w:tcPr>
            <w:tcW w:w="1270" w:type="dxa"/>
            <w:shd w:val="clear" w:color="auto" w:fill="auto"/>
            <w:vAlign w:val="center"/>
            <w:hideMark/>
          </w:tcPr>
          <w:p w:rsidR="00582BF4" w:rsidRPr="00D23214" w:rsidP="00C001C3" w14:paraId="2CA5A71A" w14:textId="77777777">
            <w:pPr>
              <w:jc w:val="center"/>
              <w:rPr>
                <w:color w:val="000000"/>
              </w:rPr>
            </w:pPr>
            <w:r>
              <w:rPr>
                <w:color w:val="000000"/>
              </w:rPr>
              <w:t>250,425</w:t>
            </w:r>
          </w:p>
        </w:tc>
      </w:tr>
      <w:tr w14:paraId="1852E68E" w14:textId="77777777" w:rsidTr="00C001C3">
        <w:tblPrEx>
          <w:tblW w:w="10530" w:type="dxa"/>
          <w:tblLayout w:type="fixed"/>
          <w:tblLook w:val="04A0"/>
        </w:tblPrEx>
        <w:trPr>
          <w:trHeight w:val="780"/>
        </w:trPr>
        <w:tc>
          <w:tcPr>
            <w:tcW w:w="1620" w:type="dxa"/>
            <w:shd w:val="clear" w:color="auto" w:fill="auto"/>
            <w:vAlign w:val="center"/>
            <w:hideMark/>
          </w:tcPr>
          <w:p w:rsidR="00582BF4" w:rsidRPr="00D23214" w:rsidP="00C001C3" w14:paraId="5E4A168E" w14:textId="77777777">
            <w:pPr>
              <w:rPr>
                <w:i/>
                <w:iCs/>
                <w:color w:val="000000"/>
              </w:rPr>
            </w:pPr>
            <w:r w:rsidRPr="00D23214">
              <w:rPr>
                <w:i/>
                <w:iCs/>
                <w:color w:val="000000"/>
              </w:rPr>
              <w:t>Small and medium conventional bore projects</w:t>
            </w:r>
          </w:p>
        </w:tc>
        <w:tc>
          <w:tcPr>
            <w:tcW w:w="1350" w:type="dxa"/>
            <w:shd w:val="clear" w:color="auto" w:fill="auto"/>
            <w:vAlign w:val="center"/>
            <w:hideMark/>
          </w:tcPr>
          <w:p w:rsidR="00582BF4" w:rsidRPr="00D23214" w:rsidP="00C001C3" w14:paraId="5B5028B7" w14:textId="77777777">
            <w:pPr>
              <w:jc w:val="center"/>
              <w:rPr>
                <w:color w:val="000000"/>
              </w:rPr>
            </w:pPr>
            <w:r w:rsidRPr="00D23214">
              <w:rPr>
                <w:color w:val="000000"/>
              </w:rPr>
              <w:t>245</w:t>
            </w:r>
          </w:p>
        </w:tc>
        <w:tc>
          <w:tcPr>
            <w:tcW w:w="1260" w:type="dxa"/>
            <w:shd w:val="clear" w:color="auto" w:fill="auto"/>
            <w:vAlign w:val="center"/>
            <w:hideMark/>
          </w:tcPr>
          <w:p w:rsidR="00582BF4" w:rsidRPr="00D23214" w:rsidP="00C001C3" w14:paraId="2D36DA3C" w14:textId="77777777">
            <w:pPr>
              <w:jc w:val="center"/>
              <w:rPr>
                <w:color w:val="000000"/>
              </w:rPr>
            </w:pPr>
            <w:r w:rsidRPr="00D23214">
              <w:rPr>
                <w:color w:val="000000"/>
              </w:rPr>
              <w:t>1,250</w:t>
            </w:r>
          </w:p>
        </w:tc>
        <w:tc>
          <w:tcPr>
            <w:tcW w:w="1170" w:type="dxa"/>
            <w:shd w:val="clear" w:color="auto" w:fill="auto"/>
            <w:vAlign w:val="center"/>
            <w:hideMark/>
          </w:tcPr>
          <w:p w:rsidR="00582BF4" w:rsidRPr="00D23214" w:rsidP="00C001C3" w14:paraId="2C5EFCE6" w14:textId="77777777">
            <w:pPr>
              <w:jc w:val="center"/>
              <w:rPr>
                <w:color w:val="000000"/>
              </w:rPr>
            </w:pPr>
            <w:r w:rsidRPr="00D23214">
              <w:rPr>
                <w:color w:val="000000"/>
              </w:rPr>
              <w:t>306,250</w:t>
            </w:r>
          </w:p>
        </w:tc>
        <w:tc>
          <w:tcPr>
            <w:tcW w:w="1440" w:type="dxa"/>
            <w:shd w:val="clear" w:color="auto" w:fill="auto"/>
            <w:vAlign w:val="center"/>
            <w:hideMark/>
          </w:tcPr>
          <w:p w:rsidR="00582BF4" w:rsidRPr="00D23214" w:rsidP="00C001C3" w14:paraId="5318D9DF" w14:textId="77777777">
            <w:pPr>
              <w:jc w:val="center"/>
              <w:rPr>
                <w:color w:val="000000"/>
              </w:rPr>
            </w:pPr>
            <w:r>
              <w:rPr>
                <w:color w:val="000000"/>
              </w:rPr>
              <w:t>5/60</w:t>
            </w:r>
          </w:p>
        </w:tc>
        <w:tc>
          <w:tcPr>
            <w:tcW w:w="1260" w:type="dxa"/>
            <w:shd w:val="clear" w:color="auto" w:fill="auto"/>
            <w:vAlign w:val="center"/>
            <w:hideMark/>
          </w:tcPr>
          <w:p w:rsidR="00582BF4" w:rsidRPr="00D23214" w:rsidP="00C001C3" w14:paraId="7B6B2370" w14:textId="77777777">
            <w:pPr>
              <w:jc w:val="center"/>
              <w:rPr>
                <w:color w:val="000000"/>
              </w:rPr>
            </w:pPr>
            <w:r>
              <w:rPr>
                <w:color w:val="000000"/>
              </w:rPr>
              <w:t>25,521</w:t>
            </w:r>
          </w:p>
        </w:tc>
        <w:tc>
          <w:tcPr>
            <w:tcW w:w="1160" w:type="dxa"/>
            <w:shd w:val="clear" w:color="auto" w:fill="auto"/>
            <w:vAlign w:val="center"/>
            <w:hideMark/>
          </w:tcPr>
          <w:p w:rsidR="00582BF4" w:rsidRPr="00D23214" w:rsidP="00C001C3" w14:paraId="583B8150" w14:textId="77777777">
            <w:pPr>
              <w:jc w:val="center"/>
              <w:rPr>
                <w:color w:val="000000"/>
              </w:rPr>
            </w:pPr>
            <w:r>
              <w:rPr>
                <w:color w:val="000000"/>
              </w:rPr>
              <w:t>$34.23</w:t>
            </w:r>
          </w:p>
        </w:tc>
        <w:tc>
          <w:tcPr>
            <w:tcW w:w="1270" w:type="dxa"/>
            <w:shd w:val="clear" w:color="auto" w:fill="auto"/>
            <w:vAlign w:val="center"/>
            <w:hideMark/>
          </w:tcPr>
          <w:p w:rsidR="00582BF4" w:rsidRPr="00D23214" w:rsidP="00C001C3" w14:paraId="7DDCBD30" w14:textId="77777777">
            <w:pPr>
              <w:jc w:val="center"/>
              <w:rPr>
                <w:color w:val="000000"/>
              </w:rPr>
            </w:pPr>
            <w:r>
              <w:rPr>
                <w:color w:val="000000"/>
              </w:rPr>
              <w:t>$878,688</w:t>
            </w:r>
          </w:p>
        </w:tc>
      </w:tr>
      <w:tr w14:paraId="515AEEBC" w14:textId="77777777" w:rsidTr="00C001C3">
        <w:tblPrEx>
          <w:tblW w:w="10530" w:type="dxa"/>
          <w:tblLayout w:type="fixed"/>
          <w:tblLook w:val="04A0"/>
        </w:tblPrEx>
        <w:trPr>
          <w:trHeight w:val="525"/>
        </w:trPr>
        <w:tc>
          <w:tcPr>
            <w:tcW w:w="1620" w:type="dxa"/>
            <w:shd w:val="clear" w:color="auto" w:fill="auto"/>
            <w:vAlign w:val="center"/>
            <w:hideMark/>
          </w:tcPr>
          <w:p w:rsidR="00582BF4" w:rsidRPr="001B1793" w:rsidP="00C001C3" w14:paraId="3F63A2D6" w14:textId="77777777">
            <w:pPr>
              <w:rPr>
                <w:i/>
                <w:iCs/>
                <w:color w:val="000000"/>
              </w:rPr>
            </w:pPr>
            <w:r w:rsidRPr="001B1793">
              <w:rPr>
                <w:i/>
                <w:iCs/>
                <w:color w:val="000000"/>
              </w:rPr>
              <w:t>Small and medium micro tunnel projects</w:t>
            </w:r>
          </w:p>
        </w:tc>
        <w:tc>
          <w:tcPr>
            <w:tcW w:w="1350" w:type="dxa"/>
            <w:shd w:val="clear" w:color="auto" w:fill="auto"/>
            <w:vAlign w:val="center"/>
            <w:hideMark/>
          </w:tcPr>
          <w:p w:rsidR="00582BF4" w:rsidRPr="001B1793" w:rsidP="00C001C3" w14:paraId="6C6ACFFE" w14:textId="77777777">
            <w:pPr>
              <w:jc w:val="center"/>
              <w:rPr>
                <w:color w:val="000000"/>
              </w:rPr>
            </w:pPr>
            <w:r w:rsidRPr="001B1793">
              <w:rPr>
                <w:color w:val="000000"/>
              </w:rPr>
              <w:t>123</w:t>
            </w:r>
          </w:p>
        </w:tc>
        <w:tc>
          <w:tcPr>
            <w:tcW w:w="1260" w:type="dxa"/>
            <w:shd w:val="clear" w:color="auto" w:fill="auto"/>
            <w:vAlign w:val="center"/>
            <w:hideMark/>
          </w:tcPr>
          <w:p w:rsidR="00582BF4" w:rsidRPr="001B1793" w:rsidP="00C001C3" w14:paraId="58BA44D3" w14:textId="77777777">
            <w:pPr>
              <w:jc w:val="center"/>
              <w:rPr>
                <w:color w:val="000000"/>
              </w:rPr>
            </w:pPr>
            <w:r w:rsidRPr="001B1793">
              <w:rPr>
                <w:color w:val="000000"/>
              </w:rPr>
              <w:t>500</w:t>
            </w:r>
          </w:p>
        </w:tc>
        <w:tc>
          <w:tcPr>
            <w:tcW w:w="1170" w:type="dxa"/>
            <w:shd w:val="clear" w:color="auto" w:fill="auto"/>
            <w:vAlign w:val="center"/>
            <w:hideMark/>
          </w:tcPr>
          <w:p w:rsidR="00582BF4" w:rsidRPr="001B1793" w:rsidP="00C001C3" w14:paraId="7CEF2EBC" w14:textId="77777777">
            <w:pPr>
              <w:jc w:val="center"/>
              <w:rPr>
                <w:color w:val="000000"/>
              </w:rPr>
            </w:pPr>
            <w:r w:rsidRPr="001B1793">
              <w:rPr>
                <w:color w:val="000000"/>
              </w:rPr>
              <w:t>61,500</w:t>
            </w:r>
          </w:p>
        </w:tc>
        <w:tc>
          <w:tcPr>
            <w:tcW w:w="1440" w:type="dxa"/>
            <w:shd w:val="clear" w:color="auto" w:fill="auto"/>
            <w:vAlign w:val="center"/>
            <w:hideMark/>
          </w:tcPr>
          <w:p w:rsidR="00582BF4" w:rsidRPr="001B1793" w:rsidP="00C001C3" w14:paraId="7EE0EB90" w14:textId="77777777">
            <w:pPr>
              <w:jc w:val="center"/>
              <w:rPr>
                <w:color w:val="000000"/>
              </w:rPr>
            </w:pPr>
            <w:r w:rsidRPr="001B1793">
              <w:rPr>
                <w:color w:val="000000"/>
              </w:rPr>
              <w:t>5/60</w:t>
            </w:r>
          </w:p>
        </w:tc>
        <w:tc>
          <w:tcPr>
            <w:tcW w:w="1260" w:type="dxa"/>
            <w:shd w:val="clear" w:color="auto" w:fill="auto"/>
            <w:vAlign w:val="center"/>
            <w:hideMark/>
          </w:tcPr>
          <w:p w:rsidR="00582BF4" w:rsidRPr="001B1793" w:rsidP="00C001C3" w14:paraId="15B9EA87" w14:textId="77777777">
            <w:pPr>
              <w:jc w:val="center"/>
              <w:rPr>
                <w:color w:val="000000"/>
              </w:rPr>
            </w:pPr>
            <w:r w:rsidRPr="001B1793">
              <w:rPr>
                <w:color w:val="000000"/>
              </w:rPr>
              <w:t>5,125</w:t>
            </w:r>
          </w:p>
        </w:tc>
        <w:tc>
          <w:tcPr>
            <w:tcW w:w="1160" w:type="dxa"/>
            <w:shd w:val="clear" w:color="auto" w:fill="auto"/>
            <w:vAlign w:val="center"/>
            <w:hideMark/>
          </w:tcPr>
          <w:p w:rsidR="00582BF4" w:rsidRPr="001B1793" w:rsidP="00C001C3" w14:paraId="1866F039" w14:textId="77777777">
            <w:pPr>
              <w:jc w:val="center"/>
              <w:rPr>
                <w:color w:val="000000"/>
              </w:rPr>
            </w:pPr>
            <w:r w:rsidRPr="001B1793">
              <w:rPr>
                <w:color w:val="000000"/>
              </w:rPr>
              <w:t>$34.23</w:t>
            </w:r>
          </w:p>
        </w:tc>
        <w:tc>
          <w:tcPr>
            <w:tcW w:w="1270" w:type="dxa"/>
            <w:shd w:val="clear" w:color="auto" w:fill="auto"/>
            <w:vAlign w:val="center"/>
            <w:hideMark/>
          </w:tcPr>
          <w:p w:rsidR="00582BF4" w:rsidRPr="001B1793" w:rsidP="00C001C3" w14:paraId="401A7082" w14:textId="77777777">
            <w:pPr>
              <w:jc w:val="center"/>
              <w:rPr>
                <w:color w:val="000000"/>
              </w:rPr>
            </w:pPr>
            <w:r w:rsidRPr="001B1793">
              <w:rPr>
                <w:color w:val="000000"/>
              </w:rPr>
              <w:t>$176,454</w:t>
            </w:r>
          </w:p>
        </w:tc>
      </w:tr>
      <w:tr w14:paraId="05A6388D" w14:textId="77777777" w:rsidTr="00C001C3">
        <w:tblPrEx>
          <w:tblW w:w="10530" w:type="dxa"/>
          <w:tblLayout w:type="fixed"/>
          <w:tblLook w:val="04A0"/>
        </w:tblPrEx>
        <w:trPr>
          <w:trHeight w:val="315"/>
        </w:trPr>
        <w:tc>
          <w:tcPr>
            <w:tcW w:w="1620" w:type="dxa"/>
            <w:shd w:val="clear" w:color="auto" w:fill="DBDBDB" w:themeFill="accent3" w:themeFillTint="66"/>
            <w:vAlign w:val="center"/>
            <w:hideMark/>
          </w:tcPr>
          <w:p w:rsidR="00582BF4" w:rsidRPr="001B1793" w:rsidP="00C001C3" w14:paraId="28859563" w14:textId="77777777">
            <w:pPr>
              <w:rPr>
                <w:b/>
                <w:bCs/>
                <w:color w:val="000000"/>
              </w:rPr>
            </w:pPr>
            <w:r w:rsidRPr="001B1793">
              <w:rPr>
                <w:b/>
                <w:bCs/>
                <w:color w:val="000000"/>
              </w:rPr>
              <w:t>Subtotal Calibration</w:t>
            </w:r>
          </w:p>
        </w:tc>
        <w:tc>
          <w:tcPr>
            <w:tcW w:w="1350" w:type="dxa"/>
            <w:shd w:val="clear" w:color="auto" w:fill="DBDBDB" w:themeFill="accent3" w:themeFillTint="66"/>
            <w:vAlign w:val="center"/>
            <w:hideMark/>
          </w:tcPr>
          <w:p w:rsidR="00582BF4" w:rsidRPr="001B1793" w:rsidP="00C001C3" w14:paraId="27C0D0CE" w14:textId="77777777">
            <w:pPr>
              <w:jc w:val="center"/>
              <w:rPr>
                <w:b/>
                <w:color w:val="000000"/>
              </w:rPr>
            </w:pPr>
            <w:r w:rsidRPr="001B1793">
              <w:rPr>
                <w:b/>
                <w:color w:val="000000"/>
              </w:rPr>
              <w:t>452</w:t>
            </w:r>
          </w:p>
        </w:tc>
        <w:tc>
          <w:tcPr>
            <w:tcW w:w="1260" w:type="dxa"/>
            <w:shd w:val="clear" w:color="auto" w:fill="DBDBDB" w:themeFill="accent3" w:themeFillTint="66"/>
            <w:vAlign w:val="center"/>
            <w:hideMark/>
          </w:tcPr>
          <w:p w:rsidR="00582BF4" w:rsidRPr="001B1793" w:rsidP="00C001C3" w14:paraId="2B174082" w14:textId="77777777">
            <w:pPr>
              <w:jc w:val="center"/>
              <w:rPr>
                <w:b/>
                <w:color w:val="000000"/>
              </w:rPr>
            </w:pPr>
            <w:r w:rsidRPr="001B1793">
              <w:rPr>
                <w:b/>
                <w:color w:val="000000"/>
              </w:rPr>
              <w:t>-</w:t>
            </w:r>
          </w:p>
        </w:tc>
        <w:tc>
          <w:tcPr>
            <w:tcW w:w="1170" w:type="dxa"/>
            <w:shd w:val="clear" w:color="auto" w:fill="DBDBDB" w:themeFill="accent3" w:themeFillTint="66"/>
            <w:vAlign w:val="center"/>
            <w:hideMark/>
          </w:tcPr>
          <w:p w:rsidR="00582BF4" w:rsidRPr="001B1793" w:rsidP="00C001C3" w14:paraId="3612949E" w14:textId="77777777">
            <w:pPr>
              <w:jc w:val="center"/>
              <w:rPr>
                <w:b/>
                <w:color w:val="000000"/>
              </w:rPr>
            </w:pPr>
            <w:r w:rsidRPr="001B1793">
              <w:rPr>
                <w:b/>
                <w:color w:val="000000"/>
              </w:rPr>
              <w:t>472,750</w:t>
            </w:r>
          </w:p>
        </w:tc>
        <w:tc>
          <w:tcPr>
            <w:tcW w:w="1440" w:type="dxa"/>
            <w:shd w:val="clear" w:color="auto" w:fill="DBDBDB" w:themeFill="accent3" w:themeFillTint="66"/>
            <w:vAlign w:val="center"/>
            <w:hideMark/>
          </w:tcPr>
          <w:p w:rsidR="00582BF4" w:rsidRPr="001B1793" w:rsidP="00C001C3" w14:paraId="01DC3FA1" w14:textId="77777777">
            <w:pPr>
              <w:jc w:val="center"/>
              <w:rPr>
                <w:b/>
                <w:color w:val="000000"/>
              </w:rPr>
            </w:pPr>
            <w:r w:rsidRPr="001B1793">
              <w:rPr>
                <w:b/>
                <w:color w:val="000000"/>
              </w:rPr>
              <w:t>5/60</w:t>
            </w:r>
          </w:p>
        </w:tc>
        <w:tc>
          <w:tcPr>
            <w:tcW w:w="1260" w:type="dxa"/>
            <w:shd w:val="clear" w:color="auto" w:fill="DBDBDB" w:themeFill="accent3" w:themeFillTint="66"/>
            <w:vAlign w:val="center"/>
            <w:hideMark/>
          </w:tcPr>
          <w:p w:rsidR="00582BF4" w:rsidRPr="001B1793" w:rsidP="00C001C3" w14:paraId="7981A8E0" w14:textId="77777777">
            <w:pPr>
              <w:jc w:val="center"/>
              <w:rPr>
                <w:b/>
                <w:color w:val="000000"/>
              </w:rPr>
            </w:pPr>
            <w:r w:rsidRPr="001B1793">
              <w:rPr>
                <w:b/>
                <w:color w:val="000000"/>
              </w:rPr>
              <w:t>39,396</w:t>
            </w:r>
          </w:p>
        </w:tc>
        <w:tc>
          <w:tcPr>
            <w:tcW w:w="1160" w:type="dxa"/>
            <w:shd w:val="clear" w:color="auto" w:fill="DBDBDB" w:themeFill="accent3" w:themeFillTint="66"/>
            <w:vAlign w:val="center"/>
            <w:hideMark/>
          </w:tcPr>
          <w:p w:rsidR="00582BF4" w:rsidRPr="001B1793" w:rsidP="00C001C3" w14:paraId="7E388BB7" w14:textId="77777777">
            <w:pPr>
              <w:jc w:val="center"/>
              <w:rPr>
                <w:b/>
                <w:color w:val="000000"/>
              </w:rPr>
            </w:pPr>
            <w:r w:rsidRPr="001B1793">
              <w:rPr>
                <w:b/>
                <w:color w:val="000000"/>
              </w:rPr>
              <w:t>$34.43</w:t>
            </w:r>
          </w:p>
        </w:tc>
        <w:tc>
          <w:tcPr>
            <w:tcW w:w="1270" w:type="dxa"/>
            <w:shd w:val="clear" w:color="auto" w:fill="DBDBDB" w:themeFill="accent3" w:themeFillTint="66"/>
            <w:vAlign w:val="center"/>
            <w:hideMark/>
          </w:tcPr>
          <w:p w:rsidR="00582BF4" w:rsidRPr="001B1793" w:rsidP="00C001C3" w14:paraId="5A54E370" w14:textId="77777777">
            <w:pPr>
              <w:jc w:val="center"/>
              <w:rPr>
                <w:b/>
                <w:color w:val="000000"/>
              </w:rPr>
            </w:pPr>
            <w:r w:rsidRPr="001B1793">
              <w:rPr>
                <w:b/>
                <w:color w:val="000000"/>
              </w:rPr>
              <w:t>$1,127,514</w:t>
            </w:r>
          </w:p>
        </w:tc>
      </w:tr>
      <w:tr w14:paraId="59E2A06A" w14:textId="77777777" w:rsidTr="00C001C3">
        <w:tblPrEx>
          <w:tblW w:w="10530" w:type="dxa"/>
          <w:tblLayout w:type="fixed"/>
          <w:tblLook w:val="04A0"/>
        </w:tblPrEx>
        <w:trPr>
          <w:trHeight w:val="315"/>
        </w:trPr>
        <w:tc>
          <w:tcPr>
            <w:tcW w:w="1620" w:type="dxa"/>
            <w:shd w:val="clear" w:color="auto" w:fill="DBDBDB" w:themeFill="accent3" w:themeFillTint="66"/>
            <w:vAlign w:val="center"/>
            <w:hideMark/>
          </w:tcPr>
          <w:p w:rsidR="00582BF4" w:rsidRPr="001B1793" w:rsidP="00C001C3" w14:paraId="54D42C2C" w14:textId="77777777">
            <w:pPr>
              <w:rPr>
                <w:b/>
                <w:bCs/>
                <w:color w:val="000000"/>
              </w:rPr>
            </w:pPr>
            <w:r w:rsidRPr="001B1793">
              <w:rPr>
                <w:b/>
                <w:bCs/>
                <w:color w:val="000000"/>
              </w:rPr>
              <w:t>Grand Total Calibration</w:t>
            </w:r>
          </w:p>
        </w:tc>
        <w:tc>
          <w:tcPr>
            <w:tcW w:w="1350" w:type="dxa"/>
            <w:shd w:val="clear" w:color="auto" w:fill="DBDBDB" w:themeFill="accent3" w:themeFillTint="66"/>
            <w:vAlign w:val="center"/>
            <w:hideMark/>
          </w:tcPr>
          <w:p w:rsidR="00582BF4" w:rsidRPr="001B1793" w:rsidP="00C001C3" w14:paraId="6AAF819A" w14:textId="77777777">
            <w:pPr>
              <w:jc w:val="center"/>
              <w:rPr>
                <w:b/>
                <w:color w:val="000000"/>
              </w:rPr>
            </w:pPr>
          </w:p>
        </w:tc>
        <w:tc>
          <w:tcPr>
            <w:tcW w:w="1260" w:type="dxa"/>
            <w:shd w:val="clear" w:color="auto" w:fill="DBDBDB" w:themeFill="accent3" w:themeFillTint="66"/>
            <w:vAlign w:val="center"/>
            <w:hideMark/>
          </w:tcPr>
          <w:p w:rsidR="00582BF4" w:rsidRPr="001B1793" w:rsidP="00C001C3" w14:paraId="6A0BE72E" w14:textId="77777777">
            <w:pPr>
              <w:jc w:val="center"/>
              <w:rPr>
                <w:b/>
                <w:color w:val="000000"/>
              </w:rPr>
            </w:pPr>
            <w:r w:rsidRPr="001B1793">
              <w:rPr>
                <w:b/>
                <w:color w:val="000000"/>
              </w:rPr>
              <w:t>-</w:t>
            </w:r>
          </w:p>
        </w:tc>
        <w:tc>
          <w:tcPr>
            <w:tcW w:w="1170" w:type="dxa"/>
            <w:shd w:val="clear" w:color="auto" w:fill="DBDBDB" w:themeFill="accent3" w:themeFillTint="66"/>
            <w:vAlign w:val="center"/>
            <w:hideMark/>
          </w:tcPr>
          <w:p w:rsidR="00582BF4" w:rsidRPr="001B1793" w:rsidP="00C001C3" w14:paraId="65B0C1AD" w14:textId="77777777">
            <w:pPr>
              <w:jc w:val="center"/>
              <w:rPr>
                <w:b/>
                <w:color w:val="000000"/>
              </w:rPr>
            </w:pPr>
            <w:r w:rsidRPr="001B1793">
              <w:rPr>
                <w:b/>
                <w:color w:val="000000"/>
              </w:rPr>
              <w:t>599,250</w:t>
            </w:r>
          </w:p>
        </w:tc>
        <w:tc>
          <w:tcPr>
            <w:tcW w:w="1440" w:type="dxa"/>
            <w:shd w:val="clear" w:color="auto" w:fill="DBDBDB" w:themeFill="accent3" w:themeFillTint="66"/>
            <w:vAlign w:val="center"/>
            <w:hideMark/>
          </w:tcPr>
          <w:p w:rsidR="00582BF4" w:rsidRPr="001B1793" w:rsidP="00C001C3" w14:paraId="4902EE40" w14:textId="77777777">
            <w:pPr>
              <w:jc w:val="center"/>
              <w:rPr>
                <w:b/>
                <w:color w:val="000000"/>
              </w:rPr>
            </w:pPr>
            <w:r w:rsidRPr="001B1793">
              <w:rPr>
                <w:b/>
                <w:color w:val="000000"/>
              </w:rPr>
              <w:t>-</w:t>
            </w:r>
          </w:p>
        </w:tc>
        <w:tc>
          <w:tcPr>
            <w:tcW w:w="1260" w:type="dxa"/>
            <w:shd w:val="clear" w:color="auto" w:fill="DBDBDB" w:themeFill="accent3" w:themeFillTint="66"/>
            <w:vAlign w:val="center"/>
            <w:hideMark/>
          </w:tcPr>
          <w:p w:rsidR="00582BF4" w:rsidRPr="001B1793" w:rsidP="00C001C3" w14:paraId="107AF661" w14:textId="77777777">
            <w:pPr>
              <w:jc w:val="center"/>
              <w:rPr>
                <w:b/>
                <w:color w:val="000000"/>
              </w:rPr>
            </w:pPr>
            <w:r w:rsidRPr="001B1793">
              <w:rPr>
                <w:b/>
                <w:color w:val="000000"/>
              </w:rPr>
              <w:t>60,479</w:t>
            </w:r>
          </w:p>
        </w:tc>
        <w:tc>
          <w:tcPr>
            <w:tcW w:w="1160" w:type="dxa"/>
            <w:shd w:val="clear" w:color="auto" w:fill="DBDBDB" w:themeFill="accent3" w:themeFillTint="66"/>
            <w:vAlign w:val="center"/>
            <w:hideMark/>
          </w:tcPr>
          <w:p w:rsidR="00582BF4" w:rsidRPr="001B1793" w:rsidP="00C001C3" w14:paraId="584A94A5" w14:textId="77777777">
            <w:pPr>
              <w:jc w:val="center"/>
              <w:rPr>
                <w:b/>
                <w:color w:val="000000"/>
              </w:rPr>
            </w:pPr>
            <w:r w:rsidRPr="001B1793">
              <w:rPr>
                <w:b/>
                <w:color w:val="000000"/>
              </w:rPr>
              <w:t>$34.43</w:t>
            </w:r>
          </w:p>
        </w:tc>
        <w:tc>
          <w:tcPr>
            <w:tcW w:w="1270" w:type="dxa"/>
            <w:shd w:val="clear" w:color="auto" w:fill="DBDBDB" w:themeFill="accent3" w:themeFillTint="66"/>
            <w:vAlign w:val="center"/>
            <w:hideMark/>
          </w:tcPr>
          <w:p w:rsidR="00582BF4" w:rsidRPr="001B1793" w:rsidP="00C001C3" w14:paraId="40355AA1" w14:textId="77777777">
            <w:pPr>
              <w:jc w:val="center"/>
              <w:rPr>
                <w:b/>
                <w:color w:val="000000"/>
              </w:rPr>
            </w:pPr>
            <w:r w:rsidRPr="00416217">
              <w:rPr>
                <w:rFonts w:eastAsia="Calibri"/>
                <w:b/>
              </w:rPr>
              <w:t>$2,082,293</w:t>
            </w:r>
          </w:p>
        </w:tc>
      </w:tr>
      <w:tr w14:paraId="059C9D03" w14:textId="77777777" w:rsidTr="00C001C3">
        <w:tblPrEx>
          <w:tblW w:w="10530" w:type="dxa"/>
          <w:tblLayout w:type="fixed"/>
          <w:tblLook w:val="04A0"/>
        </w:tblPrEx>
        <w:trPr>
          <w:trHeight w:val="315"/>
        </w:trPr>
        <w:tc>
          <w:tcPr>
            <w:tcW w:w="1620" w:type="dxa"/>
            <w:shd w:val="clear" w:color="auto" w:fill="auto"/>
            <w:vAlign w:val="center"/>
          </w:tcPr>
          <w:p w:rsidR="00582BF4" w:rsidRPr="001B1793" w:rsidP="00C001C3" w14:paraId="6630D8C0" w14:textId="77777777">
            <w:pPr>
              <w:rPr>
                <w:b/>
                <w:bCs/>
                <w:color w:val="000000"/>
              </w:rPr>
            </w:pPr>
          </w:p>
        </w:tc>
        <w:tc>
          <w:tcPr>
            <w:tcW w:w="1350" w:type="dxa"/>
            <w:shd w:val="clear" w:color="auto" w:fill="auto"/>
            <w:vAlign w:val="center"/>
          </w:tcPr>
          <w:p w:rsidR="00582BF4" w:rsidRPr="001B1793" w:rsidP="00C001C3" w14:paraId="7AF81A35" w14:textId="77777777">
            <w:pPr>
              <w:jc w:val="center"/>
              <w:rPr>
                <w:color w:val="000000"/>
              </w:rPr>
            </w:pPr>
          </w:p>
        </w:tc>
        <w:tc>
          <w:tcPr>
            <w:tcW w:w="1260" w:type="dxa"/>
            <w:shd w:val="clear" w:color="auto" w:fill="auto"/>
            <w:vAlign w:val="center"/>
          </w:tcPr>
          <w:p w:rsidR="00582BF4" w:rsidRPr="001B1793" w:rsidP="00C001C3" w14:paraId="1B126901" w14:textId="77777777">
            <w:pPr>
              <w:jc w:val="center"/>
              <w:rPr>
                <w:color w:val="000000"/>
              </w:rPr>
            </w:pPr>
          </w:p>
        </w:tc>
        <w:tc>
          <w:tcPr>
            <w:tcW w:w="1170" w:type="dxa"/>
            <w:shd w:val="clear" w:color="auto" w:fill="auto"/>
            <w:vAlign w:val="center"/>
          </w:tcPr>
          <w:p w:rsidR="00582BF4" w:rsidRPr="001B1793" w:rsidP="00C001C3" w14:paraId="2C5307AF" w14:textId="77777777">
            <w:pPr>
              <w:jc w:val="center"/>
              <w:rPr>
                <w:color w:val="000000"/>
              </w:rPr>
            </w:pPr>
          </w:p>
        </w:tc>
        <w:tc>
          <w:tcPr>
            <w:tcW w:w="1440" w:type="dxa"/>
            <w:shd w:val="clear" w:color="auto" w:fill="auto"/>
            <w:vAlign w:val="center"/>
          </w:tcPr>
          <w:p w:rsidR="00582BF4" w:rsidRPr="001B1793" w:rsidP="00C001C3" w14:paraId="085A8085" w14:textId="77777777">
            <w:pPr>
              <w:jc w:val="center"/>
              <w:rPr>
                <w:color w:val="000000"/>
              </w:rPr>
            </w:pPr>
            <w:r w:rsidRPr="001B1793">
              <w:rPr>
                <w:color w:val="000000"/>
              </w:rPr>
              <w:t> </w:t>
            </w:r>
          </w:p>
        </w:tc>
        <w:tc>
          <w:tcPr>
            <w:tcW w:w="1260" w:type="dxa"/>
            <w:shd w:val="clear" w:color="auto" w:fill="auto"/>
            <w:vAlign w:val="center"/>
          </w:tcPr>
          <w:p w:rsidR="00582BF4" w:rsidRPr="001B1793" w:rsidP="00C001C3" w14:paraId="13012DC9" w14:textId="77777777">
            <w:pPr>
              <w:jc w:val="center"/>
              <w:rPr>
                <w:color w:val="000000"/>
              </w:rPr>
            </w:pPr>
          </w:p>
        </w:tc>
        <w:tc>
          <w:tcPr>
            <w:tcW w:w="1160" w:type="dxa"/>
            <w:shd w:val="clear" w:color="auto" w:fill="auto"/>
            <w:vAlign w:val="center"/>
          </w:tcPr>
          <w:p w:rsidR="00582BF4" w:rsidRPr="001B1793" w:rsidP="00C001C3" w14:paraId="2F4625BA" w14:textId="77777777">
            <w:pPr>
              <w:jc w:val="center"/>
              <w:rPr>
                <w:color w:val="000000"/>
              </w:rPr>
            </w:pPr>
          </w:p>
        </w:tc>
        <w:tc>
          <w:tcPr>
            <w:tcW w:w="1270" w:type="dxa"/>
            <w:shd w:val="clear" w:color="auto" w:fill="auto"/>
            <w:vAlign w:val="center"/>
          </w:tcPr>
          <w:p w:rsidR="00582BF4" w:rsidRPr="001B1793" w:rsidP="00C001C3" w14:paraId="312222C5" w14:textId="77777777">
            <w:pPr>
              <w:jc w:val="center"/>
              <w:rPr>
                <w:color w:val="000000"/>
              </w:rPr>
            </w:pPr>
          </w:p>
        </w:tc>
      </w:tr>
      <w:tr w14:paraId="10CAE448" w14:textId="77777777" w:rsidTr="00C001C3">
        <w:tblPrEx>
          <w:tblW w:w="10530" w:type="dxa"/>
          <w:tblLayout w:type="fixed"/>
          <w:tblLook w:val="04A0"/>
        </w:tblPrEx>
        <w:trPr>
          <w:trHeight w:val="780"/>
        </w:trPr>
        <w:tc>
          <w:tcPr>
            <w:tcW w:w="1620" w:type="dxa"/>
            <w:shd w:val="clear" w:color="auto" w:fill="EDEDED" w:themeFill="accent3" w:themeFillTint="33"/>
            <w:vAlign w:val="center"/>
            <w:hideMark/>
          </w:tcPr>
          <w:p w:rsidR="00582BF4" w:rsidRPr="001B1793" w:rsidP="00C001C3" w14:paraId="64402D77" w14:textId="77777777">
            <w:pPr>
              <w:rPr>
                <w:b/>
                <w:bCs/>
                <w:color w:val="000000"/>
              </w:rPr>
            </w:pPr>
            <w:r w:rsidRPr="001B1793">
              <w:rPr>
                <w:b/>
                <w:bCs/>
                <w:color w:val="000000"/>
              </w:rPr>
              <w:t>(D) Maintaining Check-In/Check-Out Procedures ((§1926.800(c))</w:t>
            </w:r>
          </w:p>
        </w:tc>
        <w:tc>
          <w:tcPr>
            <w:tcW w:w="1350" w:type="dxa"/>
            <w:shd w:val="clear" w:color="auto" w:fill="EDEDED" w:themeFill="accent3" w:themeFillTint="33"/>
            <w:vAlign w:val="center"/>
            <w:hideMark/>
          </w:tcPr>
          <w:p w:rsidR="00582BF4" w:rsidRPr="001B1793" w:rsidP="00C001C3" w14:paraId="0D1D22F9" w14:textId="77777777">
            <w:pPr>
              <w:jc w:val="center"/>
              <w:rPr>
                <w:b/>
                <w:bCs/>
                <w:color w:val="000000"/>
              </w:rPr>
            </w:pPr>
            <w:r w:rsidRPr="001B1793">
              <w:rPr>
                <w:b/>
                <w:bCs/>
                <w:color w:val="000000"/>
              </w:rPr>
              <w:t>461</w:t>
            </w:r>
          </w:p>
        </w:tc>
        <w:tc>
          <w:tcPr>
            <w:tcW w:w="1260" w:type="dxa"/>
            <w:shd w:val="clear" w:color="auto" w:fill="EDEDED" w:themeFill="accent3" w:themeFillTint="33"/>
            <w:vAlign w:val="center"/>
            <w:hideMark/>
          </w:tcPr>
          <w:p w:rsidR="00582BF4" w:rsidRPr="001B1793" w:rsidP="00C001C3" w14:paraId="31D35DC9" w14:textId="77777777">
            <w:pPr>
              <w:jc w:val="center"/>
              <w:rPr>
                <w:b/>
                <w:bCs/>
                <w:color w:val="000000"/>
              </w:rPr>
            </w:pPr>
            <w:r w:rsidRPr="001B1793">
              <w:rPr>
                <w:b/>
                <w:bCs/>
                <w:color w:val="000000"/>
              </w:rPr>
              <w:t>1</w:t>
            </w:r>
          </w:p>
        </w:tc>
        <w:tc>
          <w:tcPr>
            <w:tcW w:w="1170" w:type="dxa"/>
            <w:shd w:val="clear" w:color="auto" w:fill="EDEDED" w:themeFill="accent3" w:themeFillTint="33"/>
            <w:vAlign w:val="center"/>
            <w:hideMark/>
          </w:tcPr>
          <w:p w:rsidR="00582BF4" w:rsidRPr="001B1793" w:rsidP="00C001C3" w14:paraId="14C1ABC2" w14:textId="77777777">
            <w:pPr>
              <w:jc w:val="center"/>
              <w:rPr>
                <w:b/>
                <w:bCs/>
                <w:color w:val="000000"/>
              </w:rPr>
            </w:pPr>
            <w:r w:rsidRPr="001B1793">
              <w:rPr>
                <w:b/>
                <w:bCs/>
                <w:color w:val="000000"/>
              </w:rPr>
              <w:t>461</w:t>
            </w:r>
          </w:p>
        </w:tc>
        <w:tc>
          <w:tcPr>
            <w:tcW w:w="1440" w:type="dxa"/>
            <w:shd w:val="clear" w:color="auto" w:fill="EDEDED" w:themeFill="accent3" w:themeFillTint="33"/>
            <w:vAlign w:val="center"/>
            <w:hideMark/>
          </w:tcPr>
          <w:p w:rsidR="00582BF4" w:rsidRPr="001B1793" w:rsidP="00C001C3" w14:paraId="64E6ECBE" w14:textId="77777777">
            <w:pPr>
              <w:jc w:val="center"/>
              <w:rPr>
                <w:b/>
                <w:bCs/>
                <w:color w:val="000000"/>
              </w:rPr>
            </w:pPr>
            <w:r w:rsidRPr="001B1793">
              <w:rPr>
                <w:b/>
                <w:bCs/>
                <w:color w:val="000000"/>
              </w:rPr>
              <w:t>2/60</w:t>
            </w:r>
          </w:p>
        </w:tc>
        <w:tc>
          <w:tcPr>
            <w:tcW w:w="1260" w:type="dxa"/>
            <w:shd w:val="clear" w:color="auto" w:fill="EDEDED" w:themeFill="accent3" w:themeFillTint="33"/>
            <w:vAlign w:val="center"/>
            <w:hideMark/>
          </w:tcPr>
          <w:p w:rsidR="00582BF4" w:rsidRPr="001B1793" w:rsidP="00C001C3" w14:paraId="0A1528DE" w14:textId="77777777">
            <w:pPr>
              <w:jc w:val="center"/>
              <w:rPr>
                <w:b/>
                <w:bCs/>
                <w:color w:val="000000"/>
              </w:rPr>
            </w:pPr>
            <w:r w:rsidRPr="001B1793">
              <w:rPr>
                <w:b/>
                <w:bCs/>
                <w:color w:val="000000"/>
              </w:rPr>
              <w:t>15</w:t>
            </w:r>
          </w:p>
        </w:tc>
        <w:tc>
          <w:tcPr>
            <w:tcW w:w="1160" w:type="dxa"/>
            <w:shd w:val="clear" w:color="auto" w:fill="EDEDED" w:themeFill="accent3" w:themeFillTint="33"/>
            <w:vAlign w:val="center"/>
            <w:hideMark/>
          </w:tcPr>
          <w:p w:rsidR="00582BF4" w:rsidRPr="001B1793" w:rsidP="00C001C3" w14:paraId="68CD7914" w14:textId="77777777">
            <w:pPr>
              <w:jc w:val="center"/>
              <w:rPr>
                <w:b/>
                <w:bCs/>
                <w:color w:val="000000"/>
              </w:rPr>
            </w:pPr>
            <w:r w:rsidRPr="001B1793">
              <w:rPr>
                <w:b/>
                <w:bCs/>
                <w:color w:val="000000"/>
              </w:rPr>
              <w:t xml:space="preserve">$34.43 </w:t>
            </w:r>
          </w:p>
        </w:tc>
        <w:tc>
          <w:tcPr>
            <w:tcW w:w="1270" w:type="dxa"/>
            <w:shd w:val="clear" w:color="auto" w:fill="EDEDED" w:themeFill="accent3" w:themeFillTint="33"/>
            <w:vAlign w:val="center"/>
            <w:hideMark/>
          </w:tcPr>
          <w:p w:rsidR="00582BF4" w:rsidRPr="001B1793" w:rsidP="00C001C3" w14:paraId="2DAAE974" w14:textId="77777777">
            <w:pPr>
              <w:jc w:val="center"/>
              <w:rPr>
                <w:b/>
                <w:bCs/>
                <w:color w:val="000000"/>
              </w:rPr>
            </w:pPr>
            <w:r w:rsidRPr="001B1793">
              <w:rPr>
                <w:b/>
                <w:bCs/>
                <w:color w:val="000000"/>
              </w:rPr>
              <w:t>$516</w:t>
            </w:r>
          </w:p>
        </w:tc>
      </w:tr>
      <w:tr w14:paraId="2DC1074E" w14:textId="77777777" w:rsidTr="00C001C3">
        <w:tblPrEx>
          <w:tblW w:w="10530" w:type="dxa"/>
          <w:tblLayout w:type="fixed"/>
          <w:tblLook w:val="04A0"/>
        </w:tblPrEx>
        <w:trPr>
          <w:trHeight w:val="315"/>
        </w:trPr>
        <w:tc>
          <w:tcPr>
            <w:tcW w:w="1620" w:type="dxa"/>
            <w:shd w:val="clear" w:color="auto" w:fill="auto"/>
            <w:vAlign w:val="center"/>
          </w:tcPr>
          <w:p w:rsidR="00582BF4" w:rsidRPr="00D23214" w:rsidP="00C001C3" w14:paraId="52A4492A" w14:textId="77777777">
            <w:pPr>
              <w:rPr>
                <w:b/>
                <w:bCs/>
                <w:color w:val="000000"/>
              </w:rPr>
            </w:pPr>
          </w:p>
        </w:tc>
        <w:tc>
          <w:tcPr>
            <w:tcW w:w="1350" w:type="dxa"/>
            <w:shd w:val="clear" w:color="auto" w:fill="auto"/>
            <w:vAlign w:val="center"/>
          </w:tcPr>
          <w:p w:rsidR="00582BF4" w:rsidRPr="00D23214" w:rsidP="00C001C3" w14:paraId="0397B424" w14:textId="77777777">
            <w:pPr>
              <w:jc w:val="center"/>
              <w:rPr>
                <w:color w:val="000000"/>
              </w:rPr>
            </w:pPr>
          </w:p>
        </w:tc>
        <w:tc>
          <w:tcPr>
            <w:tcW w:w="1260" w:type="dxa"/>
            <w:shd w:val="clear" w:color="auto" w:fill="auto"/>
            <w:vAlign w:val="center"/>
          </w:tcPr>
          <w:p w:rsidR="00582BF4" w:rsidRPr="00D23214" w:rsidP="00C001C3" w14:paraId="6DE6816C" w14:textId="77777777">
            <w:pPr>
              <w:jc w:val="center"/>
              <w:rPr>
                <w:color w:val="000000"/>
              </w:rPr>
            </w:pPr>
          </w:p>
        </w:tc>
        <w:tc>
          <w:tcPr>
            <w:tcW w:w="1170" w:type="dxa"/>
            <w:shd w:val="clear" w:color="auto" w:fill="auto"/>
            <w:vAlign w:val="center"/>
          </w:tcPr>
          <w:p w:rsidR="00582BF4" w:rsidRPr="00D23214" w:rsidP="00C001C3" w14:paraId="3EFFFCDA" w14:textId="77777777">
            <w:pPr>
              <w:jc w:val="center"/>
              <w:rPr>
                <w:color w:val="000000"/>
              </w:rPr>
            </w:pPr>
          </w:p>
        </w:tc>
        <w:tc>
          <w:tcPr>
            <w:tcW w:w="1440" w:type="dxa"/>
            <w:shd w:val="clear" w:color="auto" w:fill="auto"/>
            <w:vAlign w:val="center"/>
          </w:tcPr>
          <w:p w:rsidR="00582BF4" w:rsidRPr="00D23214" w:rsidP="00C001C3" w14:paraId="7D941155" w14:textId="77777777">
            <w:pPr>
              <w:jc w:val="center"/>
              <w:rPr>
                <w:color w:val="000000"/>
              </w:rPr>
            </w:pPr>
            <w:r w:rsidRPr="00D23214">
              <w:rPr>
                <w:color w:val="000000"/>
              </w:rPr>
              <w:t> </w:t>
            </w:r>
          </w:p>
        </w:tc>
        <w:tc>
          <w:tcPr>
            <w:tcW w:w="1260" w:type="dxa"/>
            <w:shd w:val="clear" w:color="auto" w:fill="auto"/>
            <w:vAlign w:val="center"/>
          </w:tcPr>
          <w:p w:rsidR="00582BF4" w:rsidRPr="00D23214" w:rsidP="00C001C3" w14:paraId="3469D76D" w14:textId="77777777">
            <w:pPr>
              <w:jc w:val="center"/>
              <w:rPr>
                <w:color w:val="000000"/>
              </w:rPr>
            </w:pPr>
          </w:p>
        </w:tc>
        <w:tc>
          <w:tcPr>
            <w:tcW w:w="1160" w:type="dxa"/>
            <w:shd w:val="clear" w:color="auto" w:fill="auto"/>
            <w:vAlign w:val="center"/>
          </w:tcPr>
          <w:p w:rsidR="00582BF4" w:rsidRPr="00D23214" w:rsidP="00C001C3" w14:paraId="5B7A39A7" w14:textId="77777777">
            <w:pPr>
              <w:jc w:val="center"/>
              <w:rPr>
                <w:color w:val="000000"/>
              </w:rPr>
            </w:pPr>
          </w:p>
        </w:tc>
        <w:tc>
          <w:tcPr>
            <w:tcW w:w="1270" w:type="dxa"/>
            <w:shd w:val="clear" w:color="auto" w:fill="auto"/>
            <w:vAlign w:val="center"/>
          </w:tcPr>
          <w:p w:rsidR="00582BF4" w:rsidRPr="00D23214" w:rsidP="00C001C3" w14:paraId="7B029953" w14:textId="77777777">
            <w:pPr>
              <w:jc w:val="center"/>
              <w:rPr>
                <w:color w:val="000000"/>
              </w:rPr>
            </w:pPr>
          </w:p>
        </w:tc>
      </w:tr>
      <w:tr w14:paraId="61569A20" w14:textId="77777777" w:rsidTr="00C001C3">
        <w:tblPrEx>
          <w:tblW w:w="10530" w:type="dxa"/>
          <w:tblLayout w:type="fixed"/>
          <w:tblLook w:val="04A0"/>
        </w:tblPrEx>
        <w:trPr>
          <w:trHeight w:val="315"/>
        </w:trPr>
        <w:tc>
          <w:tcPr>
            <w:tcW w:w="1620" w:type="dxa"/>
            <w:shd w:val="clear" w:color="auto" w:fill="DBDBDB" w:themeFill="accent3" w:themeFillTint="66"/>
            <w:vAlign w:val="center"/>
            <w:hideMark/>
          </w:tcPr>
          <w:p w:rsidR="00582BF4" w:rsidRPr="00D23214" w:rsidP="00C001C3" w14:paraId="61420271" w14:textId="77777777">
            <w:pPr>
              <w:rPr>
                <w:b/>
                <w:bCs/>
                <w:color w:val="000000"/>
              </w:rPr>
            </w:pPr>
            <w:r w:rsidRPr="00D23214">
              <w:rPr>
                <w:b/>
                <w:bCs/>
                <w:color w:val="000000"/>
              </w:rPr>
              <w:t>Duplicated</w:t>
            </w:r>
          </w:p>
          <w:p w:rsidR="00582BF4" w:rsidRPr="00D23214" w:rsidP="00C001C3" w14:paraId="3C64915A" w14:textId="77777777">
            <w:pPr>
              <w:rPr>
                <w:b/>
                <w:bCs/>
                <w:color w:val="000000"/>
              </w:rPr>
            </w:pPr>
            <w:r w:rsidRPr="00D23214">
              <w:rPr>
                <w:b/>
                <w:bCs/>
                <w:color w:val="000000"/>
              </w:rPr>
              <w:t>Total</w:t>
            </w:r>
          </w:p>
        </w:tc>
        <w:tc>
          <w:tcPr>
            <w:tcW w:w="1350" w:type="dxa"/>
            <w:shd w:val="clear" w:color="auto" w:fill="DBDBDB" w:themeFill="accent3" w:themeFillTint="66"/>
            <w:vAlign w:val="center"/>
            <w:hideMark/>
          </w:tcPr>
          <w:p w:rsidR="00582BF4" w:rsidRPr="00D23214" w:rsidP="00C001C3" w14:paraId="7928FD89" w14:textId="77777777">
            <w:pPr>
              <w:jc w:val="center"/>
              <w:rPr>
                <w:b/>
                <w:bCs/>
                <w:color w:val="000000"/>
              </w:rPr>
            </w:pPr>
          </w:p>
          <w:p w:rsidR="00582BF4" w:rsidRPr="00D23214" w:rsidP="00C001C3" w14:paraId="34937ACA" w14:textId="77777777">
            <w:pPr>
              <w:jc w:val="center"/>
              <w:rPr>
                <w:b/>
                <w:bCs/>
                <w:color w:val="000000"/>
              </w:rPr>
            </w:pPr>
          </w:p>
          <w:p w:rsidR="00582BF4" w:rsidRPr="00D23214" w:rsidP="00C001C3" w14:paraId="18DA6157" w14:textId="77777777">
            <w:pPr>
              <w:jc w:val="center"/>
              <w:rPr>
                <w:bCs/>
                <w:color w:val="000000"/>
              </w:rPr>
            </w:pPr>
          </w:p>
        </w:tc>
        <w:tc>
          <w:tcPr>
            <w:tcW w:w="1260" w:type="dxa"/>
            <w:shd w:val="clear" w:color="auto" w:fill="DBDBDB" w:themeFill="accent3" w:themeFillTint="66"/>
            <w:vAlign w:val="center"/>
            <w:hideMark/>
          </w:tcPr>
          <w:p w:rsidR="00582BF4" w:rsidRPr="00D23214" w:rsidP="00C001C3" w14:paraId="0CD504CD" w14:textId="77777777">
            <w:pPr>
              <w:jc w:val="center"/>
              <w:rPr>
                <w:b/>
                <w:bCs/>
                <w:color w:val="000000"/>
              </w:rPr>
            </w:pPr>
            <w:r w:rsidRPr="00D23214">
              <w:rPr>
                <w:b/>
                <w:bCs/>
                <w:color w:val="000000"/>
              </w:rPr>
              <w:t> </w:t>
            </w:r>
          </w:p>
        </w:tc>
        <w:tc>
          <w:tcPr>
            <w:tcW w:w="1170" w:type="dxa"/>
            <w:shd w:val="clear" w:color="auto" w:fill="DBDBDB" w:themeFill="accent3" w:themeFillTint="66"/>
            <w:vAlign w:val="center"/>
            <w:hideMark/>
          </w:tcPr>
          <w:p w:rsidR="00582BF4" w:rsidRPr="00D23214" w:rsidP="00C001C3" w14:paraId="6325D6CE" w14:textId="77777777">
            <w:pPr>
              <w:jc w:val="center"/>
              <w:rPr>
                <w:b/>
                <w:bCs/>
                <w:color w:val="000000"/>
              </w:rPr>
            </w:pPr>
            <w:r>
              <w:rPr>
                <w:b/>
                <w:bCs/>
                <w:color w:val="000000"/>
              </w:rPr>
              <w:t>1,172,939</w:t>
            </w:r>
          </w:p>
        </w:tc>
        <w:tc>
          <w:tcPr>
            <w:tcW w:w="1440" w:type="dxa"/>
            <w:shd w:val="clear" w:color="auto" w:fill="DBDBDB" w:themeFill="accent3" w:themeFillTint="66"/>
            <w:vAlign w:val="center"/>
            <w:hideMark/>
          </w:tcPr>
          <w:p w:rsidR="00582BF4" w:rsidRPr="00D23214" w:rsidP="00C001C3" w14:paraId="3DAE8EBA" w14:textId="77777777">
            <w:pPr>
              <w:jc w:val="center"/>
              <w:rPr>
                <w:b/>
                <w:bCs/>
                <w:color w:val="000000"/>
              </w:rPr>
            </w:pPr>
            <w:r w:rsidRPr="00D23214">
              <w:rPr>
                <w:b/>
                <w:bCs/>
                <w:color w:val="000000"/>
              </w:rPr>
              <w:t> </w:t>
            </w:r>
          </w:p>
        </w:tc>
        <w:tc>
          <w:tcPr>
            <w:tcW w:w="1260" w:type="dxa"/>
            <w:shd w:val="clear" w:color="auto" w:fill="DBDBDB" w:themeFill="accent3" w:themeFillTint="66"/>
            <w:vAlign w:val="center"/>
            <w:hideMark/>
          </w:tcPr>
          <w:p w:rsidR="00582BF4" w:rsidRPr="00D23214" w:rsidP="00C001C3" w14:paraId="6CA65301" w14:textId="77777777">
            <w:pPr>
              <w:jc w:val="center"/>
              <w:rPr>
                <w:b/>
                <w:bCs/>
                <w:color w:val="000000"/>
              </w:rPr>
            </w:pPr>
            <w:r>
              <w:rPr>
                <w:b/>
                <w:bCs/>
                <w:color w:val="000000"/>
              </w:rPr>
              <w:t>77,618</w:t>
            </w:r>
          </w:p>
        </w:tc>
        <w:tc>
          <w:tcPr>
            <w:tcW w:w="1160" w:type="dxa"/>
            <w:shd w:val="clear" w:color="auto" w:fill="DBDBDB" w:themeFill="accent3" w:themeFillTint="66"/>
            <w:vAlign w:val="center"/>
            <w:hideMark/>
          </w:tcPr>
          <w:p w:rsidR="00582BF4" w:rsidRPr="00D23214" w:rsidP="00C001C3" w14:paraId="43CB3A9C" w14:textId="77777777">
            <w:pPr>
              <w:jc w:val="center"/>
              <w:rPr>
                <w:b/>
                <w:bCs/>
                <w:color w:val="000000"/>
              </w:rPr>
            </w:pPr>
            <w:r w:rsidRPr="00D23214">
              <w:rPr>
                <w:b/>
                <w:bCs/>
                <w:color w:val="000000"/>
              </w:rPr>
              <w:t> </w:t>
            </w:r>
          </w:p>
        </w:tc>
        <w:tc>
          <w:tcPr>
            <w:tcW w:w="1270" w:type="dxa"/>
            <w:shd w:val="clear" w:color="auto" w:fill="DBDBDB" w:themeFill="accent3" w:themeFillTint="66"/>
            <w:vAlign w:val="center"/>
            <w:hideMark/>
          </w:tcPr>
          <w:p w:rsidR="00582BF4" w:rsidRPr="00D23214" w:rsidP="00C001C3" w14:paraId="66944637" w14:textId="77777777">
            <w:pPr>
              <w:jc w:val="center"/>
              <w:rPr>
                <w:b/>
                <w:bCs/>
                <w:color w:val="000000"/>
              </w:rPr>
            </w:pPr>
            <w:r w:rsidRPr="00D23214">
              <w:rPr>
                <w:b/>
                <w:bCs/>
              </w:rPr>
              <w:t>$</w:t>
            </w:r>
            <w:r>
              <w:rPr>
                <w:b/>
                <w:bCs/>
              </w:rPr>
              <w:t>2,672,387</w:t>
            </w:r>
          </w:p>
        </w:tc>
      </w:tr>
    </w:tbl>
    <w:p w:rsidR="00582BF4" w:rsidP="00582BF4" w14:paraId="526397EA" w14:textId="77777777">
      <w:pPr>
        <w:pStyle w:val="FootnoteText"/>
        <w:rPr>
          <w:sz w:val="24"/>
          <w:szCs w:val="24"/>
        </w:rPr>
      </w:pPr>
      <w:r>
        <w:br w:type="textWrapping" w:clear="all"/>
      </w:r>
      <w:r w:rsidRPr="00D23214">
        <w:t xml:space="preserve">** For </w:t>
      </w:r>
      <w:r>
        <w:t>the purpose of this analysis, OSHA assumes that each of the 461 underground construction projects uses one hoist,</w:t>
      </w:r>
      <w:r w:rsidRPr="00D23214">
        <w:t xml:space="preserve"> and each project has one employer.</w:t>
      </w:r>
    </w:p>
    <w:p w:rsidR="00582BF4" w:rsidP="00582BF4" w14:paraId="51C7C120" w14:textId="77777777">
      <w:pPr>
        <w:pStyle w:val="FootnoteText"/>
        <w:tabs>
          <w:tab w:val="left" w:pos="1790"/>
        </w:tabs>
        <w:rPr>
          <w:rFonts w:eastAsia="Calibri"/>
          <w:b/>
          <w:sz w:val="24"/>
          <w:szCs w:val="24"/>
        </w:rPr>
      </w:pPr>
    </w:p>
    <w:p w:rsidR="00582BF4" w:rsidP="00582BF4" w14:paraId="7748CFA6" w14:textId="77777777">
      <w:pPr>
        <w:pStyle w:val="FootnoteText"/>
        <w:tabs>
          <w:tab w:val="left" w:pos="1790"/>
        </w:tabs>
        <w:rPr>
          <w:rFonts w:eastAsia="Calibri"/>
          <w:b/>
          <w:sz w:val="24"/>
          <w:szCs w:val="24"/>
        </w:rPr>
      </w:pPr>
    </w:p>
    <w:p w:rsidR="00582BF4" w:rsidRPr="00247050" w:rsidP="00582BF4" w14:paraId="3F530A24" w14:textId="77777777">
      <w:pPr>
        <w:tabs>
          <w:tab w:val="left" w:pos="180"/>
        </w:tabs>
        <w:rPr>
          <w:b/>
          <w:bCs/>
          <w:sz w:val="24"/>
          <w:szCs w:val="24"/>
        </w:rPr>
      </w:pPr>
      <w:r w:rsidRPr="00BC6836">
        <w:rPr>
          <w:rFonts w:eastAsia="Calibri"/>
          <w:b/>
          <w:sz w:val="24"/>
          <w:szCs w:val="24"/>
        </w:rPr>
        <w:t>13</w:t>
      </w:r>
      <w:r w:rsidRPr="00832444">
        <w:rPr>
          <w:rFonts w:eastAsia="Calibri"/>
          <w:b/>
          <w:sz w:val="24"/>
          <w:szCs w:val="24"/>
        </w:rPr>
        <w:t xml:space="preserve">. </w:t>
      </w:r>
      <w:r w:rsidRPr="00247050">
        <w:rPr>
          <w:b/>
          <w:bCs/>
          <w:sz w:val="24"/>
          <w:szCs w:val="24"/>
        </w:rPr>
        <w:t>Provide an estimate of the total annual cost burden to respondents or recordkeepers resulting from the collection of information.  (Do not include the cost of any hour burden shown in Items 12 and 14).</w:t>
      </w:r>
    </w:p>
    <w:p w:rsidR="00582BF4" w:rsidRPr="00247050" w:rsidP="00582BF4" w14:paraId="6FB8E436" w14:textId="77777777">
      <w:pPr>
        <w:rPr>
          <w:b/>
          <w:bCs/>
          <w:sz w:val="24"/>
          <w:szCs w:val="24"/>
        </w:rPr>
      </w:pPr>
    </w:p>
    <w:p w:rsidR="00582BF4" w:rsidRPr="00247050" w:rsidP="00582BF4" w14:paraId="2317E35B" w14:textId="77777777">
      <w:pPr>
        <w:numPr>
          <w:ilvl w:val="0"/>
          <w:numId w:val="15"/>
        </w:numPr>
        <w:tabs>
          <w:tab w:val="left" w:pos="1440"/>
        </w:tabs>
        <w:autoSpaceDE w:val="0"/>
        <w:autoSpaceDN w:val="0"/>
        <w:adjustRightInd w:val="0"/>
        <w:rPr>
          <w:b/>
          <w:bCs/>
          <w:sz w:val="24"/>
          <w:szCs w:val="24"/>
        </w:rPr>
      </w:pPr>
      <w:r w:rsidRPr="00247050">
        <w:rPr>
          <w:b/>
          <w:bCs/>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w:t>
      </w:r>
      <w:r w:rsidRPr="00247050">
        <w:rPr>
          <w:b/>
          <w:bCs/>
          <w:sz w:val="24"/>
          <w:szCs w:val="24"/>
        </w:rPr>
        <w:t>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82BF4" w:rsidRPr="00247050" w:rsidP="00582BF4" w14:paraId="6679D7B9" w14:textId="77777777">
      <w:pPr>
        <w:rPr>
          <w:b/>
          <w:bCs/>
          <w:sz w:val="24"/>
          <w:szCs w:val="24"/>
        </w:rPr>
      </w:pPr>
    </w:p>
    <w:p w:rsidR="00582BF4" w:rsidRPr="00247050" w:rsidP="00582BF4" w14:paraId="6B55C0DA" w14:textId="77777777">
      <w:pPr>
        <w:numPr>
          <w:ilvl w:val="0"/>
          <w:numId w:val="15"/>
        </w:numPr>
        <w:tabs>
          <w:tab w:val="left" w:pos="1440"/>
        </w:tabs>
        <w:autoSpaceDE w:val="0"/>
        <w:autoSpaceDN w:val="0"/>
        <w:adjustRightInd w:val="0"/>
        <w:rPr>
          <w:b/>
          <w:bCs/>
          <w:sz w:val="24"/>
          <w:szCs w:val="24"/>
        </w:rPr>
      </w:pPr>
      <w:r w:rsidRPr="00247050">
        <w:rPr>
          <w:b/>
          <w:bCs/>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82BF4" w:rsidRPr="00247050" w:rsidP="00582BF4" w14:paraId="53D45392" w14:textId="77777777">
      <w:pPr>
        <w:rPr>
          <w:b/>
          <w:bCs/>
          <w:sz w:val="24"/>
          <w:szCs w:val="24"/>
        </w:rPr>
      </w:pPr>
    </w:p>
    <w:p w:rsidR="00582BF4" w:rsidRPr="00BC6836" w:rsidP="00582BF4" w14:paraId="1396E2EE" w14:textId="77777777">
      <w:pPr>
        <w:numPr>
          <w:ilvl w:val="0"/>
          <w:numId w:val="15"/>
        </w:numPr>
        <w:tabs>
          <w:tab w:val="left" w:pos="1440"/>
        </w:tabs>
        <w:autoSpaceDE w:val="0"/>
        <w:autoSpaceDN w:val="0"/>
        <w:adjustRightInd w:val="0"/>
        <w:rPr>
          <w:rFonts w:eastAsia="Calibri"/>
        </w:rPr>
      </w:pPr>
      <w:r w:rsidRPr="00247050">
        <w:rPr>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82BF4" w:rsidRPr="00BC6836" w:rsidP="00582BF4" w14:paraId="1E8C849A" w14:textId="77777777">
      <w:pPr>
        <w:rPr>
          <w:rFonts w:eastAsia="Calibri"/>
          <w:b/>
          <w:sz w:val="24"/>
          <w:szCs w:val="24"/>
        </w:rPr>
      </w:pPr>
    </w:p>
    <w:p w:rsidR="00582BF4" w:rsidRPr="00BC6836" w:rsidP="00582BF4" w14:paraId="0FC7CE02" w14:textId="77777777">
      <w:pPr>
        <w:rPr>
          <w:rFonts w:eastAsia="Calibri"/>
          <w:sz w:val="24"/>
          <w:szCs w:val="24"/>
        </w:rPr>
      </w:pPr>
      <w:r w:rsidRPr="00BC6836">
        <w:rPr>
          <w:rFonts w:eastAsia="Calibri"/>
          <w:sz w:val="24"/>
          <w:szCs w:val="24"/>
        </w:rPr>
        <w:t xml:space="preserve">The capital cost of these paperwork requirements consists mainly of replacing the exposure monitors.  As noted under Item 12 above (“Monitor Calibration”), OSHA estimates that each underground construction project uses two monitors, for a total of 922 monitors (i.e., 461 projects x 2 monitors each).  Based on manufacturers’ data, the </w:t>
      </w:r>
      <w:r>
        <w:rPr>
          <w:rFonts w:eastAsia="Calibri"/>
          <w:sz w:val="24"/>
          <w:szCs w:val="24"/>
        </w:rPr>
        <w:t>a</w:t>
      </w:r>
      <w:r w:rsidRPr="00BC6836">
        <w:rPr>
          <w:rFonts w:eastAsia="Calibri"/>
          <w:sz w:val="24"/>
          <w:szCs w:val="24"/>
        </w:rPr>
        <w:t>gency finds that the average monitor costs about $1,800.</w:t>
      </w:r>
      <w:r>
        <w:rPr>
          <w:rFonts w:eastAsia="Calibri"/>
          <w:sz w:val="24"/>
          <w:szCs w:val="24"/>
          <w:vertAlign w:val="superscript"/>
        </w:rPr>
        <w:footnoteReference w:id="6"/>
      </w:r>
      <w:r w:rsidRPr="00BC6836">
        <w:rPr>
          <w:rFonts w:eastAsia="Calibri"/>
          <w:sz w:val="24"/>
          <w:szCs w:val="24"/>
        </w:rPr>
        <w:t xml:space="preserve">  In addition, OSHA believes that employers replace about 10% (92) of the monitors each year.  Accordingly, the annual total cost of replacing the monitors is:</w:t>
      </w:r>
    </w:p>
    <w:p w:rsidR="00582BF4" w:rsidRPr="00BC6836" w:rsidP="00582BF4" w14:paraId="7F36CFD4" w14:textId="77777777">
      <w:pPr>
        <w:rPr>
          <w:rFonts w:eastAsia="Calibri"/>
          <w:sz w:val="24"/>
          <w:szCs w:val="24"/>
        </w:rPr>
      </w:pPr>
    </w:p>
    <w:p w:rsidR="00582BF4" w:rsidRPr="00BC6836" w:rsidP="00582BF4" w14:paraId="74D0058D" w14:textId="77777777">
      <w:pPr>
        <w:rPr>
          <w:rFonts w:eastAsia="Calibri"/>
          <w:sz w:val="24"/>
          <w:szCs w:val="24"/>
        </w:rPr>
      </w:pPr>
      <w:r w:rsidRPr="00BC6836">
        <w:rPr>
          <w:rFonts w:eastAsia="Calibri"/>
          <w:sz w:val="24"/>
          <w:szCs w:val="24"/>
        </w:rPr>
        <w:tab/>
        <w:t>Cost:</w:t>
      </w:r>
      <w:r w:rsidRPr="00BC6836">
        <w:rPr>
          <w:rFonts w:eastAsia="Calibri"/>
          <w:sz w:val="24"/>
          <w:szCs w:val="24"/>
        </w:rPr>
        <w:tab/>
      </w:r>
      <w:r w:rsidRPr="00BC6836">
        <w:rPr>
          <w:rFonts w:eastAsia="Calibri"/>
          <w:sz w:val="24"/>
          <w:szCs w:val="24"/>
        </w:rPr>
        <w:tab/>
        <w:t>92 monitors x $1,800 = $165,600</w:t>
      </w:r>
    </w:p>
    <w:p w:rsidR="00582BF4" w:rsidRPr="00BC6836" w:rsidP="00582BF4" w14:paraId="6B71F711" w14:textId="77777777">
      <w:pPr>
        <w:rPr>
          <w:rFonts w:eastAsia="Calibri"/>
          <w:sz w:val="24"/>
          <w:szCs w:val="24"/>
        </w:rPr>
      </w:pPr>
    </w:p>
    <w:p w:rsidR="00582BF4" w:rsidRPr="00BC6836" w:rsidP="00582BF4" w14:paraId="0E204954" w14:textId="77777777">
      <w:pPr>
        <w:rPr>
          <w:rFonts w:eastAsia="Calibri"/>
          <w:b/>
          <w:sz w:val="24"/>
          <w:szCs w:val="24"/>
        </w:rPr>
      </w:pPr>
      <w:r w:rsidRPr="00BC6836">
        <w:rPr>
          <w:rFonts w:eastAsia="Calibri"/>
          <w:b/>
          <w:sz w:val="24"/>
          <w:szCs w:val="24"/>
        </w:rPr>
        <w:t>14.  Provide estimates of the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 12, 13, and 14 into a single table.</w:t>
      </w:r>
    </w:p>
    <w:p w:rsidR="00582BF4" w:rsidRPr="00BC6836" w:rsidP="00582BF4" w14:paraId="07A9E2A0" w14:textId="77777777">
      <w:pPr>
        <w:rPr>
          <w:rFonts w:eastAsia="Calibri"/>
          <w:b/>
          <w:sz w:val="24"/>
          <w:szCs w:val="24"/>
        </w:rPr>
      </w:pPr>
    </w:p>
    <w:p w:rsidR="00582BF4" w:rsidRPr="00BC6836" w:rsidP="00582BF4" w14:paraId="1B67D6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rPr>
          <w:rFonts w:eastAsiaTheme="minorHAnsi"/>
          <w:sz w:val="24"/>
          <w:szCs w:val="24"/>
        </w:rPr>
      </w:pPr>
      <w:r w:rsidRPr="00BC6836">
        <w:rPr>
          <w:iCs/>
          <w:sz w:val="24"/>
          <w:szCs w:val="24"/>
        </w:rPr>
        <w:t xml:space="preserve">Agency has no annualized cost associated with enforcing the Standard. OSHA would only review records in the context of an investigation of a particular employer to determine </w:t>
      </w:r>
      <w:r w:rsidRPr="00BC6836">
        <w:rPr>
          <w:iCs/>
          <w:sz w:val="24"/>
          <w:szCs w:val="24"/>
        </w:rPr>
        <w:t>compliance with the Standard. These activities are outside the scope of the PRA. See 5 CFR 1320.4(a)(2).</w:t>
      </w:r>
    </w:p>
    <w:p w:rsidR="00582BF4" w:rsidRPr="007C6A35" w:rsidP="00582BF4" w14:paraId="798BF7A7" w14:textId="77777777">
      <w:pPr>
        <w:tabs>
          <w:tab w:val="left" w:pos="450"/>
        </w:tabs>
        <w:rPr>
          <w:sz w:val="24"/>
          <w:szCs w:val="24"/>
        </w:rPr>
      </w:pPr>
      <w:r w:rsidRPr="00BC6836">
        <w:rPr>
          <w:rFonts w:eastAsia="Calibri"/>
          <w:b/>
          <w:sz w:val="24"/>
          <w:szCs w:val="24"/>
        </w:rPr>
        <w:t xml:space="preserve">15. </w:t>
      </w:r>
      <w:r>
        <w:rPr>
          <w:b/>
          <w:bCs/>
          <w:sz w:val="24"/>
          <w:szCs w:val="24"/>
        </w:rPr>
        <w:tab/>
      </w:r>
      <w:r w:rsidRPr="007C6A35">
        <w:rPr>
          <w:b/>
          <w:bCs/>
          <w:sz w:val="24"/>
          <w:szCs w:val="24"/>
          <w:lang w:val="en-JM"/>
        </w:rPr>
        <w:t>Explain the reasons for any program changes or adjustments.</w:t>
      </w:r>
    </w:p>
    <w:p w:rsidR="00582BF4" w:rsidP="00582BF4" w14:paraId="09A8CBB1" w14:textId="77777777">
      <w:pPr>
        <w:rPr>
          <w:rFonts w:eastAsia="Calibri"/>
          <w:b/>
          <w:sz w:val="24"/>
          <w:szCs w:val="24"/>
        </w:rPr>
      </w:pPr>
    </w:p>
    <w:p w:rsidR="00582BF4" w:rsidRPr="00247050" w:rsidP="00582BF4" w14:paraId="2B9AE8E5" w14:textId="5F57FC83">
      <w:pPr>
        <w:rPr>
          <w:rFonts w:eastAsia="Calibri"/>
          <w:bCs/>
          <w:sz w:val="24"/>
          <w:szCs w:val="24"/>
        </w:rPr>
      </w:pPr>
      <w:r w:rsidRPr="00247050">
        <w:rPr>
          <w:rFonts w:eastAsia="Calibri"/>
          <w:bCs/>
          <w:sz w:val="24"/>
          <w:szCs w:val="24"/>
        </w:rPr>
        <w:t xml:space="preserve">The agency is requesting a slight </w:t>
      </w:r>
      <w:r w:rsidR="00DB64D8">
        <w:rPr>
          <w:rFonts w:eastAsia="Calibri"/>
          <w:bCs/>
          <w:sz w:val="24"/>
          <w:szCs w:val="24"/>
        </w:rPr>
        <w:t>2 hour</w:t>
      </w:r>
      <w:r w:rsidR="00DB64D8">
        <w:rPr>
          <w:rFonts w:eastAsia="Calibri"/>
          <w:bCs/>
          <w:sz w:val="24"/>
          <w:szCs w:val="24"/>
        </w:rPr>
        <w:t xml:space="preserve"> </w:t>
      </w:r>
      <w:r w:rsidRPr="00247050">
        <w:rPr>
          <w:rFonts w:eastAsia="Calibri"/>
          <w:bCs/>
          <w:sz w:val="24"/>
          <w:szCs w:val="24"/>
        </w:rPr>
        <w:t xml:space="preserve">adjustment increase from </w:t>
      </w:r>
      <w:r>
        <w:rPr>
          <w:rFonts w:eastAsia="Calibri"/>
          <w:bCs/>
          <w:sz w:val="24"/>
          <w:szCs w:val="24"/>
        </w:rPr>
        <w:t>77,616 to 77,618 hours</w:t>
      </w:r>
      <w:r w:rsidRPr="00247050">
        <w:rPr>
          <w:rFonts w:eastAsia="Calibri"/>
          <w:bCs/>
          <w:sz w:val="24"/>
          <w:szCs w:val="24"/>
        </w:rPr>
        <w:t xml:space="preserve"> </w:t>
      </w:r>
      <w:r>
        <w:rPr>
          <w:rFonts w:eastAsia="Calibri"/>
          <w:bCs/>
          <w:sz w:val="24"/>
          <w:szCs w:val="24"/>
        </w:rPr>
        <w:t xml:space="preserve">because </w:t>
      </w:r>
      <w:r w:rsidRPr="00247050">
        <w:rPr>
          <w:rFonts w:eastAsia="Calibri"/>
          <w:bCs/>
          <w:sz w:val="24"/>
          <w:szCs w:val="24"/>
        </w:rPr>
        <w:t>of a rounding inconsistency.  The agency is not requesting any changes to capital costs</w:t>
      </w:r>
      <w:r>
        <w:rPr>
          <w:rFonts w:eastAsia="Calibri"/>
          <w:bCs/>
          <w:sz w:val="24"/>
          <w:szCs w:val="24"/>
        </w:rPr>
        <w:t>.</w:t>
      </w:r>
    </w:p>
    <w:p w:rsidR="00582BF4" w:rsidRPr="00BC6836" w:rsidP="00582BF4" w14:paraId="70E55761" w14:textId="77777777">
      <w:pPr>
        <w:rPr>
          <w:rFonts w:eastAsia="Calibri"/>
          <w:b/>
          <w:sz w:val="24"/>
          <w:szCs w:val="24"/>
        </w:rPr>
      </w:pPr>
    </w:p>
    <w:p w:rsidR="00582BF4" w:rsidP="00582BF4" w14:paraId="29561B4D" w14:textId="77777777">
      <w:pPr>
        <w:tabs>
          <w:tab w:val="left" w:pos="450"/>
        </w:tabs>
        <w:ind w:left="630" w:hanging="720"/>
        <w:rPr>
          <w:b/>
          <w:bCs/>
          <w:sz w:val="24"/>
          <w:szCs w:val="24"/>
        </w:rPr>
      </w:pPr>
      <w:r w:rsidRPr="00BC6836">
        <w:rPr>
          <w:rFonts w:eastAsia="Calibri"/>
          <w:b/>
          <w:sz w:val="24"/>
          <w:szCs w:val="24"/>
        </w:rPr>
        <w:t xml:space="preserve">16.  </w:t>
      </w:r>
      <w:r w:rsidRPr="007C6A35">
        <w:rPr>
          <w:b/>
          <w:bCs/>
          <w:sz w:val="24"/>
          <w:szCs w:val="24"/>
        </w:rPr>
        <w:t xml:space="preserve">For collections of information whose results will be published, outline plans for </w:t>
      </w:r>
    </w:p>
    <w:p w:rsidR="00582BF4" w:rsidP="00582BF4" w14:paraId="67622493" w14:textId="77777777">
      <w:pPr>
        <w:tabs>
          <w:tab w:val="left" w:pos="450"/>
          <w:tab w:val="left" w:pos="540"/>
        </w:tabs>
        <w:ind w:left="720" w:hanging="720"/>
        <w:rPr>
          <w:b/>
          <w:bCs/>
          <w:sz w:val="24"/>
          <w:szCs w:val="24"/>
        </w:rPr>
      </w:pPr>
      <w:r w:rsidRPr="007C6A35">
        <w:rPr>
          <w:b/>
          <w:bCs/>
          <w:sz w:val="24"/>
          <w:szCs w:val="24"/>
        </w:rPr>
        <w:t>tabulation and publication.  Address any complex analytical techniques that will be</w:t>
      </w:r>
    </w:p>
    <w:p w:rsidR="00582BF4" w:rsidP="00582BF4" w14:paraId="3B21FFCF" w14:textId="77777777">
      <w:pPr>
        <w:tabs>
          <w:tab w:val="left" w:pos="450"/>
        </w:tabs>
        <w:rPr>
          <w:b/>
          <w:bCs/>
          <w:sz w:val="24"/>
          <w:szCs w:val="24"/>
        </w:rPr>
      </w:pPr>
      <w:r w:rsidRPr="007C6A35">
        <w:rPr>
          <w:b/>
          <w:bCs/>
          <w:sz w:val="24"/>
          <w:szCs w:val="24"/>
        </w:rPr>
        <w:t xml:space="preserve">used.  Provide the time schedule for the entire project, including beginning and </w:t>
      </w:r>
    </w:p>
    <w:p w:rsidR="00582BF4" w:rsidP="00582BF4" w14:paraId="225F6AF6" w14:textId="77777777">
      <w:pPr>
        <w:tabs>
          <w:tab w:val="left" w:pos="450"/>
        </w:tabs>
        <w:ind w:left="720" w:hanging="720"/>
        <w:rPr>
          <w:b/>
          <w:bCs/>
          <w:sz w:val="24"/>
          <w:szCs w:val="24"/>
        </w:rPr>
      </w:pPr>
      <w:r w:rsidRPr="007C6A35">
        <w:rPr>
          <w:b/>
          <w:bCs/>
          <w:sz w:val="24"/>
          <w:szCs w:val="24"/>
        </w:rPr>
        <w:t xml:space="preserve">ending dates of the collection of information, completion of report, publication dates, </w:t>
      </w:r>
    </w:p>
    <w:p w:rsidR="00582BF4" w:rsidP="00582BF4" w14:paraId="41973323" w14:textId="77777777">
      <w:pPr>
        <w:tabs>
          <w:tab w:val="left" w:pos="450"/>
        </w:tabs>
        <w:ind w:left="720" w:hanging="720"/>
        <w:rPr>
          <w:b/>
          <w:bCs/>
          <w:sz w:val="24"/>
          <w:szCs w:val="24"/>
        </w:rPr>
      </w:pPr>
      <w:r w:rsidRPr="007C6A35">
        <w:rPr>
          <w:b/>
          <w:bCs/>
          <w:sz w:val="24"/>
          <w:szCs w:val="24"/>
        </w:rPr>
        <w:t>and other actions.</w:t>
      </w:r>
    </w:p>
    <w:p w:rsidR="00C5492E" w:rsidRPr="007C6A35" w:rsidP="00582BF4" w14:paraId="7241242C" w14:textId="77777777">
      <w:pPr>
        <w:tabs>
          <w:tab w:val="left" w:pos="450"/>
        </w:tabs>
        <w:ind w:left="720" w:hanging="720"/>
        <w:rPr>
          <w:sz w:val="24"/>
          <w:szCs w:val="24"/>
        </w:rPr>
      </w:pPr>
    </w:p>
    <w:p w:rsidR="00582BF4" w:rsidRPr="00BC6836" w:rsidP="00582BF4" w14:paraId="6091A266" w14:textId="77777777">
      <w:pPr>
        <w:rPr>
          <w:rFonts w:eastAsia="Calibri"/>
          <w:sz w:val="24"/>
          <w:szCs w:val="24"/>
        </w:rPr>
      </w:pPr>
      <w:r w:rsidRPr="00BC6836">
        <w:rPr>
          <w:rFonts w:eastAsia="Calibri"/>
          <w:sz w:val="24"/>
          <w:szCs w:val="24"/>
        </w:rPr>
        <w:t>OSHA will not publish the information collected under §1926.800.</w:t>
      </w:r>
    </w:p>
    <w:p w:rsidR="00582BF4" w:rsidRPr="00BC6836" w:rsidP="00582BF4" w14:paraId="4E101758" w14:textId="77777777">
      <w:pPr>
        <w:rPr>
          <w:rFonts w:eastAsia="Calibri"/>
          <w:sz w:val="24"/>
          <w:szCs w:val="24"/>
        </w:rPr>
      </w:pPr>
    </w:p>
    <w:p w:rsidR="00582BF4" w:rsidP="00582BF4" w14:paraId="5A5C6136" w14:textId="77777777">
      <w:pPr>
        <w:tabs>
          <w:tab w:val="left" w:pos="360"/>
          <w:tab w:val="left" w:pos="450"/>
          <w:tab w:val="left" w:pos="540"/>
        </w:tabs>
        <w:rPr>
          <w:b/>
          <w:bCs/>
          <w:sz w:val="24"/>
          <w:szCs w:val="24"/>
        </w:rPr>
      </w:pPr>
      <w:r w:rsidRPr="00BC6836">
        <w:rPr>
          <w:rFonts w:eastAsia="Calibri"/>
          <w:b/>
          <w:sz w:val="24"/>
          <w:szCs w:val="24"/>
        </w:rPr>
        <w:t xml:space="preserve">17.  </w:t>
      </w:r>
      <w:r w:rsidRPr="007C6A35">
        <w:rPr>
          <w:b/>
          <w:bCs/>
          <w:sz w:val="24"/>
          <w:szCs w:val="24"/>
        </w:rPr>
        <w:t xml:space="preserve">If seeking approval to not display the expiration date for OMB approval of the </w:t>
      </w:r>
    </w:p>
    <w:p w:rsidR="00582BF4" w:rsidRPr="007C6A35" w:rsidP="00582BF4" w14:paraId="250A3115" w14:textId="77777777">
      <w:pPr>
        <w:tabs>
          <w:tab w:val="left" w:pos="360"/>
          <w:tab w:val="left" w:pos="450"/>
          <w:tab w:val="left" w:pos="540"/>
        </w:tabs>
        <w:rPr>
          <w:b/>
          <w:bCs/>
          <w:sz w:val="24"/>
          <w:szCs w:val="24"/>
        </w:rPr>
      </w:pPr>
      <w:r>
        <w:rPr>
          <w:b/>
          <w:bCs/>
          <w:sz w:val="24"/>
          <w:szCs w:val="24"/>
        </w:rPr>
        <w:tab/>
      </w:r>
      <w:r w:rsidRPr="007C6A35">
        <w:rPr>
          <w:b/>
          <w:bCs/>
          <w:sz w:val="24"/>
          <w:szCs w:val="24"/>
        </w:rPr>
        <w:t>information collection, explain the reasons that display would be inappropriate.</w:t>
      </w:r>
    </w:p>
    <w:p w:rsidR="00582BF4" w:rsidRPr="007C6A35" w:rsidP="00582BF4" w14:paraId="1309ABA7" w14:textId="77777777">
      <w:pPr>
        <w:rPr>
          <w:sz w:val="24"/>
          <w:szCs w:val="24"/>
        </w:rPr>
      </w:pPr>
    </w:p>
    <w:p w:rsidR="00582BF4" w:rsidRPr="00BC6836" w:rsidP="00582BF4" w14:paraId="750AE1E8" w14:textId="77777777">
      <w:pPr>
        <w:rPr>
          <w:sz w:val="24"/>
          <w:szCs w:val="24"/>
        </w:rPr>
      </w:pPr>
      <w:r w:rsidRPr="00BC6836">
        <w:rPr>
          <w:rFonts w:eastAsia="Calibri"/>
          <w:sz w:val="24"/>
          <w:szCs w:val="24"/>
        </w:rPr>
        <w:t>OSHA lists current valid control numbers in §§1910.8, 1915.8, 1917.4, 1918.4, and 1926.5 and publishes the expiration date in the Federal Register notice announcing OMB approval of the information collection requirements. (See 5 CFR 1320.3(f)(3).) OSHA believes this is the most appropriate and accurate mechanism to inform interested parties of these expiration dates.</w:t>
      </w:r>
      <w:r w:rsidRPr="00BC6836">
        <w:rPr>
          <w:sz w:val="24"/>
          <w:szCs w:val="24"/>
        </w:rPr>
        <w:t xml:space="preserve"> </w:t>
      </w:r>
    </w:p>
    <w:p w:rsidR="00582BF4" w:rsidRPr="00BC6836" w:rsidP="00582BF4" w14:paraId="3D8982FC" w14:textId="77777777">
      <w:pPr>
        <w:rPr>
          <w:rFonts w:eastAsia="Calibri"/>
          <w:sz w:val="24"/>
          <w:szCs w:val="24"/>
        </w:rPr>
      </w:pPr>
    </w:p>
    <w:p w:rsidR="00582BF4" w:rsidRPr="00BC6836" w:rsidP="00582BF4" w14:paraId="5F72C135" w14:textId="77777777">
      <w:pPr>
        <w:rPr>
          <w:rFonts w:eastAsia="Calibri"/>
          <w:b/>
          <w:sz w:val="24"/>
          <w:szCs w:val="24"/>
        </w:rPr>
      </w:pPr>
      <w:r w:rsidRPr="00BC6836">
        <w:rPr>
          <w:rFonts w:eastAsia="Calibri"/>
          <w:b/>
          <w:sz w:val="24"/>
          <w:szCs w:val="24"/>
        </w:rPr>
        <w:t>18.  Explain each exception to the certification statement.</w:t>
      </w:r>
    </w:p>
    <w:p w:rsidR="00582BF4" w:rsidRPr="00BC6836" w:rsidP="00582BF4" w14:paraId="506AE8EB" w14:textId="77777777">
      <w:pPr>
        <w:rPr>
          <w:rFonts w:eastAsia="Calibri"/>
          <w:b/>
          <w:sz w:val="24"/>
          <w:szCs w:val="24"/>
        </w:rPr>
      </w:pPr>
    </w:p>
    <w:p w:rsidR="00582BF4" w:rsidRPr="00BC6836" w:rsidP="00582BF4" w14:paraId="307650F8" w14:textId="77777777">
      <w:pPr>
        <w:rPr>
          <w:rFonts w:eastAsia="Calibri"/>
          <w:sz w:val="24"/>
          <w:szCs w:val="24"/>
        </w:rPr>
      </w:pPr>
      <w:r w:rsidRPr="00BC6836">
        <w:rPr>
          <w:rFonts w:eastAsia="Calibri"/>
          <w:sz w:val="24"/>
          <w:szCs w:val="24"/>
        </w:rPr>
        <w:t>OSHA is not seeking an exception to the certification statement.</w:t>
      </w:r>
    </w:p>
    <w:p w:rsidR="00582BF4" w:rsidRPr="00BC6836" w:rsidP="00582BF4" w14:paraId="460D0C84" w14:textId="77777777">
      <w:pPr>
        <w:rPr>
          <w:rFonts w:eastAsia="Calibri"/>
          <w:sz w:val="24"/>
          <w:szCs w:val="24"/>
        </w:rPr>
      </w:pPr>
    </w:p>
    <w:p w:rsidR="00582BF4" w:rsidRPr="00BC6836" w:rsidP="00582BF4" w14:paraId="7DA5F64C" w14:textId="77777777">
      <w:pPr>
        <w:rPr>
          <w:rFonts w:eastAsia="Calibri"/>
          <w:b/>
          <w:sz w:val="24"/>
          <w:szCs w:val="24"/>
        </w:rPr>
      </w:pPr>
      <w:r w:rsidRPr="00BC6836">
        <w:rPr>
          <w:rFonts w:eastAsia="Calibri"/>
          <w:b/>
          <w:sz w:val="24"/>
          <w:szCs w:val="24"/>
        </w:rPr>
        <w:t>B.  COLLECTIONS OF INFORMATION EMPLOYING STATISTICAL METHODS</w:t>
      </w:r>
    </w:p>
    <w:p w:rsidR="00582BF4" w:rsidRPr="00BC6836" w:rsidP="00582BF4" w14:paraId="62E6B359" w14:textId="77777777">
      <w:pPr>
        <w:rPr>
          <w:rFonts w:eastAsia="Calibri"/>
          <w:b/>
          <w:sz w:val="24"/>
          <w:szCs w:val="24"/>
        </w:rPr>
      </w:pPr>
    </w:p>
    <w:p w:rsidR="00582BF4" w:rsidRPr="00BC6836" w:rsidP="00582BF4" w14:paraId="477B5358" w14:textId="77777777">
      <w:pPr>
        <w:rPr>
          <w:vanish/>
          <w:sz w:val="24"/>
          <w:szCs w:val="24"/>
        </w:rPr>
      </w:pPr>
      <w:r w:rsidRPr="00BC6836">
        <w:rPr>
          <w:rFonts w:eastAsia="Calibri"/>
          <w:sz w:val="24"/>
          <w:szCs w:val="24"/>
        </w:rPr>
        <w:t xml:space="preserve">This </w:t>
      </w:r>
      <w:r>
        <w:rPr>
          <w:rFonts w:eastAsia="Calibri"/>
          <w:sz w:val="24"/>
          <w:szCs w:val="24"/>
        </w:rPr>
        <w:t>s</w:t>
      </w:r>
      <w:r w:rsidRPr="00BC6836">
        <w:rPr>
          <w:rFonts w:eastAsia="Calibri"/>
          <w:sz w:val="24"/>
          <w:szCs w:val="24"/>
        </w:rPr>
        <w:t xml:space="preserve">upporting </w:t>
      </w:r>
      <w:r>
        <w:rPr>
          <w:rFonts w:eastAsia="Calibri"/>
          <w:sz w:val="24"/>
          <w:szCs w:val="24"/>
        </w:rPr>
        <w:t>s</w:t>
      </w:r>
      <w:r w:rsidRPr="00BC6836">
        <w:rPr>
          <w:rFonts w:eastAsia="Calibri"/>
          <w:sz w:val="24"/>
          <w:szCs w:val="24"/>
        </w:rPr>
        <w:t xml:space="preserve">tatement does not contain any collection of information requirements that </w:t>
      </w:r>
      <w:r>
        <w:rPr>
          <w:rFonts w:eastAsia="Calibri"/>
          <w:sz w:val="24"/>
          <w:szCs w:val="24"/>
        </w:rPr>
        <w:t>employ</w:t>
      </w:r>
      <w:r w:rsidRPr="00BC6836">
        <w:rPr>
          <w:rFonts w:eastAsia="Calibri"/>
          <w:sz w:val="24"/>
          <w:szCs w:val="24"/>
        </w:rPr>
        <w:t xml:space="preserve"> statistical methods.</w:t>
      </w:r>
    </w:p>
    <w:p w:rsidR="00582BF4" w:rsidRPr="00BC6836" w:rsidP="00582BF4" w14:paraId="61393407" w14:textId="77777777">
      <w:pPr>
        <w:spacing w:after="200" w:line="276" w:lineRule="auto"/>
        <w:rPr>
          <w:rFonts w:eastAsia="Calibri"/>
          <w:b/>
          <w:sz w:val="24"/>
          <w:szCs w:val="24"/>
        </w:rPr>
      </w:pPr>
    </w:p>
    <w:p w:rsidR="00582BF4" w:rsidP="00582BF4" w14:paraId="6A8DE14F" w14:textId="77777777">
      <w:pPr>
        <w:spacing w:after="200" w:line="276" w:lineRule="auto"/>
        <w:rPr>
          <w:rFonts w:eastAsia="Calibri"/>
          <w:b/>
          <w:sz w:val="24"/>
          <w:szCs w:val="24"/>
        </w:rPr>
      </w:pP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67386325"/>
      <w:docPartObj>
        <w:docPartGallery w:val="Page Numbers (Bottom of Page)"/>
        <w:docPartUnique/>
      </w:docPartObj>
    </w:sdtPr>
    <w:sdtEndPr>
      <w:rPr>
        <w:noProof/>
      </w:rPr>
    </w:sdtEndPr>
    <w:sdtContent>
      <w:p w:rsidR="00830C82" w14:paraId="15A7A610" w14:textId="274C71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30C82" w14:paraId="424150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C53E7" w:rsidP="00582BF4" w14:paraId="0A998AB4" w14:textId="77777777">
      <w:r>
        <w:separator/>
      </w:r>
    </w:p>
  </w:footnote>
  <w:footnote w:type="continuationSeparator" w:id="1">
    <w:p w:rsidR="00DC53E7" w:rsidP="00582BF4" w14:paraId="02BC67BA" w14:textId="77777777">
      <w:r>
        <w:continuationSeparator/>
      </w:r>
    </w:p>
  </w:footnote>
  <w:footnote w:id="2">
    <w:p w:rsidR="00582BF4" w:rsidRPr="00490B29" w:rsidP="00582BF4" w14:paraId="3B7996DB" w14:textId="77777777">
      <w:pPr>
        <w:pStyle w:val="FootnoteText"/>
        <w:ind w:firstLine="720"/>
      </w:pPr>
      <w:r w:rsidRPr="00490B29">
        <w:rPr>
          <w:rStyle w:val="FootnoteReference"/>
          <w:rFonts w:eastAsiaTheme="majorEastAsia"/>
        </w:rPr>
        <w:footnoteRef/>
      </w:r>
      <w:r w:rsidRPr="00490B29">
        <w:t xml:space="preserve">The purpose of this </w:t>
      </w:r>
      <w:r>
        <w:t>s</w:t>
      </w:r>
      <w:r w:rsidRPr="00490B29">
        <w:t xml:space="preserve">upporting </w:t>
      </w:r>
      <w:r>
        <w:t>s</w:t>
      </w:r>
      <w:r w:rsidRPr="00490B29">
        <w:t>tatement is to analyze and describe the burden hours and cost associated with provision</w:t>
      </w:r>
      <w:r>
        <w:t>s</w:t>
      </w:r>
      <w:r w:rsidRPr="00490B29">
        <w:t xml:space="preserve"> of this Standard that contain paperwork requirements</w:t>
      </w:r>
      <w:r>
        <w:t>.</w:t>
      </w:r>
      <w:r w:rsidRPr="00490B29">
        <w:t xml:space="preserve"> </w:t>
      </w:r>
      <w:r>
        <w:t>It</w:t>
      </w:r>
      <w:r w:rsidRPr="00490B29">
        <w:t xml:space="preserve"> does not provide information or guidance on how to comply with, or how to enforce, the Standard.</w:t>
      </w:r>
    </w:p>
    <w:p w:rsidR="00582BF4" w:rsidRPr="00490B29" w:rsidP="00582BF4" w14:paraId="429D365C" w14:textId="77777777">
      <w:pPr>
        <w:pStyle w:val="FootnoteText"/>
        <w:ind w:firstLine="720"/>
      </w:pPr>
    </w:p>
    <w:p w:rsidR="00582BF4" w:rsidRPr="006C5114" w:rsidP="00582BF4" w14:paraId="243B495B" w14:textId="77777777">
      <w:pPr>
        <w:pStyle w:val="FootnoteText"/>
        <w:ind w:firstLine="720"/>
        <w:rPr>
          <w:sz w:val="24"/>
          <w:szCs w:val="24"/>
        </w:rPr>
      </w:pPr>
    </w:p>
  </w:footnote>
  <w:footnote w:id="3">
    <w:p w:rsidR="00582BF4" w:rsidRPr="00BD23A8" w:rsidP="00582BF4" w14:paraId="1179EB0C" w14:textId="77777777">
      <w:pPr>
        <w:pStyle w:val="FootnoteText"/>
        <w:ind w:firstLine="720"/>
      </w:pPr>
      <w:r w:rsidRPr="00BD23A8">
        <w:rPr>
          <w:rStyle w:val="FootnoteReference"/>
          <w:rFonts w:eastAsiaTheme="majorEastAsia"/>
        </w:rPr>
        <w:footnoteRef/>
      </w:r>
      <w:r w:rsidRPr="00BD23A8">
        <w:t xml:space="preserve"> American Underground Construction Association (AUCA); Howard J. Haned, Chair, via fax letter dated 4/6/98.</w:t>
      </w:r>
    </w:p>
    <w:p w:rsidR="00582BF4" w:rsidRPr="00BD23A8" w:rsidP="00582BF4" w14:paraId="0D3AEDAD" w14:textId="77777777">
      <w:pPr>
        <w:pStyle w:val="FootnoteText"/>
      </w:pPr>
    </w:p>
  </w:footnote>
  <w:footnote w:id="4">
    <w:p w:rsidR="00582BF4" w:rsidRPr="00214EEC" w:rsidP="00582BF4" w14:paraId="28BCAFCF" w14:textId="77777777">
      <w:pPr>
        <w:pStyle w:val="FootnoteText"/>
        <w:ind w:firstLine="720"/>
      </w:pPr>
      <w:r w:rsidRPr="006D5BA0">
        <w:rPr>
          <w:rStyle w:val="FootnoteReference"/>
          <w:rFonts w:eastAsiaTheme="majorEastAsia"/>
        </w:rPr>
        <w:footnoteRef/>
      </w:r>
      <w:r w:rsidRPr="006D5BA0">
        <w:t xml:space="preserve"> This determination accounts for contractors completing some projects from the previous three-year period during the current three-year period.</w:t>
      </w:r>
    </w:p>
  </w:footnote>
  <w:footnote w:id="5">
    <w:p w:rsidR="00582BF4" w:rsidP="00582BF4" w14:paraId="69B1673F" w14:textId="77777777">
      <w:r>
        <w:tab/>
      </w:r>
      <w:r>
        <w:rPr>
          <w:rStyle w:val="FootnoteReference"/>
          <w:rFonts w:eastAsiaTheme="majorEastAsia"/>
        </w:rPr>
        <w:footnoteRef/>
      </w:r>
      <w:r>
        <w:t xml:space="preserve"> </w:t>
      </w:r>
      <w:r w:rsidRPr="00214EEC">
        <w:t>No construction worker’s time is taken to develop and post signs for §1926.800(b)(3) and (q)(11) since specific language is provided in the regulatory text.</w:t>
      </w:r>
    </w:p>
  </w:footnote>
  <w:footnote w:id="6">
    <w:p w:rsidR="00582BF4" w:rsidRPr="00214EEC" w:rsidP="00582BF4" w14:paraId="55D2CDED" w14:textId="77777777">
      <w:pPr>
        <w:pStyle w:val="FootnoteText"/>
        <w:ind w:firstLine="720"/>
      </w:pPr>
      <w:r w:rsidRPr="00877419">
        <w:rPr>
          <w:rStyle w:val="FootnoteReference"/>
          <w:rFonts w:eastAsiaTheme="majorEastAsia"/>
        </w:rPr>
        <w:footnoteRef/>
      </w:r>
      <w:r w:rsidRPr="00877419">
        <w:t>Regardless of the type of monitor:  Continuous, simultaneous, or serial.</w:t>
      </w:r>
    </w:p>
    <w:p w:rsidR="00582BF4" w:rsidP="00582BF4" w14:paraId="1332E879"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35D0" w:rsidP="005B35D0" w14:paraId="0ADBE166" w14:textId="5DD91ABD">
    <w:pPr>
      <w:pStyle w:val="Header"/>
    </w:pPr>
    <w:r w:rsidRPr="005B35D0">
      <w:t>U</w:t>
    </w:r>
    <w:r>
      <w:t xml:space="preserve">nderground Construction Standard </w:t>
    </w:r>
    <w:r w:rsidRPr="005B35D0">
      <w:t xml:space="preserve">(29 CFR 1926.800) </w:t>
    </w:r>
  </w:p>
  <w:p w:rsidR="005B35D0" w:rsidP="005B35D0" w14:paraId="20F4A314" w14:textId="0B35E344">
    <w:pPr>
      <w:pStyle w:val="Header"/>
    </w:pPr>
    <w:r>
      <w:t>OMB Control Number 1218-0</w:t>
    </w:r>
    <w:r w:rsidR="004B5904">
      <w:t>067</w:t>
    </w:r>
  </w:p>
  <w:p w:rsidR="005B35D0" w:rsidP="005B35D0" w14:paraId="404F156E" w14:textId="033B56CB">
    <w:pPr>
      <w:pStyle w:val="Header"/>
    </w:pPr>
    <w:r>
      <w:t xml:space="preserve">Expiration Date: </w:t>
    </w:r>
    <w:r w:rsidR="00830C82">
      <w:t>August 31</w:t>
    </w:r>
    <w:r>
      <w:t>, 2024</w:t>
    </w:r>
  </w:p>
  <w:p w:rsidR="004B5904" w:rsidP="005B35D0" w14:paraId="49E9737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5C6B5"/>
    <w:multiLevelType w:val="singleLevel"/>
    <w:tmpl w:val="21B10DDD"/>
    <w:lvl w:ilvl="0">
      <w:start w:val="0"/>
      <w:numFmt w:val="bullet"/>
      <w:lvlText w:val="·"/>
      <w:lvlJc w:val="left"/>
      <w:pPr>
        <w:tabs>
          <w:tab w:val="num" w:pos="468"/>
        </w:tabs>
        <w:ind w:left="540"/>
      </w:pPr>
      <w:rPr>
        <w:rFonts w:ascii="Symbol" w:hAnsi="Symbol"/>
        <w:b/>
        <w:snapToGrid/>
        <w:sz w:val="20"/>
      </w:rPr>
    </w:lvl>
  </w:abstractNum>
  <w:abstractNum w:abstractNumId="1">
    <w:nsid w:val="1959142B"/>
    <w:multiLevelType w:val="hybridMultilevel"/>
    <w:tmpl w:val="BAB091EC"/>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
    <w:nsid w:val="1BDC06FC"/>
    <w:multiLevelType w:val="hybridMultilevel"/>
    <w:tmpl w:val="3E5EECC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27940279"/>
    <w:multiLevelType w:val="hybridMultilevel"/>
    <w:tmpl w:val="38CC4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F9471DA"/>
    <w:multiLevelType w:val="hybridMultilevel"/>
    <w:tmpl w:val="38A461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309C1D2E"/>
    <w:multiLevelType w:val="hybridMultilevel"/>
    <w:tmpl w:val="8DB4AC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98444EE"/>
    <w:multiLevelType w:val="hybridMultilevel"/>
    <w:tmpl w:val="4E3A9626"/>
    <w:lvl w:ilvl="0">
      <w:start w:val="1"/>
      <w:numFmt w:val="upperLetter"/>
      <w:lvlText w:val="(%1)"/>
      <w:lvlJc w:val="left"/>
      <w:pPr>
        <w:ind w:left="511" w:hanging="446"/>
      </w:pPr>
      <w:rPr>
        <w:rFonts w:hint="default"/>
      </w:rPr>
    </w:lvl>
    <w:lvl w:ilvl="1" w:tentative="1">
      <w:start w:val="1"/>
      <w:numFmt w:val="lowerLetter"/>
      <w:lvlText w:val="%2."/>
      <w:lvlJc w:val="left"/>
      <w:pPr>
        <w:ind w:left="1145" w:hanging="360"/>
      </w:pPr>
    </w:lvl>
    <w:lvl w:ilvl="2" w:tentative="1">
      <w:start w:val="1"/>
      <w:numFmt w:val="lowerRoman"/>
      <w:lvlText w:val="%3."/>
      <w:lvlJc w:val="right"/>
      <w:pPr>
        <w:ind w:left="1865" w:hanging="180"/>
      </w:pPr>
    </w:lvl>
    <w:lvl w:ilvl="3" w:tentative="1">
      <w:start w:val="1"/>
      <w:numFmt w:val="decimal"/>
      <w:lvlText w:val="%4."/>
      <w:lvlJc w:val="left"/>
      <w:pPr>
        <w:ind w:left="2585" w:hanging="360"/>
      </w:pPr>
    </w:lvl>
    <w:lvl w:ilvl="4" w:tentative="1">
      <w:start w:val="1"/>
      <w:numFmt w:val="lowerLetter"/>
      <w:lvlText w:val="%5."/>
      <w:lvlJc w:val="left"/>
      <w:pPr>
        <w:ind w:left="3305" w:hanging="360"/>
      </w:pPr>
    </w:lvl>
    <w:lvl w:ilvl="5" w:tentative="1">
      <w:start w:val="1"/>
      <w:numFmt w:val="lowerRoman"/>
      <w:lvlText w:val="%6."/>
      <w:lvlJc w:val="right"/>
      <w:pPr>
        <w:ind w:left="4025" w:hanging="180"/>
      </w:pPr>
    </w:lvl>
    <w:lvl w:ilvl="6" w:tentative="1">
      <w:start w:val="1"/>
      <w:numFmt w:val="decimal"/>
      <w:lvlText w:val="%7."/>
      <w:lvlJc w:val="left"/>
      <w:pPr>
        <w:ind w:left="4745" w:hanging="360"/>
      </w:pPr>
    </w:lvl>
    <w:lvl w:ilvl="7" w:tentative="1">
      <w:start w:val="1"/>
      <w:numFmt w:val="lowerLetter"/>
      <w:lvlText w:val="%8."/>
      <w:lvlJc w:val="left"/>
      <w:pPr>
        <w:ind w:left="5465" w:hanging="360"/>
      </w:pPr>
    </w:lvl>
    <w:lvl w:ilvl="8" w:tentative="1">
      <w:start w:val="1"/>
      <w:numFmt w:val="lowerRoman"/>
      <w:lvlText w:val="%9."/>
      <w:lvlJc w:val="right"/>
      <w:pPr>
        <w:ind w:left="6185" w:hanging="180"/>
      </w:pPr>
    </w:lvl>
  </w:abstractNum>
  <w:abstractNum w:abstractNumId="7">
    <w:nsid w:val="47053E14"/>
    <w:multiLevelType w:val="hybridMultilevel"/>
    <w:tmpl w:val="7A5A746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56C760B3"/>
    <w:multiLevelType w:val="hybridMultilevel"/>
    <w:tmpl w:val="84229AFA"/>
    <w:lvl w:ilvl="0">
      <w:start w:val="1"/>
      <w:numFmt w:val="decimal"/>
      <w:lvlText w:val="%1."/>
      <w:lvlJc w:val="left"/>
      <w:pPr>
        <w:ind w:left="270" w:hanging="360"/>
      </w:pPr>
      <w:rPr>
        <w:rFonts w:hint="default"/>
        <w:b/>
      </w:rPr>
    </w:lvl>
    <w:lvl w:ilvl="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9">
    <w:nsid w:val="5BAD3F4B"/>
    <w:multiLevelType w:val="hybridMultilevel"/>
    <w:tmpl w:val="1B4230FE"/>
    <w:lvl w:ilvl="0">
      <w:start w:val="1"/>
      <w:numFmt w:val="decimal"/>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6661687F"/>
    <w:multiLevelType w:val="hybridMultilevel"/>
    <w:tmpl w:val="509622CA"/>
    <w:lvl w:ilvl="0">
      <w:start w:val="6"/>
      <w:numFmt w:val="decimal"/>
      <w:lvlText w:val="%1."/>
      <w:lvlJc w:val="left"/>
      <w:pPr>
        <w:ind w:left="27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2">
    <w:nsid w:val="6F0846FA"/>
    <w:multiLevelType w:val="hybridMultilevel"/>
    <w:tmpl w:val="405679BE"/>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76FA1707"/>
    <w:multiLevelType w:val="hybridMultilevel"/>
    <w:tmpl w:val="3BD01D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AA32513"/>
    <w:multiLevelType w:val="hybridMultilevel"/>
    <w:tmpl w:val="1D3258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DB6744F"/>
    <w:multiLevelType w:val="hybridMultilevel"/>
    <w:tmpl w:val="A3A8D0D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709649917">
    <w:abstractNumId w:val="12"/>
  </w:num>
  <w:num w:numId="2" w16cid:durableId="2000113510">
    <w:abstractNumId w:val="14"/>
  </w:num>
  <w:num w:numId="3" w16cid:durableId="2143302304">
    <w:abstractNumId w:val="1"/>
  </w:num>
  <w:num w:numId="4" w16cid:durableId="1421217760">
    <w:abstractNumId w:val="3"/>
  </w:num>
  <w:num w:numId="5" w16cid:durableId="1374385751">
    <w:abstractNumId w:val="13"/>
  </w:num>
  <w:num w:numId="6" w16cid:durableId="1286155950">
    <w:abstractNumId w:val="5"/>
  </w:num>
  <w:num w:numId="7" w16cid:durableId="1743022319">
    <w:abstractNumId w:val="6"/>
  </w:num>
  <w:num w:numId="8" w16cid:durableId="607204800">
    <w:abstractNumId w:val="0"/>
    <w:lvlOverride w:ilvl="0">
      <w:lvl w:ilvl="0">
        <w:start w:val="0"/>
        <w:numFmt w:val="bullet"/>
        <w:lvlText w:val="·"/>
        <w:lvlJc w:val="left"/>
        <w:pPr>
          <w:tabs>
            <w:tab w:val="num" w:pos="360"/>
          </w:tabs>
          <w:ind w:left="360" w:hanging="360"/>
        </w:pPr>
        <w:rPr>
          <w:rFonts w:ascii="Symbol" w:hAnsi="Symbol"/>
          <w:b/>
          <w:snapToGrid/>
          <w:spacing w:val="-2"/>
          <w:sz w:val="20"/>
        </w:rPr>
      </w:lvl>
    </w:lvlOverride>
  </w:num>
  <w:num w:numId="9" w16cid:durableId="14622276">
    <w:abstractNumId w:val="15"/>
  </w:num>
  <w:num w:numId="10" w16cid:durableId="568883555">
    <w:abstractNumId w:val="10"/>
  </w:num>
  <w:num w:numId="11" w16cid:durableId="1112701505">
    <w:abstractNumId w:val="8"/>
  </w:num>
  <w:num w:numId="12" w16cid:durableId="655844567">
    <w:abstractNumId w:val="9"/>
  </w:num>
  <w:num w:numId="13" w16cid:durableId="1942637668">
    <w:abstractNumId w:val="11"/>
  </w:num>
  <w:num w:numId="14" w16cid:durableId="469131638">
    <w:abstractNumId w:val="2"/>
  </w:num>
  <w:num w:numId="15" w16cid:durableId="1522470631">
    <w:abstractNumId w:val="4"/>
  </w:num>
  <w:num w:numId="16" w16cid:durableId="197407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BF4"/>
    <w:rsid w:val="0002556D"/>
    <w:rsid w:val="000B1647"/>
    <w:rsid w:val="000E23F0"/>
    <w:rsid w:val="000F7043"/>
    <w:rsid w:val="001849B1"/>
    <w:rsid w:val="001B0BF4"/>
    <w:rsid w:val="001B1793"/>
    <w:rsid w:val="001D5181"/>
    <w:rsid w:val="001F1EB6"/>
    <w:rsid w:val="00206663"/>
    <w:rsid w:val="00214EEC"/>
    <w:rsid w:val="00247050"/>
    <w:rsid w:val="00281F91"/>
    <w:rsid w:val="00297479"/>
    <w:rsid w:val="00311174"/>
    <w:rsid w:val="00354265"/>
    <w:rsid w:val="00363486"/>
    <w:rsid w:val="003B1A6D"/>
    <w:rsid w:val="004102C1"/>
    <w:rsid w:val="00416217"/>
    <w:rsid w:val="00442D3D"/>
    <w:rsid w:val="00490B29"/>
    <w:rsid w:val="004B5904"/>
    <w:rsid w:val="0053125A"/>
    <w:rsid w:val="00582BF4"/>
    <w:rsid w:val="00586B2B"/>
    <w:rsid w:val="005B35D0"/>
    <w:rsid w:val="005D1064"/>
    <w:rsid w:val="006342EC"/>
    <w:rsid w:val="00643B73"/>
    <w:rsid w:val="006A5216"/>
    <w:rsid w:val="006C5114"/>
    <w:rsid w:val="006D43C7"/>
    <w:rsid w:val="006D5BA0"/>
    <w:rsid w:val="006D66D7"/>
    <w:rsid w:val="007077B2"/>
    <w:rsid w:val="007C6A35"/>
    <w:rsid w:val="007D1E44"/>
    <w:rsid w:val="00830C82"/>
    <w:rsid w:val="00832444"/>
    <w:rsid w:val="00871CA6"/>
    <w:rsid w:val="00877419"/>
    <w:rsid w:val="008A1100"/>
    <w:rsid w:val="008F5747"/>
    <w:rsid w:val="0092128C"/>
    <w:rsid w:val="0094672D"/>
    <w:rsid w:val="00953BD5"/>
    <w:rsid w:val="00A76F94"/>
    <w:rsid w:val="00AA3BFE"/>
    <w:rsid w:val="00AE07F1"/>
    <w:rsid w:val="00AE0E9C"/>
    <w:rsid w:val="00B51930"/>
    <w:rsid w:val="00BC6836"/>
    <w:rsid w:val="00BD23A8"/>
    <w:rsid w:val="00BD730D"/>
    <w:rsid w:val="00C001C3"/>
    <w:rsid w:val="00C12F2A"/>
    <w:rsid w:val="00C5492E"/>
    <w:rsid w:val="00C57F5E"/>
    <w:rsid w:val="00D23214"/>
    <w:rsid w:val="00D71729"/>
    <w:rsid w:val="00D72A54"/>
    <w:rsid w:val="00D82B08"/>
    <w:rsid w:val="00DB64D8"/>
    <w:rsid w:val="00DC53E7"/>
    <w:rsid w:val="00DD147F"/>
    <w:rsid w:val="00DD1979"/>
    <w:rsid w:val="00E27F13"/>
    <w:rsid w:val="00E441CA"/>
    <w:rsid w:val="00EB2C49"/>
    <w:rsid w:val="00F47EDC"/>
    <w:rsid w:val="00F5119C"/>
    <w:rsid w:val="00F67AEA"/>
    <w:rsid w:val="00F81455"/>
    <w:rsid w:val="00FC47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8E7467"/>
  <w15:chartTrackingRefBased/>
  <w15:docId w15:val="{AFD4B918-5CE7-459B-A598-ABCDFF23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BF4"/>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582B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82B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2B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2B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2B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2B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B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B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B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B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82B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2B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2B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2B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2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BF4"/>
    <w:rPr>
      <w:rFonts w:eastAsiaTheme="majorEastAsia" w:cstheme="majorBidi"/>
      <w:color w:val="272727" w:themeColor="text1" w:themeTint="D8"/>
    </w:rPr>
  </w:style>
  <w:style w:type="paragraph" w:styleId="Title">
    <w:name w:val="Title"/>
    <w:basedOn w:val="Normal"/>
    <w:next w:val="Normal"/>
    <w:link w:val="TitleChar"/>
    <w:uiPriority w:val="10"/>
    <w:qFormat/>
    <w:rsid w:val="00582B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BF4"/>
    <w:pPr>
      <w:spacing w:before="160"/>
      <w:jc w:val="center"/>
    </w:pPr>
    <w:rPr>
      <w:i/>
      <w:iCs/>
      <w:color w:val="404040" w:themeColor="text1" w:themeTint="BF"/>
    </w:rPr>
  </w:style>
  <w:style w:type="character" w:customStyle="1" w:styleId="QuoteChar">
    <w:name w:val="Quote Char"/>
    <w:basedOn w:val="DefaultParagraphFont"/>
    <w:link w:val="Quote"/>
    <w:uiPriority w:val="29"/>
    <w:rsid w:val="00582BF4"/>
    <w:rPr>
      <w:i/>
      <w:iCs/>
      <w:color w:val="404040" w:themeColor="text1" w:themeTint="BF"/>
    </w:rPr>
  </w:style>
  <w:style w:type="paragraph" w:styleId="ListParagraph">
    <w:name w:val="List Paragraph"/>
    <w:basedOn w:val="Normal"/>
    <w:uiPriority w:val="34"/>
    <w:qFormat/>
    <w:rsid w:val="00582BF4"/>
    <w:pPr>
      <w:ind w:left="720"/>
      <w:contextualSpacing/>
    </w:pPr>
  </w:style>
  <w:style w:type="character" w:styleId="IntenseEmphasis">
    <w:name w:val="Intense Emphasis"/>
    <w:basedOn w:val="DefaultParagraphFont"/>
    <w:uiPriority w:val="21"/>
    <w:qFormat/>
    <w:rsid w:val="00582BF4"/>
    <w:rPr>
      <w:i/>
      <w:iCs/>
      <w:color w:val="2F5496" w:themeColor="accent1" w:themeShade="BF"/>
    </w:rPr>
  </w:style>
  <w:style w:type="paragraph" w:styleId="IntenseQuote">
    <w:name w:val="Intense Quote"/>
    <w:basedOn w:val="Normal"/>
    <w:next w:val="Normal"/>
    <w:link w:val="IntenseQuoteChar"/>
    <w:uiPriority w:val="30"/>
    <w:qFormat/>
    <w:rsid w:val="00582B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2BF4"/>
    <w:rPr>
      <w:i/>
      <w:iCs/>
      <w:color w:val="2F5496" w:themeColor="accent1" w:themeShade="BF"/>
    </w:rPr>
  </w:style>
  <w:style w:type="character" w:styleId="IntenseReference">
    <w:name w:val="Intense Reference"/>
    <w:basedOn w:val="DefaultParagraphFont"/>
    <w:uiPriority w:val="32"/>
    <w:qFormat/>
    <w:rsid w:val="00582BF4"/>
    <w:rPr>
      <w:b/>
      <w:bCs/>
      <w:smallCaps/>
      <w:color w:val="2F5496" w:themeColor="accent1" w:themeShade="BF"/>
      <w:spacing w:val="5"/>
    </w:rPr>
  </w:style>
  <w:style w:type="paragraph" w:styleId="FootnoteText">
    <w:name w:val="footnote text"/>
    <w:basedOn w:val="Normal"/>
    <w:link w:val="FootnoteTextChar"/>
    <w:semiHidden/>
    <w:rsid w:val="00582BF4"/>
  </w:style>
  <w:style w:type="character" w:customStyle="1" w:styleId="FootnoteTextChar">
    <w:name w:val="Footnote Text Char"/>
    <w:basedOn w:val="DefaultParagraphFont"/>
    <w:link w:val="FootnoteText"/>
    <w:semiHidden/>
    <w:rsid w:val="00582BF4"/>
    <w:rPr>
      <w:rFonts w:ascii="Times New Roman" w:eastAsia="Times New Roman" w:hAnsi="Times New Roman" w:cs="Times New Roman"/>
      <w:kern w:val="0"/>
      <w:sz w:val="20"/>
      <w:szCs w:val="20"/>
      <w14:ligatures w14:val="none"/>
    </w:rPr>
  </w:style>
  <w:style w:type="character" w:styleId="FootnoteReference">
    <w:name w:val="footnote reference"/>
    <w:uiPriority w:val="99"/>
    <w:semiHidden/>
    <w:rsid w:val="00582BF4"/>
    <w:rPr>
      <w:vertAlign w:val="superscript"/>
    </w:rPr>
  </w:style>
  <w:style w:type="paragraph" w:styleId="BalloonText">
    <w:name w:val="Balloon Text"/>
    <w:basedOn w:val="Normal"/>
    <w:link w:val="BalloonTextChar"/>
    <w:uiPriority w:val="99"/>
    <w:semiHidden/>
    <w:unhideWhenUsed/>
    <w:rsid w:val="00582BF4"/>
    <w:rPr>
      <w:rFonts w:ascii="Tahoma" w:hAnsi="Tahoma" w:cs="Tahoma"/>
      <w:sz w:val="16"/>
      <w:szCs w:val="16"/>
    </w:rPr>
  </w:style>
  <w:style w:type="character" w:customStyle="1" w:styleId="BalloonTextChar">
    <w:name w:val="Balloon Text Char"/>
    <w:basedOn w:val="DefaultParagraphFont"/>
    <w:link w:val="BalloonText"/>
    <w:uiPriority w:val="99"/>
    <w:semiHidden/>
    <w:rsid w:val="00582BF4"/>
    <w:rPr>
      <w:rFonts w:ascii="Tahoma" w:eastAsia="Times New Roman" w:hAnsi="Tahoma" w:cs="Tahoma"/>
      <w:kern w:val="0"/>
      <w:sz w:val="16"/>
      <w:szCs w:val="16"/>
      <w14:ligatures w14:val="none"/>
    </w:rPr>
  </w:style>
  <w:style w:type="character" w:styleId="Hyperlink">
    <w:name w:val="Hyperlink"/>
    <w:basedOn w:val="DefaultParagraphFont"/>
    <w:uiPriority w:val="99"/>
    <w:unhideWhenUsed/>
    <w:rsid w:val="00582BF4"/>
    <w:rPr>
      <w:color w:val="0000FF"/>
      <w:u w:val="single"/>
    </w:rPr>
  </w:style>
  <w:style w:type="character" w:styleId="FollowedHyperlink">
    <w:name w:val="FollowedHyperlink"/>
    <w:basedOn w:val="DefaultParagraphFont"/>
    <w:uiPriority w:val="99"/>
    <w:semiHidden/>
    <w:unhideWhenUsed/>
    <w:rsid w:val="00582BF4"/>
    <w:rPr>
      <w:color w:val="954F72" w:themeColor="followedHyperlink"/>
      <w:u w:val="single"/>
    </w:rPr>
  </w:style>
  <w:style w:type="character" w:styleId="CommentReference">
    <w:name w:val="annotation reference"/>
    <w:basedOn w:val="DefaultParagraphFont"/>
    <w:unhideWhenUsed/>
    <w:rsid w:val="00582BF4"/>
    <w:rPr>
      <w:sz w:val="16"/>
      <w:szCs w:val="16"/>
    </w:rPr>
  </w:style>
  <w:style w:type="paragraph" w:styleId="CommentText">
    <w:name w:val="annotation text"/>
    <w:basedOn w:val="Normal"/>
    <w:link w:val="CommentTextChar"/>
    <w:unhideWhenUsed/>
    <w:rsid w:val="00582BF4"/>
  </w:style>
  <w:style w:type="character" w:customStyle="1" w:styleId="CommentTextChar">
    <w:name w:val="Comment Text Char"/>
    <w:basedOn w:val="DefaultParagraphFont"/>
    <w:link w:val="CommentText"/>
    <w:rsid w:val="00582BF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82BF4"/>
    <w:rPr>
      <w:b/>
      <w:bCs/>
    </w:rPr>
  </w:style>
  <w:style w:type="character" w:customStyle="1" w:styleId="CommentSubjectChar">
    <w:name w:val="Comment Subject Char"/>
    <w:basedOn w:val="CommentTextChar"/>
    <w:link w:val="CommentSubject"/>
    <w:uiPriority w:val="99"/>
    <w:semiHidden/>
    <w:rsid w:val="00582BF4"/>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582BF4"/>
    <w:pPr>
      <w:tabs>
        <w:tab w:val="center" w:pos="4680"/>
        <w:tab w:val="right" w:pos="9360"/>
      </w:tabs>
    </w:pPr>
  </w:style>
  <w:style w:type="character" w:customStyle="1" w:styleId="HeaderChar">
    <w:name w:val="Header Char"/>
    <w:basedOn w:val="DefaultParagraphFont"/>
    <w:link w:val="Header"/>
    <w:uiPriority w:val="99"/>
    <w:rsid w:val="00582BF4"/>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582BF4"/>
    <w:pPr>
      <w:tabs>
        <w:tab w:val="center" w:pos="4680"/>
        <w:tab w:val="right" w:pos="9360"/>
      </w:tabs>
    </w:pPr>
  </w:style>
  <w:style w:type="character" w:customStyle="1" w:styleId="FooterChar">
    <w:name w:val="Footer Char"/>
    <w:basedOn w:val="DefaultParagraphFont"/>
    <w:link w:val="Footer"/>
    <w:uiPriority w:val="99"/>
    <w:rsid w:val="00582BF4"/>
    <w:rPr>
      <w:rFonts w:ascii="Times New Roman" w:eastAsia="Times New Roman" w:hAnsi="Times New Roman" w:cs="Times New Roman"/>
      <w:kern w:val="0"/>
      <w:sz w:val="20"/>
      <w:szCs w:val="20"/>
      <w14:ligatures w14:val="none"/>
    </w:rPr>
  </w:style>
  <w:style w:type="table" w:styleId="TableGrid">
    <w:name w:val="Table Grid"/>
    <w:basedOn w:val="TableNormal"/>
    <w:uiPriority w:val="59"/>
    <w:rsid w:val="00582B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82BF4"/>
    <w:pPr>
      <w:spacing w:after="0" w:line="240" w:lineRule="auto"/>
    </w:pPr>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582BF4"/>
    <w:rPr>
      <w:rFonts w:eastAsiaTheme="minorHAnsi"/>
      <w:sz w:val="24"/>
      <w:szCs w:val="24"/>
    </w:rPr>
  </w:style>
  <w:style w:type="paragraph" w:styleId="EndnoteText">
    <w:name w:val="endnote text"/>
    <w:basedOn w:val="Normal"/>
    <w:link w:val="EndnoteTextChar"/>
    <w:uiPriority w:val="99"/>
    <w:semiHidden/>
    <w:unhideWhenUsed/>
    <w:rsid w:val="00582BF4"/>
  </w:style>
  <w:style w:type="character" w:customStyle="1" w:styleId="EndnoteTextChar">
    <w:name w:val="Endnote Text Char"/>
    <w:basedOn w:val="DefaultParagraphFont"/>
    <w:link w:val="EndnoteText"/>
    <w:uiPriority w:val="99"/>
    <w:semiHidden/>
    <w:rsid w:val="00582BF4"/>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582BF4"/>
    <w:rPr>
      <w:vertAlign w:val="superscript"/>
    </w:rPr>
  </w:style>
  <w:style w:type="paragraph" w:customStyle="1" w:styleId="Level1">
    <w:name w:val="Level 1"/>
    <w:basedOn w:val="Normal"/>
    <w:rsid w:val="00582BF4"/>
    <w:pPr>
      <w:widowControl w:val="0"/>
      <w:autoSpaceDE w:val="0"/>
      <w:autoSpaceDN w:val="0"/>
      <w:adjustRightInd w:val="0"/>
      <w:ind w:left="360" w:hanging="360"/>
    </w:pPr>
    <w:rPr>
      <w:sz w:val="24"/>
      <w:szCs w:val="24"/>
    </w:rPr>
  </w:style>
  <w:style w:type="character" w:customStyle="1" w:styleId="normaltextrun">
    <w:name w:val="normaltextrun"/>
    <w:basedOn w:val="DefaultParagraphFont"/>
    <w:rsid w:val="00582BF4"/>
  </w:style>
  <w:style w:type="character" w:customStyle="1" w:styleId="eop">
    <w:name w:val="eop"/>
    <w:basedOn w:val="DefaultParagraphFont"/>
    <w:rsid w:val="00582BF4"/>
  </w:style>
  <w:style w:type="numbering" w:customStyle="1" w:styleId="NoList1">
    <w:name w:val="No List1"/>
    <w:next w:val="NoList"/>
    <w:uiPriority w:val="99"/>
    <w:semiHidden/>
    <w:unhideWhenUsed/>
    <w:rsid w:val="00582BF4"/>
  </w:style>
  <w:style w:type="paragraph" w:customStyle="1" w:styleId="msonormal">
    <w:name w:val="msonormal"/>
    <w:basedOn w:val="Normal"/>
    <w:rsid w:val="00582BF4"/>
    <w:pPr>
      <w:spacing w:before="100" w:beforeAutospacing="1" w:after="100" w:afterAutospacing="1"/>
    </w:pPr>
    <w:rPr>
      <w:sz w:val="24"/>
      <w:szCs w:val="24"/>
    </w:rPr>
  </w:style>
  <w:style w:type="paragraph" w:customStyle="1" w:styleId="indent-1">
    <w:name w:val="indent-1"/>
    <w:basedOn w:val="Normal"/>
    <w:rsid w:val="00582BF4"/>
    <w:pPr>
      <w:spacing w:before="100" w:beforeAutospacing="1" w:after="100" w:afterAutospacing="1"/>
    </w:pPr>
    <w:rPr>
      <w:sz w:val="24"/>
      <w:szCs w:val="24"/>
    </w:rPr>
  </w:style>
  <w:style w:type="character" w:customStyle="1" w:styleId="paragraph-hierarchy">
    <w:name w:val="paragraph-hierarchy"/>
    <w:basedOn w:val="DefaultParagraphFont"/>
    <w:rsid w:val="00582BF4"/>
  </w:style>
  <w:style w:type="character" w:customStyle="1" w:styleId="paren">
    <w:name w:val="paren"/>
    <w:basedOn w:val="DefaultParagraphFont"/>
    <w:rsid w:val="00582BF4"/>
  </w:style>
  <w:style w:type="character" w:styleId="Emphasis">
    <w:name w:val="Emphasis"/>
    <w:basedOn w:val="DefaultParagraphFont"/>
    <w:uiPriority w:val="20"/>
    <w:qFormat/>
    <w:rsid w:val="00582BF4"/>
    <w:rPr>
      <w:i/>
      <w:iCs/>
    </w:rPr>
  </w:style>
  <w:style w:type="paragraph" w:customStyle="1" w:styleId="indent-2">
    <w:name w:val="indent-2"/>
    <w:basedOn w:val="Normal"/>
    <w:rsid w:val="00582BF4"/>
    <w:pPr>
      <w:spacing w:before="100" w:beforeAutospacing="1" w:after="100" w:afterAutospacing="1"/>
    </w:pPr>
    <w:rPr>
      <w:sz w:val="24"/>
      <w:szCs w:val="24"/>
    </w:rPr>
  </w:style>
  <w:style w:type="paragraph" w:customStyle="1" w:styleId="indent-3">
    <w:name w:val="indent-3"/>
    <w:basedOn w:val="Normal"/>
    <w:rsid w:val="00582BF4"/>
    <w:pPr>
      <w:spacing w:before="100" w:beforeAutospacing="1" w:after="100" w:afterAutospacing="1"/>
    </w:pPr>
    <w:rPr>
      <w:sz w:val="24"/>
      <w:szCs w:val="24"/>
    </w:rPr>
  </w:style>
  <w:style w:type="paragraph" w:customStyle="1" w:styleId="indent-4">
    <w:name w:val="indent-4"/>
    <w:basedOn w:val="Normal"/>
    <w:rsid w:val="00582BF4"/>
    <w:pPr>
      <w:spacing w:before="100" w:beforeAutospacing="1" w:after="100" w:afterAutospacing="1"/>
    </w:pPr>
    <w:rPr>
      <w:sz w:val="24"/>
      <w:szCs w:val="24"/>
    </w:rPr>
  </w:style>
  <w:style w:type="paragraph" w:customStyle="1" w:styleId="indent-5">
    <w:name w:val="indent-5"/>
    <w:basedOn w:val="Normal"/>
    <w:rsid w:val="00582BF4"/>
    <w:pPr>
      <w:spacing w:before="100" w:beforeAutospacing="1" w:after="100" w:afterAutospacing="1"/>
    </w:pPr>
    <w:rPr>
      <w:sz w:val="24"/>
      <w:szCs w:val="24"/>
    </w:rPr>
  </w:style>
  <w:style w:type="paragraph" w:customStyle="1" w:styleId="citation">
    <w:name w:val="citation"/>
    <w:basedOn w:val="Normal"/>
    <w:rsid w:val="00582BF4"/>
    <w:pPr>
      <w:spacing w:before="100" w:beforeAutospacing="1" w:after="100" w:afterAutospacing="1"/>
    </w:pPr>
    <w:rPr>
      <w:sz w:val="24"/>
      <w:szCs w:val="24"/>
    </w:rPr>
  </w:style>
  <w:style w:type="character" w:customStyle="1" w:styleId="content-tools-target">
    <w:name w:val="content-tools-target"/>
    <w:basedOn w:val="DefaultParagraphFont"/>
    <w:rsid w:val="00582BF4"/>
  </w:style>
  <w:style w:type="paragraph" w:customStyle="1" w:styleId="flush-paragraph">
    <w:name w:val="flush-paragraph"/>
    <w:basedOn w:val="Normal"/>
    <w:rsid w:val="00582BF4"/>
    <w:pPr>
      <w:spacing w:before="100" w:beforeAutospacing="1" w:after="100" w:afterAutospacing="1"/>
    </w:pPr>
    <w:rPr>
      <w:sz w:val="24"/>
      <w:szCs w:val="24"/>
    </w:rPr>
  </w:style>
  <w:style w:type="character" w:customStyle="1" w:styleId="fraction">
    <w:name w:val="fraction"/>
    <w:basedOn w:val="DefaultParagraphFont"/>
    <w:rsid w:val="00582BF4"/>
  </w:style>
  <w:style w:type="character" w:customStyle="1" w:styleId="numerator">
    <w:name w:val="numerator"/>
    <w:basedOn w:val="DefaultParagraphFont"/>
    <w:rsid w:val="00582BF4"/>
  </w:style>
  <w:style w:type="character" w:customStyle="1" w:styleId="denominator">
    <w:name w:val="denominator"/>
    <w:basedOn w:val="DefaultParagraphFont"/>
    <w:rsid w:val="00582BF4"/>
  </w:style>
  <w:style w:type="paragraph" w:customStyle="1" w:styleId="table-title">
    <w:name w:val="table-title"/>
    <w:basedOn w:val="Normal"/>
    <w:rsid w:val="00582BF4"/>
    <w:pPr>
      <w:spacing w:before="100" w:beforeAutospacing="1" w:after="100" w:afterAutospacing="1"/>
    </w:pPr>
    <w:rPr>
      <w:sz w:val="24"/>
      <w:szCs w:val="24"/>
    </w:rPr>
  </w:style>
  <w:style w:type="paragraph" w:customStyle="1" w:styleId="table-description">
    <w:name w:val="table-description"/>
    <w:basedOn w:val="Normal"/>
    <w:rsid w:val="00582BF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bls.gov/oes/current/oes_stru.htm" TargetMode="External" /><Relationship Id="rId6" Type="http://schemas.openxmlformats.org/officeDocument/2006/relationships/hyperlink" Target="https://www.bls.gov/news.release/pdf/ecec.pdf"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21</Pages>
  <Words>7023</Words>
  <Characters>40037</Characters>
  <Application>Microsoft Office Word</Application>
  <DocSecurity>0</DocSecurity>
  <Lines>333</Lines>
  <Paragraphs>93</Paragraphs>
  <ScaleCrop>false</ScaleCrop>
  <Company/>
  <LinksUpToDate>false</LinksUpToDate>
  <CharactersWithSpaces>46967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Perryman, Seleda M - OSHA</cp:lastModifiedBy>
  <cp:revision>8</cp:revision>
  <dcterms:created xsi:type="dcterms:W3CDTF">2024-08-05T22:44:00Z</dcterms:created>
  <dcterms:modified xsi:type="dcterms:W3CDTF">2024-08-05T22:58:00Z</dcterms:modified>
</cp:coreProperties>
</file>