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0DC3" w:rsidP="00A96D53" w14:paraId="58469B89" w14:textId="0989A7CB">
      <w:pPr>
        <w:pStyle w:val="Title"/>
        <w:jc w:val="left"/>
      </w:pPr>
    </w:p>
    <w:p w:rsidR="009D756C" w:rsidRPr="00A47DA7" w:rsidP="00334156" w14:paraId="6AE6C9F0" w14:textId="7AEA6398">
      <w:pPr>
        <w:tabs>
          <w:tab w:val="left" w:pos="720"/>
          <w:tab w:val="center" w:pos="4608"/>
          <w:tab w:val="right" w:pos="9936"/>
        </w:tabs>
        <w:ind w:left="720" w:hanging="1440"/>
        <w:rPr>
          <w:b/>
          <w:bCs/>
        </w:rPr>
      </w:pPr>
      <w:r>
        <w:rPr>
          <w:b/>
          <w:bCs/>
        </w:rPr>
        <w:tab/>
      </w:r>
      <w:r>
        <w:rPr>
          <w:b/>
          <w:bCs/>
        </w:rPr>
        <w:tab/>
      </w:r>
      <w:r w:rsidRPr="00A47DA7">
        <w:rPr>
          <w:b/>
          <w:bCs/>
        </w:rPr>
        <w:t>SUPPORTING STATEMENT FOR</w:t>
      </w:r>
      <w:r>
        <w:rPr>
          <w:b/>
          <w:bCs/>
        </w:rPr>
        <w:tab/>
      </w:r>
    </w:p>
    <w:p w:rsidR="009D756C" w:rsidP="009D756C" w14:paraId="32DDFF17" w14:textId="06191ABC">
      <w:pPr>
        <w:jc w:val="center"/>
        <w:rPr>
          <w:b/>
          <w:bCs/>
        </w:rPr>
      </w:pPr>
      <w:r>
        <w:rPr>
          <w:b/>
          <w:bCs/>
        </w:rPr>
        <w:t xml:space="preserve"> THE CONSUMER EXPENDITURE SURVEYS</w:t>
      </w:r>
    </w:p>
    <w:p w:rsidR="00673B1B" w:rsidP="00673B1B" w14:paraId="27C9B0FC" w14:textId="45454643">
      <w:pPr>
        <w:pStyle w:val="Title"/>
      </w:pPr>
    </w:p>
    <w:p w:rsidR="009D756C" w:rsidP="00673B1B" w14:paraId="01A9B338" w14:textId="77777777">
      <w:pPr>
        <w:pStyle w:val="Title"/>
      </w:pPr>
    </w:p>
    <w:p w:rsidR="009D756C" w:rsidP="00673B1B" w14:paraId="664D1E98" w14:textId="326221BF">
      <w:pPr>
        <w:pStyle w:val="Title"/>
        <w:rPr>
          <w:b/>
        </w:rPr>
      </w:pPr>
      <w:r w:rsidRPr="00E570DF">
        <w:rPr>
          <w:b/>
        </w:rPr>
        <w:t>OMB CONTROL NO. 1220-0050</w:t>
      </w:r>
    </w:p>
    <w:p w:rsidR="009D756C" w:rsidP="00673B1B" w14:paraId="79B5788C" w14:textId="77777777">
      <w:pPr>
        <w:pStyle w:val="Title"/>
        <w:rPr>
          <w:b/>
        </w:rPr>
      </w:pPr>
    </w:p>
    <w:p w:rsidR="009D756C" w:rsidRPr="006C05FC" w:rsidP="00E570DF" w14:paraId="41DE7CBC" w14:textId="2CAE33EE">
      <w:pPr>
        <w:pStyle w:val="Title"/>
        <w:jc w:val="both"/>
      </w:pPr>
      <w:r w:rsidRPr="006C05FC">
        <w:t xml:space="preserve">This </w:t>
      </w:r>
      <w:r w:rsidR="00A938EA">
        <w:t>Information Collection Re</w:t>
      </w:r>
      <w:r w:rsidR="000B6E16">
        <w:t>quest</w:t>
      </w:r>
      <w:r w:rsidRPr="006C05FC">
        <w:t xml:space="preserve"> </w:t>
      </w:r>
      <w:r w:rsidR="00A938EA">
        <w:t>(</w:t>
      </w:r>
      <w:r w:rsidRPr="006C05FC">
        <w:t>ICR</w:t>
      </w:r>
      <w:r w:rsidR="00A938EA">
        <w:t>)</w:t>
      </w:r>
      <w:r w:rsidRPr="006C05FC">
        <w:t xml:space="preserve"> seeks to obtain clearance for a revision of the Consumer Expenditure (CE) Surveys.  </w:t>
      </w:r>
      <w:r w:rsidRPr="006C05FC" w:rsidR="00413F89">
        <w:t xml:space="preserve">This request is seeking continuation of the CE Surveys and the approval to </w:t>
      </w:r>
      <w:r w:rsidR="004750C6">
        <w:t xml:space="preserve">make modifications to </w:t>
      </w:r>
      <w:r w:rsidR="00722147">
        <w:t xml:space="preserve">both </w:t>
      </w:r>
      <w:r w:rsidR="004750C6">
        <w:t xml:space="preserve">the </w:t>
      </w:r>
      <w:r w:rsidR="008B654B">
        <w:t xml:space="preserve">Interview </w:t>
      </w:r>
      <w:r w:rsidR="00722147">
        <w:t xml:space="preserve">and Diary </w:t>
      </w:r>
      <w:r w:rsidR="008B654B">
        <w:t>survey</w:t>
      </w:r>
      <w:r w:rsidR="00722147">
        <w:t>s</w:t>
      </w:r>
      <w:r w:rsidR="008B654B">
        <w:t xml:space="preserve"> to</w:t>
      </w:r>
      <w:r w:rsidR="00462B67">
        <w:t xml:space="preserve"> </w:t>
      </w:r>
      <w:r w:rsidR="00B871CF">
        <w:t>accom</w:t>
      </w:r>
      <w:r w:rsidR="00900DD6">
        <w:t>m</w:t>
      </w:r>
      <w:r w:rsidR="00A51FB4">
        <w:t>o</w:t>
      </w:r>
      <w:r w:rsidR="00B871CF">
        <w:t>date the sample redesign and make minor wording clarifications</w:t>
      </w:r>
      <w:r w:rsidR="00462B67">
        <w:t>.</w:t>
      </w:r>
      <w:r w:rsidR="008B654B">
        <w:t xml:space="preserve"> </w:t>
      </w:r>
      <w:r w:rsidR="00462B67">
        <w:t>These changes</w:t>
      </w:r>
      <w:r w:rsidR="00F1453E">
        <w:t xml:space="preserve"> are described below and</w:t>
      </w:r>
      <w:r w:rsidR="00462B67">
        <w:t xml:space="preserve"> if approved, </w:t>
      </w:r>
      <w:r w:rsidR="005F724F">
        <w:t>are planned to</w:t>
      </w:r>
      <w:r w:rsidR="00462B67">
        <w:t xml:space="preserve"> be implemented </w:t>
      </w:r>
      <w:r w:rsidR="00D86255">
        <w:t xml:space="preserve">in </w:t>
      </w:r>
      <w:r w:rsidR="00B871CF">
        <w:t>January 2025 for Diary, and April 2025 for Interview</w:t>
      </w:r>
      <w:r w:rsidR="00193FA6">
        <w:t xml:space="preserve">.  </w:t>
      </w:r>
    </w:p>
    <w:p w:rsidR="00673B1B" w:rsidP="00673B1B" w14:paraId="7F9781B2" w14:textId="77777777">
      <w:pPr>
        <w:tabs>
          <w:tab w:val="left" w:pos="1176"/>
          <w:tab w:val="left" w:pos="1656"/>
          <w:tab w:val="left" w:pos="6696"/>
          <w:tab w:val="left" w:pos="8256"/>
        </w:tabs>
      </w:pPr>
    </w:p>
    <w:p w:rsidR="0060704D" w:rsidRPr="00E570DF" w:rsidP="00673B1B" w14:paraId="23FECADB" w14:textId="27305536">
      <w:pPr>
        <w:pStyle w:val="Subtitle"/>
        <w:rPr>
          <w:b/>
          <w:caps/>
        </w:rPr>
      </w:pPr>
      <w:r w:rsidRPr="00E570DF">
        <w:rPr>
          <w:b/>
          <w:caps/>
        </w:rPr>
        <w:t>A.  Justification</w:t>
      </w:r>
    </w:p>
    <w:p w:rsidR="0060704D" w:rsidP="00673B1B" w14:paraId="00B8EC0F" w14:textId="77777777">
      <w:pPr>
        <w:pStyle w:val="Subtitle"/>
      </w:pPr>
    </w:p>
    <w:p w:rsidR="009D756C" w:rsidRPr="00D53DEB" w:rsidP="009D756C" w14:paraId="78A70127" w14:textId="0DA541A0">
      <w:pPr>
        <w:rPr>
          <w:b/>
          <w:bCs/>
        </w:rPr>
      </w:pPr>
      <w:r>
        <w:t xml:space="preserve">     </w:t>
      </w:r>
    </w:p>
    <w:p w:rsidR="009D756C" w:rsidRPr="00D53DEB" w:rsidP="00E570DF" w14:paraId="2963E723" w14:textId="2A6A673C">
      <w:pPr>
        <w:ind w:left="360" w:hanging="360"/>
      </w:pPr>
      <w:r w:rsidRPr="00D53DEB">
        <w:rPr>
          <w:b/>
          <w:bCs/>
        </w:rPr>
        <w:t xml:space="preserve">1.  </w:t>
      </w:r>
      <w:r w:rsidR="009B6B95">
        <w:rPr>
          <w:b/>
          <w:bCs/>
        </w:rPr>
        <w:t xml:space="preserve"> </w:t>
      </w:r>
      <w:r w:rsidRPr="00D53DEB">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0704D" w:rsidP="00D17A87" w14:paraId="03ACCFD4" w14:textId="77777777">
      <w:pPr>
        <w:pStyle w:val="Subtitle"/>
        <w:rPr>
          <w:b/>
        </w:rPr>
      </w:pPr>
    </w:p>
    <w:p w:rsidR="00B51EFD" w:rsidP="00664D7B" w14:paraId="1C91AD88" w14:textId="5B35C66F">
      <w:pPr>
        <w:tabs>
          <w:tab w:val="left" w:pos="1176"/>
          <w:tab w:val="left" w:pos="1656"/>
          <w:tab w:val="left" w:pos="6696"/>
          <w:tab w:val="left" w:pos="8256"/>
        </w:tabs>
        <w:ind w:left="480"/>
      </w:pPr>
      <w:r>
        <w:t>The CE Surveys include</w:t>
      </w:r>
      <w:r w:rsidR="00673B1B">
        <w:t xml:space="preserve"> the</w:t>
      </w:r>
      <w:r w:rsidR="0060704D">
        <w:t xml:space="preserve"> </w:t>
      </w:r>
      <w:r w:rsidR="00673B1B">
        <w:t>Quarterly Intervie</w:t>
      </w:r>
      <w:r w:rsidR="002C0D7B">
        <w:t xml:space="preserve">w Survey </w:t>
      </w:r>
      <w:r w:rsidR="00004351">
        <w:t xml:space="preserve">(CEQ) </w:t>
      </w:r>
      <w:r w:rsidR="002C0D7B">
        <w:t>and the Diary Survey</w:t>
      </w:r>
      <w:r w:rsidR="00004351">
        <w:t xml:space="preserve"> (CED)</w:t>
      </w:r>
      <w:r w:rsidR="001B4633">
        <w:t>.</w:t>
      </w:r>
      <w:r w:rsidR="000A2CD0">
        <w:t xml:space="preserve">  </w:t>
      </w:r>
    </w:p>
    <w:p w:rsidR="00925CC7" w:rsidP="00A74207" w14:paraId="289BA79A" w14:textId="77777777">
      <w:pPr>
        <w:tabs>
          <w:tab w:val="left" w:pos="1176"/>
          <w:tab w:val="left" w:pos="1656"/>
          <w:tab w:val="left" w:pos="6696"/>
          <w:tab w:val="left" w:pos="8256"/>
        </w:tabs>
        <w:ind w:left="480"/>
      </w:pPr>
    </w:p>
    <w:p w:rsidR="00E525B7" w:rsidP="001B55AF" w14:paraId="14208C3B" w14:textId="154C75DA">
      <w:pPr>
        <w:tabs>
          <w:tab w:val="left" w:pos="1176"/>
          <w:tab w:val="left" w:pos="1656"/>
          <w:tab w:val="left" w:pos="6696"/>
          <w:tab w:val="left" w:pos="8256"/>
        </w:tabs>
        <w:ind w:left="480"/>
      </w:pPr>
      <w:r>
        <w:t>The Census</w:t>
      </w:r>
      <w:r w:rsidR="00722C00">
        <w:t xml:space="preserve"> Bureau</w:t>
      </w:r>
      <w:r>
        <w:t xml:space="preserve"> conducts the CE Surveys for the Bureau of Labor Statistics (BLS) in support of the Consumer Price Index (CPI) program.  The continuing CE Surveys provide a constant measurement of changes in consumer expenditure patterns for economic analysis, and obtain data for future CPI revisions.  </w:t>
      </w:r>
      <w:r w:rsidRPr="00334156">
        <w:t xml:space="preserve">The CE also collects point of purchase </w:t>
      </w:r>
      <w:r w:rsidRPr="00334156" w:rsidR="00722C00">
        <w:t xml:space="preserve">data </w:t>
      </w:r>
      <w:r w:rsidRPr="00334156">
        <w:t>in support of the CPI program.</w:t>
      </w:r>
      <w:r w:rsidR="002200BE">
        <w:t xml:space="preserve">  </w:t>
      </w:r>
    </w:p>
    <w:p w:rsidR="00E525B7" w:rsidP="007162C7" w14:paraId="43AB83E9" w14:textId="77777777">
      <w:pPr>
        <w:tabs>
          <w:tab w:val="left" w:pos="1176"/>
          <w:tab w:val="left" w:pos="1656"/>
          <w:tab w:val="left" w:pos="6696"/>
          <w:tab w:val="left" w:pos="8256"/>
        </w:tabs>
        <w:ind w:left="480"/>
      </w:pPr>
    </w:p>
    <w:p w:rsidR="004F4BE2" w:rsidP="004F4BE2" w14:paraId="1BD3E3BB" w14:textId="58F073D6">
      <w:pPr>
        <w:tabs>
          <w:tab w:val="left" w:pos="1176"/>
          <w:tab w:val="left" w:pos="1656"/>
          <w:tab w:val="left" w:pos="6696"/>
          <w:tab w:val="left" w:pos="8256"/>
        </w:tabs>
        <w:ind w:left="480"/>
      </w:pPr>
      <w:bookmarkStart w:id="0" w:name="_Hlk113518168"/>
      <w:r w:rsidRPr="002F1960">
        <w:t> </w:t>
      </w:r>
      <w:bookmarkEnd w:id="0"/>
      <w:r>
        <w:t>The BLS conducts the CE Surveys under the authority of Title 29, Section 2</w:t>
      </w:r>
      <w:r w:rsidR="002C54E4">
        <w:t>,</w:t>
      </w:r>
      <w:r w:rsidRPr="00E00166" w:rsidR="00E00166">
        <w:t xml:space="preserve"> Collection, Collation and Reports of Labor Statistics</w:t>
      </w:r>
      <w:r w:rsidR="00E00166">
        <w:t>,</w:t>
      </w:r>
      <w:r>
        <w:t xml:space="preserve"> of the United States Code.  The Census Bureau collects information in the CE Surveys under the authority of Title 13, United States Code, Section 8b, </w:t>
      </w:r>
      <w:r w:rsidR="00AC0734">
        <w:t>U</w:t>
      </w:r>
      <w:r w:rsidRPr="00AC0734" w:rsidR="00AC0734">
        <w:t>thenticated</w:t>
      </w:r>
      <w:r w:rsidRPr="00AC0734" w:rsidR="00AC0734">
        <w:t xml:space="preserve"> transcripts or copies of certain returns; other data; restriction on use; disposition</w:t>
      </w:r>
      <w:r w:rsidR="00AC0734">
        <w:t xml:space="preserve">, </w:t>
      </w:r>
      <w:r>
        <w:t>that allows the Census Bureau to undertake surveys for other agencies.</w:t>
      </w:r>
    </w:p>
    <w:p w:rsidR="00376275" w:rsidRPr="00D63F3C" w:rsidP="007E7B13" w14:paraId="7C77592C" w14:textId="77777777">
      <w:pPr>
        <w:tabs>
          <w:tab w:val="left" w:pos="1176"/>
          <w:tab w:val="left" w:pos="1656"/>
          <w:tab w:val="left" w:pos="6696"/>
          <w:tab w:val="left" w:pos="8256"/>
        </w:tabs>
        <w:ind w:left="480"/>
      </w:pPr>
    </w:p>
    <w:p w:rsidR="00673B1B" w:rsidP="00673B1B" w14:paraId="2C9D2805" w14:textId="46CE1E4E">
      <w:pPr>
        <w:tabs>
          <w:tab w:val="left" w:pos="1176"/>
          <w:tab w:val="left" w:pos="1656"/>
          <w:tab w:val="left" w:pos="6696"/>
          <w:tab w:val="left" w:pos="8256"/>
        </w:tabs>
      </w:pPr>
    </w:p>
    <w:p w:rsidR="00C45BD1" w:rsidRPr="00D53DEB" w:rsidP="00E570DF" w14:paraId="7B7DE52B" w14:textId="3F5509A7">
      <w:pPr>
        <w:ind w:left="360" w:hanging="360"/>
      </w:pPr>
      <w:r>
        <w:t>2</w:t>
      </w:r>
      <w:r w:rsidRPr="00D53DEB">
        <w:rPr>
          <w:b/>
          <w:bCs/>
        </w:rPr>
        <w:t xml:space="preserve">.  </w:t>
      </w:r>
      <w:r w:rsidR="009B6B95">
        <w:rPr>
          <w:b/>
          <w:bCs/>
        </w:rPr>
        <w:t xml:space="preserve"> </w:t>
      </w:r>
      <w:r w:rsidRPr="00D53DEB">
        <w:rPr>
          <w:b/>
          <w:bCs/>
        </w:rPr>
        <w:t>Indicate how, by whom, and for what purpose the information is to be used.  Except for a new collection, indicate the actual use the agency has made of the information received from the current collection.</w:t>
      </w:r>
    </w:p>
    <w:p w:rsidR="00ED38BB" w:rsidRPr="006A6F11" w:rsidP="00ED38BB" w14:paraId="2415239B" w14:textId="24F707FA">
      <w:pPr>
        <w:tabs>
          <w:tab w:val="left" w:pos="540"/>
          <w:tab w:val="left" w:pos="1656"/>
          <w:tab w:val="left" w:pos="6696"/>
          <w:tab w:val="left" w:pos="8256"/>
        </w:tabs>
        <w:ind w:left="432" w:hanging="576"/>
      </w:pPr>
      <w:r>
        <w:br/>
      </w:r>
      <w:r w:rsidRPr="004A5140">
        <w:t xml:space="preserve">The Census </w:t>
      </w:r>
      <w:r w:rsidRPr="004A5140" w:rsidR="00411F2A">
        <w:t xml:space="preserve">Bureau </w:t>
      </w:r>
      <w:r w:rsidRPr="004A5140">
        <w:t xml:space="preserve">conducts the CE Surveys for the BLS </w:t>
      </w:r>
      <w:r w:rsidRPr="004A5140" w:rsidR="005241DA">
        <w:t>in</w:t>
      </w:r>
      <w:r w:rsidRPr="006A6F11" w:rsidR="0093617F">
        <w:t xml:space="preserve"> support</w:t>
      </w:r>
      <w:r w:rsidRPr="006A6F11">
        <w:t xml:space="preserve"> of the CPI program.  The continuing CE Surveys provide a constant measurement of changes in consumer expenditure patterns for economic analysis, and obtain data for future CPI revisions.</w:t>
      </w:r>
      <w:r w:rsidRPr="006A6F11">
        <w:br/>
      </w:r>
    </w:p>
    <w:p w:rsidR="00673B1B" w:rsidP="00ED38BB" w14:paraId="5A03B857" w14:textId="77777777">
      <w:pPr>
        <w:tabs>
          <w:tab w:val="left" w:pos="1176"/>
          <w:tab w:val="left" w:pos="1656"/>
          <w:tab w:val="left" w:pos="6696"/>
          <w:tab w:val="left" w:pos="8256"/>
        </w:tabs>
        <w:ind w:left="480"/>
      </w:pPr>
      <w:r w:rsidRPr="006A6F11">
        <w:t xml:space="preserve">The BLS will use data collected in the CE Surveys to 1) provide data required for </w:t>
      </w:r>
      <w:r w:rsidRPr="006A6F11" w:rsidR="004253BD">
        <w:t>updating cost-weights used to calculate the CPI</w:t>
      </w:r>
      <w:r w:rsidRPr="006A6F11">
        <w:t xml:space="preserve">; 2) provide a continuous flow of data on income and </w:t>
      </w:r>
      <w:r w:rsidRPr="006A6F11">
        <w:t>expenditure patterns for use in economic analysis and policy formulation; and 3) provide a flexible consumer survey vehicle that is available for use by other Federal Government agencies.  Public and private users of price statistics, including Congress and the economic policymaking agencies of the executive branch, rely on data collected in the CPI in their day</w:t>
      </w:r>
      <w:r w:rsidRPr="006A6F11">
        <w:noBreakHyphen/>
        <w:t>to</w:t>
      </w:r>
      <w:r w:rsidRPr="006A6F11">
        <w:noBreakHyphen/>
        <w:t xml:space="preserve">day activities.  </w:t>
      </w:r>
      <w:r w:rsidRPr="006A6F11" w:rsidR="004253BD">
        <w:t>Data</w:t>
      </w:r>
      <w:r w:rsidRPr="006A6F11">
        <w:t xml:space="preserve"> users and policymakers widely accept the need to </w:t>
      </w:r>
      <w:r w:rsidRPr="006A6F11" w:rsidR="004253BD">
        <w:t>regularly update the weights used in the CPI</w:t>
      </w:r>
      <w:r w:rsidRPr="006A6F11">
        <w:t>.</w:t>
      </w:r>
    </w:p>
    <w:p w:rsidR="001B55AF" w:rsidP="00ED38BB" w14:paraId="0A971802" w14:textId="77777777">
      <w:pPr>
        <w:tabs>
          <w:tab w:val="left" w:pos="1176"/>
          <w:tab w:val="left" w:pos="1656"/>
          <w:tab w:val="left" w:pos="6696"/>
          <w:tab w:val="left" w:pos="8256"/>
        </w:tabs>
        <w:ind w:left="480"/>
      </w:pPr>
    </w:p>
    <w:p w:rsidR="001B55AF" w:rsidP="001B55AF" w14:paraId="6DB176E6" w14:textId="77777777">
      <w:pPr>
        <w:tabs>
          <w:tab w:val="left" w:pos="1176"/>
          <w:tab w:val="left" w:pos="1656"/>
          <w:tab w:val="left" w:pos="6696"/>
          <w:tab w:val="left" w:pos="8256"/>
        </w:tabs>
        <w:ind w:left="480"/>
      </w:pPr>
      <w:r>
        <w:t xml:space="preserve">Data for the CE are collected by the Census Bureau field offices.  For both the CEQ and CED, </w:t>
      </w:r>
      <w:r w:rsidRPr="00B17854">
        <w:t>a new sample</w:t>
      </w:r>
      <w:r>
        <w:t xml:space="preserve"> will be drawn based on the 2020 Census from “primary sampling units”.  PSUs are small geographic clusters of the 3,144 counties or county equivalents in the United States into 1,492 small geographic clusters. (See Supporting Statement Part B for additional information.) </w:t>
      </w:r>
    </w:p>
    <w:p w:rsidR="001B55AF" w:rsidP="001B55AF" w14:paraId="4C2B34A3" w14:textId="77777777">
      <w:pPr>
        <w:tabs>
          <w:tab w:val="left" w:pos="1176"/>
          <w:tab w:val="left" w:pos="1656"/>
          <w:tab w:val="left" w:pos="6696"/>
          <w:tab w:val="left" w:pos="8256"/>
        </w:tabs>
      </w:pPr>
      <w:r>
        <w:t xml:space="preserve"> </w:t>
      </w:r>
    </w:p>
    <w:p w:rsidR="001B55AF" w:rsidP="001B55AF" w14:paraId="308F3E63" w14:textId="77777777">
      <w:pPr>
        <w:tabs>
          <w:tab w:val="left" w:pos="1176"/>
          <w:tab w:val="left" w:pos="1656"/>
          <w:tab w:val="left" w:pos="6696"/>
          <w:tab w:val="left" w:pos="8256"/>
        </w:tabs>
        <w:ind w:left="480"/>
      </w:pPr>
      <w:r>
        <w:t xml:space="preserve">The CEQ uses the CE Quarterly Interview Computer Assisted Personal Interview (CAPI) instrument to collect data.  The CEQ CAPI instrument is the major collection tool used for the CEQ and collects the characteristics of the household, consumer unit (CU), and information on the CU’s expenditures including point of purchase through a series of four personal interviews.  </w:t>
      </w:r>
    </w:p>
    <w:p w:rsidR="001B55AF" w:rsidP="00ED38BB" w14:paraId="27365466" w14:textId="77777777">
      <w:pPr>
        <w:tabs>
          <w:tab w:val="left" w:pos="1176"/>
          <w:tab w:val="left" w:pos="1656"/>
          <w:tab w:val="left" w:pos="6696"/>
          <w:tab w:val="left" w:pos="8256"/>
        </w:tabs>
        <w:ind w:left="480"/>
      </w:pPr>
    </w:p>
    <w:p w:rsidR="001B55AF" w:rsidP="001B55AF" w14:paraId="42E843A2" w14:textId="77777777">
      <w:pPr>
        <w:tabs>
          <w:tab w:val="left" w:pos="1176"/>
          <w:tab w:val="left" w:pos="1656"/>
          <w:tab w:val="left" w:pos="6696"/>
          <w:tab w:val="left" w:pos="8256"/>
        </w:tabs>
        <w:ind w:left="480"/>
        <w:rPr>
          <w:rFonts w:eastAsia="Calibri"/>
        </w:rPr>
      </w:pPr>
      <w:r>
        <w:rPr>
          <w:rFonts w:eastAsia="Calibri"/>
        </w:rPr>
        <w:t xml:space="preserve">For a full list of questions in the CEQ CAPI instrument, see Attachment A. </w:t>
      </w:r>
    </w:p>
    <w:p w:rsidR="001B55AF" w:rsidP="001B55AF" w14:paraId="63776601" w14:textId="77777777">
      <w:pPr>
        <w:tabs>
          <w:tab w:val="left" w:pos="1176"/>
          <w:tab w:val="left" w:pos="1656"/>
          <w:tab w:val="left" w:pos="6696"/>
          <w:tab w:val="left" w:pos="8256"/>
        </w:tabs>
        <w:ind w:left="480"/>
      </w:pPr>
    </w:p>
    <w:p w:rsidR="001B55AF" w:rsidRPr="00E15779" w:rsidP="001B55AF" w14:paraId="7691317E" w14:textId="77777777">
      <w:pPr>
        <w:tabs>
          <w:tab w:val="left" w:pos="1176"/>
          <w:tab w:val="left" w:pos="1656"/>
          <w:tab w:val="left" w:pos="6696"/>
          <w:tab w:val="left" w:pos="8256"/>
        </w:tabs>
        <w:ind w:left="480"/>
      </w:pPr>
      <w:r w:rsidRPr="0064258D">
        <w:t xml:space="preserve">The CED uses both a CAPI instrument (see Attachment </w:t>
      </w:r>
      <w:r>
        <w:t xml:space="preserve">B </w:t>
      </w:r>
      <w:r w:rsidRPr="0064258D">
        <w:t>for the 20</w:t>
      </w:r>
      <w:r>
        <w:t>25</w:t>
      </w:r>
      <w:r w:rsidRPr="0064258D">
        <w:t xml:space="preserve"> Diary Instrument specifications), and the paper </w:t>
      </w:r>
      <w:r>
        <w:t xml:space="preserve">diary </w:t>
      </w:r>
      <w:r w:rsidRPr="0064258D">
        <w:t xml:space="preserve">CE-801, Record of Your Daily Expenses (Attachment </w:t>
      </w:r>
      <w:r>
        <w:t>C</w:t>
      </w:r>
      <w:r w:rsidRPr="0064258D">
        <w:t xml:space="preserve">).  </w:t>
      </w:r>
      <w:r>
        <w:t>CE implemented the Online diary for data collection in July 2022 (see Attachment D(a) for Online Diary specifications).  As part of Online Diary collection, users are provided an Online Diary User Guide (see Attachment D(b)) at placement as well as an electronic link through the Online diary.  Additionally, respondents who complete the Online Diary and provide an email address are sent a ‘Welcome’ email approximately 24 hours after placement and a ‘Reminder’ email on the 8</w:t>
      </w:r>
      <w:r w:rsidRPr="00334156">
        <w:rPr>
          <w:vertAlign w:val="superscript"/>
        </w:rPr>
        <w:t>th</w:t>
      </w:r>
      <w:r>
        <w:t xml:space="preserve"> day after placement (see Attachment D(c).  In the CED, </w:t>
      </w:r>
    </w:p>
    <w:p w:rsidR="001B55AF" w:rsidP="001B55AF" w14:paraId="3B2495A7" w14:textId="77777777">
      <w:pPr>
        <w:tabs>
          <w:tab w:val="left" w:pos="1176"/>
          <w:tab w:val="left" w:pos="1656"/>
          <w:tab w:val="left" w:pos="6696"/>
          <w:tab w:val="left" w:pos="8256"/>
        </w:tabs>
        <w:ind w:left="480"/>
      </w:pPr>
      <w:r>
        <w:t xml:space="preserve">minor wording changes were made to both the online diary user guide, ‘Welcome’ email, and ‘Reminder’ email.  </w:t>
      </w:r>
    </w:p>
    <w:p w:rsidR="001B55AF" w:rsidP="001B55AF" w14:paraId="15E82B5C" w14:textId="77777777">
      <w:pPr>
        <w:tabs>
          <w:tab w:val="left" w:pos="1176"/>
          <w:tab w:val="left" w:pos="1656"/>
          <w:tab w:val="left" w:pos="6696"/>
          <w:tab w:val="left" w:pos="8256"/>
        </w:tabs>
        <w:ind w:left="480"/>
      </w:pPr>
    </w:p>
    <w:p w:rsidR="001B55AF" w:rsidP="001B55AF" w14:paraId="21D8E475" w14:textId="77777777">
      <w:pPr>
        <w:tabs>
          <w:tab w:val="left" w:pos="1176"/>
          <w:tab w:val="left" w:pos="1656"/>
          <w:tab w:val="left" w:pos="6696"/>
          <w:tab w:val="left" w:pos="8256"/>
        </w:tabs>
        <w:ind w:left="480"/>
      </w:pPr>
      <w:r>
        <w:t xml:space="preserve">The CED Diary collects information on CU expenditures by asking each selected sample unit to keep two one-week diaries of all expenditures.  The Diary is necessary to collect expenditures that respondents may not be able to recall in a retrospective interview.  </w:t>
      </w:r>
    </w:p>
    <w:p w:rsidR="00304AD2" w:rsidP="001B55AF" w14:paraId="2A44E7AC" w14:textId="77777777">
      <w:pPr>
        <w:tabs>
          <w:tab w:val="left" w:pos="1176"/>
          <w:tab w:val="left" w:pos="1656"/>
          <w:tab w:val="left" w:pos="6696"/>
          <w:tab w:val="left" w:pos="8256"/>
        </w:tabs>
        <w:ind w:left="480"/>
      </w:pPr>
    </w:p>
    <w:p w:rsidR="00304AD2" w:rsidP="00304AD2" w14:paraId="01007900" w14:textId="77777777">
      <w:pPr>
        <w:tabs>
          <w:tab w:val="left" w:pos="1176"/>
          <w:tab w:val="left" w:pos="1656"/>
          <w:tab w:val="left" w:pos="6696"/>
          <w:tab w:val="left" w:pos="8256"/>
        </w:tabs>
        <w:ind w:left="480"/>
      </w:pPr>
      <w:r>
        <w:t xml:space="preserve">The CED CAPI instrument collects information on the household including financial determinacy questions for the purposes of assigning households to a CU (see Supporting Statement Part B for additional information on CUs), demographics, average amount spent on select expenditures, and income questions through a personal interview during which two one-week paper diaries are placed. </w:t>
      </w:r>
    </w:p>
    <w:p w:rsidR="00304AD2" w:rsidP="00304AD2" w14:paraId="0A2EA602" w14:textId="77777777">
      <w:pPr>
        <w:tabs>
          <w:tab w:val="left" w:pos="1176"/>
          <w:tab w:val="left" w:pos="1656"/>
          <w:tab w:val="left" w:pos="6696"/>
          <w:tab w:val="left" w:pos="8256"/>
        </w:tabs>
        <w:ind w:left="480"/>
      </w:pPr>
    </w:p>
    <w:p w:rsidR="001B55AF" w:rsidP="001B55AF" w14:paraId="45AAF286" w14:textId="77777777">
      <w:pPr>
        <w:tabs>
          <w:tab w:val="left" w:pos="1176"/>
          <w:tab w:val="left" w:pos="1656"/>
          <w:tab w:val="left" w:pos="6696"/>
          <w:tab w:val="left" w:pos="8256"/>
        </w:tabs>
        <w:ind w:left="480"/>
      </w:pPr>
      <w:r w:rsidRPr="00C65418">
        <w:t xml:space="preserve">For </w:t>
      </w:r>
      <w:r w:rsidRPr="00664D7B">
        <w:t xml:space="preserve">both CEQ and CED, wording </w:t>
      </w:r>
      <w:r>
        <w:t xml:space="preserve">is included in the CAPI instruments </w:t>
      </w:r>
      <w:r w:rsidRPr="00664D7B">
        <w:t xml:space="preserve">regarding receipt of the advance letter </w:t>
      </w:r>
      <w:r w:rsidRPr="00664D7B">
        <w:t>in order to</w:t>
      </w:r>
      <w:r w:rsidRPr="00664D7B">
        <w:t xml:space="preserve"> ensure communication of the confidentiality and Paperwork Reduction Act statements to respondents who may not have received the advanced letter</w:t>
      </w:r>
      <w:r>
        <w:t>.</w:t>
      </w:r>
      <w:r w:rsidRPr="00664D7B">
        <w:t xml:space="preserve">  (See Attachment </w:t>
      </w:r>
      <w:r>
        <w:t xml:space="preserve">H </w:t>
      </w:r>
      <w:r w:rsidRPr="00664D7B">
        <w:t>- Respondent Contact Procedures and Email Template for additional information</w:t>
      </w:r>
      <w:r w:rsidRPr="000460A4">
        <w:t>.</w:t>
      </w:r>
      <w:r>
        <w:t>)</w:t>
      </w:r>
    </w:p>
    <w:p w:rsidR="001B55AF" w:rsidP="001B55AF" w14:paraId="4A26CBEE" w14:textId="77777777">
      <w:pPr>
        <w:tabs>
          <w:tab w:val="left" w:pos="1176"/>
          <w:tab w:val="left" w:pos="1656"/>
          <w:tab w:val="left" w:pos="6696"/>
          <w:tab w:val="left" w:pos="8256"/>
        </w:tabs>
        <w:ind w:left="480"/>
      </w:pPr>
    </w:p>
    <w:p w:rsidR="001B55AF" w:rsidP="001B55AF" w14:paraId="4D6A4DB7" w14:textId="77777777">
      <w:pPr>
        <w:tabs>
          <w:tab w:val="left" w:pos="1176"/>
          <w:tab w:val="left" w:pos="1656"/>
          <w:tab w:val="left" w:pos="6696"/>
          <w:tab w:val="left" w:pos="8256"/>
        </w:tabs>
        <w:ind w:left="480"/>
      </w:pPr>
      <w:r w:rsidRPr="001E7B52">
        <w:t>Before the interviewer’s visit, each CEQ and CED sample household receives an Advance Letter, the CE</w:t>
      </w:r>
      <w:r w:rsidRPr="001E7B52">
        <w:noBreakHyphen/>
        <w:t>303</w:t>
      </w:r>
      <w:r>
        <w:t xml:space="preserve"> </w:t>
      </w:r>
      <w:r w:rsidRPr="001E7B52">
        <w:t>L1, 2</w:t>
      </w:r>
      <w:r>
        <w:t>,</w:t>
      </w:r>
      <w:r w:rsidRPr="001E7B52">
        <w:t xml:space="preserve"> 3, or 4 (Attachment </w:t>
      </w:r>
      <w:r>
        <w:t>E</w:t>
      </w:r>
      <w:r w:rsidRPr="001E7B52">
        <w:t>(a-d)</w:t>
      </w:r>
      <w:r>
        <w:t xml:space="preserve"> </w:t>
      </w:r>
      <w:r w:rsidRPr="001E7B52">
        <w:t xml:space="preserve">or CE-803(L) (Attachment </w:t>
      </w:r>
      <w:r>
        <w:t>E</w:t>
      </w:r>
      <w:r w:rsidRPr="001E7B52">
        <w:t>(e)).  These letters explain the nature of the information the BLS wants to collect and the uses of the CEQ or the CED data, as appropriate; inform the respondents of the confidential treatment of all identifying information they provide; request the respondents’ participation in the survey; describe the survey’s compliance with the relevant provisions of the Privacy Act and the Office of Management and Budget (OMB) disclosure requirements; and provide a link to the address of the respondent’s informational webpage.  Each of the advance letters and several of the brochures in the portfolio are available in the following languages:  Arabic, Chinese, Korean, Spanish, Russian, Vietnamese, and Polish.</w:t>
      </w:r>
      <w:r>
        <w:t xml:space="preserve">  </w:t>
      </w:r>
      <w:r w:rsidRPr="0095528E">
        <w:t>The CEQ Advance Letter will be updated to clarify the length of time to complete the re-interview for the portion of respondents who are selected.</w:t>
      </w:r>
      <w:r w:rsidRPr="00271767">
        <w:t xml:space="preserve"> </w:t>
      </w:r>
      <w:r w:rsidRPr="00271767">
        <w:t>In order</w:t>
      </w:r>
      <w:r>
        <w:t xml:space="preserve"> to</w:t>
      </w:r>
      <w:r>
        <w:t xml:space="preserve"> encourage cooperation, letters are also sent to respondents who were reluctant, or refused to participate, or were unable to be contacted, or whose contact attempt did not result in a complete interview (Attachment F (a-</w:t>
      </w:r>
      <w:r>
        <w:t>i</w:t>
      </w:r>
      <w:r>
        <w:t>)).  Respondents can also be offered a postcard with general information about CE and its uses (Attachment G).</w:t>
      </w:r>
    </w:p>
    <w:p w:rsidR="00673B1B" w:rsidP="00673B1B" w14:paraId="5BC3C2F0" w14:textId="77777777">
      <w:pPr>
        <w:tabs>
          <w:tab w:val="left" w:pos="1176"/>
          <w:tab w:val="left" w:pos="1656"/>
          <w:tab w:val="left" w:pos="6696"/>
          <w:tab w:val="left" w:pos="8256"/>
        </w:tabs>
      </w:pPr>
    </w:p>
    <w:p w:rsidR="001B55AF" w:rsidP="001B55AF" w14:paraId="7C5D3454" w14:textId="7F47D60A">
      <w:pPr>
        <w:tabs>
          <w:tab w:val="left" w:pos="1176"/>
          <w:tab w:val="left" w:pos="1656"/>
          <w:tab w:val="left" w:pos="6696"/>
          <w:tab w:val="left" w:pos="8256"/>
        </w:tabs>
        <w:ind w:left="450"/>
      </w:pPr>
      <w:r w:rsidRPr="00A8191E">
        <w:t xml:space="preserve">A subsample of approximately </w:t>
      </w:r>
      <w:r>
        <w:t>12</w:t>
      </w:r>
      <w:r w:rsidRPr="00A8191E">
        <w:t xml:space="preserve"> percent of households in the Quarterly Interview Survey</w:t>
      </w:r>
      <w:r>
        <w:t xml:space="preserve"> </w:t>
      </w:r>
      <w:r w:rsidRPr="00A8191E">
        <w:t xml:space="preserve">and </w:t>
      </w:r>
      <w:r>
        <w:t xml:space="preserve">10 percent in the Diary Survey will participate in an additional CAPI interview, referred to as </w:t>
      </w:r>
      <w:r w:rsidRPr="00D36270">
        <w:t xml:space="preserve">reinterview, for the purpose of instituting quality control over the performance of the interviewing </w:t>
      </w:r>
      <w:r w:rsidRPr="00D36270">
        <w:t>staff.</w:t>
      </w:r>
      <w:r>
        <w:t>.</w:t>
      </w:r>
      <w:r>
        <w:t xml:space="preserve"> </w:t>
      </w:r>
      <w:r w:rsidRPr="00D36270">
        <w:t xml:space="preserve">  </w:t>
      </w:r>
      <w:r>
        <w:t>(See the</w:t>
      </w:r>
      <w:r w:rsidRPr="00D36270">
        <w:t>20</w:t>
      </w:r>
      <w:r>
        <w:t>23</w:t>
      </w:r>
      <w:r w:rsidRPr="00D36270">
        <w:t xml:space="preserve"> Interview CAPI Reinterview instrument (Attachment </w:t>
      </w:r>
      <w:r>
        <w:t>I(a)</w:t>
      </w:r>
      <w:r w:rsidRPr="00D36270">
        <w:t xml:space="preserve"> -</w:t>
      </w:r>
      <w:r>
        <w:t xml:space="preserve"> </w:t>
      </w:r>
      <w:r w:rsidRPr="00D36270">
        <w:t>Final CEQ RI Instrument Specs)</w:t>
      </w:r>
      <w:r>
        <w:t xml:space="preserve"> and t</w:t>
      </w:r>
      <w:r w:rsidRPr="00D36270">
        <w:t xml:space="preserve">he Diary Reinterview Instrument </w:t>
      </w:r>
      <w:r>
        <w:t xml:space="preserve">(Attachment I(b) CED RI Instrument Specs) </w:t>
      </w:r>
    </w:p>
    <w:p w:rsidR="001B55AF" w:rsidP="001B55AF" w14:paraId="112E2E77" w14:textId="77777777">
      <w:pPr>
        <w:tabs>
          <w:tab w:val="left" w:pos="1176"/>
          <w:tab w:val="left" w:pos="1656"/>
          <w:tab w:val="left" w:pos="6696"/>
          <w:tab w:val="left" w:pos="8256"/>
        </w:tabs>
        <w:ind w:left="450"/>
      </w:pPr>
    </w:p>
    <w:p w:rsidR="001B55AF" w:rsidRPr="00710637" w:rsidP="001B55AF" w14:paraId="29A6DC86" w14:textId="77777777">
      <w:pPr>
        <w:tabs>
          <w:tab w:val="left" w:pos="1176"/>
          <w:tab w:val="left" w:pos="1656"/>
          <w:tab w:val="left" w:pos="6696"/>
          <w:tab w:val="left" w:pos="8256"/>
        </w:tabs>
        <w:ind w:left="480"/>
      </w:pPr>
      <w:r w:rsidRPr="00710637">
        <w:t xml:space="preserve">Beginning in 2023, a combined Information Booklet </w:t>
      </w:r>
      <w:r>
        <w:t xml:space="preserve">(Attachment J) </w:t>
      </w:r>
      <w:r w:rsidRPr="00710637">
        <w:t xml:space="preserve">was used for both the CEQ and CED surveys </w:t>
      </w:r>
      <w:r w:rsidRPr="00710637">
        <w:t>in order to</w:t>
      </w:r>
      <w:r w:rsidRPr="00710637">
        <w:t xml:space="preserve"> save on </w:t>
      </w:r>
      <w:r w:rsidRPr="00710637">
        <w:rPr>
          <w:rStyle w:val="ui-provider"/>
        </w:rPr>
        <w:t xml:space="preserve">printing costs, reduce the number of materials to maintain, and reduce duplication for </w:t>
      </w:r>
      <w:r w:rsidRPr="00710637">
        <w:rPr>
          <w:rStyle w:val="ui-provider"/>
        </w:rPr>
        <w:t>FRs.</w:t>
      </w:r>
      <w:r w:rsidRPr="00710637">
        <w:t xml:space="preserve">  </w:t>
      </w:r>
      <w:r>
        <w:t>No u</w:t>
      </w:r>
      <w:r w:rsidRPr="00710637">
        <w:t xml:space="preserve">pdates were made to the </w:t>
      </w:r>
      <w:r>
        <w:t>c</w:t>
      </w:r>
      <w:r w:rsidRPr="00710637">
        <w:t>ombined Survey Information Booklet CE</w:t>
      </w:r>
      <w:r w:rsidRPr="00710637">
        <w:noBreakHyphen/>
        <w:t xml:space="preserve">305/CE-805.   </w:t>
      </w:r>
    </w:p>
    <w:p w:rsidR="001B55AF" w:rsidRPr="00710637" w:rsidP="001B55AF" w14:paraId="0166D846" w14:textId="77777777">
      <w:pPr>
        <w:tabs>
          <w:tab w:val="left" w:pos="1176"/>
          <w:tab w:val="left" w:pos="1656"/>
          <w:tab w:val="left" w:pos="6696"/>
          <w:tab w:val="left" w:pos="8256"/>
        </w:tabs>
        <w:ind w:left="480"/>
      </w:pPr>
    </w:p>
    <w:p w:rsidR="001B55AF" w:rsidRPr="00710637" w:rsidP="001B55AF" w14:paraId="6183B5DE" w14:textId="77777777">
      <w:pPr>
        <w:tabs>
          <w:tab w:val="left" w:pos="1176"/>
          <w:tab w:val="left" w:pos="1656"/>
          <w:tab w:val="left" w:pos="6696"/>
          <w:tab w:val="left" w:pos="8256"/>
        </w:tabs>
        <w:ind w:left="480"/>
      </w:pPr>
      <w:r w:rsidRPr="00710637">
        <w:t xml:space="preserve">At the first interview for both the CEQ and the CED, the field representative (FR) gives the respondent a portfolio filled with information on CE, CPI and the Census Bureau (Attachment </w:t>
      </w:r>
      <w:r>
        <w:t>K</w:t>
      </w:r>
      <w:r w:rsidRPr="00710637">
        <w:t xml:space="preserve">(a-d).  </w:t>
      </w:r>
      <w:r w:rsidRPr="0026180D">
        <w:t xml:space="preserve">CE in the News </w:t>
      </w:r>
      <w:r>
        <w:t>(Attachment K</w:t>
      </w:r>
      <w:r w:rsidRPr="0026180D">
        <w:t>(c</w:t>
      </w:r>
      <w:r>
        <w:t>))</w:t>
      </w:r>
      <w:r w:rsidRPr="0026180D">
        <w:t xml:space="preserve"> was updated based on more recent news results. </w:t>
      </w:r>
      <w:r>
        <w:t xml:space="preserve">Additionally, the FR may leave a business card with a sticker attached informing the respondent that the FR tried to reach them and asking the respondent to call the FR (Attachment L).  </w:t>
      </w:r>
      <w:r w:rsidRPr="0026180D">
        <w:t xml:space="preserve">Also available to respondents is the respondent Web page, expenditure summaries showing expenditures by various characteristics (Attachment </w:t>
      </w:r>
      <w:r>
        <w:t>M</w:t>
      </w:r>
      <w:r w:rsidRPr="0026180D">
        <w:t xml:space="preserve">(a-e)), and an endorsement from the Federal Reserve Board of Governors (Attachment </w:t>
      </w:r>
      <w:r>
        <w:t>N</w:t>
      </w:r>
      <w:r w:rsidRPr="0026180D">
        <w:t>).</w:t>
      </w:r>
      <w:r w:rsidRPr="00710637">
        <w:t xml:space="preserve">  The respondent web page contains information about the CE surveys, frequently asked questions, and links to the most recent CE data.  The respondent handouts contain spending summaries for various demographic characteristics and expenditures on pets.  Respondents who participate in the Interview Survey are also provided with a “Home File” in which to save their bills and receipts for use at the next CEQ interview.</w:t>
      </w:r>
    </w:p>
    <w:p w:rsidR="001B55AF" w:rsidRPr="00710637" w:rsidP="001B55AF" w14:paraId="14E4E795" w14:textId="77777777">
      <w:pPr>
        <w:tabs>
          <w:tab w:val="left" w:pos="1176"/>
          <w:tab w:val="left" w:pos="1656"/>
          <w:tab w:val="left" w:pos="6696"/>
          <w:tab w:val="left" w:pos="8256"/>
        </w:tabs>
        <w:ind w:left="480"/>
      </w:pPr>
    </w:p>
    <w:p w:rsidR="001B55AF" w:rsidRPr="00710637" w:rsidP="001B55AF" w14:paraId="2C950D95" w14:textId="77777777">
      <w:pPr>
        <w:tabs>
          <w:tab w:val="left" w:pos="1176"/>
          <w:tab w:val="left" w:pos="1656"/>
          <w:tab w:val="left" w:pos="6696"/>
          <w:tab w:val="left" w:pos="8256"/>
        </w:tabs>
        <w:ind w:left="480"/>
      </w:pPr>
      <w:r w:rsidRPr="00710637">
        <w:t>After each interview for the CEQ or after completion of the week 2 Diary, each participating household receives a Thank You letter, CE</w:t>
      </w:r>
      <w:r w:rsidRPr="00710637">
        <w:noBreakHyphen/>
        <w:t xml:space="preserve">303(L)6 or CE-803(L)6 or a Thank You </w:t>
      </w:r>
      <w:r>
        <w:t>p</w:t>
      </w:r>
      <w:r w:rsidRPr="00710637">
        <w:t xml:space="preserve">ostcard (Attachment </w:t>
      </w:r>
      <w:r>
        <w:t>O</w:t>
      </w:r>
      <w:r w:rsidRPr="00710637">
        <w:t xml:space="preserve"> (a-c)) as well as a certificate of appreciation, CE-900 (Attachment </w:t>
      </w:r>
      <w:r>
        <w:t>P</w:t>
      </w:r>
      <w:r w:rsidRPr="00710637">
        <w:t xml:space="preserve">).  </w:t>
      </w:r>
    </w:p>
    <w:p w:rsidR="001B55AF" w:rsidRPr="00710637" w:rsidP="001B55AF" w14:paraId="6D36C76C" w14:textId="77777777">
      <w:pPr>
        <w:tabs>
          <w:tab w:val="left" w:pos="1176"/>
          <w:tab w:val="left" w:pos="1656"/>
          <w:tab w:val="left" w:pos="6696"/>
          <w:tab w:val="left" w:pos="8256"/>
        </w:tabs>
        <w:ind w:left="480"/>
      </w:pPr>
    </w:p>
    <w:p w:rsidR="001B55AF" w:rsidP="001B55AF" w14:paraId="698D6036" w14:textId="77777777">
      <w:pPr>
        <w:tabs>
          <w:tab w:val="left" w:pos="1176"/>
          <w:tab w:val="left" w:pos="1656"/>
          <w:tab w:val="left" w:pos="6696"/>
          <w:tab w:val="left" w:pos="8256"/>
        </w:tabs>
        <w:ind w:left="480"/>
      </w:pPr>
      <w:r w:rsidRPr="00E32F8A">
        <w:t>As appropriate, Census Field representatives may also provide supplemental flyers on the Quarterly Interview or the Diary Survey (Attachments</w:t>
      </w:r>
      <w:r>
        <w:t xml:space="preserve"> Q</w:t>
      </w:r>
      <w:r w:rsidRPr="00E32F8A">
        <w:t xml:space="preserve"> and </w:t>
      </w:r>
      <w:r>
        <w:t>R</w:t>
      </w:r>
      <w:r w:rsidRPr="00E32F8A">
        <w:t>).</w:t>
      </w:r>
    </w:p>
    <w:p w:rsidR="001B55AF" w:rsidP="00E31C53" w14:paraId="45506D33" w14:textId="77777777">
      <w:pPr>
        <w:tabs>
          <w:tab w:val="left" w:pos="1176"/>
          <w:tab w:val="left" w:pos="1656"/>
          <w:tab w:val="left" w:pos="6696"/>
          <w:tab w:val="left" w:pos="8256"/>
        </w:tabs>
        <w:ind w:left="450"/>
      </w:pPr>
    </w:p>
    <w:p w:rsidR="009B6B95" w:rsidRPr="00E570DF" w:rsidP="00E570DF" w14:paraId="2CD27683" w14:textId="3F8D04B9">
      <w:pPr>
        <w:pStyle w:val="ListParagraph"/>
        <w:numPr>
          <w:ilvl w:val="0"/>
          <w:numId w:val="11"/>
        </w:numPr>
        <w:spacing w:after="0" w:line="240" w:lineRule="auto"/>
        <w:ind w:left="450"/>
      </w:pPr>
      <w:r>
        <w:rPr>
          <w:rFonts w:ascii="Times New Roman" w:hAnsi="Times New Roman" w:cs="Times New Roman"/>
          <w:b/>
          <w:bCs/>
          <w:sz w:val="24"/>
          <w:szCs w:val="24"/>
        </w:rPr>
        <w:t xml:space="preserve"> </w:t>
      </w:r>
      <w:r w:rsidRPr="00E570DF" w:rsidR="00C45BD1">
        <w:rPr>
          <w:rFonts w:ascii="Times New Roman" w:hAnsi="Times New Roman" w:cs="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73B1B" w:rsidRPr="00413F89" w:rsidP="00E570DF" w14:paraId="001A4928" w14:textId="01EB330D">
      <w:pPr>
        <w:pStyle w:val="ListParagraph"/>
        <w:spacing w:after="0" w:line="240" w:lineRule="auto"/>
        <w:ind w:left="450"/>
      </w:pPr>
      <w:r w:rsidRPr="00E570DF">
        <w:rPr>
          <w:rFonts w:ascii="Times New Roman" w:hAnsi="Times New Roman" w:cs="Times New Roman"/>
          <w:b/>
          <w:bCs/>
          <w:sz w:val="24"/>
          <w:szCs w:val="24"/>
        </w:rPr>
        <w:br/>
      </w:r>
      <w:r w:rsidRPr="00E570DF" w:rsidR="001930A9">
        <w:rPr>
          <w:rFonts w:ascii="Times New Roman" w:hAnsi="Times New Roman"/>
          <w:sz w:val="24"/>
        </w:rPr>
        <w:t xml:space="preserve">Since </w:t>
      </w:r>
      <w:r w:rsidRPr="00E570DF">
        <w:rPr>
          <w:rFonts w:ascii="Times New Roman" w:hAnsi="Times New Roman"/>
          <w:sz w:val="24"/>
        </w:rPr>
        <w:t xml:space="preserve">April 2003, the </w:t>
      </w:r>
      <w:r w:rsidRPr="00E570DF" w:rsidR="003D2701">
        <w:rPr>
          <w:rFonts w:ascii="Times New Roman" w:hAnsi="Times New Roman"/>
          <w:sz w:val="24"/>
        </w:rPr>
        <w:t>CEQ</w:t>
      </w:r>
      <w:r w:rsidRPr="00E570DF">
        <w:rPr>
          <w:rFonts w:ascii="Times New Roman" w:hAnsi="Times New Roman"/>
          <w:sz w:val="24"/>
        </w:rPr>
        <w:t xml:space="preserve"> </w:t>
      </w:r>
      <w:r w:rsidRPr="00E570DF" w:rsidR="001930A9">
        <w:rPr>
          <w:rFonts w:ascii="Times New Roman" w:hAnsi="Times New Roman"/>
          <w:sz w:val="24"/>
        </w:rPr>
        <w:t>is</w:t>
      </w:r>
      <w:r w:rsidRPr="00E570DF">
        <w:rPr>
          <w:rFonts w:ascii="Times New Roman" w:hAnsi="Times New Roman"/>
          <w:sz w:val="24"/>
        </w:rPr>
        <w:t xml:space="preserve"> collected using CAPI.  The CAPI instrument </w:t>
      </w:r>
      <w:r w:rsidR="00573EAB">
        <w:rPr>
          <w:rFonts w:ascii="Times New Roman" w:hAnsi="Times New Roman"/>
          <w:sz w:val="24"/>
        </w:rPr>
        <w:t xml:space="preserve">is on the Field </w:t>
      </w:r>
      <w:r w:rsidR="00573EAB">
        <w:rPr>
          <w:rFonts w:ascii="Times New Roman" w:hAnsi="Times New Roman"/>
          <w:sz w:val="24"/>
        </w:rPr>
        <w:t>representatives</w:t>
      </w:r>
      <w:r w:rsidR="00573EAB">
        <w:rPr>
          <w:rFonts w:ascii="Times New Roman" w:hAnsi="Times New Roman"/>
          <w:sz w:val="24"/>
        </w:rPr>
        <w:t xml:space="preserve"> laptops and response are entered by the Field representative during collection.  CAPI </w:t>
      </w:r>
      <w:r w:rsidRPr="00E570DF">
        <w:rPr>
          <w:rFonts w:ascii="Times New Roman" w:hAnsi="Times New Roman"/>
          <w:sz w:val="24"/>
        </w:rPr>
        <w:t xml:space="preserve">has streamlined the interviewing process and improved accuracy by eliminating the need for interviewers to make difficult decisions about correct branching and skip patterns during the interview.  Where appropriate, screening questions in the instrument are used to determine eligibility for </w:t>
      </w:r>
      <w:r w:rsidRPr="00E570DF" w:rsidR="00903D14">
        <w:rPr>
          <w:rFonts w:ascii="Times New Roman" w:hAnsi="Times New Roman"/>
          <w:sz w:val="24"/>
        </w:rPr>
        <w:t>the administration of more detailed questions to each respondent</w:t>
      </w:r>
      <w:r w:rsidRPr="00E570DF">
        <w:rPr>
          <w:rFonts w:ascii="Times New Roman" w:hAnsi="Times New Roman"/>
          <w:sz w:val="24"/>
        </w:rPr>
        <w:t>.  CAPI implementation for the Diary Household Characteristics Survey occurred in January 2004.</w:t>
      </w:r>
      <w:r w:rsidRPr="00E570DF" w:rsidR="00AB1521">
        <w:rPr>
          <w:rFonts w:ascii="Times New Roman" w:hAnsi="Times New Roman"/>
          <w:sz w:val="24"/>
        </w:rPr>
        <w:t xml:space="preserve">  Edit checks alert the Field Representative to irreconcilable data during the interview so that the correct data can be obtained</w:t>
      </w:r>
      <w:r w:rsidRPr="00E570DF" w:rsidR="00F721B6">
        <w:rPr>
          <w:rFonts w:ascii="Times New Roman" w:hAnsi="Times New Roman"/>
          <w:sz w:val="24"/>
        </w:rPr>
        <w:t xml:space="preserve"> </w:t>
      </w:r>
      <w:r w:rsidRPr="00E570DF" w:rsidR="00593419">
        <w:rPr>
          <w:rFonts w:ascii="Times New Roman" w:hAnsi="Times New Roman"/>
          <w:sz w:val="24"/>
        </w:rPr>
        <w:t xml:space="preserve">and verified by </w:t>
      </w:r>
      <w:r w:rsidRPr="00E570DF" w:rsidR="00F721B6">
        <w:rPr>
          <w:rFonts w:ascii="Times New Roman" w:hAnsi="Times New Roman"/>
          <w:sz w:val="24"/>
        </w:rPr>
        <w:t>the respondent</w:t>
      </w:r>
      <w:r w:rsidRPr="00E570DF" w:rsidR="00AB1521">
        <w:rPr>
          <w:rFonts w:ascii="Times New Roman" w:hAnsi="Times New Roman"/>
          <w:sz w:val="24"/>
        </w:rPr>
        <w:t>.</w:t>
      </w:r>
      <w:r w:rsidRPr="00E570DF" w:rsidR="006454E0">
        <w:rPr>
          <w:rFonts w:ascii="Times New Roman" w:hAnsi="Times New Roman"/>
          <w:sz w:val="24"/>
        </w:rPr>
        <w:t xml:space="preserve">  Additionally, online Diaries were introduced as part of the Large Scale Feasibility test in April 2020</w:t>
      </w:r>
      <w:r w:rsidR="00530317">
        <w:rPr>
          <w:rFonts w:ascii="Times New Roman" w:hAnsi="Times New Roman"/>
          <w:sz w:val="24"/>
        </w:rPr>
        <w:t>,</w:t>
      </w:r>
      <w:r w:rsidRPr="00E570DF" w:rsidR="006454E0">
        <w:rPr>
          <w:rFonts w:ascii="Times New Roman" w:hAnsi="Times New Roman"/>
          <w:sz w:val="24"/>
        </w:rPr>
        <w:t xml:space="preserve"> implemented in production as needed due to the coronavirus pandemic in April 2021</w:t>
      </w:r>
      <w:r w:rsidR="00530317">
        <w:rPr>
          <w:rFonts w:ascii="Times New Roman" w:hAnsi="Times New Roman"/>
          <w:sz w:val="24"/>
        </w:rPr>
        <w:t>, and fully implemented in July 2022</w:t>
      </w:r>
      <w:r w:rsidRPr="00E570DF" w:rsidR="006454E0">
        <w:rPr>
          <w:rFonts w:ascii="Times New Roman" w:hAnsi="Times New Roman"/>
          <w:sz w:val="24"/>
        </w:rPr>
        <w:t xml:space="preserve">. </w:t>
      </w:r>
    </w:p>
    <w:p w:rsidR="00673B1B" w:rsidP="00673B1B" w14:paraId="0B754074" w14:textId="77777777"/>
    <w:p w:rsidR="0076284D" w:rsidRPr="0076284D" w:rsidP="0076284D" w14:paraId="7B882021" w14:textId="3B66E307">
      <w:pPr>
        <w:tabs>
          <w:tab w:val="left" w:pos="1176"/>
          <w:tab w:val="left" w:pos="1656"/>
          <w:tab w:val="left" w:pos="6696"/>
          <w:tab w:val="left" w:pos="8256"/>
        </w:tabs>
        <w:ind w:left="480" w:hanging="480"/>
      </w:pPr>
      <w:r>
        <w:t>4.</w:t>
      </w:r>
      <w:r>
        <w:tab/>
      </w:r>
      <w:r w:rsidRPr="00E570DF">
        <w:rPr>
          <w:b/>
        </w:rPr>
        <w:t>De</w:t>
      </w:r>
      <w:r w:rsidRPr="00E77209">
        <w:rPr>
          <w:b/>
          <w:bCs/>
        </w:rPr>
        <w:t>scribe</w:t>
      </w:r>
      <w:r w:rsidRPr="0076284D">
        <w:rPr>
          <w:b/>
          <w:bCs/>
        </w:rPr>
        <w:t xml:space="preserve"> efforts to identify duplication.  Show specifically why any similar information already available cannot be used or modified for use for the purposes described in Item A.2 above.</w:t>
      </w:r>
    </w:p>
    <w:p w:rsidR="00673B1B" w:rsidP="00673B1B" w14:paraId="2C36491B" w14:textId="4288B4FC">
      <w:pPr>
        <w:tabs>
          <w:tab w:val="left" w:pos="1176"/>
          <w:tab w:val="left" w:pos="1656"/>
          <w:tab w:val="left" w:pos="6696"/>
          <w:tab w:val="left" w:pos="8256"/>
        </w:tabs>
        <w:ind w:left="480" w:hanging="480"/>
      </w:pPr>
      <w:r>
        <w:br/>
        <w:t>To our knowledge, no other Federal agency is collecting this information.</w:t>
      </w:r>
    </w:p>
    <w:p w:rsidR="00673B1B" w:rsidP="00673B1B" w14:paraId="399F640C" w14:textId="77777777">
      <w:pPr>
        <w:tabs>
          <w:tab w:val="left" w:pos="1176"/>
          <w:tab w:val="left" w:pos="1656"/>
          <w:tab w:val="left" w:pos="6696"/>
          <w:tab w:val="left" w:pos="8256"/>
        </w:tabs>
      </w:pPr>
    </w:p>
    <w:p w:rsidR="00673B1B" w:rsidP="00673B1B" w14:paraId="32CDE362" w14:textId="77777777">
      <w:pPr>
        <w:tabs>
          <w:tab w:val="left" w:pos="1176"/>
          <w:tab w:val="left" w:pos="1656"/>
          <w:tab w:val="left" w:pos="6696"/>
          <w:tab w:val="left" w:pos="8256"/>
        </w:tabs>
        <w:ind w:left="480"/>
      </w:pPr>
      <w:r>
        <w:t>Similar information with or without modifications does not exist.  The CPI requires consumer expenditure data in order to produce item cost</w:t>
      </w:r>
      <w:r>
        <w:noBreakHyphen/>
        <w:t xml:space="preserve">weights estimates for the </w:t>
      </w:r>
      <w:smartTag w:uri="urn:schemas-microsoft-com:office:smarttags" w:element="place">
        <w:smartTag w:uri="urn:schemas-microsoft-com:office:smarttags" w:element="country-region">
          <w:r>
            <w:t>U.S.</w:t>
          </w:r>
        </w:smartTag>
      </w:smartTag>
      <w:r>
        <w:t xml:space="preserve"> urban population, and for several major metropolitan areas.  Additionally, to estimate cost weights for the population covered by the </w:t>
      </w:r>
      <w:r w:rsidRPr="00E3685C" w:rsidR="000556E5">
        <w:t>“</w:t>
      </w:r>
      <w:r>
        <w:t>CPI for Urban Wage Earners and Clerical Workers</w:t>
      </w:r>
      <w:r w:rsidRPr="00E3685C">
        <w:t>,</w:t>
      </w:r>
      <w:r w:rsidRPr="00E3685C" w:rsidR="000556E5">
        <w:t>”</w:t>
      </w:r>
      <w:r>
        <w:t xml:space="preserve"> the BLS needs occupation and income from respondents to determine if we should use their expenditures in this index.</w:t>
      </w:r>
    </w:p>
    <w:p w:rsidR="00673B1B" w:rsidP="00673B1B" w14:paraId="1F98FF9E" w14:textId="77777777">
      <w:pPr>
        <w:tabs>
          <w:tab w:val="left" w:pos="1176"/>
          <w:tab w:val="left" w:pos="1656"/>
          <w:tab w:val="left" w:pos="6696"/>
          <w:tab w:val="left" w:pos="8256"/>
        </w:tabs>
      </w:pPr>
    </w:p>
    <w:p w:rsidR="00673B1B" w:rsidP="00673B1B" w14:paraId="4B932225" w14:textId="59183906">
      <w:pPr>
        <w:tabs>
          <w:tab w:val="left" w:pos="1176"/>
          <w:tab w:val="left" w:pos="1656"/>
          <w:tab w:val="left" w:pos="6696"/>
          <w:tab w:val="left" w:pos="8256"/>
        </w:tabs>
        <w:ind w:left="480"/>
      </w:pPr>
      <w:r>
        <w:t>The only data source that approaches the CPI needs is the Personal Consumption Expenditures (PCE) published by the Bureau of Economic Analysis.  However, these data do not allow the BLS to tabulate by the demographic characteristics and geograph</w:t>
      </w:r>
      <w:r w:rsidR="002A0B99">
        <w:t>ic areas</w:t>
      </w:r>
      <w:r>
        <w:t xml:space="preserve"> necessary for producing estimates of cost weights for indexes published by the BLS</w:t>
      </w:r>
      <w:r w:rsidR="004253BD">
        <w:t xml:space="preserve"> as well as for many other analytical uses of the data</w:t>
      </w:r>
      <w:r>
        <w:t>.  The PCE estimates, in addition to being too aggregated and lacking the statistical qualities</w:t>
      </w:r>
      <w:r w:rsidR="00222B10">
        <w:t xml:space="preserve"> of the CE</w:t>
      </w:r>
      <w:r>
        <w:t>, also cover the institutional population that is out</w:t>
      </w:r>
      <w:r>
        <w:noBreakHyphen/>
        <w:t>of</w:t>
      </w:r>
      <w:r>
        <w:noBreakHyphen/>
        <w:t>scope for the CPI.</w:t>
      </w:r>
    </w:p>
    <w:p w:rsidR="00673B1B" w:rsidP="00673B1B" w14:paraId="6691C5CC" w14:textId="77777777">
      <w:pPr>
        <w:tabs>
          <w:tab w:val="left" w:pos="1176"/>
          <w:tab w:val="left" w:pos="1656"/>
          <w:tab w:val="left" w:pos="6696"/>
          <w:tab w:val="left" w:pos="8256"/>
        </w:tabs>
      </w:pPr>
    </w:p>
    <w:p w:rsidR="0076284D" w:rsidRPr="0076284D" w:rsidP="00E570DF" w14:paraId="7098E905" w14:textId="6843380A">
      <w:pPr>
        <w:tabs>
          <w:tab w:val="left" w:pos="1176"/>
          <w:tab w:val="left" w:pos="1656"/>
          <w:tab w:val="left" w:pos="6696"/>
          <w:tab w:val="left" w:pos="8256"/>
        </w:tabs>
        <w:ind w:left="360" w:hanging="360"/>
        <w:rPr>
          <w:b/>
          <w:bCs/>
        </w:rPr>
      </w:pPr>
      <w:r>
        <w:t>5.</w:t>
      </w:r>
      <w:r>
        <w:tab/>
      </w:r>
      <w:r w:rsidRPr="0076284D">
        <w:rPr>
          <w:b/>
          <w:bCs/>
        </w:rPr>
        <w:t>If the collection of information impacts small businesses or other small entities, describe any methods used to minimize burden.</w:t>
      </w:r>
    </w:p>
    <w:p w:rsidR="00673B1B" w:rsidP="00673B1B" w14:paraId="015E1395" w14:textId="4D406784">
      <w:pPr>
        <w:tabs>
          <w:tab w:val="left" w:pos="1176"/>
          <w:tab w:val="left" w:pos="1656"/>
          <w:tab w:val="left" w:pos="6696"/>
          <w:tab w:val="left" w:pos="8256"/>
        </w:tabs>
        <w:ind w:left="480" w:hanging="480"/>
      </w:pPr>
      <w:r>
        <w:br/>
      </w:r>
      <w:r w:rsidR="00A06770">
        <w:t>T</w:t>
      </w:r>
      <w:r>
        <w:t>he collection of information on the CE questionnaires involves individuals or households, not small businesses.</w:t>
      </w:r>
    </w:p>
    <w:p w:rsidR="00673B1B" w:rsidP="00673B1B" w14:paraId="1121E0E5" w14:textId="77777777">
      <w:pPr>
        <w:tabs>
          <w:tab w:val="left" w:pos="1176"/>
          <w:tab w:val="left" w:pos="1656"/>
          <w:tab w:val="left" w:pos="6696"/>
          <w:tab w:val="left" w:pos="8256"/>
        </w:tabs>
      </w:pPr>
    </w:p>
    <w:p w:rsidR="0076284D" w:rsidRPr="00D53DEB" w:rsidP="00E570DF" w14:paraId="1E2482E8" w14:textId="08ADB201">
      <w:pPr>
        <w:ind w:left="360" w:hanging="360"/>
        <w:rPr>
          <w:b/>
          <w:bCs/>
        </w:rPr>
      </w:pPr>
      <w:r>
        <w:t xml:space="preserve">6.   </w:t>
      </w:r>
      <w:r w:rsidRPr="00D53DEB">
        <w:rPr>
          <w:b/>
          <w:bCs/>
        </w:rPr>
        <w:t>Describe the consequence to federal program or policy activities if the collection is not conducted or is conducted less frequently, as well as any technical or legal obstacles to reducing burden.</w:t>
      </w:r>
    </w:p>
    <w:p w:rsidR="00673B1B" w:rsidP="00673B1B" w14:paraId="5BBD79A6" w14:textId="0A597B60">
      <w:pPr>
        <w:tabs>
          <w:tab w:val="left" w:pos="1176"/>
          <w:tab w:val="left" w:pos="1656"/>
          <w:tab w:val="left" w:pos="6696"/>
          <w:tab w:val="left" w:pos="8256"/>
        </w:tabs>
        <w:ind w:left="480" w:hanging="480"/>
      </w:pPr>
      <w:r>
        <w:br/>
        <w:t>Before 1979, the BLS collected consumer income and expenditure data every 10 to 15 years as a major component of large</w:t>
      </w:r>
      <w:r>
        <w:noBreakHyphen/>
        <w:t>scale periodic projects to update and revise the CPI.  By conducting the consumer expenditure surveys continuously, the BLS is able to provide more frequent, up to date data</w:t>
      </w:r>
      <w:r w:rsidR="00F1508C">
        <w:t>,</w:t>
      </w:r>
      <w:r>
        <w:t xml:space="preserve"> thereby increasing the overall quality and efficiency of the CPI revisions.  If the BLS does not conduct the CE Surveys on a continuing basis, current information necessary for timely </w:t>
      </w:r>
      <w:r w:rsidR="00366AA6">
        <w:t>and</w:t>
      </w:r>
      <w:r>
        <w:t xml:space="preserve"> accurate updating of the CPI would not be available.  In addition, the BLS would not be able to respond to the continuing demand</w:t>
      </w:r>
      <w:r>
        <w:noBreakHyphen/>
        <w:t>from the public and private sectors</w:t>
      </w:r>
      <w:r>
        <w:noBreakHyphen/>
        <w:t>for current information on consumer spending and income.</w:t>
      </w:r>
    </w:p>
    <w:p w:rsidR="00673B1B" w:rsidP="00673B1B" w14:paraId="0EF0AD16" w14:textId="77777777">
      <w:pPr>
        <w:tabs>
          <w:tab w:val="left" w:pos="1176"/>
          <w:tab w:val="left" w:pos="1656"/>
          <w:tab w:val="left" w:pos="6696"/>
          <w:tab w:val="left" w:pos="8256"/>
        </w:tabs>
        <w:ind w:left="480"/>
      </w:pPr>
    </w:p>
    <w:p w:rsidR="00673B1B" w:rsidP="00673B1B" w14:paraId="422CE3A2" w14:textId="25DECAE6">
      <w:pPr>
        <w:tabs>
          <w:tab w:val="left" w:pos="1176"/>
          <w:tab w:val="left" w:pos="1656"/>
          <w:tab w:val="left" w:pos="6696"/>
          <w:tab w:val="left" w:pos="8256"/>
        </w:tabs>
        <w:ind w:left="480"/>
      </w:pPr>
      <w:r>
        <w:t>Data from the CE are the basis for determining the market basket of the CPI.  The CPI market basket is updated approximately every two years</w:t>
      </w:r>
      <w:r w:rsidR="00900DD6">
        <w:t>,</w:t>
      </w:r>
      <w:r>
        <w:t xml:space="preserve"> and the updated market</w:t>
      </w:r>
      <w:r w:rsidR="0093617F">
        <w:t xml:space="preserve"> basket</w:t>
      </w:r>
      <w:r>
        <w:t xml:space="preserve"> is two years old at the time of introduction.</w:t>
      </w:r>
    </w:p>
    <w:p w:rsidR="00673B1B" w:rsidP="00673B1B" w14:paraId="4F2591FF" w14:textId="77777777">
      <w:pPr>
        <w:tabs>
          <w:tab w:val="left" w:pos="1176"/>
          <w:tab w:val="left" w:pos="1656"/>
          <w:tab w:val="left" w:pos="6696"/>
          <w:tab w:val="left" w:pos="8256"/>
        </w:tabs>
        <w:ind w:left="480"/>
      </w:pPr>
    </w:p>
    <w:p w:rsidR="00673B1B" w:rsidP="00673B1B" w14:paraId="6F5EBCCC" w14:textId="77777777">
      <w:pPr>
        <w:tabs>
          <w:tab w:val="left" w:pos="1176"/>
          <w:tab w:val="left" w:pos="1656"/>
          <w:tab w:val="left" w:pos="6696"/>
          <w:tab w:val="left" w:pos="8256"/>
        </w:tabs>
        <w:ind w:left="480"/>
      </w:pPr>
      <w:r>
        <w:t xml:space="preserve">In addition, the current sample sizes for the CE and rapid data processing </w:t>
      </w:r>
      <w:r w:rsidR="002502B2">
        <w:t>allow the BLS to produce superlative</w:t>
      </w:r>
      <w:r>
        <w:t xml:space="preserve"> measures of consumer price trends of an acceptable degree of reliability and on a basis much closer to real time than would be possible in the absence of a large sample.  Su</w:t>
      </w:r>
      <w:r w:rsidR="002502B2">
        <w:t>ch indexes</w:t>
      </w:r>
      <w:r>
        <w:t xml:space="preserve"> are widely regarded as closer approximations to a cost-of-living index than the current CPI.</w:t>
      </w:r>
    </w:p>
    <w:p w:rsidR="006F4286" w:rsidP="00F721B6" w14:paraId="207DE429" w14:textId="77777777">
      <w:pPr>
        <w:tabs>
          <w:tab w:val="left" w:pos="1176"/>
          <w:tab w:val="left" w:pos="1656"/>
          <w:tab w:val="left" w:pos="6696"/>
          <w:tab w:val="left" w:pos="8256"/>
        </w:tabs>
      </w:pPr>
    </w:p>
    <w:p w:rsidR="00E77209" w:rsidRPr="00E77209" w:rsidP="00E77209" w14:paraId="6E90AEFB" w14:textId="33E2CEC4">
      <w:pPr>
        <w:tabs>
          <w:tab w:val="left" w:pos="1176"/>
          <w:tab w:val="left" w:pos="1656"/>
          <w:tab w:val="left" w:pos="6696"/>
          <w:tab w:val="left" w:pos="8256"/>
        </w:tabs>
        <w:ind w:left="432" w:hanging="432"/>
      </w:pPr>
      <w:r>
        <w:t>7.</w:t>
      </w:r>
      <w:r>
        <w:tab/>
      </w:r>
      <w:r w:rsidRPr="00E77209">
        <w:rPr>
          <w:b/>
          <w:bCs/>
        </w:rPr>
        <w:t>Explain any special circumstances that would cause an information collection to be conducted in a manner:</w:t>
      </w:r>
    </w:p>
    <w:p w:rsidR="00E77209" w:rsidRPr="00E77209" w:rsidP="00E77209" w14:paraId="3F95BBDC" w14:textId="77777777">
      <w:pPr>
        <w:numPr>
          <w:ilvl w:val="0"/>
          <w:numId w:val="57"/>
        </w:numPr>
        <w:tabs>
          <w:tab w:val="left" w:pos="1176"/>
          <w:tab w:val="left" w:pos="1656"/>
          <w:tab w:val="left" w:pos="6696"/>
          <w:tab w:val="left" w:pos="8256"/>
        </w:tabs>
        <w:rPr>
          <w:b/>
          <w:bCs/>
        </w:rPr>
      </w:pPr>
      <w:r w:rsidRPr="00E77209">
        <w:rPr>
          <w:b/>
          <w:bCs/>
        </w:rPr>
        <w:t>requiring respondents to report information to the agency more often than quarterly;</w:t>
      </w:r>
    </w:p>
    <w:p w:rsidR="00E77209" w:rsidRPr="00E77209" w:rsidP="00E77209" w14:paraId="6E54B751" w14:textId="77777777">
      <w:pPr>
        <w:numPr>
          <w:ilvl w:val="0"/>
          <w:numId w:val="57"/>
        </w:numPr>
        <w:tabs>
          <w:tab w:val="left" w:pos="1176"/>
          <w:tab w:val="left" w:pos="1656"/>
          <w:tab w:val="left" w:pos="6696"/>
          <w:tab w:val="left" w:pos="8256"/>
        </w:tabs>
        <w:rPr>
          <w:b/>
          <w:bCs/>
        </w:rPr>
      </w:pPr>
      <w:r w:rsidRPr="00E77209">
        <w:rPr>
          <w:b/>
          <w:bCs/>
        </w:rPr>
        <w:t>requiring respondents to prepare a written response to a collection of information in fewer than 30 days after receipt of it;</w:t>
      </w:r>
    </w:p>
    <w:p w:rsidR="00E77209" w:rsidRPr="00E77209" w:rsidP="00E77209" w14:paraId="43099ACF" w14:textId="77777777">
      <w:pPr>
        <w:numPr>
          <w:ilvl w:val="0"/>
          <w:numId w:val="57"/>
        </w:numPr>
        <w:tabs>
          <w:tab w:val="left" w:pos="1176"/>
          <w:tab w:val="left" w:pos="1656"/>
          <w:tab w:val="left" w:pos="6696"/>
          <w:tab w:val="left" w:pos="8256"/>
        </w:tabs>
        <w:rPr>
          <w:b/>
          <w:bCs/>
        </w:rPr>
      </w:pPr>
      <w:r w:rsidRPr="00E77209">
        <w:rPr>
          <w:b/>
          <w:bCs/>
        </w:rPr>
        <w:t>requiring respondents to submit more than an original and two copies of any document;</w:t>
      </w:r>
    </w:p>
    <w:p w:rsidR="00E77209" w:rsidRPr="00E77209" w:rsidP="00E77209" w14:paraId="6284BEC1" w14:textId="77777777">
      <w:pPr>
        <w:numPr>
          <w:ilvl w:val="0"/>
          <w:numId w:val="57"/>
        </w:numPr>
        <w:tabs>
          <w:tab w:val="left" w:pos="1176"/>
          <w:tab w:val="left" w:pos="1656"/>
          <w:tab w:val="left" w:pos="6696"/>
          <w:tab w:val="left" w:pos="8256"/>
        </w:tabs>
        <w:rPr>
          <w:b/>
          <w:bCs/>
        </w:rPr>
      </w:pPr>
      <w:r w:rsidRPr="00E77209">
        <w:rPr>
          <w:b/>
          <w:bCs/>
        </w:rPr>
        <w:t>requiring respondents to retain records, other than health, medical, government contract, grant-in-aid, or tax records for more than three years;</w:t>
      </w:r>
    </w:p>
    <w:p w:rsidR="00E77209" w:rsidRPr="00E77209" w:rsidP="00E77209" w14:paraId="1996DDDD" w14:textId="77777777">
      <w:pPr>
        <w:numPr>
          <w:ilvl w:val="0"/>
          <w:numId w:val="57"/>
        </w:numPr>
        <w:tabs>
          <w:tab w:val="left" w:pos="1176"/>
          <w:tab w:val="left" w:pos="1656"/>
          <w:tab w:val="left" w:pos="6696"/>
          <w:tab w:val="left" w:pos="8256"/>
        </w:tabs>
        <w:rPr>
          <w:b/>
          <w:bCs/>
        </w:rPr>
      </w:pPr>
      <w:r w:rsidRPr="00E77209">
        <w:rPr>
          <w:b/>
          <w:bCs/>
        </w:rPr>
        <w:t>in connection with a statistical survey, that is not designed to produce valid and reliable results that can be generalized to the universe of study;</w:t>
      </w:r>
    </w:p>
    <w:p w:rsidR="00E77209" w:rsidRPr="00E77209" w:rsidP="00E77209" w14:paraId="4BCA2267" w14:textId="77777777">
      <w:pPr>
        <w:numPr>
          <w:ilvl w:val="0"/>
          <w:numId w:val="57"/>
        </w:numPr>
        <w:tabs>
          <w:tab w:val="left" w:pos="1176"/>
          <w:tab w:val="left" w:pos="1656"/>
          <w:tab w:val="left" w:pos="6696"/>
          <w:tab w:val="left" w:pos="8256"/>
        </w:tabs>
        <w:rPr>
          <w:b/>
          <w:bCs/>
        </w:rPr>
      </w:pPr>
      <w:r w:rsidRPr="00E77209">
        <w:rPr>
          <w:b/>
          <w:bCs/>
        </w:rPr>
        <w:t>requiring the use of statistical data classification that has not been reviewed and approved by OMB;</w:t>
      </w:r>
    </w:p>
    <w:p w:rsidR="00E77209" w:rsidRPr="00E77209" w:rsidP="00E77209" w14:paraId="2496AF53" w14:textId="77777777">
      <w:pPr>
        <w:numPr>
          <w:ilvl w:val="0"/>
          <w:numId w:val="57"/>
        </w:numPr>
        <w:tabs>
          <w:tab w:val="left" w:pos="1176"/>
          <w:tab w:val="left" w:pos="1656"/>
          <w:tab w:val="left" w:pos="6696"/>
          <w:tab w:val="left" w:pos="8256"/>
        </w:tabs>
        <w:rPr>
          <w:b/>
          <w:bCs/>
        </w:rPr>
      </w:pPr>
      <w:r w:rsidRPr="00E77209">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77209" w:rsidRPr="00E77209" w:rsidP="00E77209" w14:paraId="43D0B7D4" w14:textId="77777777">
      <w:pPr>
        <w:numPr>
          <w:ilvl w:val="0"/>
          <w:numId w:val="57"/>
        </w:numPr>
        <w:tabs>
          <w:tab w:val="left" w:pos="1176"/>
          <w:tab w:val="left" w:pos="1656"/>
          <w:tab w:val="left" w:pos="6696"/>
          <w:tab w:val="left" w:pos="8256"/>
        </w:tabs>
        <w:rPr>
          <w:b/>
          <w:bCs/>
        </w:rPr>
      </w:pPr>
      <w:r w:rsidRPr="00E77209">
        <w:rPr>
          <w:b/>
          <w:bCs/>
        </w:rPr>
        <w:t>requiring respondents to submit proprietary trade secret, or other confidential information unless the agency can demonstrate that it has instituted procedures to protect the information's confidentially to the extent permitted by law.</w:t>
      </w:r>
    </w:p>
    <w:p w:rsidR="00673B1B" w:rsidP="00F721B6" w14:paraId="18A6AAB9" w14:textId="55D3247D">
      <w:pPr>
        <w:tabs>
          <w:tab w:val="left" w:pos="1176"/>
          <w:tab w:val="left" w:pos="1656"/>
          <w:tab w:val="left" w:pos="6696"/>
          <w:tab w:val="left" w:pos="8256"/>
        </w:tabs>
        <w:ind w:left="432" w:hanging="432"/>
      </w:pPr>
      <w:r>
        <w:br/>
        <w:t xml:space="preserve">The </w:t>
      </w:r>
      <w:r w:rsidR="003D2701">
        <w:t>CED</w:t>
      </w:r>
      <w:r>
        <w:t xml:space="preserve"> requests that each selected sample unit keep two one-week diaries of expenditures over two consecutive weeks.  The </w:t>
      </w:r>
      <w:r w:rsidR="003D2701">
        <w:t>CED</w:t>
      </w:r>
      <w:r>
        <w:t xml:space="preserve"> collects information on small, relatively inexpensive items that respondents may not be able to recall in a retrospective survey.  Given the type of data collected, the </w:t>
      </w:r>
      <w:r w:rsidR="00B77DE4">
        <w:t>BLS</w:t>
      </w:r>
      <w:r>
        <w:t xml:space="preserve"> requests</w:t>
      </w:r>
      <w:r w:rsidR="00B77DE4">
        <w:t xml:space="preserve"> Diary Survey</w:t>
      </w:r>
      <w:r>
        <w:t xml:space="preserve"> respondents to record responses in fewer than 30 days after receipt of it.</w:t>
      </w:r>
    </w:p>
    <w:p w:rsidR="004A73C4" w:rsidP="00F721B6" w14:paraId="540FD4C5" w14:textId="77777777">
      <w:pPr>
        <w:tabs>
          <w:tab w:val="left" w:pos="1176"/>
          <w:tab w:val="left" w:pos="1656"/>
          <w:tab w:val="left" w:pos="6696"/>
          <w:tab w:val="left" w:pos="8256"/>
        </w:tabs>
        <w:ind w:left="432" w:hanging="432"/>
      </w:pPr>
    </w:p>
    <w:p w:rsidR="00DA55C9" w:rsidRPr="00DA55C9" w:rsidP="0095528E" w14:paraId="240F7450" w14:textId="77777777">
      <w:pPr>
        <w:tabs>
          <w:tab w:val="left" w:pos="1176"/>
          <w:tab w:val="left" w:pos="1656"/>
          <w:tab w:val="left" w:pos="6696"/>
          <w:tab w:val="left" w:pos="8256"/>
        </w:tabs>
        <w:ind w:left="360"/>
      </w:pPr>
      <w:r w:rsidRPr="00DA55C9">
        <w:t>Additionally, per the OMB Statistical Policy Directive (SPD) No. 15, CE is researching the implementation of the new race and ethnicity questions. CE is developing a plan to implement these changes into data collection, processing, and publication. CE will communicate our plan throughout the process to all stakeholders.  CE plans to add the new questions to the production data collection instruments in the CED by January of 2027 and in CEQ by April of 2027, ahead of the required implementation date of March 28, 2029 for the publication of estimates that reflect the new race/ethnicity questions. CE plans to coordinate an implementation date with the Current Population Survey (CPS), due to the use of CPS data in CE processing, and an interest in aligning implementation schedules for the two surveys. CE's plans will be documented in DOL's SPD 15 Action Plan as well as in any interim CE Information Collection Requests. </w:t>
      </w:r>
    </w:p>
    <w:p w:rsidR="004A73C4" w:rsidRPr="00D76BA4" w:rsidP="00F721B6" w14:paraId="79116DE1" w14:textId="77777777">
      <w:pPr>
        <w:tabs>
          <w:tab w:val="left" w:pos="1176"/>
          <w:tab w:val="left" w:pos="1656"/>
          <w:tab w:val="left" w:pos="6696"/>
          <w:tab w:val="left" w:pos="8256"/>
        </w:tabs>
        <w:ind w:left="432" w:hanging="432"/>
      </w:pPr>
    </w:p>
    <w:p w:rsidR="00673B1B" w:rsidP="00673B1B" w14:paraId="4CF04D07" w14:textId="77777777">
      <w:pPr>
        <w:tabs>
          <w:tab w:val="left" w:pos="1176"/>
          <w:tab w:val="left" w:pos="1656"/>
          <w:tab w:val="left" w:pos="6696"/>
          <w:tab w:val="left" w:pos="8256"/>
        </w:tabs>
      </w:pPr>
    </w:p>
    <w:p w:rsidR="00E83CE9" w:rsidP="00E83CE9" w14:paraId="39C7ECDF" w14:textId="77777777">
      <w:pPr>
        <w:tabs>
          <w:tab w:val="left" w:pos="1176"/>
          <w:tab w:val="left" w:pos="1656"/>
          <w:tab w:val="left" w:pos="6696"/>
          <w:tab w:val="left" w:pos="8256"/>
        </w:tabs>
        <w:ind w:left="2253"/>
      </w:pPr>
    </w:p>
    <w:p w:rsidR="00E77209" w:rsidRPr="00E570DF" w:rsidP="00E570DF" w14:paraId="055B0007" w14:textId="1F3C216E">
      <w:pPr>
        <w:autoSpaceDE w:val="0"/>
        <w:autoSpaceDN w:val="0"/>
        <w:adjustRightInd w:val="0"/>
        <w:ind w:left="360" w:hanging="360"/>
        <w:rPr>
          <w:b/>
        </w:rPr>
      </w:pPr>
      <w:r w:rsidRPr="00E570DF">
        <w:rPr>
          <w:b/>
        </w:rPr>
        <w:t>8.</w:t>
      </w:r>
      <w:r w:rsidRPr="00E570DF" w:rsidR="00222B10">
        <w:rPr>
          <w:b/>
        </w:rPr>
        <w:tab/>
      </w:r>
      <w:r w:rsidRPr="00E570DF">
        <w:rPr>
          <w:b/>
        </w:rPr>
        <w:t>If a</w:t>
      </w:r>
      <w:r w:rsidRPr="00E77209">
        <w:rPr>
          <w:b/>
          <w:bCs/>
        </w:rPr>
        <w:t xml:space="preserve">pplicable, provide a copy and identify the date and page number of publication in the </w:t>
      </w:r>
      <w:r w:rsidRPr="00E77209">
        <w:rPr>
          <w:b/>
          <w:bCs/>
          <w:i/>
          <w:iCs/>
        </w:rPr>
        <w:t>Federal Register</w:t>
      </w:r>
      <w:r w:rsidRPr="00E77209">
        <w:rPr>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77209" w:rsidRPr="00E77209" w:rsidP="00E570DF" w14:paraId="0F1CBD40" w14:textId="7976C484">
      <w:pPr>
        <w:autoSpaceDE w:val="0"/>
        <w:autoSpaceDN w:val="0"/>
        <w:adjustRightInd w:val="0"/>
        <w:ind w:left="432"/>
        <w:rPr>
          <w:b/>
          <w:bCs/>
        </w:rPr>
      </w:pPr>
      <w:r>
        <w:rPr>
          <w:b/>
          <w:bCs/>
        </w:rPr>
        <w:br/>
      </w:r>
      <w:r w:rsidRPr="00E77209">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77209" w:rsidRPr="00E77209" w:rsidP="00E570DF" w14:paraId="5C94F646" w14:textId="5C5E055F">
      <w:pPr>
        <w:autoSpaceDE w:val="0"/>
        <w:autoSpaceDN w:val="0"/>
        <w:adjustRightInd w:val="0"/>
        <w:ind w:left="432"/>
      </w:pPr>
      <w:r>
        <w:rPr>
          <w:b/>
          <w:bCs/>
        </w:rPr>
        <w:br/>
      </w:r>
      <w:r w:rsidRPr="00E77209">
        <w:rPr>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2305EC" w:rsidP="002305EC" w14:paraId="24D75339" w14:textId="5494E73A">
      <w:pPr>
        <w:autoSpaceDE w:val="0"/>
        <w:autoSpaceDN w:val="0"/>
        <w:adjustRightInd w:val="0"/>
        <w:ind w:left="450" w:hanging="450"/>
      </w:pPr>
    </w:p>
    <w:p w:rsidR="00EC6E56" w:rsidRPr="0041220B" w:rsidP="00EC6E56" w14:paraId="5AE91B2F" w14:textId="56CF7787">
      <w:pPr>
        <w:autoSpaceDE w:val="0"/>
        <w:autoSpaceDN w:val="0"/>
        <w:adjustRightInd w:val="0"/>
        <w:ind w:left="450"/>
      </w:pPr>
    </w:p>
    <w:p w:rsidR="005B0487" w:rsidP="005B0487" w14:paraId="0341A289" w14:textId="27764D0F">
      <w:pPr>
        <w:autoSpaceDE w:val="0"/>
        <w:autoSpaceDN w:val="0"/>
        <w:adjustRightInd w:val="0"/>
        <w:ind w:left="450"/>
      </w:pPr>
      <w:r w:rsidRPr="00573F8C">
        <w:t>One</w:t>
      </w:r>
      <w:r w:rsidRPr="00573F8C" w:rsidR="00EC2424">
        <w:t xml:space="preserve"> comment </w:t>
      </w:r>
      <w:r w:rsidRPr="00573F8C">
        <w:t>was</w:t>
      </w:r>
      <w:r w:rsidRPr="00573F8C" w:rsidR="00EC2424">
        <w:t xml:space="preserve"> received on the Federal Register Notice </w:t>
      </w:r>
      <w:r w:rsidRPr="00573F8C" w:rsidR="00EC2424">
        <w:t>published  on</w:t>
      </w:r>
      <w:r w:rsidRPr="00573F8C" w:rsidR="00EC2424">
        <w:t xml:space="preserve"> </w:t>
      </w:r>
      <w:r w:rsidRPr="00573F8C">
        <w:t>June 4</w:t>
      </w:r>
      <w:r w:rsidRPr="00573F8C" w:rsidR="00EC2424">
        <w:t>, 2024</w:t>
      </w:r>
      <w:r w:rsidR="000B3A84">
        <w:t xml:space="preserve"> (</w:t>
      </w:r>
      <w:r w:rsidRPr="00573F8C" w:rsidR="000B3A84">
        <w:t xml:space="preserve">89 FR </w:t>
      </w:r>
      <w:r w:rsidRPr="000B3A84" w:rsidR="000B3A84">
        <w:t>47990</w:t>
      </w:r>
      <w:r w:rsidR="000B3A84">
        <w:t>)</w:t>
      </w:r>
      <w:r w:rsidRPr="00573F8C" w:rsidR="00EC2424">
        <w:t xml:space="preserve">. </w:t>
      </w:r>
      <w:r>
        <w:t xml:space="preserve">  This commenter was concerned with the cost associated with the rotating panel consisting of four interviews and methodology being influenced by politics.  </w:t>
      </w:r>
    </w:p>
    <w:p w:rsidR="005B0487" w:rsidP="005B0487" w14:paraId="486B6846" w14:textId="77777777">
      <w:pPr>
        <w:autoSpaceDE w:val="0"/>
        <w:autoSpaceDN w:val="0"/>
        <w:adjustRightInd w:val="0"/>
        <w:ind w:left="450"/>
      </w:pPr>
    </w:p>
    <w:p w:rsidR="005B0487" w:rsidP="005B0487" w14:paraId="526D594A" w14:textId="0805250F">
      <w:pPr>
        <w:autoSpaceDE w:val="0"/>
        <w:autoSpaceDN w:val="0"/>
        <w:adjustRightInd w:val="0"/>
        <w:ind w:left="450"/>
      </w:pPr>
      <w:r>
        <w:t xml:space="preserve">The Consumer Expenditure Interview Survey is designed as a rotating panel consisting of 4 interviews of a given household at 3 month intervals.  There are several advantages to the panel </w:t>
      </w:r>
      <w:r>
        <w:t xml:space="preserve">nature of the survey including the ability to measure year to year changes in income, assets, and </w:t>
      </w:r>
      <w:r w:rsidRPr="00C4675D">
        <w:t xml:space="preserve">liabilities; the measurement of changes to expenditure behavior over time; measurement of infrequently purchased items; as an aid in recall; and to eliminate reported expenditures that are out of scope.  </w:t>
      </w:r>
      <w:r>
        <w:t>Measurements of changes in income, assets, and liabilities require recollection of these items at a 12 month interval.  Though the interview is repeated every three months, respondent burden is minimized as income, assets, and liabilities are only collected at the first and final interviews.  Likewise, measurements of changes to expenditure behavior over time requires repeated measurement of the same household in order to correlate changes in a given household’s spending over time.  Additionally, purchases of durable goods may be missed by surveying only at a particular moment in time as compared to a panel survey.  Furthermore, misreports of expenditure data can be corrected in subsequent interviews</w:t>
      </w:r>
      <w:r w:rsidRPr="009751DE">
        <w:t xml:space="preserve">.  </w:t>
      </w:r>
      <w:r w:rsidRPr="00C4675D">
        <w:t>Errors in recollection as to the exact timing of expenditures can lead to reporting of expenditures outside of the reference period.  By using a panel survey, these out of scope expenditures can be eliminated.</w:t>
      </w:r>
      <w:r w:rsidRPr="009751DE">
        <w:t xml:space="preserve">  Other benefits include the familiarity that respondents gain with collection and instructions provided on collecting records, enabling respondents to prepare for subsequent interview.  </w:t>
      </w:r>
    </w:p>
    <w:p w:rsidR="005B0487" w:rsidP="005B0487" w14:paraId="292514E7" w14:textId="77777777">
      <w:pPr>
        <w:autoSpaceDE w:val="0"/>
        <w:autoSpaceDN w:val="0"/>
        <w:adjustRightInd w:val="0"/>
        <w:ind w:left="450"/>
      </w:pPr>
    </w:p>
    <w:p w:rsidR="009410BE" w:rsidP="005B0487" w14:paraId="662B040F" w14:textId="59DDE57D">
      <w:pPr>
        <w:autoSpaceDE w:val="0"/>
        <w:autoSpaceDN w:val="0"/>
        <w:adjustRightInd w:val="0"/>
        <w:ind w:left="450"/>
      </w:pPr>
      <w:r>
        <w:t>Consumer Expenditure data is collected and prepared according to established methodologies that are documented and available to the public.  Any changes to methodologies are evaluated by experts and cleared prior to implementation in order to prevent political or other sources of bias.</w:t>
      </w:r>
    </w:p>
    <w:p w:rsidR="00AF6676" w:rsidP="00222B10" w14:paraId="45D6ECFF" w14:textId="58DF38E1">
      <w:pPr>
        <w:autoSpaceDE w:val="0"/>
        <w:autoSpaceDN w:val="0"/>
        <w:adjustRightInd w:val="0"/>
        <w:ind w:left="450" w:hanging="450"/>
      </w:pPr>
    </w:p>
    <w:p w:rsidR="00673B1B" w:rsidP="00A52EC2" w14:paraId="2DB98A20" w14:textId="2847BB31">
      <w:pPr>
        <w:autoSpaceDE w:val="0"/>
        <w:autoSpaceDN w:val="0"/>
        <w:adjustRightInd w:val="0"/>
        <w:ind w:left="450" w:hanging="450"/>
      </w:pPr>
      <w:r>
        <w:tab/>
        <w:t>In the past year, the BLS has consulted with the following persons by correspondence and telephone conversations:</w:t>
      </w:r>
    </w:p>
    <w:p w:rsidR="00673B1B" w:rsidP="00673B1B" w14:paraId="41F4C5E4" w14:textId="77777777">
      <w:pPr>
        <w:tabs>
          <w:tab w:val="left" w:pos="1176"/>
          <w:tab w:val="left" w:pos="1656"/>
          <w:tab w:val="left" w:pos="6696"/>
          <w:tab w:val="left" w:pos="8256"/>
        </w:tabs>
      </w:pPr>
    </w:p>
    <w:p w:rsidR="00B82D76" w:rsidRPr="00334156" w:rsidP="00B82D76" w14:paraId="787A605F" w14:textId="77777777">
      <w:pPr>
        <w:pStyle w:val="xxmsonormal"/>
        <w:shd w:val="clear" w:color="auto" w:fill="FFFFFF"/>
        <w:ind w:left="720"/>
        <w:rPr>
          <w:rFonts w:ascii="Times New Roman" w:eastAsia="Times New Roman" w:hAnsi="Times New Roman" w:cs="Times New Roman"/>
          <w:sz w:val="24"/>
          <w:szCs w:val="24"/>
        </w:rPr>
      </w:pPr>
      <w:bookmarkStart w:id="1" w:name="_Hlk144104478"/>
      <w:r w:rsidRPr="00334156">
        <w:rPr>
          <w:rFonts w:ascii="Times New Roman" w:eastAsia="Times New Roman" w:hAnsi="Times New Roman" w:cs="Times New Roman"/>
          <w:sz w:val="24"/>
          <w:szCs w:val="24"/>
        </w:rPr>
        <w:t>Jennifer Epps</w:t>
      </w:r>
    </w:p>
    <w:p w:rsidR="00B82D76" w:rsidRPr="00334156" w:rsidP="00B82D76" w14:paraId="09D02197" w14:textId="77777777">
      <w:pPr>
        <w:pStyle w:val="xxmsonormal"/>
        <w:shd w:val="clear" w:color="auto" w:fill="FFFFFF"/>
        <w:ind w:left="720"/>
        <w:rPr>
          <w:rFonts w:ascii="Times New Roman" w:eastAsia="Times New Roman" w:hAnsi="Times New Roman" w:cs="Times New Roman"/>
          <w:sz w:val="24"/>
          <w:szCs w:val="24"/>
        </w:rPr>
      </w:pPr>
      <w:r w:rsidRPr="00334156">
        <w:rPr>
          <w:rFonts w:ascii="Times New Roman" w:eastAsia="Times New Roman" w:hAnsi="Times New Roman" w:cs="Times New Roman"/>
          <w:sz w:val="24"/>
          <w:szCs w:val="24"/>
        </w:rPr>
        <w:t>Associate Director for Demographic Programs – Survey Operations</w:t>
      </w:r>
    </w:p>
    <w:p w:rsidR="00B82D76" w:rsidRPr="00334156" w:rsidP="00B82D76" w14:paraId="10A541C0" w14:textId="77777777">
      <w:pPr>
        <w:pStyle w:val="xxmsonormal"/>
        <w:shd w:val="clear" w:color="auto" w:fill="FFFFFF"/>
        <w:ind w:left="720"/>
        <w:rPr>
          <w:rFonts w:ascii="Times New Roman" w:eastAsia="Times New Roman" w:hAnsi="Times New Roman" w:cs="Times New Roman"/>
          <w:sz w:val="24"/>
          <w:szCs w:val="24"/>
        </w:rPr>
      </w:pPr>
      <w:r w:rsidRPr="00334156">
        <w:rPr>
          <w:rFonts w:ascii="Times New Roman" w:eastAsia="Times New Roman" w:hAnsi="Times New Roman" w:cs="Times New Roman"/>
          <w:sz w:val="24"/>
          <w:szCs w:val="24"/>
        </w:rPr>
        <w:t>Census Bureau</w:t>
      </w:r>
    </w:p>
    <w:p w:rsidR="00B82D76" w:rsidRPr="00334156" w:rsidP="00B82D76" w14:paraId="2ED81674" w14:textId="35764639">
      <w:pPr>
        <w:pStyle w:val="xxmsonormal"/>
        <w:shd w:val="clear" w:color="auto" w:fill="FFFFFF"/>
        <w:ind w:left="720"/>
        <w:rPr>
          <w:rFonts w:ascii="Times New Roman" w:eastAsia="Times New Roman" w:hAnsi="Times New Roman" w:cs="Times New Roman"/>
          <w:sz w:val="24"/>
          <w:szCs w:val="24"/>
        </w:rPr>
      </w:pPr>
    </w:p>
    <w:p w:rsidR="00B82D76" w:rsidRPr="00334156" w:rsidP="00B82D76" w14:paraId="32E2205B" w14:textId="77777777">
      <w:pPr>
        <w:pStyle w:val="xxmsonormal"/>
        <w:shd w:val="clear" w:color="auto" w:fill="FFFFFF"/>
        <w:ind w:left="720"/>
        <w:rPr>
          <w:rFonts w:ascii="Times New Roman" w:eastAsia="Times New Roman" w:hAnsi="Times New Roman" w:cs="Times New Roman"/>
          <w:sz w:val="24"/>
          <w:szCs w:val="24"/>
        </w:rPr>
      </w:pPr>
      <w:r w:rsidRPr="00334156">
        <w:rPr>
          <w:rFonts w:ascii="Times New Roman" w:eastAsia="Times New Roman" w:hAnsi="Times New Roman" w:cs="Times New Roman"/>
          <w:sz w:val="24"/>
          <w:szCs w:val="24"/>
        </w:rPr>
        <w:t>John Gloster</w:t>
      </w:r>
    </w:p>
    <w:p w:rsidR="00B82D76" w:rsidRPr="00334156" w:rsidP="00B82D76" w14:paraId="28001016" w14:textId="77777777">
      <w:pPr>
        <w:pStyle w:val="xxmsonormal"/>
        <w:shd w:val="clear" w:color="auto" w:fill="FFFFFF"/>
        <w:ind w:left="720"/>
        <w:rPr>
          <w:rFonts w:ascii="Times New Roman" w:eastAsia="Times New Roman" w:hAnsi="Times New Roman" w:cs="Times New Roman"/>
          <w:sz w:val="24"/>
          <w:szCs w:val="24"/>
        </w:rPr>
      </w:pPr>
      <w:r w:rsidRPr="00334156">
        <w:rPr>
          <w:rFonts w:ascii="Times New Roman" w:eastAsia="Times New Roman" w:hAnsi="Times New Roman" w:cs="Times New Roman"/>
          <w:sz w:val="24"/>
          <w:szCs w:val="24"/>
        </w:rPr>
        <w:t>Associate Director for Demographic Programs – Survey Operations</w:t>
      </w:r>
    </w:p>
    <w:p w:rsidR="00B82D76" w:rsidRPr="00334156" w:rsidP="00B82D76" w14:paraId="2575EB58" w14:textId="77777777">
      <w:pPr>
        <w:pStyle w:val="xxmsonormal"/>
        <w:shd w:val="clear" w:color="auto" w:fill="FFFFFF"/>
        <w:ind w:left="720"/>
        <w:rPr>
          <w:rFonts w:ascii="Times New Roman" w:eastAsia="Times New Roman" w:hAnsi="Times New Roman" w:cs="Times New Roman"/>
          <w:sz w:val="24"/>
          <w:szCs w:val="24"/>
        </w:rPr>
      </w:pPr>
      <w:r w:rsidRPr="00334156">
        <w:rPr>
          <w:rFonts w:ascii="Times New Roman" w:eastAsia="Times New Roman" w:hAnsi="Times New Roman" w:cs="Times New Roman"/>
          <w:sz w:val="24"/>
          <w:szCs w:val="24"/>
        </w:rPr>
        <w:t>Census Bureau</w:t>
      </w:r>
    </w:p>
    <w:p w:rsidR="00B82D76" w:rsidRPr="00334156" w:rsidP="00B82D76" w14:paraId="36CD2C6B" w14:textId="77777777">
      <w:pPr>
        <w:pStyle w:val="xxmsonormal"/>
        <w:shd w:val="clear" w:color="auto" w:fill="FFFFFF"/>
        <w:ind w:left="720"/>
        <w:rPr>
          <w:rFonts w:ascii="Times New Roman" w:eastAsia="Times New Roman" w:hAnsi="Times New Roman" w:cs="Times New Roman"/>
          <w:sz w:val="24"/>
          <w:szCs w:val="24"/>
        </w:rPr>
      </w:pPr>
    </w:p>
    <w:p w:rsidR="00B82D76" w:rsidRPr="00334156" w:rsidP="00B82D76" w14:paraId="1A59E96C" w14:textId="42725254">
      <w:pPr>
        <w:pStyle w:val="xxmsonormal"/>
        <w:shd w:val="clear" w:color="auto" w:fill="FFFFFF"/>
        <w:ind w:left="720"/>
        <w:rPr>
          <w:rFonts w:ascii="Times New Roman" w:eastAsia="Times New Roman" w:hAnsi="Times New Roman" w:cs="Times New Roman"/>
          <w:sz w:val="24"/>
          <w:szCs w:val="24"/>
        </w:rPr>
      </w:pPr>
      <w:r w:rsidRPr="00334156">
        <w:rPr>
          <w:rFonts w:ascii="Times New Roman" w:eastAsia="Times New Roman" w:hAnsi="Times New Roman" w:cs="Times New Roman"/>
          <w:sz w:val="24"/>
          <w:szCs w:val="24"/>
        </w:rPr>
        <w:t>Michael Bagley</w:t>
      </w:r>
    </w:p>
    <w:p w:rsidR="00B82D76" w:rsidRPr="00334156" w:rsidP="00B82D76" w14:paraId="065C9460" w14:textId="77777777">
      <w:pPr>
        <w:pStyle w:val="xxmsonormal"/>
        <w:shd w:val="clear" w:color="auto" w:fill="FFFFFF"/>
        <w:ind w:left="720"/>
        <w:rPr>
          <w:rFonts w:ascii="Times New Roman" w:eastAsia="Times New Roman" w:hAnsi="Times New Roman" w:cs="Times New Roman"/>
          <w:sz w:val="24"/>
          <w:szCs w:val="24"/>
        </w:rPr>
      </w:pPr>
      <w:r w:rsidRPr="00334156">
        <w:rPr>
          <w:rFonts w:ascii="Times New Roman" w:eastAsia="Times New Roman" w:hAnsi="Times New Roman" w:cs="Times New Roman"/>
          <w:sz w:val="24"/>
          <w:szCs w:val="24"/>
        </w:rPr>
        <w:t>Associate Director for Demographic Programs – Survey Operations</w:t>
      </w:r>
    </w:p>
    <w:p w:rsidR="00B82D76" w:rsidRPr="00334156" w:rsidP="00B82D76" w14:paraId="28B4ECEF" w14:textId="77777777">
      <w:pPr>
        <w:pStyle w:val="xxmsonormal"/>
        <w:shd w:val="clear" w:color="auto" w:fill="FFFFFF"/>
        <w:ind w:left="720"/>
        <w:rPr>
          <w:rFonts w:ascii="Times New Roman" w:eastAsia="Times New Roman" w:hAnsi="Times New Roman" w:cs="Times New Roman"/>
          <w:sz w:val="24"/>
          <w:szCs w:val="24"/>
        </w:rPr>
      </w:pPr>
      <w:r w:rsidRPr="00334156">
        <w:rPr>
          <w:rFonts w:ascii="Times New Roman" w:eastAsia="Times New Roman" w:hAnsi="Times New Roman" w:cs="Times New Roman"/>
          <w:sz w:val="24"/>
          <w:szCs w:val="24"/>
        </w:rPr>
        <w:t>Census Bureau</w:t>
      </w:r>
    </w:p>
    <w:p w:rsidR="00B82D76" w:rsidRPr="00334156" w:rsidP="00B82D76" w14:paraId="3FF2604B" w14:textId="4A3EDFBA">
      <w:pPr>
        <w:pStyle w:val="xxmsonormal"/>
        <w:shd w:val="clear" w:color="auto" w:fill="FFFFFF"/>
        <w:ind w:left="720"/>
        <w:rPr>
          <w:rFonts w:ascii="Times New Roman" w:eastAsia="Times New Roman" w:hAnsi="Times New Roman" w:cs="Times New Roman"/>
          <w:sz w:val="24"/>
          <w:szCs w:val="24"/>
        </w:rPr>
      </w:pPr>
    </w:p>
    <w:p w:rsidR="00B82D76" w:rsidRPr="00334156" w:rsidP="00B82D76" w14:paraId="5065046C" w14:textId="2AC45D5F">
      <w:pPr>
        <w:pStyle w:val="xxmsonormal"/>
        <w:shd w:val="clear" w:color="auto" w:fill="FFFFFF"/>
        <w:ind w:left="720"/>
        <w:rPr>
          <w:rFonts w:ascii="Times New Roman" w:eastAsia="Times New Roman" w:hAnsi="Times New Roman" w:cs="Times New Roman"/>
          <w:sz w:val="24"/>
          <w:szCs w:val="24"/>
        </w:rPr>
      </w:pPr>
      <w:r w:rsidRPr="00334156">
        <w:rPr>
          <w:rFonts w:ascii="Times New Roman" w:eastAsia="Times New Roman" w:hAnsi="Times New Roman" w:cs="Times New Roman"/>
          <w:sz w:val="24"/>
          <w:szCs w:val="24"/>
        </w:rPr>
        <w:t>James Farber</w:t>
      </w:r>
    </w:p>
    <w:p w:rsidR="00B82D76" w:rsidRPr="00334156" w:rsidP="00B82D76" w14:paraId="4E6781A5" w14:textId="77777777">
      <w:pPr>
        <w:pStyle w:val="xxmsonormal"/>
        <w:shd w:val="clear" w:color="auto" w:fill="FFFFFF"/>
        <w:ind w:left="720"/>
        <w:rPr>
          <w:rFonts w:ascii="Times New Roman" w:eastAsia="Times New Roman" w:hAnsi="Times New Roman" w:cs="Times New Roman"/>
          <w:sz w:val="24"/>
          <w:szCs w:val="24"/>
        </w:rPr>
      </w:pPr>
      <w:r w:rsidRPr="00334156">
        <w:rPr>
          <w:rFonts w:ascii="Times New Roman" w:eastAsia="Times New Roman" w:hAnsi="Times New Roman" w:cs="Times New Roman"/>
          <w:sz w:val="24"/>
          <w:szCs w:val="24"/>
        </w:rPr>
        <w:t>Demographic Statistical Methods Division</w:t>
      </w:r>
    </w:p>
    <w:p w:rsidR="00B82D76" w:rsidRPr="00334156" w:rsidP="00B82D76" w14:paraId="73E56BAF" w14:textId="77777777">
      <w:pPr>
        <w:pStyle w:val="xxmsonormal"/>
        <w:shd w:val="clear" w:color="auto" w:fill="FFFFFF"/>
        <w:ind w:left="720"/>
        <w:rPr>
          <w:rFonts w:ascii="Times New Roman" w:eastAsia="Times New Roman" w:hAnsi="Times New Roman" w:cs="Times New Roman"/>
          <w:sz w:val="24"/>
          <w:szCs w:val="24"/>
        </w:rPr>
      </w:pPr>
      <w:r w:rsidRPr="00334156">
        <w:rPr>
          <w:rFonts w:ascii="Times New Roman" w:eastAsia="Times New Roman" w:hAnsi="Times New Roman" w:cs="Times New Roman"/>
          <w:sz w:val="24"/>
          <w:szCs w:val="24"/>
        </w:rPr>
        <w:t>Census Bureau</w:t>
      </w:r>
    </w:p>
    <w:p w:rsidR="00B82D76" w:rsidRPr="00334156" w:rsidP="00B82D76" w14:paraId="4361031F" w14:textId="77777777">
      <w:pPr>
        <w:pStyle w:val="xxmsonormal"/>
        <w:shd w:val="clear" w:color="auto" w:fill="FFFFFF"/>
        <w:ind w:left="720"/>
        <w:rPr>
          <w:rFonts w:ascii="Times New Roman" w:eastAsia="Times New Roman" w:hAnsi="Times New Roman" w:cs="Times New Roman"/>
          <w:sz w:val="24"/>
          <w:szCs w:val="24"/>
        </w:rPr>
      </w:pPr>
      <w:r w:rsidRPr="00334156">
        <w:rPr>
          <w:rFonts w:ascii="Times New Roman" w:eastAsia="Times New Roman" w:hAnsi="Times New Roman" w:cs="Times New Roman"/>
          <w:sz w:val="24"/>
          <w:szCs w:val="24"/>
        </w:rPr>
        <w:t> </w:t>
      </w:r>
    </w:p>
    <w:p w:rsidR="00B82D76" w:rsidRPr="00334156" w:rsidP="00B82D76" w14:paraId="7BC1A17D" w14:textId="52629393">
      <w:pPr>
        <w:pStyle w:val="xxmsonormal"/>
        <w:shd w:val="clear" w:color="auto" w:fill="FFFFFF"/>
        <w:ind w:left="720"/>
        <w:rPr>
          <w:rFonts w:ascii="Times New Roman" w:eastAsia="Times New Roman" w:hAnsi="Times New Roman" w:cs="Times New Roman"/>
          <w:sz w:val="24"/>
          <w:szCs w:val="24"/>
        </w:rPr>
      </w:pPr>
      <w:r w:rsidRPr="00334156">
        <w:rPr>
          <w:rFonts w:ascii="Times New Roman" w:eastAsia="Times New Roman" w:hAnsi="Times New Roman" w:cs="Times New Roman"/>
          <w:sz w:val="24"/>
          <w:szCs w:val="24"/>
        </w:rPr>
        <w:t>Lindsay Nix</w:t>
      </w:r>
    </w:p>
    <w:p w:rsidR="00B82D76" w:rsidRPr="00334156" w:rsidP="00B82D76" w14:paraId="4E5D2176" w14:textId="77777777">
      <w:pPr>
        <w:pStyle w:val="xxmsonormal"/>
        <w:shd w:val="clear" w:color="auto" w:fill="FFFFFF"/>
        <w:ind w:left="720"/>
        <w:rPr>
          <w:rFonts w:ascii="Times New Roman" w:eastAsia="Times New Roman" w:hAnsi="Times New Roman" w:cs="Times New Roman"/>
          <w:sz w:val="24"/>
          <w:szCs w:val="24"/>
        </w:rPr>
      </w:pPr>
      <w:r w:rsidRPr="00334156">
        <w:rPr>
          <w:rFonts w:ascii="Times New Roman" w:eastAsia="Times New Roman" w:hAnsi="Times New Roman" w:cs="Times New Roman"/>
          <w:sz w:val="24"/>
          <w:szCs w:val="24"/>
        </w:rPr>
        <w:t>Demographic Statistical Methods Division</w:t>
      </w:r>
    </w:p>
    <w:p w:rsidR="00B82D76" w:rsidRPr="00334156" w:rsidP="00B82D76" w14:paraId="65D978D1" w14:textId="77777777">
      <w:pPr>
        <w:pStyle w:val="xxmsonormal"/>
        <w:shd w:val="clear" w:color="auto" w:fill="FFFFFF"/>
        <w:ind w:left="720"/>
        <w:rPr>
          <w:rFonts w:ascii="Times New Roman" w:eastAsia="Times New Roman" w:hAnsi="Times New Roman" w:cs="Times New Roman"/>
          <w:sz w:val="24"/>
          <w:szCs w:val="24"/>
        </w:rPr>
      </w:pPr>
      <w:r w:rsidRPr="00334156">
        <w:rPr>
          <w:rFonts w:ascii="Times New Roman" w:eastAsia="Times New Roman" w:hAnsi="Times New Roman" w:cs="Times New Roman"/>
          <w:sz w:val="24"/>
          <w:szCs w:val="24"/>
        </w:rPr>
        <w:t>Census Bureau</w:t>
      </w:r>
    </w:p>
    <w:bookmarkEnd w:id="1"/>
    <w:p w:rsidR="00673B1B" w:rsidP="00673B1B" w14:paraId="6DE34843" w14:textId="77777777">
      <w:pPr>
        <w:tabs>
          <w:tab w:val="left" w:pos="1176"/>
          <w:tab w:val="left" w:pos="1656"/>
          <w:tab w:val="left" w:pos="6696"/>
          <w:tab w:val="left" w:pos="8256"/>
        </w:tabs>
      </w:pPr>
    </w:p>
    <w:p w:rsidR="00673B1B" w:rsidP="00673B1B" w14:paraId="435832FE" w14:textId="77777777">
      <w:pPr>
        <w:tabs>
          <w:tab w:val="left" w:pos="1176"/>
          <w:tab w:val="left" w:pos="1656"/>
          <w:tab w:val="left" w:pos="6696"/>
          <w:tab w:val="left" w:pos="8256"/>
        </w:tabs>
        <w:ind w:left="480"/>
        <w:outlineLvl w:val="0"/>
      </w:pPr>
      <w:r>
        <w:t>Consultations with these persons continue as specific problems arise.</w:t>
      </w:r>
    </w:p>
    <w:p w:rsidR="00673B1B" w:rsidP="00673B1B" w14:paraId="29A90F78" w14:textId="77777777">
      <w:pPr>
        <w:tabs>
          <w:tab w:val="left" w:pos="1176"/>
          <w:tab w:val="left" w:pos="1656"/>
          <w:tab w:val="left" w:pos="6696"/>
          <w:tab w:val="left" w:pos="8256"/>
        </w:tabs>
        <w:ind w:left="1656"/>
      </w:pPr>
    </w:p>
    <w:p w:rsidR="00E77209" w:rsidRPr="00E77209" w:rsidP="00E570DF" w14:paraId="303D2807" w14:textId="0D97BEB0">
      <w:pPr>
        <w:ind w:left="475" w:hanging="475"/>
        <w:rPr>
          <w:b/>
          <w:bCs/>
        </w:rPr>
      </w:pPr>
      <w:r w:rsidRPr="002D486C">
        <w:t>9</w:t>
      </w:r>
      <w:r w:rsidRPr="002D486C" w:rsidR="00673B1B">
        <w:t>.</w:t>
      </w:r>
      <w:r w:rsidR="002D486C">
        <w:rPr>
          <w:b/>
        </w:rPr>
        <w:tab/>
      </w:r>
      <w:r w:rsidRPr="00E77209">
        <w:rPr>
          <w:b/>
          <w:bCs/>
        </w:rPr>
        <w:t>Explain any decision to provide any payments or gifts to respondents, other than remuneration of contractors or grantees.</w:t>
      </w:r>
    </w:p>
    <w:p w:rsidR="00F5353D" w:rsidP="00F5353D" w14:paraId="4029F483" w14:textId="5914CAC7">
      <w:pPr>
        <w:ind w:left="480"/>
        <w:rPr>
          <w:sz w:val="22"/>
          <w:szCs w:val="22"/>
        </w:rPr>
      </w:pPr>
      <w:r>
        <w:br/>
      </w:r>
      <w:r w:rsidR="0064266E">
        <w:t>No payments or gifts will be provided to respondents.</w:t>
      </w:r>
    </w:p>
    <w:p w:rsidR="00673B1B" w:rsidP="00175F43" w14:paraId="619CDB98" w14:textId="77777777">
      <w:pPr>
        <w:tabs>
          <w:tab w:val="left" w:pos="1176"/>
          <w:tab w:val="left" w:pos="1656"/>
          <w:tab w:val="left" w:pos="6696"/>
          <w:tab w:val="left" w:pos="8256"/>
        </w:tabs>
        <w:ind w:left="480" w:hanging="480"/>
      </w:pPr>
    </w:p>
    <w:p w:rsidR="00E77209" w:rsidRPr="00E77209" w:rsidP="00E77209" w14:paraId="726EEEC6" w14:textId="75588534">
      <w:pPr>
        <w:tabs>
          <w:tab w:val="left" w:pos="1176"/>
          <w:tab w:val="left" w:pos="1656"/>
          <w:tab w:val="left" w:pos="6696"/>
          <w:tab w:val="left" w:pos="8256"/>
        </w:tabs>
        <w:ind w:left="480" w:hanging="480"/>
        <w:rPr>
          <w:b/>
          <w:bCs/>
        </w:rPr>
      </w:pPr>
      <w:r>
        <w:t>10</w:t>
      </w:r>
      <w:r w:rsidR="00673B1B">
        <w:t>.</w:t>
      </w:r>
      <w:r w:rsidR="00673B1B">
        <w:tab/>
      </w:r>
      <w:r w:rsidRPr="00E77209">
        <w:rPr>
          <w:b/>
          <w:bCs/>
        </w:rPr>
        <w:t>Describe any assurance of confidentiality provided to respondents and the basis for the assurance in statute, regulation, or agency policy.</w:t>
      </w:r>
    </w:p>
    <w:p w:rsidR="00741401" w:rsidP="00673B1B" w14:paraId="5DF88B85" w14:textId="3A479B25">
      <w:pPr>
        <w:tabs>
          <w:tab w:val="left" w:pos="1176"/>
          <w:tab w:val="left" w:pos="1656"/>
          <w:tab w:val="left" w:pos="6696"/>
          <w:tab w:val="left" w:pos="8256"/>
        </w:tabs>
        <w:ind w:left="480" w:hanging="480"/>
      </w:pPr>
      <w:r>
        <w:br/>
      </w:r>
      <w:r w:rsidR="007110BC">
        <w:t xml:space="preserve">The Census Bureau collects data on behalf of CE.  </w:t>
      </w:r>
      <w:r w:rsidRPr="004A5140" w:rsidR="00673B1B">
        <w:t xml:space="preserve">The </w:t>
      </w:r>
      <w:bookmarkStart w:id="2" w:name="OLE_LINK1"/>
      <w:bookmarkStart w:id="3" w:name="OLE_LINK2"/>
      <w:r w:rsidRPr="004A5140" w:rsidR="00194FE3">
        <w:t>Census Bureau interviewers</w:t>
      </w:r>
      <w:r w:rsidRPr="00293590" w:rsidR="001B6C2E">
        <w:t xml:space="preserve">, </w:t>
      </w:r>
      <w:r w:rsidRPr="00293590" w:rsidR="00673B1B">
        <w:t xml:space="preserve">Census Bureau </w:t>
      </w:r>
      <w:r w:rsidRPr="00293590" w:rsidR="001B6C2E">
        <w:t xml:space="preserve">employees, </w:t>
      </w:r>
      <w:r w:rsidRPr="00293590" w:rsidR="00194FE3">
        <w:t>and BLS employees with access to CE data</w:t>
      </w:r>
      <w:r w:rsidRPr="006A6F11" w:rsidR="00673B1B">
        <w:t xml:space="preserve"> </w:t>
      </w:r>
      <w:bookmarkEnd w:id="2"/>
      <w:bookmarkEnd w:id="3"/>
      <w:r w:rsidRPr="006A6F11" w:rsidR="00673B1B">
        <w:t xml:space="preserve">hold all information that respondents provide in strict confidence in accordance with Title 13, United States Code, Section 9.  </w:t>
      </w:r>
      <w:r w:rsidRPr="006A6F11" w:rsidR="00194FE3">
        <w:t xml:space="preserve">Census Bureau </w:t>
      </w:r>
      <w:r w:rsidRPr="006A6F11" w:rsidR="00673B1B">
        <w:t>interviewer</w:t>
      </w:r>
      <w:r w:rsidRPr="006A6F11" w:rsidR="00194FE3">
        <w:t>s, Census Bureau employees</w:t>
      </w:r>
      <w:r w:rsidRPr="006A6F11" w:rsidR="001B6C2E">
        <w:t>,</w:t>
      </w:r>
      <w:r w:rsidRPr="006A6F11" w:rsidR="00194FE3">
        <w:t xml:space="preserve"> and BLS employees with access to CE data</w:t>
      </w:r>
      <w:r w:rsidRPr="006A6F11" w:rsidR="00673B1B">
        <w:t xml:space="preserve"> ha</w:t>
      </w:r>
      <w:r w:rsidRPr="006A6F11" w:rsidR="00194FE3">
        <w:t>ve</w:t>
      </w:r>
      <w:r w:rsidRPr="006A6F11" w:rsidR="00673B1B">
        <w:t xml:space="preserve"> </w:t>
      </w:r>
      <w:r w:rsidRPr="006A6F11" w:rsidR="00194FE3">
        <w:t xml:space="preserve">each </w:t>
      </w:r>
      <w:r w:rsidRPr="006A6F11" w:rsidR="00673B1B">
        <w:t>taken an oath to this effect, and if convicted of disclosing any information given by the respondent may be fined up to $</w:t>
      </w:r>
      <w:r w:rsidRPr="006A6F11" w:rsidR="008A2D20">
        <w:t>2</w:t>
      </w:r>
      <w:r w:rsidRPr="006A6F11" w:rsidR="00673B1B">
        <w:t>5</w:t>
      </w:r>
      <w:r w:rsidRPr="006A6F11" w:rsidR="008A2D20">
        <w:t>0</w:t>
      </w:r>
      <w:r w:rsidRPr="006A6F11" w:rsidR="00673B1B">
        <w:t xml:space="preserve">,000 and/or imprisoned up to 5 years.  </w:t>
      </w:r>
    </w:p>
    <w:p w:rsidR="00741401" w:rsidP="00673B1B" w14:paraId="524F7A18" w14:textId="77777777">
      <w:pPr>
        <w:tabs>
          <w:tab w:val="left" w:pos="1176"/>
          <w:tab w:val="left" w:pos="1656"/>
          <w:tab w:val="left" w:pos="6696"/>
          <w:tab w:val="left" w:pos="8256"/>
        </w:tabs>
        <w:ind w:left="480" w:hanging="480"/>
      </w:pPr>
    </w:p>
    <w:p w:rsidR="00673B1B" w:rsidP="00673B1B" w14:paraId="59A13C7F" w14:textId="1D2E7863">
      <w:pPr>
        <w:tabs>
          <w:tab w:val="left" w:pos="1176"/>
          <w:tab w:val="left" w:pos="1656"/>
          <w:tab w:val="left" w:pos="6696"/>
          <w:tab w:val="left" w:pos="8256"/>
        </w:tabs>
        <w:ind w:left="480" w:hanging="480"/>
      </w:pPr>
      <w:r>
        <w:tab/>
      </w:r>
      <w:r w:rsidRPr="006A6F11">
        <w:t xml:space="preserve">In addition, Title 13 prohibits </w:t>
      </w:r>
      <w:r w:rsidRPr="006A6F11" w:rsidR="00194FE3">
        <w:t>Census Bureau interviewers</w:t>
      </w:r>
      <w:r w:rsidRPr="006A6F11" w:rsidR="001B6C2E">
        <w:t xml:space="preserve">, </w:t>
      </w:r>
      <w:r w:rsidRPr="006A6F11" w:rsidR="00194FE3">
        <w:t xml:space="preserve">Census Bureau </w:t>
      </w:r>
      <w:r w:rsidRPr="006A6F11" w:rsidR="001B6C2E">
        <w:t xml:space="preserve">employees, </w:t>
      </w:r>
      <w:r w:rsidRPr="006A6F11" w:rsidR="00194FE3">
        <w:t>and BLS employees with access to CE data</w:t>
      </w:r>
      <w:r w:rsidRPr="006A6F11">
        <w:t xml:space="preserve"> from disclosing information identifying any individual(s) in the CE Surveys to anyone other than sworn Census </w:t>
      </w:r>
      <w:r w:rsidRPr="006A6F11" w:rsidR="00194FE3">
        <w:t xml:space="preserve">or BLS </w:t>
      </w:r>
      <w:r w:rsidRPr="006A6F11">
        <w:t>employees. Before the interviewer</w:t>
      </w:r>
      <w:r w:rsidRPr="006A6F11" w:rsidR="000556E5">
        <w:t>’</w:t>
      </w:r>
      <w:r w:rsidRPr="006A6F11">
        <w:t xml:space="preserve">s visit, </w:t>
      </w:r>
      <w:r w:rsidRPr="006A6F11" w:rsidR="003D2701">
        <w:t>CEQ</w:t>
      </w:r>
      <w:r w:rsidRPr="006A6F11">
        <w:t xml:space="preserve"> or </w:t>
      </w:r>
      <w:r w:rsidRPr="006A6F11" w:rsidR="003D2701">
        <w:t>CED</w:t>
      </w:r>
      <w:r w:rsidRPr="006A6F11">
        <w:t xml:space="preserve"> respondents will receive the CE-303(L) or CE-803(L) Advance Letters respectively,</w:t>
      </w:r>
      <w:bookmarkStart w:id="4" w:name="STET"/>
      <w:bookmarkEnd w:id="4"/>
      <w:r w:rsidRPr="006A6F11">
        <w:t xml:space="preserve"> signed by the Director of the Census Bureau and informing them of the confidentiality of the survey data.</w:t>
      </w:r>
    </w:p>
    <w:p w:rsidR="007110BC" w:rsidP="00673B1B" w14:paraId="21FDBCDE" w14:textId="77777777">
      <w:pPr>
        <w:tabs>
          <w:tab w:val="left" w:pos="1176"/>
          <w:tab w:val="left" w:pos="1656"/>
          <w:tab w:val="left" w:pos="6696"/>
          <w:tab w:val="left" w:pos="8256"/>
        </w:tabs>
        <w:ind w:left="480" w:hanging="480"/>
      </w:pPr>
    </w:p>
    <w:p w:rsidR="00673B1B" w:rsidP="00673B1B" w14:paraId="199AABA8" w14:textId="77777777">
      <w:pPr>
        <w:tabs>
          <w:tab w:val="left" w:pos="1176"/>
          <w:tab w:val="left" w:pos="1656"/>
          <w:tab w:val="left" w:pos="6696"/>
          <w:tab w:val="left" w:pos="8256"/>
        </w:tabs>
      </w:pPr>
    </w:p>
    <w:p w:rsidR="00E77209" w:rsidRPr="00E77209" w:rsidP="00E77209" w14:paraId="09A19516" w14:textId="7C13ED48">
      <w:pPr>
        <w:tabs>
          <w:tab w:val="left" w:pos="1176"/>
          <w:tab w:val="left" w:pos="1656"/>
          <w:tab w:val="left" w:pos="6696"/>
          <w:tab w:val="left" w:pos="8256"/>
        </w:tabs>
        <w:ind w:left="480" w:hanging="480"/>
        <w:rPr>
          <w:b/>
          <w:bCs/>
        </w:rPr>
      </w:pPr>
      <w:r>
        <w:t>11.</w:t>
      </w:r>
      <w:r>
        <w:tab/>
      </w:r>
      <w:r w:rsidRPr="00E77209">
        <w:rPr>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73B1B" w:rsidP="00673B1B" w14:paraId="5DB80580" w14:textId="74303DE4">
      <w:pPr>
        <w:tabs>
          <w:tab w:val="left" w:pos="1176"/>
          <w:tab w:val="left" w:pos="1656"/>
          <w:tab w:val="left" w:pos="6696"/>
          <w:tab w:val="left" w:pos="8256"/>
        </w:tabs>
        <w:ind w:left="480" w:hanging="480"/>
      </w:pPr>
      <w:r>
        <w:br/>
        <w:t>The CE Surveys do not include any questions of a sensitive nature.</w:t>
      </w:r>
    </w:p>
    <w:p w:rsidR="00673B1B" w:rsidP="00673B1B" w14:paraId="77B7E58D" w14:textId="77777777">
      <w:pPr>
        <w:tabs>
          <w:tab w:val="left" w:pos="1176"/>
          <w:tab w:val="left" w:pos="1656"/>
          <w:tab w:val="left" w:pos="6696"/>
          <w:tab w:val="left" w:pos="8256"/>
        </w:tabs>
      </w:pPr>
    </w:p>
    <w:p w:rsidR="00E77209" w:rsidRPr="00E77209" w:rsidP="00E77209" w14:paraId="545133F7" w14:textId="1F79DF2D">
      <w:pPr>
        <w:tabs>
          <w:tab w:val="left" w:pos="1176"/>
          <w:tab w:val="left" w:pos="1656"/>
          <w:tab w:val="left" w:pos="6696"/>
          <w:tab w:val="left" w:pos="8256"/>
        </w:tabs>
        <w:rPr>
          <w:b/>
          <w:bCs/>
        </w:rPr>
      </w:pPr>
      <w:r>
        <w:t xml:space="preserve">12.  </w:t>
      </w:r>
      <w:r w:rsidRPr="00E77209">
        <w:rPr>
          <w:b/>
          <w:bCs/>
        </w:rPr>
        <w:t>Provide estimates of the hour burden of the collection of information.  The statement should:</w:t>
      </w:r>
    </w:p>
    <w:p w:rsidR="00E77209" w:rsidRPr="00E77209" w:rsidP="00E77209" w14:paraId="4A4373DB" w14:textId="77777777">
      <w:pPr>
        <w:numPr>
          <w:ilvl w:val="0"/>
          <w:numId w:val="57"/>
        </w:numPr>
        <w:tabs>
          <w:tab w:val="left" w:pos="1176"/>
          <w:tab w:val="left" w:pos="1656"/>
          <w:tab w:val="left" w:pos="6696"/>
          <w:tab w:val="left" w:pos="8256"/>
        </w:tabs>
        <w:rPr>
          <w:b/>
          <w:bCs/>
        </w:rPr>
      </w:pPr>
      <w:r w:rsidRPr="00E77209">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E77209" w:rsidRPr="00E77209" w:rsidP="00E77209" w14:paraId="18C06C55" w14:textId="77777777">
      <w:pPr>
        <w:numPr>
          <w:ilvl w:val="0"/>
          <w:numId w:val="57"/>
        </w:numPr>
        <w:tabs>
          <w:tab w:val="left" w:pos="1176"/>
          <w:tab w:val="left" w:pos="1656"/>
          <w:tab w:val="left" w:pos="6696"/>
          <w:tab w:val="left" w:pos="8256"/>
        </w:tabs>
      </w:pPr>
      <w:r w:rsidRPr="00E77209">
        <w:rPr>
          <w:b/>
          <w:bCs/>
        </w:rPr>
        <w:t>If this request for approval covers more than one form, provide separate hour burden estimates for each form</w:t>
      </w:r>
    </w:p>
    <w:p w:rsidR="00E77209" w:rsidRPr="00E77209" w:rsidP="00E77209" w14:paraId="2908AF34" w14:textId="77777777">
      <w:pPr>
        <w:numPr>
          <w:ilvl w:val="0"/>
          <w:numId w:val="57"/>
        </w:numPr>
        <w:tabs>
          <w:tab w:val="left" w:pos="1176"/>
          <w:tab w:val="left" w:pos="1656"/>
          <w:tab w:val="left" w:pos="6696"/>
          <w:tab w:val="left" w:pos="8256"/>
        </w:tabs>
        <w:rPr>
          <w:b/>
          <w:bCs/>
        </w:rPr>
      </w:pPr>
      <w:r w:rsidRPr="00E77209">
        <w:rPr>
          <w:b/>
          <w:bCs/>
        </w:rPr>
        <w:t xml:space="preserve">Provide estimates of annualized cost to respondents for the hour burdens for collections of information, identifying and using appropriate wage rate categories.  </w:t>
      </w:r>
      <w:r w:rsidRPr="00E77209">
        <w:rPr>
          <w:b/>
          <w:bCs/>
        </w:rPr>
        <w:t>The cost of contracting out or paying outside parties for information collection activities should not be included here.  Instead, this cost should be included in Item 14.</w:t>
      </w:r>
    </w:p>
    <w:p w:rsidR="005D106D" w:rsidRPr="00585E44" w:rsidP="003F7588" w14:paraId="4C07648C" w14:textId="77777777">
      <w:pPr>
        <w:tabs>
          <w:tab w:val="left" w:pos="1176"/>
          <w:tab w:val="left" w:pos="1656"/>
          <w:tab w:val="left" w:pos="6696"/>
          <w:tab w:val="left" w:pos="8256"/>
        </w:tabs>
        <w:rPr>
          <w:b/>
        </w:rPr>
      </w:pPr>
    </w:p>
    <w:p w:rsidR="00230C54" w:rsidRPr="00C03080" w:rsidP="00230C54" w14:paraId="0196B7AE" w14:textId="73DC6C12">
      <w:pPr>
        <w:ind w:left="480"/>
      </w:pPr>
      <w:r w:rsidRPr="00C03080">
        <w:t xml:space="preserve">CE </w:t>
      </w:r>
      <w:r w:rsidR="00F507F6">
        <w:t>estimates</w:t>
      </w:r>
      <w:r w:rsidRPr="00C03080" w:rsidR="00293590">
        <w:t xml:space="preserve"> the </w:t>
      </w:r>
      <w:r w:rsidRPr="00C03080">
        <w:t xml:space="preserve">average length of the CEQ interview </w:t>
      </w:r>
      <w:r w:rsidRPr="00C03080" w:rsidR="00293590">
        <w:t xml:space="preserve">to </w:t>
      </w:r>
      <w:r w:rsidR="008B632E">
        <w:t>remain the same at</w:t>
      </w:r>
      <w:r w:rsidRPr="00C03080" w:rsidR="00F1453E">
        <w:t xml:space="preserve"> </w:t>
      </w:r>
      <w:r w:rsidRPr="00C03080" w:rsidR="003E7D9F">
        <w:t>6</w:t>
      </w:r>
      <w:r w:rsidR="00EC2424">
        <w:t>3</w:t>
      </w:r>
      <w:r w:rsidRPr="00C03080" w:rsidR="003E7D9F">
        <w:t xml:space="preserve"> </w:t>
      </w:r>
      <w:r w:rsidRPr="00C03080" w:rsidR="00F1453E">
        <w:t>minutes</w:t>
      </w:r>
      <w:r w:rsidRPr="00C03080" w:rsidR="005200B7">
        <w:t xml:space="preserve"> </w:t>
      </w:r>
      <w:r w:rsidR="008B632E">
        <w:t>as the removal of a section of outlets and addition of additional geographic areas encountering outlet questions is expected to be offsetting</w:t>
      </w:r>
      <w:r w:rsidRPr="00B90A43" w:rsidR="003E7D9F">
        <w:t xml:space="preserve">.  </w:t>
      </w:r>
    </w:p>
    <w:p w:rsidR="00230C54" w:rsidRPr="00C03080" w:rsidP="00230C54" w14:paraId="0E113F4B" w14:textId="77777777">
      <w:pPr>
        <w:ind w:left="480"/>
      </w:pPr>
      <w:r w:rsidRPr="00C03080">
        <w:t xml:space="preserve"> </w:t>
      </w:r>
    </w:p>
    <w:p w:rsidR="006C05FC" w:rsidRPr="00C03080" w:rsidP="00EF4A62" w14:paraId="11466597" w14:textId="0D4E9A8A">
      <w:pPr>
        <w:ind w:left="480"/>
      </w:pPr>
      <w:r w:rsidRPr="00C03080">
        <w:t xml:space="preserve">BLS will conduct the CEQ at </w:t>
      </w:r>
      <w:r w:rsidR="005922B6">
        <w:t xml:space="preserve">an average of </w:t>
      </w:r>
      <w:r w:rsidRPr="00C03080">
        <w:t xml:space="preserve">approximately </w:t>
      </w:r>
      <w:r w:rsidR="008D5A74">
        <w:t>51,700</w:t>
      </w:r>
      <w:r w:rsidRPr="00C03080">
        <w:t xml:space="preserve"> designated addresses, which will result in an estimated</w:t>
      </w:r>
      <w:r w:rsidR="00B5531C">
        <w:t xml:space="preserve"> 4</w:t>
      </w:r>
      <w:r w:rsidR="005922B6">
        <w:t xml:space="preserve">,392 </w:t>
      </w:r>
      <w:r w:rsidRPr="00C03080" w:rsidR="00B54A45">
        <w:t>respondents and</w:t>
      </w:r>
      <w:r w:rsidRPr="00C03080">
        <w:t xml:space="preserve"> </w:t>
      </w:r>
      <w:r w:rsidR="005922B6">
        <w:t xml:space="preserve"> 17,568</w:t>
      </w:r>
      <w:r w:rsidRPr="00C03080" w:rsidR="00DD6BF6">
        <w:t xml:space="preserve"> </w:t>
      </w:r>
      <w:r w:rsidRPr="00C03080">
        <w:t xml:space="preserve">completed interviews.  </w:t>
      </w:r>
      <w:r w:rsidRPr="00B90A43" w:rsidR="00B2033F">
        <w:t xml:space="preserve">This is a decrease of </w:t>
      </w:r>
      <w:r w:rsidR="005922B6">
        <w:t xml:space="preserve">457 </w:t>
      </w:r>
      <w:r w:rsidR="00B5531C">
        <w:t xml:space="preserve"> </w:t>
      </w:r>
      <w:r w:rsidRPr="00B90A43" w:rsidR="00B2033F">
        <w:t>complete interviews as a result of continued decreases in response rates</w:t>
      </w:r>
      <w:r w:rsidR="005922B6">
        <w:t xml:space="preserve"> and decreases in the number of addresses in sample</w:t>
      </w:r>
      <w:r w:rsidRPr="00B90A43" w:rsidR="00B2033F">
        <w:t xml:space="preserve">.  </w:t>
      </w:r>
      <w:r w:rsidRPr="00C03080">
        <w:t xml:space="preserve">Reinterviews will be conducted on approximately 12 percent of the completed interviews, for a total of </w:t>
      </w:r>
      <w:r w:rsidR="005922B6">
        <w:t xml:space="preserve">2,108 </w:t>
      </w:r>
      <w:r w:rsidRPr="00C03080">
        <w:t xml:space="preserve">completed reinterviews yearly.  The average time to complete the survey is </w:t>
      </w:r>
      <w:r w:rsidRPr="00C03080" w:rsidR="00E27343">
        <w:t>6</w:t>
      </w:r>
      <w:r w:rsidRPr="00B90A43" w:rsidR="00E27343">
        <w:t>3</w:t>
      </w:r>
      <w:r w:rsidR="00423D91">
        <w:t xml:space="preserve"> </w:t>
      </w:r>
      <w:r w:rsidRPr="00C03080">
        <w:t xml:space="preserve">minutes for the regular interview, and 10 minutes for the reinterview.  This results in an annual response burden (in terms of interview length) of </w:t>
      </w:r>
      <w:r w:rsidR="005922B6">
        <w:t>18,446</w:t>
      </w:r>
      <w:r w:rsidRPr="00C03080" w:rsidR="00B5531C">
        <w:t xml:space="preserve"> </w:t>
      </w:r>
      <w:r w:rsidRPr="00C03080">
        <w:t>hours yearly.</w:t>
      </w:r>
    </w:p>
    <w:p w:rsidR="006C05FC" w:rsidRPr="00B90A43" w14:paraId="753C7B27" w14:textId="2164E384"/>
    <w:tbl>
      <w:tblPr>
        <w:tblW w:w="10161" w:type="dxa"/>
        <w:tblCellMar>
          <w:left w:w="0" w:type="dxa"/>
        </w:tblCellMar>
        <w:tblLook w:val="04A0"/>
      </w:tblPr>
      <w:tblGrid>
        <w:gridCol w:w="1841"/>
        <w:gridCol w:w="1815"/>
        <w:gridCol w:w="1601"/>
        <w:gridCol w:w="1848"/>
        <w:gridCol w:w="1508"/>
        <w:gridCol w:w="1548"/>
      </w:tblGrid>
      <w:tr w14:paraId="44438339" w14:textId="77777777" w:rsidTr="00F52EF6">
        <w:tblPrEx>
          <w:tblW w:w="10161" w:type="dxa"/>
          <w:tblCellMar>
            <w:left w:w="0" w:type="dxa"/>
          </w:tblCellMar>
          <w:tblLook w:val="04A0"/>
        </w:tblPrEx>
        <w:trPr>
          <w:trHeight w:val="645"/>
        </w:trPr>
        <w:tc>
          <w:tcPr>
            <w:tcW w:w="10161"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5117A9" w:rsidRPr="00470432" w:rsidP="005A46BB" w14:paraId="1567A577" w14:textId="77777777">
            <w:pPr>
              <w:ind w:left="480"/>
            </w:pPr>
            <w:bookmarkStart w:id="5" w:name="_Hlk165530838"/>
            <w:r w:rsidRPr="00470432">
              <w:t>Response Burden for the Interview Survey</w:t>
            </w:r>
          </w:p>
        </w:tc>
      </w:tr>
      <w:tr w14:paraId="5A4ECD7D" w14:textId="77777777" w:rsidTr="00F52EF6">
        <w:tblPrEx>
          <w:tblW w:w="10161" w:type="dxa"/>
          <w:tblCellMar>
            <w:left w:w="0" w:type="dxa"/>
          </w:tblCellMar>
          <w:tblLook w:val="04A0"/>
        </w:tblPrEx>
        <w:trPr>
          <w:trHeight w:val="645"/>
        </w:trPr>
        <w:tc>
          <w:tcPr>
            <w:tcW w:w="1841" w:type="dxa"/>
            <w:tcBorders>
              <w:top w:val="nil"/>
              <w:left w:val="single" w:sz="8" w:space="0" w:color="auto"/>
              <w:bottom w:val="nil"/>
              <w:right w:val="single" w:sz="8" w:space="0" w:color="auto"/>
            </w:tcBorders>
            <w:shd w:val="clear" w:color="auto" w:fill="auto"/>
            <w:vAlign w:val="center"/>
            <w:hideMark/>
          </w:tcPr>
          <w:p w:rsidR="005117A9" w:rsidRPr="00470432" w:rsidP="005A46BB" w14:paraId="6D0DF600" w14:textId="77777777">
            <w:pPr>
              <w:ind w:left="480"/>
            </w:pPr>
            <w:r w:rsidRPr="00470432">
              <w:t> </w:t>
            </w:r>
          </w:p>
        </w:tc>
        <w:tc>
          <w:tcPr>
            <w:tcW w:w="1815" w:type="dxa"/>
            <w:vMerge w:val="restart"/>
            <w:tcBorders>
              <w:top w:val="nil"/>
              <w:left w:val="single" w:sz="8" w:space="0" w:color="auto"/>
              <w:bottom w:val="single" w:sz="8" w:space="0" w:color="000000"/>
              <w:right w:val="single" w:sz="8" w:space="0" w:color="auto"/>
            </w:tcBorders>
            <w:shd w:val="clear" w:color="auto" w:fill="auto"/>
            <w:vAlign w:val="center"/>
            <w:hideMark/>
          </w:tcPr>
          <w:p w:rsidR="005117A9" w:rsidRPr="00470432" w:rsidP="005A46BB" w14:paraId="4BA3451A" w14:textId="77777777">
            <w:pPr>
              <w:ind w:left="480"/>
            </w:pPr>
            <w:r w:rsidRPr="00470432">
              <w:t>Total Respondents</w:t>
            </w:r>
          </w:p>
        </w:tc>
        <w:tc>
          <w:tcPr>
            <w:tcW w:w="1601" w:type="dxa"/>
            <w:vMerge w:val="restart"/>
            <w:tcBorders>
              <w:top w:val="nil"/>
              <w:left w:val="single" w:sz="8" w:space="0" w:color="auto"/>
              <w:bottom w:val="single" w:sz="8" w:space="0" w:color="000000"/>
              <w:right w:val="single" w:sz="8" w:space="0" w:color="auto"/>
            </w:tcBorders>
            <w:shd w:val="clear" w:color="auto" w:fill="auto"/>
            <w:vAlign w:val="center"/>
            <w:hideMark/>
          </w:tcPr>
          <w:p w:rsidR="005117A9" w:rsidRPr="00470432" w:rsidP="005A46BB" w14:paraId="519ECDE3" w14:textId="77777777">
            <w:pPr>
              <w:ind w:left="480"/>
            </w:pPr>
            <w:r w:rsidRPr="00470432">
              <w:t>Frequency</w:t>
            </w:r>
          </w:p>
        </w:tc>
        <w:tc>
          <w:tcPr>
            <w:tcW w:w="1848" w:type="dxa"/>
            <w:vMerge w:val="restart"/>
            <w:tcBorders>
              <w:top w:val="nil"/>
              <w:left w:val="single" w:sz="8" w:space="0" w:color="auto"/>
              <w:bottom w:val="single" w:sz="8" w:space="0" w:color="000000"/>
              <w:right w:val="single" w:sz="8" w:space="0" w:color="auto"/>
            </w:tcBorders>
            <w:shd w:val="clear" w:color="auto" w:fill="auto"/>
            <w:vAlign w:val="center"/>
            <w:hideMark/>
          </w:tcPr>
          <w:p w:rsidR="005117A9" w:rsidRPr="00470432" w:rsidP="005A46BB" w14:paraId="544D5654" w14:textId="77777777">
            <w:pPr>
              <w:ind w:left="480"/>
            </w:pPr>
            <w:r w:rsidRPr="00470432">
              <w:t>Total Responses</w:t>
            </w:r>
          </w:p>
        </w:tc>
        <w:tc>
          <w:tcPr>
            <w:tcW w:w="1508" w:type="dxa"/>
            <w:tcBorders>
              <w:top w:val="nil"/>
              <w:left w:val="nil"/>
              <w:bottom w:val="nil"/>
              <w:right w:val="single" w:sz="8" w:space="0" w:color="auto"/>
            </w:tcBorders>
            <w:shd w:val="clear" w:color="auto" w:fill="auto"/>
            <w:vAlign w:val="center"/>
            <w:hideMark/>
          </w:tcPr>
          <w:p w:rsidR="005117A9" w:rsidRPr="00470432" w:rsidP="005A46BB" w14:paraId="35F5BEB1" w14:textId="77777777">
            <w:pPr>
              <w:ind w:left="480"/>
            </w:pPr>
            <w:r w:rsidRPr="00470432">
              <w:t>Average</w:t>
            </w:r>
          </w:p>
        </w:tc>
        <w:tc>
          <w:tcPr>
            <w:tcW w:w="1548" w:type="dxa"/>
            <w:tcBorders>
              <w:top w:val="nil"/>
              <w:left w:val="nil"/>
              <w:bottom w:val="nil"/>
              <w:right w:val="single" w:sz="8" w:space="0" w:color="auto"/>
            </w:tcBorders>
            <w:shd w:val="clear" w:color="auto" w:fill="auto"/>
            <w:vAlign w:val="center"/>
            <w:hideMark/>
          </w:tcPr>
          <w:p w:rsidR="005117A9" w:rsidRPr="00470432" w:rsidP="005A46BB" w14:paraId="2FA14E8A" w14:textId="77777777">
            <w:pPr>
              <w:ind w:left="480"/>
            </w:pPr>
            <w:r w:rsidRPr="00470432">
              <w:t>Estimated</w:t>
            </w:r>
          </w:p>
        </w:tc>
      </w:tr>
      <w:tr w14:paraId="09C2FECF" w14:textId="77777777" w:rsidTr="00F52EF6">
        <w:tblPrEx>
          <w:tblW w:w="10161" w:type="dxa"/>
          <w:tblCellMar>
            <w:left w:w="0" w:type="dxa"/>
          </w:tblCellMar>
          <w:tblLook w:val="04A0"/>
        </w:tblPrEx>
        <w:trPr>
          <w:trHeight w:val="960"/>
        </w:trPr>
        <w:tc>
          <w:tcPr>
            <w:tcW w:w="1841" w:type="dxa"/>
            <w:tcBorders>
              <w:top w:val="nil"/>
              <w:left w:val="single" w:sz="8" w:space="0" w:color="auto"/>
              <w:bottom w:val="nil"/>
              <w:right w:val="single" w:sz="8" w:space="0" w:color="auto"/>
            </w:tcBorders>
            <w:shd w:val="clear" w:color="auto" w:fill="auto"/>
            <w:vAlign w:val="center"/>
            <w:hideMark/>
          </w:tcPr>
          <w:p w:rsidR="005117A9" w:rsidRPr="00470432" w:rsidP="005A46BB" w14:paraId="1C2E0795" w14:textId="77777777">
            <w:pPr>
              <w:ind w:left="480"/>
            </w:pPr>
            <w:r w:rsidRPr="00470432">
              <w:t>Form</w:t>
            </w:r>
          </w:p>
        </w:tc>
        <w:tc>
          <w:tcPr>
            <w:tcW w:w="1815" w:type="dxa"/>
            <w:vMerge/>
            <w:tcBorders>
              <w:top w:val="nil"/>
              <w:left w:val="single" w:sz="8" w:space="0" w:color="auto"/>
              <w:bottom w:val="single" w:sz="8" w:space="0" w:color="000000"/>
              <w:right w:val="single" w:sz="8" w:space="0" w:color="auto"/>
            </w:tcBorders>
            <w:vAlign w:val="center"/>
            <w:hideMark/>
          </w:tcPr>
          <w:p w:rsidR="005117A9" w:rsidRPr="00470432" w:rsidP="005A46BB" w14:paraId="2CE5AA6F" w14:textId="77777777">
            <w:pPr>
              <w:ind w:left="480"/>
            </w:pPr>
          </w:p>
        </w:tc>
        <w:tc>
          <w:tcPr>
            <w:tcW w:w="1601" w:type="dxa"/>
            <w:vMerge/>
            <w:tcBorders>
              <w:top w:val="nil"/>
              <w:left w:val="single" w:sz="8" w:space="0" w:color="auto"/>
              <w:bottom w:val="single" w:sz="8" w:space="0" w:color="000000"/>
              <w:right w:val="single" w:sz="8" w:space="0" w:color="auto"/>
            </w:tcBorders>
            <w:vAlign w:val="center"/>
            <w:hideMark/>
          </w:tcPr>
          <w:p w:rsidR="005117A9" w:rsidRPr="00470432" w:rsidP="005A46BB" w14:paraId="01C82CDC" w14:textId="77777777">
            <w:pPr>
              <w:ind w:left="480"/>
            </w:pPr>
          </w:p>
        </w:tc>
        <w:tc>
          <w:tcPr>
            <w:tcW w:w="1848" w:type="dxa"/>
            <w:vMerge/>
            <w:tcBorders>
              <w:top w:val="nil"/>
              <w:left w:val="single" w:sz="8" w:space="0" w:color="auto"/>
              <w:bottom w:val="single" w:sz="8" w:space="0" w:color="000000"/>
              <w:right w:val="single" w:sz="8" w:space="0" w:color="auto"/>
            </w:tcBorders>
            <w:vAlign w:val="center"/>
            <w:hideMark/>
          </w:tcPr>
          <w:p w:rsidR="005117A9" w:rsidRPr="00470432" w:rsidP="005A46BB" w14:paraId="776DA0CD" w14:textId="77777777">
            <w:pPr>
              <w:ind w:left="480"/>
            </w:pPr>
          </w:p>
        </w:tc>
        <w:tc>
          <w:tcPr>
            <w:tcW w:w="1508" w:type="dxa"/>
            <w:tcBorders>
              <w:top w:val="nil"/>
              <w:left w:val="nil"/>
              <w:bottom w:val="nil"/>
              <w:right w:val="single" w:sz="8" w:space="0" w:color="auto"/>
            </w:tcBorders>
            <w:shd w:val="clear" w:color="auto" w:fill="auto"/>
            <w:vAlign w:val="center"/>
            <w:hideMark/>
          </w:tcPr>
          <w:p w:rsidR="005117A9" w:rsidRPr="00470432" w:rsidP="005A46BB" w14:paraId="43BED11C" w14:textId="77777777">
            <w:pPr>
              <w:ind w:left="480"/>
            </w:pPr>
            <w:r w:rsidRPr="00470432">
              <w:t>Time per Response</w:t>
            </w:r>
          </w:p>
        </w:tc>
        <w:tc>
          <w:tcPr>
            <w:tcW w:w="1548" w:type="dxa"/>
            <w:tcBorders>
              <w:top w:val="nil"/>
              <w:left w:val="nil"/>
              <w:bottom w:val="nil"/>
              <w:right w:val="single" w:sz="8" w:space="0" w:color="auto"/>
            </w:tcBorders>
            <w:shd w:val="clear" w:color="auto" w:fill="auto"/>
            <w:vAlign w:val="center"/>
            <w:hideMark/>
          </w:tcPr>
          <w:p w:rsidR="005117A9" w:rsidRPr="00470432" w:rsidP="005A46BB" w14:paraId="0A68FAAA" w14:textId="77777777">
            <w:pPr>
              <w:ind w:left="480"/>
            </w:pPr>
            <w:r w:rsidRPr="00470432">
              <w:t>Total</w:t>
            </w:r>
          </w:p>
        </w:tc>
      </w:tr>
      <w:tr w14:paraId="471B5DCF" w14:textId="77777777" w:rsidTr="00F52EF6">
        <w:tblPrEx>
          <w:tblW w:w="10161" w:type="dxa"/>
          <w:tblCellMar>
            <w:left w:w="0" w:type="dxa"/>
          </w:tblCellMar>
          <w:tblLook w:val="04A0"/>
        </w:tblPrEx>
        <w:trPr>
          <w:trHeight w:val="330"/>
        </w:trPr>
        <w:tc>
          <w:tcPr>
            <w:tcW w:w="1841" w:type="dxa"/>
            <w:tcBorders>
              <w:top w:val="nil"/>
              <w:left w:val="single" w:sz="8" w:space="0" w:color="auto"/>
              <w:bottom w:val="single" w:sz="8" w:space="0" w:color="auto"/>
              <w:right w:val="single" w:sz="8" w:space="0" w:color="auto"/>
            </w:tcBorders>
            <w:shd w:val="clear" w:color="auto" w:fill="auto"/>
            <w:hideMark/>
          </w:tcPr>
          <w:p w:rsidR="005117A9" w:rsidRPr="00470432" w:rsidP="005A46BB" w14:paraId="546160D3" w14:textId="77777777">
            <w:pPr>
              <w:ind w:left="480"/>
            </w:pPr>
            <w:r w:rsidRPr="00470432">
              <w:t> </w:t>
            </w:r>
          </w:p>
        </w:tc>
        <w:tc>
          <w:tcPr>
            <w:tcW w:w="1815" w:type="dxa"/>
            <w:vMerge/>
            <w:tcBorders>
              <w:top w:val="nil"/>
              <w:left w:val="single" w:sz="8" w:space="0" w:color="auto"/>
              <w:bottom w:val="single" w:sz="8" w:space="0" w:color="000000"/>
              <w:right w:val="single" w:sz="8" w:space="0" w:color="auto"/>
            </w:tcBorders>
            <w:vAlign w:val="center"/>
            <w:hideMark/>
          </w:tcPr>
          <w:p w:rsidR="005117A9" w:rsidRPr="00470432" w:rsidP="005A46BB" w14:paraId="36CC5532" w14:textId="77777777">
            <w:pPr>
              <w:ind w:left="480"/>
            </w:pPr>
          </w:p>
        </w:tc>
        <w:tc>
          <w:tcPr>
            <w:tcW w:w="1601" w:type="dxa"/>
            <w:vMerge/>
            <w:tcBorders>
              <w:top w:val="nil"/>
              <w:left w:val="single" w:sz="8" w:space="0" w:color="auto"/>
              <w:bottom w:val="single" w:sz="8" w:space="0" w:color="000000"/>
              <w:right w:val="single" w:sz="8" w:space="0" w:color="auto"/>
            </w:tcBorders>
            <w:vAlign w:val="center"/>
            <w:hideMark/>
          </w:tcPr>
          <w:p w:rsidR="005117A9" w:rsidRPr="00470432" w:rsidP="005A46BB" w14:paraId="57ED3122" w14:textId="77777777">
            <w:pPr>
              <w:ind w:left="480"/>
            </w:pPr>
          </w:p>
        </w:tc>
        <w:tc>
          <w:tcPr>
            <w:tcW w:w="1848" w:type="dxa"/>
            <w:vMerge/>
            <w:tcBorders>
              <w:top w:val="nil"/>
              <w:left w:val="single" w:sz="8" w:space="0" w:color="auto"/>
              <w:bottom w:val="single" w:sz="8" w:space="0" w:color="000000"/>
              <w:right w:val="single" w:sz="8" w:space="0" w:color="auto"/>
            </w:tcBorders>
            <w:vAlign w:val="center"/>
            <w:hideMark/>
          </w:tcPr>
          <w:p w:rsidR="005117A9" w:rsidRPr="00470432" w:rsidP="005A46BB" w14:paraId="4182DA9D" w14:textId="77777777">
            <w:pPr>
              <w:ind w:left="480"/>
            </w:pPr>
          </w:p>
        </w:tc>
        <w:tc>
          <w:tcPr>
            <w:tcW w:w="1508" w:type="dxa"/>
            <w:tcBorders>
              <w:top w:val="nil"/>
              <w:left w:val="nil"/>
              <w:bottom w:val="single" w:sz="8" w:space="0" w:color="auto"/>
              <w:right w:val="single" w:sz="8" w:space="0" w:color="auto"/>
            </w:tcBorders>
            <w:shd w:val="clear" w:color="auto" w:fill="auto"/>
            <w:hideMark/>
          </w:tcPr>
          <w:p w:rsidR="005117A9" w:rsidRPr="00470432" w:rsidP="005A46BB" w14:paraId="54099D23" w14:textId="77777777">
            <w:pPr>
              <w:ind w:left="480"/>
            </w:pPr>
            <w:r w:rsidRPr="00470432">
              <w:t> </w:t>
            </w:r>
          </w:p>
        </w:tc>
        <w:tc>
          <w:tcPr>
            <w:tcW w:w="1548" w:type="dxa"/>
            <w:tcBorders>
              <w:top w:val="nil"/>
              <w:left w:val="nil"/>
              <w:bottom w:val="single" w:sz="8" w:space="0" w:color="auto"/>
              <w:right w:val="single" w:sz="8" w:space="0" w:color="auto"/>
            </w:tcBorders>
            <w:shd w:val="clear" w:color="auto" w:fill="auto"/>
            <w:vAlign w:val="center"/>
            <w:hideMark/>
          </w:tcPr>
          <w:p w:rsidR="005117A9" w:rsidRPr="00470432" w:rsidP="005A46BB" w14:paraId="0FDE3B55" w14:textId="77777777">
            <w:pPr>
              <w:ind w:left="480"/>
            </w:pPr>
            <w:r w:rsidRPr="00470432">
              <w:t>Burden</w:t>
            </w:r>
          </w:p>
        </w:tc>
      </w:tr>
      <w:tr w14:paraId="718CC962" w14:textId="77777777" w:rsidTr="00F52EF6">
        <w:tblPrEx>
          <w:tblW w:w="10161" w:type="dxa"/>
          <w:tblCellMar>
            <w:left w:w="0" w:type="dxa"/>
          </w:tblCellMar>
          <w:tblLook w:val="04A0"/>
        </w:tblPrEx>
        <w:trPr>
          <w:trHeight w:val="645"/>
        </w:trPr>
        <w:tc>
          <w:tcPr>
            <w:tcW w:w="1841" w:type="dxa"/>
            <w:tcBorders>
              <w:top w:val="nil"/>
              <w:left w:val="single" w:sz="8" w:space="0" w:color="auto"/>
              <w:bottom w:val="single" w:sz="8" w:space="0" w:color="auto"/>
              <w:right w:val="single" w:sz="8" w:space="0" w:color="auto"/>
            </w:tcBorders>
            <w:shd w:val="clear" w:color="auto" w:fill="auto"/>
            <w:vAlign w:val="center"/>
            <w:hideMark/>
          </w:tcPr>
          <w:p w:rsidR="00F52EF6" w:rsidRPr="00470432" w:rsidP="00F52EF6" w14:paraId="479305C1" w14:textId="77777777">
            <w:pPr>
              <w:ind w:left="480"/>
            </w:pPr>
            <w:r w:rsidRPr="00470432">
              <w:t>Interview</w:t>
            </w:r>
          </w:p>
        </w:tc>
        <w:tc>
          <w:tcPr>
            <w:tcW w:w="1815" w:type="dxa"/>
            <w:tcBorders>
              <w:top w:val="nil"/>
              <w:left w:val="nil"/>
              <w:bottom w:val="single" w:sz="8" w:space="0" w:color="auto"/>
              <w:right w:val="single" w:sz="8" w:space="0" w:color="auto"/>
            </w:tcBorders>
            <w:shd w:val="clear" w:color="auto" w:fill="auto"/>
            <w:vAlign w:val="center"/>
            <w:hideMark/>
          </w:tcPr>
          <w:p w:rsidR="00F52EF6" w:rsidRPr="00470432" w:rsidP="00F52EF6" w14:paraId="6E50991F" w14:textId="7159013C">
            <w:pPr>
              <w:ind w:left="480"/>
            </w:pPr>
            <w:r>
              <w:rPr>
                <w:color w:val="000000"/>
              </w:rPr>
              <w:t>4,392</w:t>
            </w:r>
          </w:p>
        </w:tc>
        <w:tc>
          <w:tcPr>
            <w:tcW w:w="1601" w:type="dxa"/>
            <w:tcBorders>
              <w:top w:val="nil"/>
              <w:left w:val="nil"/>
              <w:bottom w:val="single" w:sz="8" w:space="0" w:color="auto"/>
              <w:right w:val="single" w:sz="8" w:space="0" w:color="auto"/>
            </w:tcBorders>
            <w:shd w:val="clear" w:color="auto" w:fill="auto"/>
            <w:vAlign w:val="center"/>
            <w:hideMark/>
          </w:tcPr>
          <w:p w:rsidR="00F52EF6" w:rsidRPr="00470432" w:rsidP="00F52EF6" w14:paraId="250F3C90" w14:textId="77777777">
            <w:pPr>
              <w:ind w:left="480"/>
            </w:pPr>
            <w:r w:rsidRPr="00470432">
              <w:t>4</w:t>
            </w:r>
          </w:p>
        </w:tc>
        <w:tc>
          <w:tcPr>
            <w:tcW w:w="1848" w:type="dxa"/>
            <w:tcBorders>
              <w:top w:val="nil"/>
              <w:left w:val="nil"/>
              <w:bottom w:val="single" w:sz="8" w:space="0" w:color="auto"/>
              <w:right w:val="single" w:sz="8" w:space="0" w:color="auto"/>
            </w:tcBorders>
            <w:shd w:val="clear" w:color="auto" w:fill="auto"/>
            <w:vAlign w:val="center"/>
            <w:hideMark/>
          </w:tcPr>
          <w:p w:rsidR="00F52EF6" w:rsidRPr="00470432" w:rsidP="00F52EF6" w14:paraId="5493355B" w14:textId="0EB64947">
            <w:pPr>
              <w:ind w:left="480"/>
            </w:pPr>
            <w:r>
              <w:rPr>
                <w:color w:val="000000"/>
              </w:rPr>
              <w:t>17,568</w:t>
            </w:r>
          </w:p>
        </w:tc>
        <w:tc>
          <w:tcPr>
            <w:tcW w:w="1508" w:type="dxa"/>
            <w:tcBorders>
              <w:top w:val="nil"/>
              <w:left w:val="nil"/>
              <w:bottom w:val="single" w:sz="8" w:space="0" w:color="auto"/>
              <w:right w:val="single" w:sz="8" w:space="0" w:color="auto"/>
            </w:tcBorders>
            <w:shd w:val="clear" w:color="auto" w:fill="auto"/>
            <w:vAlign w:val="center"/>
            <w:hideMark/>
          </w:tcPr>
          <w:p w:rsidR="00F52EF6" w:rsidRPr="00470432" w:rsidP="00F52EF6" w14:paraId="2E72C41E" w14:textId="6A2AD830">
            <w:pPr>
              <w:ind w:left="480"/>
            </w:pPr>
            <w:r w:rsidRPr="00470432">
              <w:t>6</w:t>
            </w:r>
            <w:r>
              <w:t>3</w:t>
            </w:r>
          </w:p>
        </w:tc>
        <w:tc>
          <w:tcPr>
            <w:tcW w:w="1548" w:type="dxa"/>
            <w:tcBorders>
              <w:top w:val="nil"/>
              <w:left w:val="nil"/>
              <w:bottom w:val="single" w:sz="8" w:space="0" w:color="auto"/>
              <w:right w:val="single" w:sz="8" w:space="0" w:color="auto"/>
            </w:tcBorders>
            <w:shd w:val="clear" w:color="auto" w:fill="auto"/>
            <w:vAlign w:val="center"/>
            <w:hideMark/>
          </w:tcPr>
          <w:p w:rsidR="00F52EF6" w:rsidRPr="00470432" w:rsidP="00F52EF6" w14:paraId="03DA877F" w14:textId="334A017B">
            <w:pPr>
              <w:ind w:left="480"/>
            </w:pPr>
            <w:r>
              <w:rPr>
                <w:color w:val="000000"/>
              </w:rPr>
              <w:t>18,446</w:t>
            </w:r>
          </w:p>
        </w:tc>
      </w:tr>
      <w:tr w14:paraId="30F12C59" w14:textId="77777777" w:rsidTr="00F52EF6">
        <w:tblPrEx>
          <w:tblW w:w="10161" w:type="dxa"/>
          <w:tblCellMar>
            <w:left w:w="0" w:type="dxa"/>
          </w:tblCellMar>
          <w:tblLook w:val="04A0"/>
        </w:tblPrEx>
        <w:trPr>
          <w:trHeight w:val="889"/>
        </w:trPr>
        <w:tc>
          <w:tcPr>
            <w:tcW w:w="1841" w:type="dxa"/>
            <w:tcBorders>
              <w:top w:val="nil"/>
              <w:left w:val="single" w:sz="8" w:space="0" w:color="auto"/>
              <w:bottom w:val="single" w:sz="8" w:space="0" w:color="auto"/>
              <w:right w:val="single" w:sz="8" w:space="0" w:color="auto"/>
            </w:tcBorders>
            <w:shd w:val="clear" w:color="auto" w:fill="auto"/>
            <w:vAlign w:val="center"/>
            <w:hideMark/>
          </w:tcPr>
          <w:p w:rsidR="00F52EF6" w:rsidRPr="00470432" w:rsidP="00F52EF6" w14:paraId="4116A1EC" w14:textId="77777777">
            <w:pPr>
              <w:ind w:left="480"/>
            </w:pPr>
            <w:r w:rsidRPr="00470432">
              <w:t>Reinterview</w:t>
            </w:r>
            <w:r w:rsidRPr="00470432">
              <w:rPr>
                <w:color w:val="000000"/>
                <w:vertAlign w:val="superscript"/>
              </w:rPr>
              <w:t>1</w:t>
            </w:r>
          </w:p>
        </w:tc>
        <w:tc>
          <w:tcPr>
            <w:tcW w:w="1815" w:type="dxa"/>
            <w:tcBorders>
              <w:top w:val="nil"/>
              <w:left w:val="nil"/>
              <w:bottom w:val="single" w:sz="8" w:space="0" w:color="auto"/>
              <w:right w:val="single" w:sz="8" w:space="0" w:color="auto"/>
            </w:tcBorders>
            <w:shd w:val="clear" w:color="auto" w:fill="auto"/>
            <w:vAlign w:val="center"/>
            <w:hideMark/>
          </w:tcPr>
          <w:p w:rsidR="00F52EF6" w:rsidRPr="00470432" w:rsidP="00F52EF6" w14:paraId="1C4EB52D" w14:textId="218DA6F7">
            <w:pPr>
              <w:ind w:left="480"/>
            </w:pPr>
            <w:r>
              <w:rPr>
                <w:color w:val="000000"/>
              </w:rPr>
              <w:t>2,108</w:t>
            </w:r>
          </w:p>
        </w:tc>
        <w:tc>
          <w:tcPr>
            <w:tcW w:w="1601" w:type="dxa"/>
            <w:tcBorders>
              <w:top w:val="nil"/>
              <w:left w:val="nil"/>
              <w:bottom w:val="single" w:sz="8" w:space="0" w:color="auto"/>
              <w:right w:val="single" w:sz="8" w:space="0" w:color="auto"/>
            </w:tcBorders>
            <w:shd w:val="clear" w:color="auto" w:fill="auto"/>
            <w:vAlign w:val="center"/>
            <w:hideMark/>
          </w:tcPr>
          <w:p w:rsidR="00F52EF6" w:rsidRPr="00470432" w:rsidP="00F52EF6" w14:paraId="12893C0B" w14:textId="77777777">
            <w:pPr>
              <w:ind w:left="480"/>
            </w:pPr>
            <w:r w:rsidRPr="00470432">
              <w:t>1</w:t>
            </w:r>
          </w:p>
        </w:tc>
        <w:tc>
          <w:tcPr>
            <w:tcW w:w="1848" w:type="dxa"/>
            <w:tcBorders>
              <w:top w:val="nil"/>
              <w:left w:val="nil"/>
              <w:bottom w:val="single" w:sz="8" w:space="0" w:color="auto"/>
              <w:right w:val="single" w:sz="8" w:space="0" w:color="auto"/>
            </w:tcBorders>
            <w:shd w:val="clear" w:color="auto" w:fill="auto"/>
            <w:vAlign w:val="center"/>
            <w:hideMark/>
          </w:tcPr>
          <w:p w:rsidR="00F52EF6" w:rsidRPr="00470432" w:rsidP="00F52EF6" w14:paraId="35D12A6B" w14:textId="074A6E49">
            <w:pPr>
              <w:ind w:left="480"/>
            </w:pPr>
            <w:r>
              <w:rPr>
                <w:color w:val="000000"/>
              </w:rPr>
              <w:t>21,08</w:t>
            </w:r>
          </w:p>
        </w:tc>
        <w:tc>
          <w:tcPr>
            <w:tcW w:w="1508" w:type="dxa"/>
            <w:tcBorders>
              <w:top w:val="nil"/>
              <w:left w:val="nil"/>
              <w:bottom w:val="single" w:sz="8" w:space="0" w:color="auto"/>
              <w:right w:val="single" w:sz="8" w:space="0" w:color="auto"/>
            </w:tcBorders>
            <w:shd w:val="clear" w:color="auto" w:fill="auto"/>
            <w:vAlign w:val="center"/>
            <w:hideMark/>
          </w:tcPr>
          <w:p w:rsidR="00F52EF6" w:rsidRPr="00470432" w:rsidP="00F52EF6" w14:paraId="34551C18" w14:textId="77777777">
            <w:pPr>
              <w:ind w:left="480"/>
            </w:pPr>
            <w:r w:rsidRPr="00470432">
              <w:t>10</w:t>
            </w:r>
          </w:p>
        </w:tc>
        <w:tc>
          <w:tcPr>
            <w:tcW w:w="1548" w:type="dxa"/>
            <w:tcBorders>
              <w:top w:val="nil"/>
              <w:left w:val="nil"/>
              <w:bottom w:val="single" w:sz="8" w:space="0" w:color="auto"/>
              <w:right w:val="single" w:sz="8" w:space="0" w:color="auto"/>
            </w:tcBorders>
            <w:shd w:val="clear" w:color="auto" w:fill="auto"/>
            <w:vAlign w:val="center"/>
            <w:hideMark/>
          </w:tcPr>
          <w:p w:rsidR="00F52EF6" w:rsidRPr="00470432" w:rsidP="00F52EF6" w14:paraId="40239AA9" w14:textId="4D75ABE7">
            <w:pPr>
              <w:ind w:left="480"/>
            </w:pPr>
            <w:r>
              <w:rPr>
                <w:color w:val="000000"/>
              </w:rPr>
              <w:t>351</w:t>
            </w:r>
          </w:p>
        </w:tc>
      </w:tr>
      <w:tr w14:paraId="2C9F4AA7" w14:textId="77777777" w:rsidTr="00F52EF6">
        <w:tblPrEx>
          <w:tblW w:w="10161" w:type="dxa"/>
          <w:tblCellMar>
            <w:left w:w="0" w:type="dxa"/>
          </w:tblCellMar>
          <w:tblLook w:val="04A0"/>
        </w:tblPrEx>
        <w:trPr>
          <w:trHeight w:val="938"/>
        </w:trPr>
        <w:tc>
          <w:tcPr>
            <w:tcW w:w="1841" w:type="dxa"/>
            <w:tcBorders>
              <w:top w:val="nil"/>
              <w:left w:val="single" w:sz="8" w:space="0" w:color="auto"/>
              <w:bottom w:val="single" w:sz="8" w:space="0" w:color="auto"/>
              <w:right w:val="single" w:sz="8" w:space="0" w:color="auto"/>
            </w:tcBorders>
            <w:shd w:val="clear" w:color="auto" w:fill="auto"/>
            <w:vAlign w:val="center"/>
            <w:hideMark/>
          </w:tcPr>
          <w:p w:rsidR="00F52EF6" w:rsidRPr="00470432" w:rsidP="00F52EF6" w14:paraId="2F3F1BD7" w14:textId="77777777">
            <w:pPr>
              <w:ind w:left="480"/>
            </w:pPr>
            <w:r w:rsidRPr="00470432">
              <w:t>TOTALS</w:t>
            </w:r>
          </w:p>
        </w:tc>
        <w:tc>
          <w:tcPr>
            <w:tcW w:w="1815" w:type="dxa"/>
            <w:tcBorders>
              <w:top w:val="nil"/>
              <w:left w:val="nil"/>
              <w:bottom w:val="single" w:sz="8" w:space="0" w:color="auto"/>
              <w:right w:val="single" w:sz="8" w:space="0" w:color="auto"/>
            </w:tcBorders>
            <w:shd w:val="clear" w:color="auto" w:fill="auto"/>
            <w:vAlign w:val="center"/>
            <w:hideMark/>
          </w:tcPr>
          <w:p w:rsidR="00F52EF6" w:rsidRPr="00470432" w:rsidP="00F52EF6" w14:paraId="231BC1DA" w14:textId="2F34560B">
            <w:pPr>
              <w:ind w:left="480"/>
            </w:pPr>
            <w:r>
              <w:rPr>
                <w:color w:val="000000"/>
              </w:rPr>
              <w:t>4,392</w:t>
            </w:r>
          </w:p>
        </w:tc>
        <w:tc>
          <w:tcPr>
            <w:tcW w:w="1601" w:type="dxa"/>
            <w:tcBorders>
              <w:top w:val="nil"/>
              <w:left w:val="nil"/>
              <w:bottom w:val="single" w:sz="8" w:space="0" w:color="auto"/>
              <w:right w:val="single" w:sz="8" w:space="0" w:color="auto"/>
            </w:tcBorders>
            <w:shd w:val="clear" w:color="auto" w:fill="auto"/>
            <w:vAlign w:val="center"/>
            <w:hideMark/>
          </w:tcPr>
          <w:p w:rsidR="00F52EF6" w:rsidRPr="00470432" w:rsidP="00F52EF6" w14:paraId="7AE88B41" w14:textId="77777777">
            <w:pPr>
              <w:ind w:left="480"/>
            </w:pPr>
            <w:r w:rsidRPr="00470432">
              <w:t>/////////</w:t>
            </w:r>
          </w:p>
        </w:tc>
        <w:tc>
          <w:tcPr>
            <w:tcW w:w="1848" w:type="dxa"/>
            <w:tcBorders>
              <w:top w:val="nil"/>
              <w:left w:val="nil"/>
              <w:bottom w:val="single" w:sz="8" w:space="0" w:color="auto"/>
              <w:right w:val="single" w:sz="8" w:space="0" w:color="auto"/>
            </w:tcBorders>
            <w:shd w:val="clear" w:color="auto" w:fill="auto"/>
            <w:vAlign w:val="center"/>
            <w:hideMark/>
          </w:tcPr>
          <w:p w:rsidR="00F52EF6" w:rsidRPr="00470432" w:rsidP="00F52EF6" w14:paraId="46332C42" w14:textId="6748A710">
            <w:pPr>
              <w:ind w:left="480"/>
            </w:pPr>
            <w:r>
              <w:rPr>
                <w:color w:val="000000"/>
              </w:rPr>
              <w:t>1,9676</w:t>
            </w:r>
          </w:p>
        </w:tc>
        <w:tc>
          <w:tcPr>
            <w:tcW w:w="1508" w:type="dxa"/>
            <w:tcBorders>
              <w:top w:val="nil"/>
              <w:left w:val="nil"/>
              <w:bottom w:val="single" w:sz="8" w:space="0" w:color="auto"/>
              <w:right w:val="single" w:sz="8" w:space="0" w:color="auto"/>
            </w:tcBorders>
            <w:shd w:val="clear" w:color="auto" w:fill="auto"/>
            <w:vAlign w:val="center"/>
            <w:hideMark/>
          </w:tcPr>
          <w:p w:rsidR="00F52EF6" w:rsidRPr="00470432" w:rsidP="00F52EF6" w14:paraId="3435AC54" w14:textId="77777777">
            <w:pPr>
              <w:ind w:left="480"/>
            </w:pPr>
            <w:r w:rsidRPr="00470432">
              <w:t>////////</w:t>
            </w:r>
          </w:p>
        </w:tc>
        <w:tc>
          <w:tcPr>
            <w:tcW w:w="1548" w:type="dxa"/>
            <w:tcBorders>
              <w:top w:val="nil"/>
              <w:left w:val="nil"/>
              <w:bottom w:val="single" w:sz="8" w:space="0" w:color="auto"/>
              <w:right w:val="single" w:sz="8" w:space="0" w:color="auto"/>
            </w:tcBorders>
            <w:shd w:val="clear" w:color="auto" w:fill="auto"/>
            <w:vAlign w:val="center"/>
            <w:hideMark/>
          </w:tcPr>
          <w:p w:rsidR="00F52EF6" w:rsidRPr="00470432" w:rsidP="00F52EF6" w14:paraId="0A20EFE1" w14:textId="3262D3D0">
            <w:pPr>
              <w:ind w:left="480"/>
            </w:pPr>
            <w:r>
              <w:rPr>
                <w:color w:val="000000"/>
              </w:rPr>
              <w:t>18,797</w:t>
            </w:r>
          </w:p>
        </w:tc>
      </w:tr>
      <w:tr w14:paraId="6F7CAAE8" w14:textId="77777777" w:rsidTr="00F52EF6">
        <w:tblPrEx>
          <w:tblW w:w="10161" w:type="dxa"/>
          <w:tblCellMar>
            <w:left w:w="0" w:type="dxa"/>
          </w:tblCellMar>
          <w:tblLook w:val="04A0"/>
        </w:tblPrEx>
        <w:trPr>
          <w:trHeight w:val="683"/>
        </w:trPr>
        <w:tc>
          <w:tcPr>
            <w:tcW w:w="10161" w:type="dxa"/>
            <w:gridSpan w:val="6"/>
            <w:tcBorders>
              <w:top w:val="single" w:sz="8" w:space="0" w:color="auto"/>
              <w:left w:val="single" w:sz="8" w:space="0" w:color="auto"/>
              <w:bottom w:val="nil"/>
              <w:right w:val="single" w:sz="8" w:space="0" w:color="000000"/>
            </w:tcBorders>
            <w:shd w:val="clear" w:color="auto" w:fill="auto"/>
            <w:vAlign w:val="center"/>
            <w:hideMark/>
          </w:tcPr>
          <w:p w:rsidR="005117A9" w:rsidRPr="00470432" w:rsidP="005A46BB" w14:paraId="75FFC02E" w14:textId="77777777">
            <w:pPr>
              <w:ind w:left="480"/>
            </w:pPr>
            <w:r w:rsidRPr="00470432">
              <w:t> </w:t>
            </w:r>
          </w:p>
        </w:tc>
      </w:tr>
      <w:tr w14:paraId="770CC1CC" w14:textId="77777777" w:rsidTr="00F52EF6">
        <w:tblPrEx>
          <w:tblW w:w="10161" w:type="dxa"/>
          <w:tblCellMar>
            <w:left w:w="0" w:type="dxa"/>
          </w:tblCellMar>
          <w:tblLook w:val="04A0"/>
        </w:tblPrEx>
        <w:trPr>
          <w:trHeight w:val="375"/>
        </w:trPr>
        <w:tc>
          <w:tcPr>
            <w:tcW w:w="10161" w:type="dxa"/>
            <w:gridSpan w:val="6"/>
            <w:tcBorders>
              <w:top w:val="nil"/>
              <w:left w:val="single" w:sz="8" w:space="0" w:color="auto"/>
              <w:bottom w:val="nil"/>
              <w:right w:val="single" w:sz="8" w:space="0" w:color="000000"/>
            </w:tcBorders>
            <w:shd w:val="clear" w:color="auto" w:fill="auto"/>
            <w:vAlign w:val="center"/>
            <w:hideMark/>
          </w:tcPr>
          <w:p w:rsidR="005117A9" w:rsidP="005A46BB" w14:paraId="1CB56C69" w14:textId="77777777">
            <w:pPr>
              <w:rPr>
                <w:color w:val="000000"/>
              </w:rPr>
            </w:pPr>
            <w:r>
              <w:rPr>
                <w:color w:val="000000"/>
                <w:vertAlign w:val="superscript"/>
              </w:rPr>
              <w:t>1</w:t>
            </w:r>
            <w:r>
              <w:rPr>
                <w:color w:val="000000"/>
              </w:rPr>
              <w:t>Reinterviews are done on a subset of the original respondents</w:t>
            </w:r>
          </w:p>
        </w:tc>
      </w:tr>
      <w:tr w14:paraId="51871F80" w14:textId="77777777" w:rsidTr="00F52EF6">
        <w:tblPrEx>
          <w:tblW w:w="10161" w:type="dxa"/>
          <w:tblCellMar>
            <w:left w:w="0" w:type="dxa"/>
          </w:tblCellMar>
          <w:tblLook w:val="04A0"/>
        </w:tblPrEx>
        <w:trPr>
          <w:trHeight w:val="330"/>
        </w:trPr>
        <w:tc>
          <w:tcPr>
            <w:tcW w:w="10161" w:type="dxa"/>
            <w:gridSpan w:val="6"/>
            <w:tcBorders>
              <w:top w:val="nil"/>
              <w:left w:val="single" w:sz="8" w:space="0" w:color="auto"/>
              <w:bottom w:val="single" w:sz="8" w:space="0" w:color="auto"/>
              <w:right w:val="single" w:sz="8" w:space="0" w:color="000000"/>
            </w:tcBorders>
            <w:shd w:val="clear" w:color="auto" w:fill="auto"/>
            <w:vAlign w:val="center"/>
            <w:hideMark/>
          </w:tcPr>
          <w:p w:rsidR="005117A9" w:rsidP="005A46BB" w14:paraId="3F739E27" w14:textId="77777777">
            <w:pPr>
              <w:rPr>
                <w:color w:val="000000"/>
              </w:rPr>
            </w:pPr>
            <w:r>
              <w:rPr>
                <w:color w:val="000000"/>
              </w:rPr>
              <w:t> </w:t>
            </w:r>
          </w:p>
        </w:tc>
      </w:tr>
      <w:bookmarkEnd w:id="5"/>
    </w:tbl>
    <w:p w:rsidR="00EF4A62" w:rsidRPr="00C03080" w:rsidP="008A4450" w14:paraId="1079E9F7" w14:textId="77777777"/>
    <w:p w:rsidR="00765DEE" w:rsidRPr="00C03080" w:rsidP="001B6134" w14:paraId="0B45F5DD" w14:textId="57963B88">
      <w:pPr>
        <w:ind w:left="720"/>
      </w:pPr>
      <w:r w:rsidRPr="00C03080">
        <w:t xml:space="preserve">The BLS will conduct the CED at approximately </w:t>
      </w:r>
      <w:r w:rsidRPr="00C03080" w:rsidR="00EF4A62">
        <w:t>17,</w:t>
      </w:r>
      <w:r w:rsidR="001E0BDB">
        <w:t>467</w:t>
      </w:r>
      <w:r w:rsidRPr="00C03080" w:rsidR="001E0BDB">
        <w:t xml:space="preserve"> </w:t>
      </w:r>
      <w:r w:rsidRPr="00C03080">
        <w:t xml:space="preserve">designated addresses per year, </w:t>
      </w:r>
      <w:r w:rsidRPr="00C03080" w:rsidR="00C34E7F">
        <w:t xml:space="preserve">resulting in an estimated </w:t>
      </w:r>
      <w:r w:rsidR="001E0BDB">
        <w:t>5,933</w:t>
      </w:r>
      <w:r w:rsidRPr="00C03080" w:rsidR="000C207E">
        <w:t xml:space="preserve"> </w:t>
      </w:r>
      <w:r w:rsidRPr="00C03080" w:rsidR="00B54A45">
        <w:t>respondents</w:t>
      </w:r>
      <w:r w:rsidRPr="00C03080">
        <w:t>.</w:t>
      </w:r>
      <w:r w:rsidRPr="00C03080" w:rsidR="00367B8F">
        <w:t xml:space="preserve"> </w:t>
      </w:r>
      <w:r w:rsidRPr="00C03080">
        <w:t xml:space="preserve">  Respondents complete 2 weekly diaries, resulting in </w:t>
      </w:r>
      <w:r w:rsidRPr="00C03080" w:rsidR="00081DB8">
        <w:t>12,</w:t>
      </w:r>
      <w:r w:rsidR="00741A2D">
        <w:t>1</w:t>
      </w:r>
      <w:r w:rsidRPr="00C03080" w:rsidR="00741A2D">
        <w:t xml:space="preserve">00 </w:t>
      </w:r>
      <w:r w:rsidRPr="00C03080">
        <w:t>weekly diaries being completed per year.  Reinterviews will be conducted on approximately 10 percent of the weekly diaries for a total of 1,</w:t>
      </w:r>
      <w:r w:rsidR="001E0BDB">
        <w:t>187</w:t>
      </w:r>
      <w:r w:rsidRPr="00C03080" w:rsidR="00741A2D">
        <w:t xml:space="preserve"> </w:t>
      </w:r>
      <w:r w:rsidRPr="00C03080">
        <w:t xml:space="preserve">reinterviews.  </w:t>
      </w:r>
      <w:r w:rsidRPr="00C03080" w:rsidR="00DE620A">
        <w:t xml:space="preserve">CE expects recordkeeping activity to </w:t>
      </w:r>
      <w:r w:rsidRPr="00C03080" w:rsidR="009B0DA3">
        <w:t>remain unchanged at</w:t>
      </w:r>
      <w:r w:rsidRPr="00C03080" w:rsidR="00DE620A">
        <w:t xml:space="preserve"> 60 minutes</w:t>
      </w:r>
      <w:r w:rsidRPr="00C03080" w:rsidR="00567639">
        <w:t xml:space="preserve">.  </w:t>
      </w:r>
      <w:r w:rsidRPr="00C03080">
        <w:t xml:space="preserve">Respondents spend approximately </w:t>
      </w:r>
      <w:r w:rsidRPr="00C03080" w:rsidR="00081DB8">
        <w:t>6</w:t>
      </w:r>
      <w:r w:rsidRPr="00C03080" w:rsidR="00DB2764">
        <w:t>0</w:t>
      </w:r>
      <w:r w:rsidRPr="00C03080">
        <w:t xml:space="preserve"> minutes completing each weekly diary, for a total of </w:t>
      </w:r>
      <w:r w:rsidR="001E0BDB">
        <w:t>11,866</w:t>
      </w:r>
      <w:r w:rsidRPr="00C03080" w:rsidR="00741A2D">
        <w:t xml:space="preserve"> </w:t>
      </w:r>
      <w:r w:rsidRPr="00C03080">
        <w:t xml:space="preserve">hours of record-keeping.  In addition to record-keeping, </w:t>
      </w:r>
      <w:r w:rsidRPr="00C03080" w:rsidR="008F5C1B">
        <w:t xml:space="preserve">it takes an average of 19 minutes for respondents to complete each of the interviews.  This results in a total </w:t>
      </w:r>
      <w:r w:rsidRPr="00C03080">
        <w:t xml:space="preserve">of </w:t>
      </w:r>
      <w:r w:rsidR="000C7852">
        <w:t>3,758</w:t>
      </w:r>
      <w:r w:rsidRPr="00C03080" w:rsidR="00741A2D">
        <w:t xml:space="preserve"> </w:t>
      </w:r>
      <w:r w:rsidRPr="00C03080">
        <w:t>hours of interviewing</w:t>
      </w:r>
      <w:r w:rsidRPr="00C03080" w:rsidR="008F5C1B">
        <w:t>.  Additionally, an estimated 10% of respondents (for each week) will be contacted for</w:t>
      </w:r>
      <w:r w:rsidR="00EC2424">
        <w:t xml:space="preserve"> a</w:t>
      </w:r>
      <w:r w:rsidRPr="00C03080" w:rsidR="008F5C1B">
        <w:t xml:space="preserve"> reinterview resulting in an additional </w:t>
      </w:r>
      <w:r w:rsidR="000C7852">
        <w:t>198</w:t>
      </w:r>
      <w:r w:rsidRPr="00C03080" w:rsidR="000C7852">
        <w:t xml:space="preserve"> </w:t>
      </w:r>
      <w:r w:rsidRPr="00C03080">
        <w:t xml:space="preserve">hours of reinterview.  </w:t>
      </w:r>
      <w:r w:rsidRPr="00C03080" w:rsidR="00AD0DD8">
        <w:t>Total burden hour for the Diary Survey</w:t>
      </w:r>
      <w:r w:rsidRPr="00C03080" w:rsidR="00964A5B">
        <w:t xml:space="preserve"> is </w:t>
      </w:r>
      <w:r w:rsidR="000E1F23">
        <w:t>15,822</w:t>
      </w:r>
      <w:r w:rsidRPr="00C03080" w:rsidR="00741A2D">
        <w:t xml:space="preserve"> </w:t>
      </w:r>
      <w:r w:rsidRPr="00C03080" w:rsidR="00964A5B">
        <w:t>hours per year.</w:t>
      </w:r>
    </w:p>
    <w:p w:rsidR="0006130E" w:rsidP="001B6134" w14:paraId="64C77898" w14:textId="77777777">
      <w:pPr>
        <w:ind w:left="1200"/>
        <w:rPr>
          <w:highlight w:val="yellow"/>
        </w:rPr>
      </w:pPr>
    </w:p>
    <w:tbl>
      <w:tblPr>
        <w:tblW w:w="8810" w:type="dxa"/>
        <w:tblLook w:val="04A0"/>
      </w:tblPr>
      <w:tblGrid>
        <w:gridCol w:w="1673"/>
        <w:gridCol w:w="1453"/>
        <w:gridCol w:w="1229"/>
        <w:gridCol w:w="1688"/>
        <w:gridCol w:w="1168"/>
        <w:gridCol w:w="1599"/>
      </w:tblGrid>
      <w:tr w14:paraId="2E5CF306" w14:textId="77777777" w:rsidTr="00CE79A9">
        <w:tblPrEx>
          <w:tblW w:w="8810" w:type="dxa"/>
          <w:tblLook w:val="04A0"/>
        </w:tblPrEx>
        <w:trPr>
          <w:trHeight w:val="330"/>
        </w:trPr>
        <w:tc>
          <w:tcPr>
            <w:tcW w:w="881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CE79A9" w14:paraId="3BA46FAC" w14:textId="77777777">
            <w:pPr>
              <w:jc w:val="center"/>
              <w:rPr>
                <w:color w:val="000000"/>
              </w:rPr>
            </w:pPr>
            <w:r>
              <w:rPr>
                <w:color w:val="000000"/>
              </w:rPr>
              <w:t>Response Burden for the Diary Survey</w:t>
            </w:r>
          </w:p>
        </w:tc>
      </w:tr>
      <w:tr w14:paraId="1EE80C86" w14:textId="77777777" w:rsidTr="00CE79A9">
        <w:tblPrEx>
          <w:tblW w:w="8810" w:type="dxa"/>
          <w:tblLook w:val="04A0"/>
        </w:tblPrEx>
        <w:trPr>
          <w:trHeight w:val="538"/>
        </w:trPr>
        <w:tc>
          <w:tcPr>
            <w:tcW w:w="1673" w:type="dxa"/>
            <w:tcBorders>
              <w:top w:val="nil"/>
              <w:left w:val="single" w:sz="8" w:space="0" w:color="auto"/>
              <w:bottom w:val="nil"/>
              <w:right w:val="single" w:sz="8" w:space="0" w:color="auto"/>
            </w:tcBorders>
            <w:shd w:val="clear" w:color="auto" w:fill="auto"/>
            <w:vAlign w:val="center"/>
            <w:hideMark/>
          </w:tcPr>
          <w:p w:rsidR="00CE79A9" w14:paraId="3EE40958" w14:textId="77777777">
            <w:pPr>
              <w:jc w:val="center"/>
              <w:rPr>
                <w:color w:val="000000"/>
              </w:rPr>
            </w:pPr>
            <w:r>
              <w:rPr>
                <w:color w:val="000000"/>
              </w:rPr>
              <w:t> </w:t>
            </w:r>
          </w:p>
        </w:tc>
        <w:tc>
          <w:tcPr>
            <w:tcW w:w="1453" w:type="dxa"/>
            <w:vMerge w:val="restart"/>
            <w:tcBorders>
              <w:top w:val="nil"/>
              <w:left w:val="single" w:sz="8" w:space="0" w:color="auto"/>
              <w:bottom w:val="single" w:sz="8" w:space="0" w:color="000000"/>
              <w:right w:val="single" w:sz="8" w:space="0" w:color="auto"/>
            </w:tcBorders>
            <w:shd w:val="clear" w:color="auto" w:fill="auto"/>
            <w:vAlign w:val="center"/>
            <w:hideMark/>
          </w:tcPr>
          <w:p w:rsidR="00CE79A9" w14:paraId="4D47387B" w14:textId="77777777">
            <w:pPr>
              <w:jc w:val="center"/>
              <w:rPr>
                <w:color w:val="000000"/>
              </w:rPr>
            </w:pPr>
            <w:r>
              <w:rPr>
                <w:color w:val="000000"/>
              </w:rPr>
              <w:t>Total Respondents</w:t>
            </w:r>
          </w:p>
        </w:tc>
        <w:tc>
          <w:tcPr>
            <w:tcW w:w="1229" w:type="dxa"/>
            <w:vMerge w:val="restart"/>
            <w:tcBorders>
              <w:top w:val="nil"/>
              <w:left w:val="single" w:sz="8" w:space="0" w:color="auto"/>
              <w:bottom w:val="single" w:sz="8" w:space="0" w:color="000000"/>
              <w:right w:val="single" w:sz="8" w:space="0" w:color="auto"/>
            </w:tcBorders>
            <w:shd w:val="clear" w:color="auto" w:fill="auto"/>
            <w:vAlign w:val="center"/>
            <w:hideMark/>
          </w:tcPr>
          <w:p w:rsidR="00CE79A9" w14:paraId="404E9369" w14:textId="77777777">
            <w:pPr>
              <w:jc w:val="center"/>
              <w:rPr>
                <w:color w:val="000000"/>
              </w:rPr>
            </w:pPr>
            <w:r>
              <w:rPr>
                <w:color w:val="000000"/>
              </w:rPr>
              <w:t>Frequency</w:t>
            </w:r>
          </w:p>
        </w:tc>
        <w:tc>
          <w:tcPr>
            <w:tcW w:w="1688" w:type="dxa"/>
            <w:vMerge w:val="restart"/>
            <w:tcBorders>
              <w:top w:val="nil"/>
              <w:left w:val="single" w:sz="8" w:space="0" w:color="auto"/>
              <w:bottom w:val="single" w:sz="8" w:space="0" w:color="000000"/>
              <w:right w:val="single" w:sz="8" w:space="0" w:color="auto"/>
            </w:tcBorders>
            <w:shd w:val="clear" w:color="auto" w:fill="auto"/>
            <w:vAlign w:val="center"/>
            <w:hideMark/>
          </w:tcPr>
          <w:p w:rsidR="00CE79A9" w14:paraId="2179FCFC" w14:textId="77777777">
            <w:pPr>
              <w:jc w:val="center"/>
              <w:rPr>
                <w:color w:val="000000"/>
              </w:rPr>
            </w:pPr>
            <w:r>
              <w:rPr>
                <w:color w:val="000000"/>
              </w:rPr>
              <w:t>Total Responses</w:t>
            </w:r>
          </w:p>
        </w:tc>
        <w:tc>
          <w:tcPr>
            <w:tcW w:w="1168" w:type="dxa"/>
            <w:tcBorders>
              <w:top w:val="nil"/>
              <w:left w:val="nil"/>
              <w:bottom w:val="nil"/>
              <w:right w:val="single" w:sz="8" w:space="0" w:color="auto"/>
            </w:tcBorders>
            <w:shd w:val="clear" w:color="auto" w:fill="auto"/>
            <w:vAlign w:val="center"/>
            <w:hideMark/>
          </w:tcPr>
          <w:p w:rsidR="00CE79A9" w14:paraId="5FEB2138" w14:textId="77777777">
            <w:pPr>
              <w:jc w:val="center"/>
              <w:rPr>
                <w:color w:val="000000"/>
              </w:rPr>
            </w:pPr>
            <w:r>
              <w:rPr>
                <w:color w:val="000000"/>
              </w:rPr>
              <w:t>Average</w:t>
            </w:r>
          </w:p>
        </w:tc>
        <w:tc>
          <w:tcPr>
            <w:tcW w:w="1599" w:type="dxa"/>
            <w:tcBorders>
              <w:top w:val="nil"/>
              <w:left w:val="nil"/>
              <w:bottom w:val="nil"/>
              <w:right w:val="single" w:sz="8" w:space="0" w:color="auto"/>
            </w:tcBorders>
            <w:shd w:val="clear" w:color="auto" w:fill="auto"/>
            <w:vAlign w:val="center"/>
            <w:hideMark/>
          </w:tcPr>
          <w:p w:rsidR="00CE79A9" w14:paraId="5A663ABB" w14:textId="77777777">
            <w:pPr>
              <w:jc w:val="center"/>
              <w:rPr>
                <w:color w:val="000000"/>
              </w:rPr>
            </w:pPr>
            <w:r>
              <w:rPr>
                <w:color w:val="000000"/>
              </w:rPr>
              <w:t>Estimated</w:t>
            </w:r>
          </w:p>
        </w:tc>
      </w:tr>
      <w:tr w14:paraId="3C6F4232" w14:textId="77777777" w:rsidTr="00CE79A9">
        <w:tblPrEx>
          <w:tblW w:w="8810" w:type="dxa"/>
          <w:tblLook w:val="04A0"/>
        </w:tblPrEx>
        <w:trPr>
          <w:trHeight w:val="630"/>
        </w:trPr>
        <w:tc>
          <w:tcPr>
            <w:tcW w:w="1673" w:type="dxa"/>
            <w:tcBorders>
              <w:top w:val="nil"/>
              <w:left w:val="single" w:sz="8" w:space="0" w:color="auto"/>
              <w:bottom w:val="nil"/>
              <w:right w:val="single" w:sz="8" w:space="0" w:color="auto"/>
            </w:tcBorders>
            <w:shd w:val="clear" w:color="auto" w:fill="auto"/>
            <w:vAlign w:val="center"/>
            <w:hideMark/>
          </w:tcPr>
          <w:p w:rsidR="00CE79A9" w14:paraId="47353C6F" w14:textId="77777777">
            <w:pPr>
              <w:jc w:val="center"/>
              <w:rPr>
                <w:color w:val="000000"/>
              </w:rPr>
            </w:pPr>
            <w:r>
              <w:rPr>
                <w:color w:val="000000"/>
              </w:rPr>
              <w:t>Form</w:t>
            </w:r>
          </w:p>
        </w:tc>
        <w:tc>
          <w:tcPr>
            <w:tcW w:w="1453" w:type="dxa"/>
            <w:vMerge/>
            <w:tcBorders>
              <w:top w:val="nil"/>
              <w:left w:val="single" w:sz="8" w:space="0" w:color="auto"/>
              <w:bottom w:val="single" w:sz="8" w:space="0" w:color="000000"/>
              <w:right w:val="single" w:sz="8" w:space="0" w:color="auto"/>
            </w:tcBorders>
            <w:vAlign w:val="center"/>
            <w:hideMark/>
          </w:tcPr>
          <w:p w:rsidR="00CE79A9" w14:paraId="605C3A4D" w14:textId="77777777">
            <w:pPr>
              <w:rPr>
                <w:color w:val="000000"/>
              </w:rPr>
            </w:pPr>
          </w:p>
        </w:tc>
        <w:tc>
          <w:tcPr>
            <w:tcW w:w="1229" w:type="dxa"/>
            <w:vMerge/>
            <w:tcBorders>
              <w:top w:val="nil"/>
              <w:left w:val="single" w:sz="8" w:space="0" w:color="auto"/>
              <w:bottom w:val="single" w:sz="8" w:space="0" w:color="000000"/>
              <w:right w:val="single" w:sz="8" w:space="0" w:color="auto"/>
            </w:tcBorders>
            <w:vAlign w:val="center"/>
            <w:hideMark/>
          </w:tcPr>
          <w:p w:rsidR="00CE79A9" w14:paraId="4D357CDB" w14:textId="77777777">
            <w:pPr>
              <w:rPr>
                <w:color w:val="000000"/>
              </w:rPr>
            </w:pPr>
          </w:p>
        </w:tc>
        <w:tc>
          <w:tcPr>
            <w:tcW w:w="1688" w:type="dxa"/>
            <w:vMerge/>
            <w:tcBorders>
              <w:top w:val="nil"/>
              <w:left w:val="single" w:sz="8" w:space="0" w:color="auto"/>
              <w:bottom w:val="single" w:sz="8" w:space="0" w:color="000000"/>
              <w:right w:val="single" w:sz="8" w:space="0" w:color="auto"/>
            </w:tcBorders>
            <w:vAlign w:val="center"/>
            <w:hideMark/>
          </w:tcPr>
          <w:p w:rsidR="00CE79A9" w14:paraId="1803B215" w14:textId="77777777">
            <w:pPr>
              <w:rPr>
                <w:color w:val="000000"/>
              </w:rPr>
            </w:pPr>
          </w:p>
        </w:tc>
        <w:tc>
          <w:tcPr>
            <w:tcW w:w="1168" w:type="dxa"/>
            <w:tcBorders>
              <w:top w:val="nil"/>
              <w:left w:val="nil"/>
              <w:bottom w:val="nil"/>
              <w:right w:val="single" w:sz="8" w:space="0" w:color="auto"/>
            </w:tcBorders>
            <w:shd w:val="clear" w:color="auto" w:fill="auto"/>
            <w:vAlign w:val="center"/>
            <w:hideMark/>
          </w:tcPr>
          <w:p w:rsidR="00CE79A9" w14:paraId="60D37EE8" w14:textId="77777777">
            <w:pPr>
              <w:jc w:val="center"/>
              <w:rPr>
                <w:color w:val="000000"/>
              </w:rPr>
            </w:pPr>
            <w:r>
              <w:rPr>
                <w:color w:val="000000"/>
              </w:rPr>
              <w:t>Time per Response</w:t>
            </w:r>
          </w:p>
        </w:tc>
        <w:tc>
          <w:tcPr>
            <w:tcW w:w="1599" w:type="dxa"/>
            <w:tcBorders>
              <w:top w:val="nil"/>
              <w:left w:val="nil"/>
              <w:bottom w:val="nil"/>
              <w:right w:val="single" w:sz="8" w:space="0" w:color="auto"/>
            </w:tcBorders>
            <w:shd w:val="clear" w:color="auto" w:fill="auto"/>
            <w:vAlign w:val="center"/>
            <w:hideMark/>
          </w:tcPr>
          <w:p w:rsidR="00CE79A9" w14:paraId="2CB87BB9" w14:textId="77777777">
            <w:pPr>
              <w:jc w:val="center"/>
              <w:rPr>
                <w:color w:val="000000"/>
              </w:rPr>
            </w:pPr>
            <w:r>
              <w:rPr>
                <w:color w:val="000000"/>
              </w:rPr>
              <w:t>Total</w:t>
            </w:r>
          </w:p>
        </w:tc>
      </w:tr>
      <w:tr w14:paraId="1AD81021" w14:textId="77777777" w:rsidTr="00CE79A9">
        <w:tblPrEx>
          <w:tblW w:w="8810" w:type="dxa"/>
          <w:tblLook w:val="04A0"/>
        </w:tblPrEx>
        <w:trPr>
          <w:trHeight w:val="330"/>
        </w:trPr>
        <w:tc>
          <w:tcPr>
            <w:tcW w:w="1673" w:type="dxa"/>
            <w:tcBorders>
              <w:top w:val="nil"/>
              <w:left w:val="single" w:sz="8" w:space="0" w:color="auto"/>
              <w:bottom w:val="single" w:sz="8" w:space="0" w:color="auto"/>
              <w:right w:val="single" w:sz="8" w:space="0" w:color="auto"/>
            </w:tcBorders>
            <w:shd w:val="clear" w:color="auto" w:fill="auto"/>
            <w:hideMark/>
          </w:tcPr>
          <w:p w:rsidR="00CE79A9" w14:paraId="134B57C7" w14:textId="77777777">
            <w:pPr>
              <w:rPr>
                <w:rFonts w:ascii="Calibri" w:hAnsi="Calibri" w:cs="Calibri"/>
                <w:color w:val="000000"/>
                <w:sz w:val="22"/>
                <w:szCs w:val="22"/>
              </w:rPr>
            </w:pPr>
            <w:r>
              <w:rPr>
                <w:rFonts w:ascii="Calibri" w:hAnsi="Calibri" w:cs="Calibri"/>
                <w:color w:val="000000"/>
                <w:sz w:val="22"/>
                <w:szCs w:val="22"/>
              </w:rPr>
              <w:t> </w:t>
            </w:r>
          </w:p>
        </w:tc>
        <w:tc>
          <w:tcPr>
            <w:tcW w:w="1453" w:type="dxa"/>
            <w:vMerge/>
            <w:tcBorders>
              <w:top w:val="nil"/>
              <w:left w:val="single" w:sz="8" w:space="0" w:color="auto"/>
              <w:bottom w:val="single" w:sz="8" w:space="0" w:color="000000"/>
              <w:right w:val="single" w:sz="8" w:space="0" w:color="auto"/>
            </w:tcBorders>
            <w:vAlign w:val="center"/>
            <w:hideMark/>
          </w:tcPr>
          <w:p w:rsidR="00CE79A9" w14:paraId="4C731814" w14:textId="77777777">
            <w:pPr>
              <w:rPr>
                <w:color w:val="000000"/>
              </w:rPr>
            </w:pPr>
          </w:p>
        </w:tc>
        <w:tc>
          <w:tcPr>
            <w:tcW w:w="1229" w:type="dxa"/>
            <w:vMerge/>
            <w:tcBorders>
              <w:top w:val="nil"/>
              <w:left w:val="single" w:sz="8" w:space="0" w:color="auto"/>
              <w:bottom w:val="single" w:sz="8" w:space="0" w:color="000000"/>
              <w:right w:val="single" w:sz="8" w:space="0" w:color="auto"/>
            </w:tcBorders>
            <w:vAlign w:val="center"/>
            <w:hideMark/>
          </w:tcPr>
          <w:p w:rsidR="00CE79A9" w14:paraId="766F863D" w14:textId="77777777">
            <w:pPr>
              <w:rPr>
                <w:color w:val="000000"/>
              </w:rPr>
            </w:pPr>
          </w:p>
        </w:tc>
        <w:tc>
          <w:tcPr>
            <w:tcW w:w="1688" w:type="dxa"/>
            <w:vMerge/>
            <w:tcBorders>
              <w:top w:val="nil"/>
              <w:left w:val="single" w:sz="8" w:space="0" w:color="auto"/>
              <w:bottom w:val="single" w:sz="8" w:space="0" w:color="000000"/>
              <w:right w:val="single" w:sz="8" w:space="0" w:color="auto"/>
            </w:tcBorders>
            <w:vAlign w:val="center"/>
            <w:hideMark/>
          </w:tcPr>
          <w:p w:rsidR="00CE79A9" w14:paraId="2F7DBD3C" w14:textId="77777777">
            <w:pPr>
              <w:rPr>
                <w:color w:val="000000"/>
              </w:rPr>
            </w:pPr>
          </w:p>
        </w:tc>
        <w:tc>
          <w:tcPr>
            <w:tcW w:w="1168" w:type="dxa"/>
            <w:tcBorders>
              <w:top w:val="nil"/>
              <w:left w:val="nil"/>
              <w:bottom w:val="single" w:sz="8" w:space="0" w:color="auto"/>
              <w:right w:val="single" w:sz="8" w:space="0" w:color="auto"/>
            </w:tcBorders>
            <w:shd w:val="clear" w:color="auto" w:fill="auto"/>
            <w:hideMark/>
          </w:tcPr>
          <w:p w:rsidR="00CE79A9" w14:paraId="05D17001" w14:textId="77777777">
            <w:pPr>
              <w:rPr>
                <w:rFonts w:ascii="Calibri" w:hAnsi="Calibri" w:cs="Calibri"/>
                <w:color w:val="000000"/>
                <w:sz w:val="22"/>
                <w:szCs w:val="22"/>
              </w:rPr>
            </w:pPr>
            <w:r>
              <w:rPr>
                <w:rFonts w:ascii="Calibri" w:hAnsi="Calibri" w:cs="Calibri"/>
                <w:color w:val="000000"/>
                <w:sz w:val="22"/>
                <w:szCs w:val="22"/>
              </w:rPr>
              <w:t> </w:t>
            </w:r>
          </w:p>
        </w:tc>
        <w:tc>
          <w:tcPr>
            <w:tcW w:w="1599" w:type="dxa"/>
            <w:tcBorders>
              <w:top w:val="nil"/>
              <w:left w:val="nil"/>
              <w:bottom w:val="single" w:sz="8" w:space="0" w:color="auto"/>
              <w:right w:val="single" w:sz="8" w:space="0" w:color="auto"/>
            </w:tcBorders>
            <w:shd w:val="clear" w:color="auto" w:fill="auto"/>
            <w:vAlign w:val="center"/>
            <w:hideMark/>
          </w:tcPr>
          <w:p w:rsidR="00CE79A9" w14:paraId="4EC29B99" w14:textId="77777777">
            <w:pPr>
              <w:jc w:val="center"/>
              <w:rPr>
                <w:color w:val="000000"/>
              </w:rPr>
            </w:pPr>
            <w:r>
              <w:rPr>
                <w:color w:val="000000"/>
              </w:rPr>
              <w:t>Burden</w:t>
            </w:r>
          </w:p>
        </w:tc>
      </w:tr>
      <w:tr w14:paraId="241451F7" w14:textId="77777777" w:rsidTr="0095528E">
        <w:tblPrEx>
          <w:tblW w:w="8810" w:type="dxa"/>
          <w:tblLook w:val="04A0"/>
        </w:tblPrEx>
        <w:trPr>
          <w:trHeight w:val="645"/>
        </w:trPr>
        <w:tc>
          <w:tcPr>
            <w:tcW w:w="1673" w:type="dxa"/>
            <w:tcBorders>
              <w:top w:val="nil"/>
              <w:left w:val="single" w:sz="8" w:space="0" w:color="auto"/>
              <w:bottom w:val="single" w:sz="8" w:space="0" w:color="auto"/>
              <w:right w:val="single" w:sz="8" w:space="0" w:color="auto"/>
            </w:tcBorders>
            <w:shd w:val="clear" w:color="auto" w:fill="auto"/>
            <w:vAlign w:val="center"/>
            <w:hideMark/>
          </w:tcPr>
          <w:p w:rsidR="00F52EF6" w:rsidP="00F52EF6" w14:paraId="6DEF89C4" w14:textId="77777777">
            <w:pPr>
              <w:jc w:val="center"/>
              <w:rPr>
                <w:color w:val="000000"/>
              </w:rPr>
            </w:pPr>
            <w:r>
              <w:rPr>
                <w:color w:val="000000"/>
              </w:rPr>
              <w:t>Record-keeping</w:t>
            </w:r>
          </w:p>
        </w:tc>
        <w:tc>
          <w:tcPr>
            <w:tcW w:w="1453" w:type="dxa"/>
            <w:tcBorders>
              <w:top w:val="nil"/>
              <w:left w:val="nil"/>
              <w:bottom w:val="single" w:sz="8" w:space="0" w:color="auto"/>
              <w:right w:val="single" w:sz="8" w:space="0" w:color="auto"/>
            </w:tcBorders>
            <w:shd w:val="clear" w:color="auto" w:fill="auto"/>
            <w:vAlign w:val="center"/>
          </w:tcPr>
          <w:p w:rsidR="00F52EF6" w:rsidP="00F52EF6" w14:paraId="198524DC" w14:textId="3976AE71">
            <w:pPr>
              <w:jc w:val="center"/>
              <w:rPr>
                <w:color w:val="000000"/>
              </w:rPr>
            </w:pPr>
            <w:r>
              <w:rPr>
                <w:color w:val="000000"/>
              </w:rPr>
              <w:t>5,933</w:t>
            </w:r>
          </w:p>
        </w:tc>
        <w:tc>
          <w:tcPr>
            <w:tcW w:w="1229" w:type="dxa"/>
            <w:tcBorders>
              <w:top w:val="nil"/>
              <w:left w:val="nil"/>
              <w:bottom w:val="single" w:sz="8" w:space="0" w:color="auto"/>
              <w:right w:val="single" w:sz="8" w:space="0" w:color="auto"/>
            </w:tcBorders>
            <w:shd w:val="clear" w:color="auto" w:fill="auto"/>
            <w:vAlign w:val="center"/>
            <w:hideMark/>
          </w:tcPr>
          <w:p w:rsidR="00F52EF6" w:rsidP="00F52EF6" w14:paraId="23E3BAC1" w14:textId="77777777">
            <w:pPr>
              <w:jc w:val="center"/>
              <w:rPr>
                <w:color w:val="000000"/>
              </w:rPr>
            </w:pPr>
            <w:r>
              <w:rPr>
                <w:color w:val="000000"/>
              </w:rPr>
              <w:t>2</w:t>
            </w:r>
          </w:p>
        </w:tc>
        <w:tc>
          <w:tcPr>
            <w:tcW w:w="1688" w:type="dxa"/>
            <w:tcBorders>
              <w:top w:val="nil"/>
              <w:left w:val="nil"/>
              <w:bottom w:val="single" w:sz="8" w:space="0" w:color="auto"/>
              <w:right w:val="single" w:sz="8" w:space="0" w:color="auto"/>
            </w:tcBorders>
            <w:shd w:val="clear" w:color="auto" w:fill="auto"/>
            <w:vAlign w:val="center"/>
            <w:hideMark/>
          </w:tcPr>
          <w:p w:rsidR="00F52EF6" w:rsidP="00F52EF6" w14:paraId="728045BE" w14:textId="190EFD52">
            <w:pPr>
              <w:jc w:val="center"/>
              <w:rPr>
                <w:color w:val="000000"/>
              </w:rPr>
            </w:pPr>
            <w:r>
              <w:rPr>
                <w:color w:val="000000"/>
              </w:rPr>
              <w:t>11,866</w:t>
            </w:r>
          </w:p>
        </w:tc>
        <w:tc>
          <w:tcPr>
            <w:tcW w:w="1168" w:type="dxa"/>
            <w:tcBorders>
              <w:top w:val="nil"/>
              <w:left w:val="nil"/>
              <w:bottom w:val="single" w:sz="8" w:space="0" w:color="auto"/>
              <w:right w:val="single" w:sz="8" w:space="0" w:color="auto"/>
            </w:tcBorders>
            <w:shd w:val="clear" w:color="auto" w:fill="auto"/>
            <w:vAlign w:val="center"/>
            <w:hideMark/>
          </w:tcPr>
          <w:p w:rsidR="00F52EF6" w:rsidP="00F52EF6" w14:paraId="3E007CBD" w14:textId="77777777">
            <w:pPr>
              <w:jc w:val="center"/>
              <w:rPr>
                <w:color w:val="000000"/>
              </w:rPr>
            </w:pPr>
            <w:r>
              <w:rPr>
                <w:color w:val="000000"/>
              </w:rPr>
              <w:t>60</w:t>
            </w:r>
          </w:p>
        </w:tc>
        <w:tc>
          <w:tcPr>
            <w:tcW w:w="1599" w:type="dxa"/>
            <w:tcBorders>
              <w:top w:val="nil"/>
              <w:left w:val="nil"/>
              <w:bottom w:val="single" w:sz="8" w:space="0" w:color="auto"/>
              <w:right w:val="single" w:sz="8" w:space="0" w:color="auto"/>
            </w:tcBorders>
            <w:shd w:val="clear" w:color="auto" w:fill="auto"/>
            <w:vAlign w:val="center"/>
            <w:hideMark/>
          </w:tcPr>
          <w:p w:rsidR="00F52EF6" w:rsidP="00F52EF6" w14:paraId="33BE3C19" w14:textId="6F18E537">
            <w:pPr>
              <w:jc w:val="center"/>
              <w:rPr>
                <w:color w:val="000000"/>
              </w:rPr>
            </w:pPr>
            <w:r>
              <w:rPr>
                <w:color w:val="000000"/>
              </w:rPr>
              <w:t>11,866</w:t>
            </w:r>
          </w:p>
        </w:tc>
      </w:tr>
      <w:tr w14:paraId="0AD316E0" w14:textId="77777777" w:rsidTr="0095528E">
        <w:tblPrEx>
          <w:tblW w:w="8810" w:type="dxa"/>
          <w:tblLook w:val="04A0"/>
        </w:tblPrEx>
        <w:trPr>
          <w:trHeight w:val="645"/>
        </w:trPr>
        <w:tc>
          <w:tcPr>
            <w:tcW w:w="1673" w:type="dxa"/>
            <w:tcBorders>
              <w:top w:val="nil"/>
              <w:left w:val="single" w:sz="8" w:space="0" w:color="auto"/>
              <w:bottom w:val="single" w:sz="8" w:space="0" w:color="auto"/>
              <w:right w:val="single" w:sz="8" w:space="0" w:color="auto"/>
            </w:tcBorders>
            <w:shd w:val="clear" w:color="auto" w:fill="auto"/>
            <w:vAlign w:val="center"/>
            <w:hideMark/>
          </w:tcPr>
          <w:p w:rsidR="00F52EF6" w:rsidP="00F52EF6" w14:paraId="3A994420" w14:textId="77777777">
            <w:pPr>
              <w:jc w:val="center"/>
              <w:rPr>
                <w:color w:val="000000"/>
              </w:rPr>
            </w:pPr>
            <w:r>
              <w:rPr>
                <w:color w:val="000000"/>
              </w:rPr>
              <w:t>Interview</w:t>
            </w:r>
          </w:p>
        </w:tc>
        <w:tc>
          <w:tcPr>
            <w:tcW w:w="1453" w:type="dxa"/>
            <w:tcBorders>
              <w:top w:val="nil"/>
              <w:left w:val="nil"/>
              <w:bottom w:val="single" w:sz="8" w:space="0" w:color="auto"/>
              <w:right w:val="single" w:sz="8" w:space="0" w:color="auto"/>
            </w:tcBorders>
            <w:shd w:val="clear" w:color="auto" w:fill="auto"/>
            <w:vAlign w:val="center"/>
          </w:tcPr>
          <w:p w:rsidR="00F52EF6" w:rsidP="00F52EF6" w14:paraId="24D75FD6" w14:textId="291E5230">
            <w:pPr>
              <w:jc w:val="center"/>
              <w:rPr>
                <w:color w:val="000000"/>
              </w:rPr>
            </w:pPr>
            <w:r>
              <w:rPr>
                <w:color w:val="000000"/>
              </w:rPr>
              <w:t>5,933</w:t>
            </w:r>
          </w:p>
        </w:tc>
        <w:tc>
          <w:tcPr>
            <w:tcW w:w="1229" w:type="dxa"/>
            <w:tcBorders>
              <w:top w:val="nil"/>
              <w:left w:val="nil"/>
              <w:bottom w:val="single" w:sz="8" w:space="0" w:color="auto"/>
              <w:right w:val="single" w:sz="8" w:space="0" w:color="auto"/>
            </w:tcBorders>
            <w:shd w:val="clear" w:color="auto" w:fill="auto"/>
            <w:vAlign w:val="center"/>
            <w:hideMark/>
          </w:tcPr>
          <w:p w:rsidR="00F52EF6" w:rsidP="00F52EF6" w14:paraId="758450E8" w14:textId="77777777">
            <w:pPr>
              <w:jc w:val="center"/>
              <w:rPr>
                <w:color w:val="000000"/>
              </w:rPr>
            </w:pPr>
            <w:r>
              <w:rPr>
                <w:color w:val="000000"/>
              </w:rPr>
              <w:t>2</w:t>
            </w:r>
          </w:p>
        </w:tc>
        <w:tc>
          <w:tcPr>
            <w:tcW w:w="1688" w:type="dxa"/>
            <w:tcBorders>
              <w:top w:val="nil"/>
              <w:left w:val="nil"/>
              <w:bottom w:val="single" w:sz="8" w:space="0" w:color="auto"/>
              <w:right w:val="single" w:sz="8" w:space="0" w:color="auto"/>
            </w:tcBorders>
            <w:shd w:val="clear" w:color="auto" w:fill="auto"/>
            <w:vAlign w:val="center"/>
            <w:hideMark/>
          </w:tcPr>
          <w:p w:rsidR="00F52EF6" w:rsidP="00F52EF6" w14:paraId="7020CF03" w14:textId="0B43C1CC">
            <w:pPr>
              <w:jc w:val="center"/>
              <w:rPr>
                <w:color w:val="000000"/>
              </w:rPr>
            </w:pPr>
            <w:r>
              <w:rPr>
                <w:color w:val="000000"/>
              </w:rPr>
              <w:t>11,866</w:t>
            </w:r>
          </w:p>
        </w:tc>
        <w:tc>
          <w:tcPr>
            <w:tcW w:w="1168" w:type="dxa"/>
            <w:tcBorders>
              <w:top w:val="nil"/>
              <w:left w:val="nil"/>
              <w:bottom w:val="single" w:sz="8" w:space="0" w:color="auto"/>
              <w:right w:val="single" w:sz="8" w:space="0" w:color="auto"/>
            </w:tcBorders>
            <w:shd w:val="clear" w:color="auto" w:fill="auto"/>
            <w:vAlign w:val="center"/>
            <w:hideMark/>
          </w:tcPr>
          <w:p w:rsidR="00F52EF6" w:rsidP="00F52EF6" w14:paraId="35B2944F" w14:textId="77777777">
            <w:pPr>
              <w:jc w:val="center"/>
              <w:rPr>
                <w:color w:val="000000"/>
              </w:rPr>
            </w:pPr>
            <w:r>
              <w:rPr>
                <w:color w:val="000000"/>
              </w:rPr>
              <w:t>19</w:t>
            </w:r>
          </w:p>
        </w:tc>
        <w:tc>
          <w:tcPr>
            <w:tcW w:w="1599" w:type="dxa"/>
            <w:tcBorders>
              <w:top w:val="nil"/>
              <w:left w:val="nil"/>
              <w:bottom w:val="single" w:sz="8" w:space="0" w:color="auto"/>
              <w:right w:val="single" w:sz="8" w:space="0" w:color="auto"/>
            </w:tcBorders>
            <w:shd w:val="clear" w:color="auto" w:fill="auto"/>
            <w:vAlign w:val="center"/>
            <w:hideMark/>
          </w:tcPr>
          <w:p w:rsidR="00F52EF6" w:rsidP="00F52EF6" w14:paraId="1EF07C09" w14:textId="416E7817">
            <w:pPr>
              <w:jc w:val="center"/>
              <w:rPr>
                <w:color w:val="000000"/>
              </w:rPr>
            </w:pPr>
            <w:r>
              <w:rPr>
                <w:color w:val="000000"/>
              </w:rPr>
              <w:t>3,758</w:t>
            </w:r>
          </w:p>
        </w:tc>
      </w:tr>
      <w:tr w14:paraId="606916C7" w14:textId="77777777" w:rsidTr="0095528E">
        <w:tblPrEx>
          <w:tblW w:w="8810" w:type="dxa"/>
          <w:tblLook w:val="04A0"/>
        </w:tblPrEx>
        <w:trPr>
          <w:trHeight w:val="960"/>
        </w:trPr>
        <w:tc>
          <w:tcPr>
            <w:tcW w:w="1673" w:type="dxa"/>
            <w:tcBorders>
              <w:top w:val="nil"/>
              <w:left w:val="single" w:sz="8" w:space="0" w:color="auto"/>
              <w:bottom w:val="single" w:sz="8" w:space="0" w:color="auto"/>
              <w:right w:val="single" w:sz="8" w:space="0" w:color="auto"/>
            </w:tcBorders>
            <w:shd w:val="clear" w:color="auto" w:fill="auto"/>
            <w:vAlign w:val="center"/>
            <w:hideMark/>
          </w:tcPr>
          <w:p w:rsidR="00F52EF6" w:rsidP="00F52EF6" w14:paraId="5F214C4A" w14:textId="77777777">
            <w:pPr>
              <w:jc w:val="center"/>
              <w:rPr>
                <w:color w:val="000000"/>
              </w:rPr>
            </w:pPr>
            <w:r>
              <w:rPr>
                <w:color w:val="000000"/>
              </w:rPr>
              <w:t>Reinterview</w:t>
            </w:r>
          </w:p>
        </w:tc>
        <w:tc>
          <w:tcPr>
            <w:tcW w:w="1453" w:type="dxa"/>
            <w:tcBorders>
              <w:top w:val="nil"/>
              <w:left w:val="nil"/>
              <w:bottom w:val="single" w:sz="8" w:space="0" w:color="auto"/>
              <w:right w:val="single" w:sz="8" w:space="0" w:color="auto"/>
            </w:tcBorders>
            <w:shd w:val="clear" w:color="auto" w:fill="auto"/>
            <w:vAlign w:val="center"/>
          </w:tcPr>
          <w:p w:rsidR="00F52EF6" w:rsidP="00F52EF6" w14:paraId="1B78A693" w14:textId="4601E10C">
            <w:pPr>
              <w:jc w:val="center"/>
              <w:rPr>
                <w:color w:val="000000"/>
              </w:rPr>
            </w:pPr>
            <w:r>
              <w:rPr>
                <w:color w:val="000000"/>
              </w:rPr>
              <w:t>1,187</w:t>
            </w:r>
          </w:p>
        </w:tc>
        <w:tc>
          <w:tcPr>
            <w:tcW w:w="1229" w:type="dxa"/>
            <w:tcBorders>
              <w:top w:val="nil"/>
              <w:left w:val="nil"/>
              <w:bottom w:val="single" w:sz="8" w:space="0" w:color="auto"/>
              <w:right w:val="single" w:sz="8" w:space="0" w:color="auto"/>
            </w:tcBorders>
            <w:shd w:val="clear" w:color="auto" w:fill="auto"/>
            <w:vAlign w:val="center"/>
            <w:hideMark/>
          </w:tcPr>
          <w:p w:rsidR="00F52EF6" w:rsidP="00F52EF6" w14:paraId="7E9B1A42" w14:textId="77777777">
            <w:pPr>
              <w:jc w:val="center"/>
              <w:rPr>
                <w:color w:val="000000"/>
              </w:rPr>
            </w:pPr>
            <w:r>
              <w:rPr>
                <w:color w:val="000000"/>
              </w:rPr>
              <w:t>1</w:t>
            </w:r>
          </w:p>
        </w:tc>
        <w:tc>
          <w:tcPr>
            <w:tcW w:w="1688" w:type="dxa"/>
            <w:tcBorders>
              <w:top w:val="nil"/>
              <w:left w:val="nil"/>
              <w:bottom w:val="single" w:sz="8" w:space="0" w:color="auto"/>
              <w:right w:val="single" w:sz="8" w:space="0" w:color="auto"/>
            </w:tcBorders>
            <w:shd w:val="clear" w:color="auto" w:fill="auto"/>
            <w:vAlign w:val="center"/>
            <w:hideMark/>
          </w:tcPr>
          <w:p w:rsidR="00F52EF6" w:rsidP="00F52EF6" w14:paraId="1F4B5369" w14:textId="51236944">
            <w:pPr>
              <w:jc w:val="center"/>
              <w:rPr>
                <w:color w:val="000000"/>
              </w:rPr>
            </w:pPr>
            <w:r>
              <w:rPr>
                <w:color w:val="000000"/>
              </w:rPr>
              <w:t>1,187</w:t>
            </w:r>
          </w:p>
        </w:tc>
        <w:tc>
          <w:tcPr>
            <w:tcW w:w="1168" w:type="dxa"/>
            <w:tcBorders>
              <w:top w:val="nil"/>
              <w:left w:val="nil"/>
              <w:bottom w:val="single" w:sz="8" w:space="0" w:color="auto"/>
              <w:right w:val="single" w:sz="8" w:space="0" w:color="auto"/>
            </w:tcBorders>
            <w:shd w:val="clear" w:color="auto" w:fill="auto"/>
            <w:vAlign w:val="center"/>
            <w:hideMark/>
          </w:tcPr>
          <w:p w:rsidR="00F52EF6" w:rsidP="00F52EF6" w14:paraId="27CB9952" w14:textId="77777777">
            <w:pPr>
              <w:jc w:val="center"/>
              <w:rPr>
                <w:color w:val="000000"/>
              </w:rPr>
            </w:pPr>
            <w:r>
              <w:rPr>
                <w:color w:val="000000"/>
              </w:rPr>
              <w:t>10</w:t>
            </w:r>
          </w:p>
        </w:tc>
        <w:tc>
          <w:tcPr>
            <w:tcW w:w="1599" w:type="dxa"/>
            <w:tcBorders>
              <w:top w:val="nil"/>
              <w:left w:val="nil"/>
              <w:bottom w:val="single" w:sz="8" w:space="0" w:color="auto"/>
              <w:right w:val="single" w:sz="8" w:space="0" w:color="auto"/>
            </w:tcBorders>
            <w:shd w:val="clear" w:color="auto" w:fill="auto"/>
            <w:vAlign w:val="center"/>
            <w:hideMark/>
          </w:tcPr>
          <w:p w:rsidR="00F52EF6" w:rsidP="00F52EF6" w14:paraId="48C59EC7" w14:textId="568A42B9">
            <w:pPr>
              <w:jc w:val="center"/>
              <w:rPr>
                <w:color w:val="000000"/>
              </w:rPr>
            </w:pPr>
            <w:r>
              <w:rPr>
                <w:color w:val="000000"/>
              </w:rPr>
              <w:t>198</w:t>
            </w:r>
          </w:p>
        </w:tc>
      </w:tr>
      <w:tr w14:paraId="7F2A17B5" w14:textId="77777777" w:rsidTr="0095528E">
        <w:tblPrEx>
          <w:tblW w:w="8810" w:type="dxa"/>
          <w:tblLook w:val="04A0"/>
        </w:tblPrEx>
        <w:trPr>
          <w:trHeight w:val="330"/>
        </w:trPr>
        <w:tc>
          <w:tcPr>
            <w:tcW w:w="1673" w:type="dxa"/>
            <w:tcBorders>
              <w:top w:val="nil"/>
              <w:left w:val="single" w:sz="8" w:space="0" w:color="auto"/>
              <w:bottom w:val="single" w:sz="8" w:space="0" w:color="auto"/>
              <w:right w:val="single" w:sz="8" w:space="0" w:color="auto"/>
            </w:tcBorders>
            <w:shd w:val="clear" w:color="auto" w:fill="auto"/>
            <w:vAlign w:val="center"/>
            <w:hideMark/>
          </w:tcPr>
          <w:p w:rsidR="00F52EF6" w:rsidP="00F52EF6" w14:paraId="3A9BAC01" w14:textId="77777777">
            <w:pPr>
              <w:jc w:val="center"/>
              <w:rPr>
                <w:color w:val="000000"/>
              </w:rPr>
            </w:pPr>
            <w:r>
              <w:rPr>
                <w:color w:val="000000"/>
              </w:rPr>
              <w:t>TOTALS</w:t>
            </w:r>
          </w:p>
        </w:tc>
        <w:tc>
          <w:tcPr>
            <w:tcW w:w="1453" w:type="dxa"/>
            <w:tcBorders>
              <w:top w:val="nil"/>
              <w:left w:val="nil"/>
              <w:bottom w:val="single" w:sz="8" w:space="0" w:color="auto"/>
              <w:right w:val="single" w:sz="8" w:space="0" w:color="auto"/>
            </w:tcBorders>
            <w:shd w:val="clear" w:color="auto" w:fill="auto"/>
            <w:vAlign w:val="center"/>
          </w:tcPr>
          <w:p w:rsidR="00F52EF6" w:rsidP="00F52EF6" w14:paraId="012288CB" w14:textId="112E9810">
            <w:pPr>
              <w:jc w:val="center"/>
              <w:rPr>
                <w:color w:val="000000"/>
              </w:rPr>
            </w:pPr>
            <w:r>
              <w:rPr>
                <w:color w:val="000000"/>
              </w:rPr>
              <w:t>5,933</w:t>
            </w:r>
          </w:p>
        </w:tc>
        <w:tc>
          <w:tcPr>
            <w:tcW w:w="1229" w:type="dxa"/>
            <w:tcBorders>
              <w:top w:val="nil"/>
              <w:left w:val="nil"/>
              <w:bottom w:val="single" w:sz="8" w:space="0" w:color="auto"/>
              <w:right w:val="single" w:sz="8" w:space="0" w:color="auto"/>
            </w:tcBorders>
            <w:shd w:val="clear" w:color="auto" w:fill="auto"/>
            <w:vAlign w:val="center"/>
            <w:hideMark/>
          </w:tcPr>
          <w:p w:rsidR="00F52EF6" w:rsidP="00F52EF6" w14:paraId="24E692D6" w14:textId="77777777">
            <w:pPr>
              <w:jc w:val="center"/>
              <w:rPr>
                <w:color w:val="000000"/>
              </w:rPr>
            </w:pPr>
            <w:r>
              <w:rPr>
                <w:color w:val="000000"/>
              </w:rPr>
              <w:t>/////////</w:t>
            </w:r>
          </w:p>
        </w:tc>
        <w:tc>
          <w:tcPr>
            <w:tcW w:w="1688" w:type="dxa"/>
            <w:tcBorders>
              <w:top w:val="nil"/>
              <w:left w:val="nil"/>
              <w:bottom w:val="single" w:sz="8" w:space="0" w:color="auto"/>
              <w:right w:val="single" w:sz="8" w:space="0" w:color="auto"/>
            </w:tcBorders>
            <w:shd w:val="clear" w:color="auto" w:fill="auto"/>
            <w:vAlign w:val="center"/>
            <w:hideMark/>
          </w:tcPr>
          <w:p w:rsidR="00F52EF6" w:rsidP="00F52EF6" w14:paraId="3C9BF356" w14:textId="438C6405">
            <w:pPr>
              <w:jc w:val="center"/>
              <w:rPr>
                <w:color w:val="000000"/>
              </w:rPr>
            </w:pPr>
            <w:r>
              <w:rPr>
                <w:color w:val="000000"/>
              </w:rPr>
              <w:t>24,919</w:t>
            </w:r>
          </w:p>
        </w:tc>
        <w:tc>
          <w:tcPr>
            <w:tcW w:w="1168" w:type="dxa"/>
            <w:tcBorders>
              <w:top w:val="nil"/>
              <w:left w:val="nil"/>
              <w:bottom w:val="single" w:sz="8" w:space="0" w:color="auto"/>
              <w:right w:val="single" w:sz="8" w:space="0" w:color="auto"/>
            </w:tcBorders>
            <w:shd w:val="clear" w:color="auto" w:fill="auto"/>
            <w:vAlign w:val="center"/>
            <w:hideMark/>
          </w:tcPr>
          <w:p w:rsidR="00F52EF6" w:rsidP="00F52EF6" w14:paraId="45D2F62F" w14:textId="77777777">
            <w:pPr>
              <w:jc w:val="center"/>
              <w:rPr>
                <w:color w:val="000000"/>
              </w:rPr>
            </w:pPr>
            <w:r>
              <w:rPr>
                <w:color w:val="000000"/>
              </w:rPr>
              <w:t>////////</w:t>
            </w:r>
          </w:p>
        </w:tc>
        <w:tc>
          <w:tcPr>
            <w:tcW w:w="1599" w:type="dxa"/>
            <w:tcBorders>
              <w:top w:val="nil"/>
              <w:left w:val="nil"/>
              <w:bottom w:val="single" w:sz="8" w:space="0" w:color="auto"/>
              <w:right w:val="single" w:sz="8" w:space="0" w:color="auto"/>
            </w:tcBorders>
            <w:shd w:val="clear" w:color="auto" w:fill="auto"/>
            <w:vAlign w:val="center"/>
            <w:hideMark/>
          </w:tcPr>
          <w:p w:rsidR="00F52EF6" w:rsidP="00F52EF6" w14:paraId="493B3341" w14:textId="7BE5F538">
            <w:pPr>
              <w:jc w:val="center"/>
              <w:rPr>
                <w:color w:val="000000"/>
              </w:rPr>
            </w:pPr>
            <w:r>
              <w:rPr>
                <w:color w:val="000000"/>
              </w:rPr>
              <w:t>15,822</w:t>
            </w:r>
          </w:p>
        </w:tc>
      </w:tr>
      <w:tr w14:paraId="7E2CDFCA" w14:textId="77777777" w:rsidTr="00CE79A9">
        <w:tblPrEx>
          <w:tblW w:w="8810" w:type="dxa"/>
          <w:tblLook w:val="04A0"/>
        </w:tblPrEx>
        <w:trPr>
          <w:trHeight w:val="645"/>
        </w:trPr>
        <w:tc>
          <w:tcPr>
            <w:tcW w:w="8810" w:type="dxa"/>
            <w:gridSpan w:val="6"/>
            <w:tcBorders>
              <w:top w:val="single" w:sz="8" w:space="0" w:color="auto"/>
              <w:left w:val="single" w:sz="8" w:space="0" w:color="auto"/>
              <w:bottom w:val="nil"/>
              <w:right w:val="single" w:sz="8" w:space="0" w:color="000000"/>
            </w:tcBorders>
            <w:shd w:val="clear" w:color="auto" w:fill="auto"/>
            <w:vAlign w:val="center"/>
            <w:hideMark/>
          </w:tcPr>
          <w:p w:rsidR="00CE79A9" w14:paraId="0CDC6575" w14:textId="77777777">
            <w:pPr>
              <w:rPr>
                <w:rFonts w:ascii="Calibri" w:hAnsi="Calibri" w:cs="Calibri"/>
                <w:color w:val="000000"/>
                <w:sz w:val="22"/>
                <w:szCs w:val="22"/>
              </w:rPr>
            </w:pPr>
            <w:r>
              <w:rPr>
                <w:rFonts w:ascii="Calibri" w:hAnsi="Calibri" w:cs="Calibri"/>
                <w:color w:val="000000"/>
                <w:sz w:val="22"/>
                <w:szCs w:val="22"/>
              </w:rPr>
              <w:t> </w:t>
            </w:r>
          </w:p>
        </w:tc>
      </w:tr>
      <w:tr w14:paraId="77EC2057" w14:textId="77777777" w:rsidTr="00CE79A9">
        <w:tblPrEx>
          <w:tblW w:w="8810" w:type="dxa"/>
          <w:tblLook w:val="04A0"/>
        </w:tblPrEx>
        <w:trPr>
          <w:trHeight w:val="889"/>
        </w:trPr>
        <w:tc>
          <w:tcPr>
            <w:tcW w:w="8810" w:type="dxa"/>
            <w:gridSpan w:val="6"/>
            <w:tcBorders>
              <w:top w:val="nil"/>
              <w:left w:val="single" w:sz="8" w:space="0" w:color="auto"/>
              <w:bottom w:val="nil"/>
              <w:right w:val="single" w:sz="8" w:space="0" w:color="000000"/>
            </w:tcBorders>
            <w:shd w:val="clear" w:color="auto" w:fill="auto"/>
            <w:vAlign w:val="center"/>
            <w:hideMark/>
          </w:tcPr>
          <w:p w:rsidR="00CE79A9" w14:paraId="1A92419F" w14:textId="3FFD6AA4">
            <w:pPr>
              <w:rPr>
                <w:color w:val="000000"/>
              </w:rPr>
            </w:pPr>
            <w:r>
              <w:rPr>
                <w:color w:val="000000"/>
              </w:rPr>
              <w:t xml:space="preserve">(1) The total number of respondents for the Diary Survey is </w:t>
            </w:r>
            <w:r w:rsidR="000E1F23">
              <w:rPr>
                <w:color w:val="000000"/>
              </w:rPr>
              <w:t>5,933</w:t>
            </w:r>
            <w:r>
              <w:rPr>
                <w:color w:val="000000"/>
              </w:rPr>
              <w:t>.  The respondents who do the record-keeping are the same people who participate in the Diary interviews.</w:t>
            </w:r>
          </w:p>
        </w:tc>
      </w:tr>
      <w:tr w14:paraId="2933879B" w14:textId="77777777" w:rsidTr="00CE79A9">
        <w:tblPrEx>
          <w:tblW w:w="8810" w:type="dxa"/>
          <w:tblLook w:val="04A0"/>
        </w:tblPrEx>
        <w:trPr>
          <w:trHeight w:val="938"/>
        </w:trPr>
        <w:tc>
          <w:tcPr>
            <w:tcW w:w="8810" w:type="dxa"/>
            <w:gridSpan w:val="6"/>
            <w:tcBorders>
              <w:top w:val="nil"/>
              <w:left w:val="single" w:sz="8" w:space="0" w:color="auto"/>
              <w:bottom w:val="single" w:sz="8" w:space="0" w:color="auto"/>
              <w:right w:val="single" w:sz="8" w:space="0" w:color="000000"/>
            </w:tcBorders>
            <w:shd w:val="clear" w:color="auto" w:fill="auto"/>
            <w:vAlign w:val="center"/>
            <w:hideMark/>
          </w:tcPr>
          <w:p w:rsidR="00CE79A9" w14:paraId="38A1908F" w14:textId="77777777">
            <w:pPr>
              <w:rPr>
                <w:color w:val="000000"/>
              </w:rPr>
            </w:pPr>
            <w:r>
              <w:rPr>
                <w:color w:val="000000"/>
              </w:rPr>
              <w:t>(2) Reinterviews are done on a subset of the original respondents. </w:t>
            </w:r>
          </w:p>
        </w:tc>
      </w:tr>
    </w:tbl>
    <w:p w:rsidR="00CE79A9" w:rsidRPr="000D1EFD" w:rsidP="001B6134" w14:paraId="06CCD8E8" w14:textId="77777777">
      <w:pPr>
        <w:ind w:left="1200"/>
        <w:rPr>
          <w:highlight w:val="yellow"/>
        </w:rPr>
      </w:pPr>
    </w:p>
    <w:p w:rsidR="00BD5ABC" w:rsidRPr="000D1EFD" w:rsidP="001B6134" w14:paraId="45513FE5" w14:textId="77777777">
      <w:pPr>
        <w:ind w:left="720"/>
        <w:rPr>
          <w:highlight w:val="yellow"/>
        </w:rPr>
      </w:pPr>
    </w:p>
    <w:p w:rsidR="00E9167E" w:rsidRPr="000D1EFD" w:rsidP="001B6134" w14:paraId="14070B92" w14:textId="695E8F4F">
      <w:pPr>
        <w:ind w:left="720"/>
        <w:rPr>
          <w:highlight w:val="yellow"/>
        </w:rPr>
      </w:pPr>
    </w:p>
    <w:tbl>
      <w:tblPr>
        <w:tblW w:w="9700" w:type="dxa"/>
        <w:tblLook w:val="04A0"/>
      </w:tblPr>
      <w:tblGrid>
        <w:gridCol w:w="1059"/>
        <w:gridCol w:w="1415"/>
        <w:gridCol w:w="1531"/>
        <w:gridCol w:w="1182"/>
        <w:gridCol w:w="1139"/>
        <w:gridCol w:w="972"/>
        <w:gridCol w:w="897"/>
        <w:gridCol w:w="1283"/>
        <w:gridCol w:w="222"/>
      </w:tblGrid>
      <w:tr w14:paraId="14C3E515" w14:textId="77777777" w:rsidTr="00F52EF6">
        <w:tblPrEx>
          <w:tblW w:w="9700" w:type="dxa"/>
          <w:tblLook w:val="04A0"/>
        </w:tblPrEx>
        <w:trPr>
          <w:gridAfter w:val="1"/>
          <w:wAfter w:w="36" w:type="dxa"/>
          <w:trHeight w:val="300"/>
        </w:trPr>
        <w:tc>
          <w:tcPr>
            <w:tcW w:w="930"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F52EF6" w14:paraId="17FA0EB0" w14:textId="77777777">
            <w:pPr>
              <w:jc w:val="center"/>
              <w:rPr>
                <w:b/>
                <w:bCs/>
                <w:color w:val="000000"/>
                <w:sz w:val="22"/>
                <w:szCs w:val="22"/>
              </w:rPr>
            </w:pPr>
            <w:r>
              <w:rPr>
                <w:b/>
                <w:bCs/>
                <w:color w:val="000000"/>
                <w:sz w:val="22"/>
                <w:szCs w:val="22"/>
              </w:rPr>
              <w:t>Activity</w:t>
            </w:r>
          </w:p>
        </w:tc>
        <w:tc>
          <w:tcPr>
            <w:tcW w:w="1229"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F52EF6" w14:paraId="6F12467C" w14:textId="77777777">
            <w:pPr>
              <w:jc w:val="center"/>
              <w:rPr>
                <w:b/>
                <w:bCs/>
                <w:color w:val="000000"/>
                <w:sz w:val="22"/>
                <w:szCs w:val="22"/>
              </w:rPr>
            </w:pPr>
            <w:r>
              <w:rPr>
                <w:b/>
                <w:bCs/>
                <w:color w:val="000000"/>
                <w:sz w:val="22"/>
                <w:szCs w:val="22"/>
              </w:rPr>
              <w:t>No. of Respondents</w:t>
            </w:r>
          </w:p>
        </w:tc>
        <w:tc>
          <w:tcPr>
            <w:tcW w:w="1793" w:type="dxa"/>
            <w:tcBorders>
              <w:top w:val="single" w:sz="8" w:space="0" w:color="auto"/>
              <w:left w:val="nil"/>
              <w:bottom w:val="nil"/>
              <w:right w:val="single" w:sz="8" w:space="0" w:color="auto"/>
            </w:tcBorders>
            <w:shd w:val="clear" w:color="000000" w:fill="8DB3E2"/>
            <w:vAlign w:val="center"/>
            <w:hideMark/>
          </w:tcPr>
          <w:p w:rsidR="00F52EF6" w14:paraId="2B26E701" w14:textId="77777777">
            <w:pPr>
              <w:jc w:val="center"/>
              <w:rPr>
                <w:b/>
                <w:bCs/>
                <w:color w:val="000000"/>
                <w:sz w:val="22"/>
                <w:szCs w:val="22"/>
              </w:rPr>
            </w:pPr>
            <w:r>
              <w:rPr>
                <w:b/>
                <w:bCs/>
                <w:color w:val="000000"/>
                <w:sz w:val="22"/>
                <w:szCs w:val="22"/>
              </w:rPr>
              <w:t xml:space="preserve">No. of Responses </w:t>
            </w:r>
          </w:p>
        </w:tc>
        <w:tc>
          <w:tcPr>
            <w:tcW w:w="996"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F52EF6" w14:paraId="0E78D0D5" w14:textId="77777777">
            <w:pPr>
              <w:jc w:val="center"/>
              <w:rPr>
                <w:b/>
                <w:bCs/>
                <w:color w:val="000000"/>
                <w:sz w:val="22"/>
                <w:szCs w:val="22"/>
              </w:rPr>
            </w:pPr>
            <w:r>
              <w:rPr>
                <w:b/>
                <w:bCs/>
                <w:color w:val="000000"/>
                <w:sz w:val="22"/>
                <w:szCs w:val="22"/>
              </w:rPr>
              <w:t>Total Responses</w:t>
            </w:r>
          </w:p>
        </w:tc>
        <w:tc>
          <w:tcPr>
            <w:tcW w:w="1178"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F52EF6" w14:paraId="4BF02916" w14:textId="77777777">
            <w:pPr>
              <w:jc w:val="center"/>
              <w:rPr>
                <w:b/>
                <w:bCs/>
                <w:color w:val="000000"/>
                <w:sz w:val="22"/>
                <w:szCs w:val="22"/>
              </w:rPr>
            </w:pPr>
            <w:r>
              <w:rPr>
                <w:b/>
                <w:bCs/>
                <w:color w:val="000000"/>
                <w:sz w:val="22"/>
                <w:szCs w:val="22"/>
              </w:rPr>
              <w:t>Average Burden (minutes)</w:t>
            </w:r>
          </w:p>
        </w:tc>
        <w:tc>
          <w:tcPr>
            <w:tcW w:w="1032"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F52EF6" w14:paraId="57650330" w14:textId="77777777">
            <w:pPr>
              <w:jc w:val="center"/>
              <w:rPr>
                <w:b/>
                <w:bCs/>
                <w:color w:val="000000"/>
                <w:sz w:val="22"/>
                <w:szCs w:val="22"/>
              </w:rPr>
            </w:pPr>
            <w:r>
              <w:rPr>
                <w:b/>
                <w:bCs/>
                <w:color w:val="000000"/>
                <w:sz w:val="22"/>
                <w:szCs w:val="22"/>
              </w:rPr>
              <w:t>Total Burden (hours)</w:t>
            </w:r>
          </w:p>
        </w:tc>
        <w:tc>
          <w:tcPr>
            <w:tcW w:w="907" w:type="dxa"/>
            <w:tcBorders>
              <w:top w:val="single" w:sz="8" w:space="0" w:color="auto"/>
              <w:left w:val="nil"/>
              <w:bottom w:val="nil"/>
              <w:right w:val="single" w:sz="8" w:space="0" w:color="auto"/>
            </w:tcBorders>
            <w:shd w:val="clear" w:color="000000" w:fill="8DB3E2"/>
            <w:vAlign w:val="center"/>
            <w:hideMark/>
          </w:tcPr>
          <w:p w:rsidR="00F52EF6" w14:paraId="59382C3E" w14:textId="77777777">
            <w:pPr>
              <w:jc w:val="center"/>
              <w:rPr>
                <w:b/>
                <w:bCs/>
                <w:color w:val="000000"/>
                <w:sz w:val="22"/>
                <w:szCs w:val="22"/>
              </w:rPr>
            </w:pPr>
            <w:r>
              <w:rPr>
                <w:b/>
                <w:bCs/>
                <w:color w:val="000000"/>
                <w:sz w:val="22"/>
                <w:szCs w:val="22"/>
              </w:rPr>
              <w:t>Hourly</w:t>
            </w:r>
          </w:p>
        </w:tc>
        <w:tc>
          <w:tcPr>
            <w:tcW w:w="1599"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F52EF6" w14:paraId="5B061E43" w14:textId="77777777">
            <w:pPr>
              <w:jc w:val="center"/>
              <w:rPr>
                <w:b/>
                <w:bCs/>
                <w:color w:val="000000"/>
                <w:sz w:val="22"/>
                <w:szCs w:val="22"/>
              </w:rPr>
            </w:pPr>
            <w:r>
              <w:rPr>
                <w:b/>
                <w:bCs/>
                <w:color w:val="000000"/>
                <w:sz w:val="22"/>
                <w:szCs w:val="22"/>
              </w:rPr>
              <w:t>Total Burden Cost</w:t>
            </w:r>
          </w:p>
        </w:tc>
      </w:tr>
      <w:tr w14:paraId="6B791BCF" w14:textId="77777777" w:rsidTr="00F52EF6">
        <w:tblPrEx>
          <w:tblW w:w="9700" w:type="dxa"/>
          <w:tblLook w:val="04A0"/>
        </w:tblPrEx>
        <w:trPr>
          <w:gridAfter w:val="1"/>
          <w:wAfter w:w="36" w:type="dxa"/>
          <w:trHeight w:val="585"/>
        </w:trPr>
        <w:tc>
          <w:tcPr>
            <w:tcW w:w="930" w:type="dxa"/>
            <w:vMerge/>
            <w:tcBorders>
              <w:top w:val="single" w:sz="8" w:space="0" w:color="auto"/>
              <w:left w:val="single" w:sz="8" w:space="0" w:color="auto"/>
              <w:bottom w:val="single" w:sz="8" w:space="0" w:color="000000"/>
              <w:right w:val="single" w:sz="8" w:space="0" w:color="auto"/>
            </w:tcBorders>
            <w:vAlign w:val="center"/>
            <w:hideMark/>
          </w:tcPr>
          <w:p w:rsidR="00F52EF6" w14:paraId="3A3809F5" w14:textId="77777777">
            <w:pPr>
              <w:rPr>
                <w:b/>
                <w:bCs/>
                <w:color w:val="000000"/>
                <w:sz w:val="22"/>
                <w:szCs w:val="22"/>
              </w:rPr>
            </w:pPr>
          </w:p>
        </w:tc>
        <w:tc>
          <w:tcPr>
            <w:tcW w:w="1229" w:type="dxa"/>
            <w:vMerge/>
            <w:tcBorders>
              <w:top w:val="single" w:sz="8" w:space="0" w:color="auto"/>
              <w:left w:val="single" w:sz="8" w:space="0" w:color="auto"/>
              <w:bottom w:val="single" w:sz="8" w:space="0" w:color="000000"/>
              <w:right w:val="single" w:sz="8" w:space="0" w:color="auto"/>
            </w:tcBorders>
            <w:vAlign w:val="center"/>
            <w:hideMark/>
          </w:tcPr>
          <w:p w:rsidR="00F52EF6" w14:paraId="12E2BFBE" w14:textId="77777777">
            <w:pPr>
              <w:rPr>
                <w:b/>
                <w:bCs/>
                <w:color w:val="000000"/>
                <w:sz w:val="22"/>
                <w:szCs w:val="22"/>
              </w:rPr>
            </w:pPr>
          </w:p>
        </w:tc>
        <w:tc>
          <w:tcPr>
            <w:tcW w:w="1793" w:type="dxa"/>
            <w:tcBorders>
              <w:top w:val="nil"/>
              <w:left w:val="nil"/>
              <w:bottom w:val="single" w:sz="8" w:space="0" w:color="auto"/>
              <w:right w:val="single" w:sz="8" w:space="0" w:color="auto"/>
            </w:tcBorders>
            <w:shd w:val="clear" w:color="000000" w:fill="8DB3E2"/>
            <w:vAlign w:val="center"/>
            <w:hideMark/>
          </w:tcPr>
          <w:p w:rsidR="00F52EF6" w14:paraId="1FE2974B" w14:textId="77777777">
            <w:pPr>
              <w:jc w:val="center"/>
              <w:rPr>
                <w:b/>
                <w:bCs/>
                <w:color w:val="000000"/>
                <w:sz w:val="22"/>
                <w:szCs w:val="22"/>
              </w:rPr>
            </w:pPr>
            <w:r>
              <w:rPr>
                <w:b/>
                <w:bCs/>
                <w:color w:val="000000"/>
                <w:sz w:val="22"/>
                <w:szCs w:val="22"/>
              </w:rPr>
              <w:t>per Respondent</w:t>
            </w:r>
          </w:p>
        </w:tc>
        <w:tc>
          <w:tcPr>
            <w:tcW w:w="996" w:type="dxa"/>
            <w:vMerge/>
            <w:tcBorders>
              <w:top w:val="single" w:sz="8" w:space="0" w:color="auto"/>
              <w:left w:val="single" w:sz="8" w:space="0" w:color="auto"/>
              <w:bottom w:val="single" w:sz="8" w:space="0" w:color="000000"/>
              <w:right w:val="single" w:sz="8" w:space="0" w:color="auto"/>
            </w:tcBorders>
            <w:vAlign w:val="center"/>
            <w:hideMark/>
          </w:tcPr>
          <w:p w:rsidR="00F52EF6" w14:paraId="52D2E5B9" w14:textId="77777777">
            <w:pPr>
              <w:rPr>
                <w:b/>
                <w:bCs/>
                <w:color w:val="000000"/>
                <w:sz w:val="22"/>
                <w:szCs w:val="22"/>
              </w:rPr>
            </w:pPr>
          </w:p>
        </w:tc>
        <w:tc>
          <w:tcPr>
            <w:tcW w:w="1178" w:type="dxa"/>
            <w:vMerge/>
            <w:tcBorders>
              <w:top w:val="single" w:sz="8" w:space="0" w:color="auto"/>
              <w:left w:val="single" w:sz="8" w:space="0" w:color="auto"/>
              <w:bottom w:val="single" w:sz="8" w:space="0" w:color="000000"/>
              <w:right w:val="single" w:sz="8" w:space="0" w:color="auto"/>
            </w:tcBorders>
            <w:vAlign w:val="center"/>
            <w:hideMark/>
          </w:tcPr>
          <w:p w:rsidR="00F52EF6" w14:paraId="7FC3BD00" w14:textId="77777777">
            <w:pPr>
              <w:rPr>
                <w:b/>
                <w:bCs/>
                <w:color w:val="000000"/>
                <w:sz w:val="22"/>
                <w:szCs w:val="22"/>
              </w:rPr>
            </w:pPr>
          </w:p>
        </w:tc>
        <w:tc>
          <w:tcPr>
            <w:tcW w:w="1032" w:type="dxa"/>
            <w:vMerge/>
            <w:tcBorders>
              <w:top w:val="single" w:sz="8" w:space="0" w:color="auto"/>
              <w:left w:val="single" w:sz="8" w:space="0" w:color="auto"/>
              <w:bottom w:val="single" w:sz="8" w:space="0" w:color="000000"/>
              <w:right w:val="single" w:sz="8" w:space="0" w:color="auto"/>
            </w:tcBorders>
            <w:vAlign w:val="center"/>
            <w:hideMark/>
          </w:tcPr>
          <w:p w:rsidR="00F52EF6" w14:paraId="13369E31" w14:textId="77777777">
            <w:pPr>
              <w:rPr>
                <w:b/>
                <w:bCs/>
                <w:color w:val="000000"/>
                <w:sz w:val="22"/>
                <w:szCs w:val="22"/>
              </w:rPr>
            </w:pPr>
          </w:p>
        </w:tc>
        <w:tc>
          <w:tcPr>
            <w:tcW w:w="907" w:type="dxa"/>
            <w:tcBorders>
              <w:top w:val="nil"/>
              <w:left w:val="nil"/>
              <w:bottom w:val="single" w:sz="8" w:space="0" w:color="auto"/>
              <w:right w:val="single" w:sz="8" w:space="0" w:color="auto"/>
            </w:tcBorders>
            <w:shd w:val="clear" w:color="000000" w:fill="8DB3E2"/>
            <w:vAlign w:val="center"/>
            <w:hideMark/>
          </w:tcPr>
          <w:p w:rsidR="00F52EF6" w14:paraId="315F7493" w14:textId="77777777">
            <w:pPr>
              <w:jc w:val="center"/>
              <w:rPr>
                <w:b/>
                <w:bCs/>
                <w:color w:val="000000"/>
                <w:sz w:val="22"/>
                <w:szCs w:val="22"/>
              </w:rPr>
            </w:pPr>
            <w:r>
              <w:rPr>
                <w:b/>
                <w:bCs/>
                <w:color w:val="000000"/>
                <w:sz w:val="22"/>
                <w:szCs w:val="22"/>
              </w:rPr>
              <w:t>Wage Rate*</w:t>
            </w:r>
          </w:p>
        </w:tc>
        <w:tc>
          <w:tcPr>
            <w:tcW w:w="1599" w:type="dxa"/>
            <w:vMerge/>
            <w:tcBorders>
              <w:top w:val="single" w:sz="8" w:space="0" w:color="auto"/>
              <w:left w:val="single" w:sz="8" w:space="0" w:color="auto"/>
              <w:bottom w:val="single" w:sz="8" w:space="0" w:color="000000"/>
              <w:right w:val="single" w:sz="8" w:space="0" w:color="auto"/>
            </w:tcBorders>
            <w:vAlign w:val="center"/>
            <w:hideMark/>
          </w:tcPr>
          <w:p w:rsidR="00F52EF6" w14:paraId="3607FCC7" w14:textId="77777777">
            <w:pPr>
              <w:rPr>
                <w:b/>
                <w:bCs/>
                <w:color w:val="000000"/>
                <w:sz w:val="22"/>
                <w:szCs w:val="22"/>
              </w:rPr>
            </w:pPr>
          </w:p>
        </w:tc>
      </w:tr>
      <w:tr w14:paraId="54D98762" w14:textId="77777777" w:rsidTr="00F52EF6">
        <w:tblPrEx>
          <w:tblW w:w="9700" w:type="dxa"/>
          <w:tblLook w:val="04A0"/>
        </w:tblPrEx>
        <w:trPr>
          <w:gridAfter w:val="1"/>
          <w:wAfter w:w="36" w:type="dxa"/>
          <w:trHeight w:val="300"/>
        </w:trPr>
        <w:tc>
          <w:tcPr>
            <w:tcW w:w="930" w:type="dxa"/>
            <w:vMerge w:val="restart"/>
            <w:tcBorders>
              <w:top w:val="nil"/>
              <w:left w:val="single" w:sz="8" w:space="0" w:color="auto"/>
              <w:bottom w:val="single" w:sz="8" w:space="0" w:color="000000"/>
              <w:right w:val="single" w:sz="8" w:space="0" w:color="auto"/>
            </w:tcBorders>
            <w:shd w:val="clear" w:color="auto" w:fill="auto"/>
            <w:vAlign w:val="center"/>
            <w:hideMark/>
          </w:tcPr>
          <w:p w:rsidR="00F52EF6" w14:paraId="202CB2E9" w14:textId="77777777">
            <w:pPr>
              <w:jc w:val="center"/>
              <w:rPr>
                <w:color w:val="000000"/>
                <w:sz w:val="22"/>
                <w:szCs w:val="22"/>
              </w:rPr>
            </w:pPr>
            <w:r>
              <w:rPr>
                <w:color w:val="000000"/>
                <w:sz w:val="22"/>
                <w:szCs w:val="22"/>
              </w:rPr>
              <w:t>Quarterly</w:t>
            </w:r>
          </w:p>
        </w:tc>
        <w:tc>
          <w:tcPr>
            <w:tcW w:w="1229" w:type="dxa"/>
            <w:vMerge w:val="restart"/>
            <w:tcBorders>
              <w:top w:val="nil"/>
              <w:left w:val="single" w:sz="8" w:space="0" w:color="auto"/>
              <w:bottom w:val="single" w:sz="8" w:space="0" w:color="000000"/>
              <w:right w:val="single" w:sz="8" w:space="0" w:color="auto"/>
            </w:tcBorders>
            <w:shd w:val="clear" w:color="auto" w:fill="auto"/>
            <w:vAlign w:val="center"/>
            <w:hideMark/>
          </w:tcPr>
          <w:p w:rsidR="00F52EF6" w14:paraId="6DD85EE5" w14:textId="77777777">
            <w:pPr>
              <w:jc w:val="center"/>
              <w:rPr>
                <w:color w:val="000000"/>
                <w:sz w:val="22"/>
                <w:szCs w:val="22"/>
              </w:rPr>
            </w:pPr>
            <w:r>
              <w:rPr>
                <w:color w:val="000000"/>
                <w:sz w:val="22"/>
                <w:szCs w:val="22"/>
              </w:rPr>
              <w:t>4,392</w:t>
            </w:r>
          </w:p>
        </w:tc>
        <w:tc>
          <w:tcPr>
            <w:tcW w:w="1793" w:type="dxa"/>
            <w:vMerge w:val="restart"/>
            <w:tcBorders>
              <w:top w:val="nil"/>
              <w:left w:val="single" w:sz="8" w:space="0" w:color="auto"/>
              <w:bottom w:val="single" w:sz="8" w:space="0" w:color="000000"/>
              <w:right w:val="single" w:sz="8" w:space="0" w:color="auto"/>
            </w:tcBorders>
            <w:shd w:val="clear" w:color="auto" w:fill="auto"/>
            <w:vAlign w:val="center"/>
            <w:hideMark/>
          </w:tcPr>
          <w:p w:rsidR="00F52EF6" w14:paraId="20BD779F" w14:textId="77777777">
            <w:pPr>
              <w:jc w:val="center"/>
              <w:rPr>
                <w:color w:val="000000"/>
                <w:sz w:val="22"/>
                <w:szCs w:val="22"/>
              </w:rPr>
            </w:pPr>
            <w:r>
              <w:rPr>
                <w:color w:val="000000"/>
                <w:sz w:val="22"/>
                <w:szCs w:val="22"/>
              </w:rPr>
              <w:t>4.48</w:t>
            </w:r>
          </w:p>
        </w:tc>
        <w:tc>
          <w:tcPr>
            <w:tcW w:w="996" w:type="dxa"/>
            <w:vMerge w:val="restart"/>
            <w:tcBorders>
              <w:top w:val="nil"/>
              <w:left w:val="single" w:sz="8" w:space="0" w:color="auto"/>
              <w:bottom w:val="single" w:sz="8" w:space="0" w:color="000000"/>
              <w:right w:val="single" w:sz="8" w:space="0" w:color="auto"/>
            </w:tcBorders>
            <w:shd w:val="clear" w:color="auto" w:fill="auto"/>
            <w:vAlign w:val="center"/>
            <w:hideMark/>
          </w:tcPr>
          <w:p w:rsidR="00F52EF6" w14:paraId="1FA2CF21" w14:textId="77777777">
            <w:pPr>
              <w:jc w:val="center"/>
              <w:rPr>
                <w:color w:val="000000"/>
                <w:sz w:val="22"/>
                <w:szCs w:val="22"/>
              </w:rPr>
            </w:pPr>
            <w:r>
              <w:rPr>
                <w:color w:val="000000"/>
                <w:sz w:val="22"/>
                <w:szCs w:val="22"/>
              </w:rPr>
              <w:t>19,676</w:t>
            </w:r>
          </w:p>
        </w:tc>
        <w:tc>
          <w:tcPr>
            <w:tcW w:w="1178" w:type="dxa"/>
            <w:vMerge w:val="restart"/>
            <w:tcBorders>
              <w:top w:val="nil"/>
              <w:left w:val="single" w:sz="8" w:space="0" w:color="auto"/>
              <w:bottom w:val="single" w:sz="8" w:space="0" w:color="000000"/>
              <w:right w:val="single" w:sz="8" w:space="0" w:color="auto"/>
            </w:tcBorders>
            <w:shd w:val="clear" w:color="auto" w:fill="auto"/>
            <w:vAlign w:val="center"/>
            <w:hideMark/>
          </w:tcPr>
          <w:p w:rsidR="00F52EF6" w14:paraId="43F0D997" w14:textId="77777777">
            <w:pPr>
              <w:jc w:val="center"/>
              <w:rPr>
                <w:color w:val="000000"/>
                <w:sz w:val="22"/>
                <w:szCs w:val="22"/>
              </w:rPr>
            </w:pPr>
            <w:r>
              <w:rPr>
                <w:color w:val="000000"/>
                <w:sz w:val="22"/>
                <w:szCs w:val="22"/>
              </w:rPr>
              <w:t>57.319</w:t>
            </w:r>
          </w:p>
        </w:tc>
        <w:tc>
          <w:tcPr>
            <w:tcW w:w="1032" w:type="dxa"/>
            <w:vMerge w:val="restart"/>
            <w:tcBorders>
              <w:top w:val="nil"/>
              <w:left w:val="single" w:sz="8" w:space="0" w:color="auto"/>
              <w:bottom w:val="single" w:sz="8" w:space="0" w:color="000000"/>
              <w:right w:val="single" w:sz="8" w:space="0" w:color="auto"/>
            </w:tcBorders>
            <w:shd w:val="clear" w:color="auto" w:fill="auto"/>
            <w:vAlign w:val="center"/>
            <w:hideMark/>
          </w:tcPr>
          <w:p w:rsidR="00F52EF6" w14:paraId="09D83CF7" w14:textId="77777777">
            <w:pPr>
              <w:jc w:val="center"/>
              <w:rPr>
                <w:color w:val="000000"/>
                <w:sz w:val="22"/>
                <w:szCs w:val="22"/>
              </w:rPr>
            </w:pPr>
            <w:r>
              <w:rPr>
                <w:color w:val="000000"/>
                <w:sz w:val="22"/>
                <w:szCs w:val="22"/>
              </w:rPr>
              <w:t>18,797</w:t>
            </w:r>
          </w:p>
        </w:tc>
        <w:tc>
          <w:tcPr>
            <w:tcW w:w="907" w:type="dxa"/>
            <w:vMerge w:val="restart"/>
            <w:tcBorders>
              <w:top w:val="nil"/>
              <w:left w:val="single" w:sz="8" w:space="0" w:color="auto"/>
              <w:bottom w:val="single" w:sz="8" w:space="0" w:color="000000"/>
              <w:right w:val="single" w:sz="8" w:space="0" w:color="auto"/>
            </w:tcBorders>
            <w:shd w:val="clear" w:color="auto" w:fill="auto"/>
            <w:vAlign w:val="center"/>
            <w:hideMark/>
          </w:tcPr>
          <w:p w:rsidR="00F52EF6" w14:paraId="47A791AB" w14:textId="7190AA16">
            <w:pPr>
              <w:jc w:val="center"/>
              <w:rPr>
                <w:color w:val="000000"/>
                <w:sz w:val="22"/>
                <w:szCs w:val="22"/>
              </w:rPr>
            </w:pPr>
            <w:r>
              <w:rPr>
                <w:color w:val="000000"/>
                <w:sz w:val="22"/>
                <w:szCs w:val="22"/>
              </w:rPr>
              <w:t>$7.25</w:t>
            </w:r>
          </w:p>
        </w:tc>
        <w:tc>
          <w:tcPr>
            <w:tcW w:w="1599" w:type="dxa"/>
            <w:vMerge w:val="restart"/>
            <w:tcBorders>
              <w:top w:val="nil"/>
              <w:left w:val="single" w:sz="8" w:space="0" w:color="auto"/>
              <w:bottom w:val="single" w:sz="8" w:space="0" w:color="000000"/>
              <w:right w:val="single" w:sz="8" w:space="0" w:color="auto"/>
            </w:tcBorders>
            <w:shd w:val="clear" w:color="auto" w:fill="auto"/>
            <w:vAlign w:val="center"/>
            <w:hideMark/>
          </w:tcPr>
          <w:p w:rsidR="00F52EF6" w14:paraId="028C20F8" w14:textId="38335F68">
            <w:pPr>
              <w:jc w:val="center"/>
              <w:rPr>
                <w:color w:val="000000"/>
                <w:sz w:val="22"/>
                <w:szCs w:val="22"/>
              </w:rPr>
            </w:pPr>
            <w:r>
              <w:rPr>
                <w:color w:val="000000"/>
                <w:sz w:val="22"/>
                <w:szCs w:val="22"/>
              </w:rPr>
              <w:t>$136,278</w:t>
            </w:r>
          </w:p>
        </w:tc>
      </w:tr>
      <w:tr w14:paraId="0DF744AD" w14:textId="77777777" w:rsidTr="00F52EF6">
        <w:tblPrEx>
          <w:tblW w:w="9700" w:type="dxa"/>
          <w:tblLook w:val="04A0"/>
        </w:tblPrEx>
        <w:trPr>
          <w:trHeight w:val="315"/>
        </w:trPr>
        <w:tc>
          <w:tcPr>
            <w:tcW w:w="930" w:type="dxa"/>
            <w:vMerge/>
            <w:tcBorders>
              <w:top w:val="nil"/>
              <w:left w:val="single" w:sz="8" w:space="0" w:color="auto"/>
              <w:bottom w:val="single" w:sz="8" w:space="0" w:color="000000"/>
              <w:right w:val="single" w:sz="8" w:space="0" w:color="auto"/>
            </w:tcBorders>
            <w:vAlign w:val="center"/>
            <w:hideMark/>
          </w:tcPr>
          <w:p w:rsidR="00F52EF6" w14:paraId="382BAAC6" w14:textId="77777777">
            <w:pPr>
              <w:rPr>
                <w:color w:val="000000"/>
                <w:sz w:val="22"/>
                <w:szCs w:val="22"/>
              </w:rPr>
            </w:pPr>
          </w:p>
        </w:tc>
        <w:tc>
          <w:tcPr>
            <w:tcW w:w="1229" w:type="dxa"/>
            <w:vMerge/>
            <w:tcBorders>
              <w:top w:val="nil"/>
              <w:left w:val="single" w:sz="8" w:space="0" w:color="auto"/>
              <w:bottom w:val="single" w:sz="8" w:space="0" w:color="000000"/>
              <w:right w:val="single" w:sz="8" w:space="0" w:color="auto"/>
            </w:tcBorders>
            <w:vAlign w:val="center"/>
            <w:hideMark/>
          </w:tcPr>
          <w:p w:rsidR="00F52EF6" w14:paraId="7E43352F" w14:textId="77777777">
            <w:pPr>
              <w:rPr>
                <w:color w:val="000000"/>
                <w:sz w:val="22"/>
                <w:szCs w:val="22"/>
              </w:rPr>
            </w:pPr>
          </w:p>
        </w:tc>
        <w:tc>
          <w:tcPr>
            <w:tcW w:w="1793" w:type="dxa"/>
            <w:vMerge/>
            <w:tcBorders>
              <w:top w:val="nil"/>
              <w:left w:val="single" w:sz="8" w:space="0" w:color="auto"/>
              <w:bottom w:val="single" w:sz="8" w:space="0" w:color="000000"/>
              <w:right w:val="single" w:sz="8" w:space="0" w:color="auto"/>
            </w:tcBorders>
            <w:vAlign w:val="center"/>
            <w:hideMark/>
          </w:tcPr>
          <w:p w:rsidR="00F52EF6" w14:paraId="735C424F" w14:textId="77777777">
            <w:pPr>
              <w:rPr>
                <w:color w:val="000000"/>
                <w:sz w:val="22"/>
                <w:szCs w:val="22"/>
              </w:rPr>
            </w:pPr>
          </w:p>
        </w:tc>
        <w:tc>
          <w:tcPr>
            <w:tcW w:w="996" w:type="dxa"/>
            <w:vMerge/>
            <w:tcBorders>
              <w:top w:val="nil"/>
              <w:left w:val="single" w:sz="8" w:space="0" w:color="auto"/>
              <w:bottom w:val="single" w:sz="8" w:space="0" w:color="000000"/>
              <w:right w:val="single" w:sz="8" w:space="0" w:color="auto"/>
            </w:tcBorders>
            <w:vAlign w:val="center"/>
            <w:hideMark/>
          </w:tcPr>
          <w:p w:rsidR="00F52EF6" w14:paraId="3568C2D1" w14:textId="77777777">
            <w:pPr>
              <w:rPr>
                <w:color w:val="000000"/>
                <w:sz w:val="22"/>
                <w:szCs w:val="22"/>
              </w:rPr>
            </w:pPr>
          </w:p>
        </w:tc>
        <w:tc>
          <w:tcPr>
            <w:tcW w:w="1178" w:type="dxa"/>
            <w:vMerge/>
            <w:tcBorders>
              <w:top w:val="nil"/>
              <w:left w:val="single" w:sz="8" w:space="0" w:color="auto"/>
              <w:bottom w:val="single" w:sz="8" w:space="0" w:color="000000"/>
              <w:right w:val="single" w:sz="8" w:space="0" w:color="auto"/>
            </w:tcBorders>
            <w:vAlign w:val="center"/>
            <w:hideMark/>
          </w:tcPr>
          <w:p w:rsidR="00F52EF6" w14:paraId="0F0697FB" w14:textId="77777777">
            <w:pPr>
              <w:rPr>
                <w:color w:val="000000"/>
                <w:sz w:val="22"/>
                <w:szCs w:val="22"/>
              </w:rPr>
            </w:pPr>
          </w:p>
        </w:tc>
        <w:tc>
          <w:tcPr>
            <w:tcW w:w="1032" w:type="dxa"/>
            <w:vMerge/>
            <w:tcBorders>
              <w:top w:val="nil"/>
              <w:left w:val="single" w:sz="8" w:space="0" w:color="auto"/>
              <w:bottom w:val="single" w:sz="8" w:space="0" w:color="000000"/>
              <w:right w:val="single" w:sz="8" w:space="0" w:color="auto"/>
            </w:tcBorders>
            <w:vAlign w:val="center"/>
            <w:hideMark/>
          </w:tcPr>
          <w:p w:rsidR="00F52EF6" w14:paraId="0B0139AD" w14:textId="77777777">
            <w:pPr>
              <w:rPr>
                <w:color w:val="000000"/>
                <w:sz w:val="22"/>
                <w:szCs w:val="22"/>
              </w:rPr>
            </w:pPr>
          </w:p>
        </w:tc>
        <w:tc>
          <w:tcPr>
            <w:tcW w:w="907" w:type="dxa"/>
            <w:vMerge/>
            <w:tcBorders>
              <w:top w:val="nil"/>
              <w:left w:val="single" w:sz="8" w:space="0" w:color="auto"/>
              <w:bottom w:val="single" w:sz="8" w:space="0" w:color="000000"/>
              <w:right w:val="single" w:sz="8" w:space="0" w:color="auto"/>
            </w:tcBorders>
            <w:vAlign w:val="center"/>
            <w:hideMark/>
          </w:tcPr>
          <w:p w:rsidR="00F52EF6" w14:paraId="490E4BE2" w14:textId="77777777">
            <w:pPr>
              <w:rPr>
                <w:color w:val="000000"/>
                <w:sz w:val="22"/>
                <w:szCs w:val="22"/>
              </w:rPr>
            </w:pPr>
          </w:p>
        </w:tc>
        <w:tc>
          <w:tcPr>
            <w:tcW w:w="1599" w:type="dxa"/>
            <w:vMerge/>
            <w:tcBorders>
              <w:top w:val="nil"/>
              <w:left w:val="single" w:sz="8" w:space="0" w:color="auto"/>
              <w:bottom w:val="single" w:sz="8" w:space="0" w:color="000000"/>
              <w:right w:val="single" w:sz="8" w:space="0" w:color="auto"/>
            </w:tcBorders>
            <w:vAlign w:val="center"/>
            <w:hideMark/>
          </w:tcPr>
          <w:p w:rsidR="00F52EF6" w14:paraId="4481F31F" w14:textId="77777777">
            <w:pPr>
              <w:rPr>
                <w:color w:val="000000"/>
                <w:sz w:val="22"/>
                <w:szCs w:val="22"/>
              </w:rPr>
            </w:pPr>
          </w:p>
        </w:tc>
        <w:tc>
          <w:tcPr>
            <w:tcW w:w="36" w:type="dxa"/>
            <w:tcBorders>
              <w:top w:val="nil"/>
              <w:left w:val="nil"/>
              <w:bottom w:val="nil"/>
              <w:right w:val="nil"/>
            </w:tcBorders>
            <w:shd w:val="clear" w:color="auto" w:fill="auto"/>
            <w:noWrap/>
            <w:vAlign w:val="bottom"/>
            <w:hideMark/>
          </w:tcPr>
          <w:p w:rsidR="00F52EF6" w14:paraId="4858B3D1" w14:textId="77777777">
            <w:pPr>
              <w:jc w:val="center"/>
              <w:rPr>
                <w:color w:val="000000"/>
                <w:sz w:val="22"/>
                <w:szCs w:val="22"/>
              </w:rPr>
            </w:pPr>
          </w:p>
        </w:tc>
      </w:tr>
      <w:tr w14:paraId="109C0201" w14:textId="77777777" w:rsidTr="00F52EF6">
        <w:tblPrEx>
          <w:tblW w:w="9700" w:type="dxa"/>
          <w:tblLook w:val="04A0"/>
        </w:tblPrEx>
        <w:trPr>
          <w:trHeight w:val="315"/>
        </w:trPr>
        <w:tc>
          <w:tcPr>
            <w:tcW w:w="930" w:type="dxa"/>
            <w:tcBorders>
              <w:top w:val="nil"/>
              <w:left w:val="single" w:sz="8" w:space="0" w:color="auto"/>
              <w:bottom w:val="single" w:sz="8" w:space="0" w:color="auto"/>
              <w:right w:val="single" w:sz="8" w:space="0" w:color="auto"/>
            </w:tcBorders>
            <w:shd w:val="clear" w:color="auto" w:fill="auto"/>
            <w:vAlign w:val="center"/>
            <w:hideMark/>
          </w:tcPr>
          <w:p w:rsidR="00F52EF6" w14:paraId="62125BF7" w14:textId="77777777">
            <w:pPr>
              <w:jc w:val="center"/>
              <w:rPr>
                <w:color w:val="000000"/>
                <w:sz w:val="22"/>
                <w:szCs w:val="22"/>
              </w:rPr>
            </w:pPr>
            <w:r>
              <w:rPr>
                <w:color w:val="000000"/>
                <w:sz w:val="22"/>
                <w:szCs w:val="22"/>
              </w:rPr>
              <w:t>Diary</w:t>
            </w:r>
          </w:p>
        </w:tc>
        <w:tc>
          <w:tcPr>
            <w:tcW w:w="1229" w:type="dxa"/>
            <w:tcBorders>
              <w:top w:val="nil"/>
              <w:left w:val="nil"/>
              <w:bottom w:val="single" w:sz="8" w:space="0" w:color="auto"/>
              <w:right w:val="single" w:sz="8" w:space="0" w:color="auto"/>
            </w:tcBorders>
            <w:shd w:val="clear" w:color="auto" w:fill="auto"/>
            <w:vAlign w:val="center"/>
            <w:hideMark/>
          </w:tcPr>
          <w:p w:rsidR="00F52EF6" w14:paraId="755EF8A1" w14:textId="77777777">
            <w:pPr>
              <w:jc w:val="center"/>
              <w:rPr>
                <w:color w:val="000000"/>
                <w:sz w:val="22"/>
                <w:szCs w:val="22"/>
              </w:rPr>
            </w:pPr>
            <w:r>
              <w:rPr>
                <w:color w:val="000000"/>
                <w:sz w:val="22"/>
                <w:szCs w:val="22"/>
              </w:rPr>
              <w:t>5,933</w:t>
            </w:r>
          </w:p>
        </w:tc>
        <w:tc>
          <w:tcPr>
            <w:tcW w:w="1793" w:type="dxa"/>
            <w:tcBorders>
              <w:top w:val="nil"/>
              <w:left w:val="nil"/>
              <w:bottom w:val="single" w:sz="8" w:space="0" w:color="auto"/>
              <w:right w:val="single" w:sz="8" w:space="0" w:color="auto"/>
            </w:tcBorders>
            <w:shd w:val="clear" w:color="auto" w:fill="auto"/>
            <w:vAlign w:val="center"/>
            <w:hideMark/>
          </w:tcPr>
          <w:p w:rsidR="00F52EF6" w14:paraId="577539E3" w14:textId="77777777">
            <w:pPr>
              <w:jc w:val="center"/>
              <w:rPr>
                <w:color w:val="000000"/>
                <w:sz w:val="22"/>
                <w:szCs w:val="22"/>
              </w:rPr>
            </w:pPr>
            <w:r>
              <w:rPr>
                <w:color w:val="000000"/>
                <w:sz w:val="22"/>
                <w:szCs w:val="22"/>
              </w:rPr>
              <w:t>4.2</w:t>
            </w:r>
          </w:p>
        </w:tc>
        <w:tc>
          <w:tcPr>
            <w:tcW w:w="996" w:type="dxa"/>
            <w:tcBorders>
              <w:top w:val="nil"/>
              <w:left w:val="nil"/>
              <w:bottom w:val="single" w:sz="8" w:space="0" w:color="auto"/>
              <w:right w:val="single" w:sz="8" w:space="0" w:color="auto"/>
            </w:tcBorders>
            <w:shd w:val="clear" w:color="auto" w:fill="auto"/>
            <w:vAlign w:val="center"/>
            <w:hideMark/>
          </w:tcPr>
          <w:p w:rsidR="00F52EF6" w14:paraId="473AADFA" w14:textId="77777777">
            <w:pPr>
              <w:jc w:val="center"/>
              <w:rPr>
                <w:color w:val="000000"/>
                <w:sz w:val="22"/>
                <w:szCs w:val="22"/>
              </w:rPr>
            </w:pPr>
            <w:r>
              <w:rPr>
                <w:color w:val="000000"/>
                <w:sz w:val="22"/>
                <w:szCs w:val="22"/>
              </w:rPr>
              <w:t>24,919</w:t>
            </w:r>
          </w:p>
        </w:tc>
        <w:tc>
          <w:tcPr>
            <w:tcW w:w="1178" w:type="dxa"/>
            <w:tcBorders>
              <w:top w:val="nil"/>
              <w:left w:val="nil"/>
              <w:bottom w:val="single" w:sz="8" w:space="0" w:color="auto"/>
              <w:right w:val="single" w:sz="8" w:space="0" w:color="auto"/>
            </w:tcBorders>
            <w:shd w:val="clear" w:color="auto" w:fill="auto"/>
            <w:vAlign w:val="center"/>
            <w:hideMark/>
          </w:tcPr>
          <w:p w:rsidR="00F52EF6" w14:paraId="31313AF8" w14:textId="77777777">
            <w:pPr>
              <w:jc w:val="center"/>
              <w:rPr>
                <w:color w:val="000000"/>
                <w:sz w:val="22"/>
                <w:szCs w:val="22"/>
              </w:rPr>
            </w:pPr>
            <w:r>
              <w:rPr>
                <w:color w:val="000000"/>
                <w:sz w:val="22"/>
                <w:szCs w:val="22"/>
              </w:rPr>
              <w:t>36.797</w:t>
            </w:r>
          </w:p>
        </w:tc>
        <w:tc>
          <w:tcPr>
            <w:tcW w:w="1032" w:type="dxa"/>
            <w:tcBorders>
              <w:top w:val="nil"/>
              <w:left w:val="nil"/>
              <w:bottom w:val="single" w:sz="8" w:space="0" w:color="auto"/>
              <w:right w:val="single" w:sz="8" w:space="0" w:color="auto"/>
            </w:tcBorders>
            <w:shd w:val="clear" w:color="auto" w:fill="auto"/>
            <w:vAlign w:val="center"/>
            <w:hideMark/>
          </w:tcPr>
          <w:p w:rsidR="00F52EF6" w14:paraId="48B00C31" w14:textId="77F0F4CF">
            <w:pPr>
              <w:jc w:val="center"/>
              <w:rPr>
                <w:color w:val="000000"/>
                <w:sz w:val="22"/>
                <w:szCs w:val="22"/>
              </w:rPr>
            </w:pPr>
            <w:r>
              <w:rPr>
                <w:color w:val="000000"/>
                <w:sz w:val="22"/>
                <w:szCs w:val="22"/>
              </w:rPr>
              <w:t>15,</w:t>
            </w:r>
            <w:r w:rsidR="00271767">
              <w:rPr>
                <w:color w:val="000000"/>
                <w:sz w:val="22"/>
                <w:szCs w:val="22"/>
              </w:rPr>
              <w:t>822</w:t>
            </w:r>
          </w:p>
        </w:tc>
        <w:tc>
          <w:tcPr>
            <w:tcW w:w="907" w:type="dxa"/>
            <w:tcBorders>
              <w:top w:val="nil"/>
              <w:left w:val="nil"/>
              <w:bottom w:val="single" w:sz="8" w:space="0" w:color="auto"/>
              <w:right w:val="single" w:sz="8" w:space="0" w:color="auto"/>
            </w:tcBorders>
            <w:shd w:val="clear" w:color="auto" w:fill="auto"/>
            <w:vAlign w:val="center"/>
            <w:hideMark/>
          </w:tcPr>
          <w:p w:rsidR="00F52EF6" w14:paraId="24D0944F" w14:textId="01E71F4F">
            <w:pPr>
              <w:jc w:val="center"/>
              <w:rPr>
                <w:color w:val="000000"/>
                <w:sz w:val="22"/>
                <w:szCs w:val="22"/>
              </w:rPr>
            </w:pPr>
            <w:r>
              <w:rPr>
                <w:color w:val="000000"/>
                <w:sz w:val="22"/>
                <w:szCs w:val="22"/>
              </w:rPr>
              <w:t>$7.25</w:t>
            </w:r>
          </w:p>
        </w:tc>
        <w:tc>
          <w:tcPr>
            <w:tcW w:w="1599" w:type="dxa"/>
            <w:tcBorders>
              <w:top w:val="nil"/>
              <w:left w:val="nil"/>
              <w:bottom w:val="single" w:sz="8" w:space="0" w:color="auto"/>
              <w:right w:val="single" w:sz="8" w:space="0" w:color="auto"/>
            </w:tcBorders>
            <w:shd w:val="clear" w:color="auto" w:fill="auto"/>
            <w:vAlign w:val="center"/>
            <w:hideMark/>
          </w:tcPr>
          <w:p w:rsidR="00F52EF6" w14:paraId="70D672BD" w14:textId="1B0C97A8">
            <w:pPr>
              <w:jc w:val="center"/>
              <w:rPr>
                <w:color w:val="000000"/>
                <w:sz w:val="22"/>
                <w:szCs w:val="22"/>
              </w:rPr>
            </w:pPr>
            <w:r>
              <w:rPr>
                <w:color w:val="000000"/>
                <w:sz w:val="22"/>
                <w:szCs w:val="22"/>
              </w:rPr>
              <w:t>$110,795</w:t>
            </w:r>
          </w:p>
        </w:tc>
        <w:tc>
          <w:tcPr>
            <w:tcW w:w="36" w:type="dxa"/>
            <w:vAlign w:val="center"/>
            <w:hideMark/>
          </w:tcPr>
          <w:p w:rsidR="00F52EF6" w14:paraId="6DFCA6E8" w14:textId="77777777">
            <w:pPr>
              <w:rPr>
                <w:sz w:val="20"/>
                <w:szCs w:val="20"/>
              </w:rPr>
            </w:pPr>
          </w:p>
        </w:tc>
      </w:tr>
      <w:tr w14:paraId="6A319A0F" w14:textId="77777777" w:rsidTr="00E31C53">
        <w:tblPrEx>
          <w:tblW w:w="9700" w:type="dxa"/>
          <w:tblLook w:val="04A0"/>
        </w:tblPrEx>
        <w:trPr>
          <w:trHeight w:val="315"/>
        </w:trPr>
        <w:tc>
          <w:tcPr>
            <w:tcW w:w="930" w:type="dxa"/>
            <w:tcBorders>
              <w:top w:val="nil"/>
              <w:left w:val="single" w:sz="8" w:space="0" w:color="auto"/>
              <w:bottom w:val="single" w:sz="8" w:space="0" w:color="auto"/>
              <w:right w:val="single" w:sz="8" w:space="0" w:color="auto"/>
            </w:tcBorders>
            <w:shd w:val="clear" w:color="auto" w:fill="auto"/>
            <w:vAlign w:val="center"/>
            <w:hideMark/>
          </w:tcPr>
          <w:p w:rsidR="00F52EF6" w:rsidRPr="00E31C53" w14:paraId="4C058D3F" w14:textId="00770B79">
            <w:pPr>
              <w:jc w:val="center"/>
              <w:rPr>
                <w:b/>
                <w:bCs/>
                <w:color w:val="000000"/>
                <w:sz w:val="22"/>
                <w:szCs w:val="22"/>
              </w:rPr>
            </w:pPr>
            <w:r>
              <w:rPr>
                <w:b/>
                <w:bCs/>
                <w:color w:val="000000"/>
                <w:sz w:val="22"/>
                <w:szCs w:val="22"/>
              </w:rPr>
              <w:t>Totals</w:t>
            </w:r>
          </w:p>
        </w:tc>
        <w:tc>
          <w:tcPr>
            <w:tcW w:w="1229" w:type="dxa"/>
            <w:tcBorders>
              <w:top w:val="nil"/>
              <w:left w:val="nil"/>
              <w:bottom w:val="single" w:sz="8" w:space="0" w:color="auto"/>
              <w:right w:val="single" w:sz="8" w:space="0" w:color="auto"/>
            </w:tcBorders>
            <w:shd w:val="clear" w:color="auto" w:fill="auto"/>
            <w:vAlign w:val="center"/>
            <w:hideMark/>
          </w:tcPr>
          <w:p w:rsidR="00F52EF6" w:rsidRPr="00E31C53" w14:paraId="0C087C29" w14:textId="77777777">
            <w:pPr>
              <w:jc w:val="center"/>
              <w:rPr>
                <w:b/>
                <w:bCs/>
                <w:color w:val="000000"/>
                <w:sz w:val="22"/>
                <w:szCs w:val="22"/>
              </w:rPr>
            </w:pPr>
            <w:r w:rsidRPr="00E31C53">
              <w:rPr>
                <w:b/>
                <w:bCs/>
                <w:color w:val="000000"/>
                <w:sz w:val="22"/>
                <w:szCs w:val="22"/>
              </w:rPr>
              <w:t>10,325</w:t>
            </w:r>
          </w:p>
        </w:tc>
        <w:tc>
          <w:tcPr>
            <w:tcW w:w="1793" w:type="dxa"/>
            <w:tcBorders>
              <w:top w:val="nil"/>
              <w:left w:val="nil"/>
              <w:bottom w:val="single" w:sz="8" w:space="0" w:color="auto"/>
              <w:right w:val="single" w:sz="8" w:space="0" w:color="auto"/>
            </w:tcBorders>
            <w:shd w:val="clear" w:color="auto" w:fill="000000" w:themeFill="text1"/>
            <w:vAlign w:val="center"/>
            <w:hideMark/>
          </w:tcPr>
          <w:p w:rsidR="00F52EF6" w:rsidRPr="00E31C53" w14:paraId="3C8FF54E" w14:textId="71FFDE52">
            <w:pPr>
              <w:jc w:val="center"/>
              <w:rPr>
                <w:b/>
                <w:bCs/>
                <w:color w:val="000000"/>
                <w:sz w:val="22"/>
                <w:szCs w:val="22"/>
              </w:rPr>
            </w:pPr>
          </w:p>
        </w:tc>
        <w:tc>
          <w:tcPr>
            <w:tcW w:w="996" w:type="dxa"/>
            <w:tcBorders>
              <w:top w:val="nil"/>
              <w:left w:val="nil"/>
              <w:bottom w:val="single" w:sz="8" w:space="0" w:color="auto"/>
              <w:right w:val="single" w:sz="8" w:space="0" w:color="auto"/>
            </w:tcBorders>
            <w:shd w:val="clear" w:color="auto" w:fill="auto"/>
            <w:vAlign w:val="center"/>
            <w:hideMark/>
          </w:tcPr>
          <w:p w:rsidR="00F52EF6" w:rsidRPr="00E31C53" w14:paraId="79C284F4" w14:textId="77777777">
            <w:pPr>
              <w:jc w:val="center"/>
              <w:rPr>
                <w:b/>
                <w:bCs/>
                <w:color w:val="000000"/>
                <w:sz w:val="22"/>
                <w:szCs w:val="22"/>
              </w:rPr>
            </w:pPr>
            <w:r w:rsidRPr="00E31C53">
              <w:rPr>
                <w:b/>
                <w:bCs/>
                <w:color w:val="000000"/>
                <w:sz w:val="22"/>
                <w:szCs w:val="22"/>
              </w:rPr>
              <w:t>44,595</w:t>
            </w:r>
          </w:p>
        </w:tc>
        <w:tc>
          <w:tcPr>
            <w:tcW w:w="1178" w:type="dxa"/>
            <w:tcBorders>
              <w:top w:val="nil"/>
              <w:left w:val="nil"/>
              <w:bottom w:val="single" w:sz="8" w:space="0" w:color="auto"/>
              <w:right w:val="single" w:sz="8" w:space="0" w:color="auto"/>
            </w:tcBorders>
            <w:shd w:val="clear" w:color="auto" w:fill="000000" w:themeFill="text1"/>
            <w:vAlign w:val="center"/>
            <w:hideMark/>
          </w:tcPr>
          <w:p w:rsidR="00F52EF6" w:rsidRPr="00E31C53" w14:paraId="367379C1" w14:textId="0000E6EE">
            <w:pPr>
              <w:jc w:val="center"/>
              <w:rPr>
                <w:b/>
                <w:bCs/>
                <w:color w:val="000000"/>
                <w:sz w:val="22"/>
                <w:szCs w:val="22"/>
              </w:rPr>
            </w:pPr>
          </w:p>
        </w:tc>
        <w:tc>
          <w:tcPr>
            <w:tcW w:w="1032" w:type="dxa"/>
            <w:tcBorders>
              <w:top w:val="nil"/>
              <w:left w:val="nil"/>
              <w:bottom w:val="single" w:sz="8" w:space="0" w:color="auto"/>
              <w:right w:val="single" w:sz="8" w:space="0" w:color="auto"/>
            </w:tcBorders>
            <w:shd w:val="clear" w:color="auto" w:fill="auto"/>
            <w:vAlign w:val="center"/>
            <w:hideMark/>
          </w:tcPr>
          <w:p w:rsidR="00F52EF6" w:rsidRPr="00E31C53" w14:paraId="0712B75C" w14:textId="71ECA43B">
            <w:pPr>
              <w:jc w:val="center"/>
              <w:rPr>
                <w:b/>
                <w:bCs/>
                <w:color w:val="000000"/>
                <w:sz w:val="22"/>
                <w:szCs w:val="22"/>
              </w:rPr>
            </w:pPr>
            <w:r w:rsidRPr="00E31C53">
              <w:rPr>
                <w:b/>
                <w:bCs/>
                <w:color w:val="000000"/>
                <w:sz w:val="22"/>
                <w:szCs w:val="22"/>
              </w:rPr>
              <w:t>34</w:t>
            </w:r>
            <w:r w:rsidRPr="00E31C53" w:rsidR="00142847">
              <w:rPr>
                <w:b/>
                <w:bCs/>
                <w:color w:val="000000"/>
                <w:sz w:val="22"/>
                <w:szCs w:val="22"/>
              </w:rPr>
              <w:t>,619</w:t>
            </w:r>
          </w:p>
        </w:tc>
        <w:tc>
          <w:tcPr>
            <w:tcW w:w="907" w:type="dxa"/>
            <w:tcBorders>
              <w:top w:val="nil"/>
              <w:left w:val="nil"/>
              <w:bottom w:val="single" w:sz="8" w:space="0" w:color="auto"/>
              <w:right w:val="single" w:sz="8" w:space="0" w:color="auto"/>
            </w:tcBorders>
            <w:shd w:val="clear" w:color="auto" w:fill="000000" w:themeFill="text1"/>
            <w:vAlign w:val="center"/>
            <w:hideMark/>
          </w:tcPr>
          <w:p w:rsidR="00F52EF6" w:rsidRPr="00E31C53" w14:paraId="7410FA84" w14:textId="3DA7F022">
            <w:pPr>
              <w:jc w:val="center"/>
              <w:rPr>
                <w:b/>
                <w:bCs/>
                <w:color w:val="000000"/>
                <w:sz w:val="22"/>
                <w:szCs w:val="22"/>
              </w:rPr>
            </w:pPr>
          </w:p>
        </w:tc>
        <w:tc>
          <w:tcPr>
            <w:tcW w:w="1599" w:type="dxa"/>
            <w:tcBorders>
              <w:top w:val="nil"/>
              <w:left w:val="nil"/>
              <w:bottom w:val="single" w:sz="8" w:space="0" w:color="auto"/>
              <w:right w:val="single" w:sz="8" w:space="0" w:color="auto"/>
            </w:tcBorders>
            <w:shd w:val="clear" w:color="auto" w:fill="auto"/>
            <w:vAlign w:val="center"/>
            <w:hideMark/>
          </w:tcPr>
          <w:p w:rsidR="00F52EF6" w:rsidRPr="00E31C53" w14:paraId="4A679FB3" w14:textId="444589A1">
            <w:pPr>
              <w:jc w:val="center"/>
              <w:rPr>
                <w:b/>
                <w:bCs/>
                <w:color w:val="000000"/>
                <w:sz w:val="22"/>
                <w:szCs w:val="22"/>
              </w:rPr>
            </w:pPr>
            <w:r>
              <w:rPr>
                <w:b/>
                <w:bCs/>
                <w:color w:val="000000"/>
                <w:sz w:val="22"/>
                <w:szCs w:val="22"/>
              </w:rPr>
              <w:t>$</w:t>
            </w:r>
            <w:r w:rsidRPr="00E31C53">
              <w:rPr>
                <w:b/>
                <w:bCs/>
                <w:color w:val="000000"/>
                <w:sz w:val="22"/>
                <w:szCs w:val="22"/>
              </w:rPr>
              <w:t>247,073</w:t>
            </w:r>
          </w:p>
        </w:tc>
        <w:tc>
          <w:tcPr>
            <w:tcW w:w="36" w:type="dxa"/>
            <w:vAlign w:val="center"/>
            <w:hideMark/>
          </w:tcPr>
          <w:p w:rsidR="00F52EF6" w14:paraId="046678B6" w14:textId="77777777">
            <w:pPr>
              <w:rPr>
                <w:sz w:val="20"/>
                <w:szCs w:val="20"/>
              </w:rPr>
            </w:pPr>
          </w:p>
        </w:tc>
      </w:tr>
    </w:tbl>
    <w:p w:rsidR="00CD1D9F" w:rsidP="003044E9" w14:paraId="36B8649B" w14:textId="7F32A33C">
      <w:pPr>
        <w:tabs>
          <w:tab w:val="left" w:pos="1176"/>
          <w:tab w:val="left" w:pos="1656"/>
          <w:tab w:val="left" w:pos="5016"/>
          <w:tab w:val="left" w:pos="6696"/>
          <w:tab w:val="left" w:pos="8256"/>
        </w:tabs>
      </w:pPr>
      <w:r w:rsidRPr="00C03080">
        <w:t>*Based on the federal min</w:t>
      </w:r>
      <w:r w:rsidRPr="00C03080" w:rsidR="00935ADA">
        <w:t>im</w:t>
      </w:r>
      <w:r w:rsidRPr="00C03080">
        <w:t>um wage of $7.25 per hour.</w:t>
      </w:r>
    </w:p>
    <w:p w:rsidR="00CD1D9F" w:rsidP="003044E9" w14:paraId="7F31FA5B" w14:textId="0E980AA0">
      <w:pPr>
        <w:tabs>
          <w:tab w:val="left" w:pos="1176"/>
          <w:tab w:val="left" w:pos="1656"/>
          <w:tab w:val="left" w:pos="5016"/>
          <w:tab w:val="left" w:pos="6696"/>
          <w:tab w:val="left" w:pos="8256"/>
        </w:tabs>
      </w:pPr>
    </w:p>
    <w:p w:rsidR="00E77209" w:rsidRPr="00E77209" w:rsidP="00E77209" w14:paraId="09AAEFDD" w14:textId="2452E32A">
      <w:pPr>
        <w:tabs>
          <w:tab w:val="left" w:pos="1176"/>
          <w:tab w:val="left" w:pos="1656"/>
          <w:tab w:val="left" w:pos="5016"/>
          <w:tab w:val="left" w:pos="6696"/>
          <w:tab w:val="left" w:pos="8256"/>
        </w:tabs>
        <w:ind w:left="480" w:hanging="480"/>
        <w:rPr>
          <w:b/>
        </w:rPr>
      </w:pPr>
      <w:r>
        <w:t>13.</w:t>
      </w:r>
      <w:r>
        <w:tab/>
      </w:r>
      <w:r w:rsidRPr="00E77209">
        <w:rPr>
          <w:b/>
        </w:rPr>
        <w:t>Provide an estimate of the total annual cost burden to respondents or recordkeepers resulting from the collection of information.  (Do not include the cost of any hour burden shown in Items 12 and 14).</w:t>
      </w:r>
    </w:p>
    <w:p w:rsidR="00E77209" w:rsidRPr="00E77209" w:rsidP="00E77209" w14:paraId="7DC0B95D" w14:textId="69F18E72">
      <w:pPr>
        <w:numPr>
          <w:ilvl w:val="0"/>
          <w:numId w:val="57"/>
        </w:numPr>
        <w:tabs>
          <w:tab w:val="left" w:pos="1176"/>
          <w:tab w:val="left" w:pos="1656"/>
          <w:tab w:val="left" w:pos="5016"/>
          <w:tab w:val="left" w:pos="6696"/>
          <w:tab w:val="left" w:pos="8256"/>
        </w:tabs>
        <w:rPr>
          <w:b/>
        </w:rPr>
      </w:pPr>
      <w:r w:rsidRPr="00E77209">
        <w:rPr>
          <w:b/>
          <w:bCs/>
        </w:rPr>
        <w:t>The cost estimate should be split into two components: (a) a total capital and start 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77209" w:rsidRPr="00E77209" w:rsidP="00E77209" w14:paraId="65941AF2" w14:textId="77777777">
      <w:pPr>
        <w:numPr>
          <w:ilvl w:val="0"/>
          <w:numId w:val="57"/>
        </w:numPr>
        <w:tabs>
          <w:tab w:val="left" w:pos="1176"/>
          <w:tab w:val="left" w:pos="1656"/>
          <w:tab w:val="left" w:pos="5016"/>
          <w:tab w:val="left" w:pos="6696"/>
          <w:tab w:val="left" w:pos="8256"/>
        </w:tabs>
      </w:pPr>
      <w:r w:rsidRPr="00E77209">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77209" w:rsidRPr="00E77209" w:rsidP="00E77209" w14:paraId="7DDAA0FC" w14:textId="77777777">
      <w:pPr>
        <w:numPr>
          <w:ilvl w:val="0"/>
          <w:numId w:val="57"/>
        </w:numPr>
        <w:tabs>
          <w:tab w:val="left" w:pos="1176"/>
          <w:tab w:val="left" w:pos="1656"/>
          <w:tab w:val="left" w:pos="5016"/>
          <w:tab w:val="left" w:pos="6696"/>
          <w:tab w:val="left" w:pos="8256"/>
        </w:tabs>
        <w:rPr>
          <w:b/>
          <w:bCs/>
        </w:rPr>
      </w:pPr>
      <w:r w:rsidRPr="00E77209">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73B1B" w:rsidP="00673B1B" w14:paraId="16FD1303" w14:textId="67FA666C">
      <w:pPr>
        <w:tabs>
          <w:tab w:val="left" w:pos="1176"/>
          <w:tab w:val="left" w:pos="1656"/>
          <w:tab w:val="left" w:pos="5016"/>
          <w:tab w:val="left" w:pos="6696"/>
          <w:tab w:val="left" w:pos="8256"/>
        </w:tabs>
        <w:ind w:left="480" w:hanging="480"/>
      </w:pPr>
      <w:r>
        <w:br/>
        <w:t>There are no capital and start-up costs and no operational, maintenance, or service costs required of respondents.</w:t>
      </w:r>
    </w:p>
    <w:p w:rsidR="007007AF" w:rsidP="007007AF" w14:paraId="7E36CD02" w14:textId="77777777">
      <w:pPr>
        <w:tabs>
          <w:tab w:val="left" w:pos="1176"/>
          <w:tab w:val="left" w:pos="1656"/>
          <w:tab w:val="left" w:pos="5016"/>
          <w:tab w:val="left" w:pos="6696"/>
          <w:tab w:val="left" w:pos="8256"/>
        </w:tabs>
      </w:pPr>
    </w:p>
    <w:p w:rsidR="00E77209" w:rsidRPr="00E77209" w:rsidP="00E77209" w14:paraId="377DF35B" w14:textId="3BDA01E2">
      <w:pPr>
        <w:pStyle w:val="BodyTextIndent3"/>
        <w:tabs>
          <w:tab w:val="left" w:pos="720"/>
        </w:tabs>
        <w:ind w:left="450" w:hanging="450"/>
        <w:rPr>
          <w:b/>
        </w:rPr>
      </w:pPr>
      <w:r w:rsidRPr="00D17A87">
        <w:t>14.</w:t>
      </w:r>
      <w:r>
        <w:rPr>
          <w:b/>
        </w:rPr>
        <w:tab/>
      </w:r>
      <w:r w:rsidRPr="00E77209">
        <w:rPr>
          <w:b/>
          <w:bCs/>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E77209">
        <w:rPr>
          <w:b/>
        </w:rPr>
        <w:t xml:space="preserve"> </w:t>
      </w:r>
      <w:r w:rsidRPr="00E77209">
        <w:rPr>
          <w:b/>
          <w:bCs/>
        </w:rPr>
        <w:t>without this collection of information.  Agencies also may aggregate cost estimates from Items 12, 13, and 14 into a single table.</w:t>
      </w:r>
    </w:p>
    <w:p w:rsidR="00D81C59" w:rsidRPr="00334156" w:rsidP="00D81C59" w14:paraId="110A0EA5" w14:textId="77777777">
      <w:pPr>
        <w:pStyle w:val="BodyTextIndent2"/>
        <w:ind w:left="450"/>
      </w:pPr>
      <w:r>
        <w:br/>
      </w:r>
      <w:bookmarkStart w:id="6" w:name="_Hlk112137158"/>
    </w:p>
    <w:bookmarkEnd w:id="6"/>
    <w:p w:rsidR="009E3774" w:rsidP="009E3774" w14:paraId="7A00852F" w14:textId="77777777">
      <w:pPr>
        <w:pStyle w:val="BodyTextIndent2"/>
        <w:ind w:left="450"/>
      </w:pPr>
      <w:r w:rsidRPr="00D81C59">
        <w:t>The annual cost to the Federal Government of collecting, processing, reviewing, and publishing the data collected in the CE Surveys is approximately $</w:t>
      </w:r>
      <w:r>
        <w:t>50</w:t>
      </w:r>
      <w:r w:rsidRPr="00D81C59">
        <w:t xml:space="preserve"> million in fiscal year 202</w:t>
      </w:r>
      <w:r>
        <w:t>4</w:t>
      </w:r>
      <w:r w:rsidRPr="00D81C59">
        <w:t>.  This included approximately $</w:t>
      </w:r>
      <w:r>
        <w:t>34</w:t>
      </w:r>
      <w:r w:rsidRPr="00D81C59">
        <w:t xml:space="preserve"> million in costs incurred by the Census Bureau for collecting and processing the data, operational costs associated with maintaining the survey, and development costs.  The BLS portion of approximately $1</w:t>
      </w:r>
      <w:r>
        <w:t>6</w:t>
      </w:r>
      <w:r w:rsidRPr="00D81C59">
        <w:t xml:space="preserve"> million was for costs incurred by the BLS in personnel and other related costs associated with managing the survey, processing the data upon receipt from the Census Bureau, reviewing, and publishing the data, and for research and development.</w:t>
      </w:r>
    </w:p>
    <w:p w:rsidR="006C05FC" w:rsidRPr="00E570DF" w:rsidP="0068660D" w14:paraId="31806031" w14:textId="77777777">
      <w:pPr>
        <w:pStyle w:val="BodyTextIndent2"/>
        <w:ind w:left="450"/>
        <w:rPr>
          <w:b/>
          <w:bCs/>
        </w:rPr>
      </w:pPr>
    </w:p>
    <w:p w:rsidR="00411F2A" w:rsidRPr="00D17A87" w:rsidP="004F4BE2" w14:paraId="13A37DA9" w14:textId="6D82AA41">
      <w:pPr>
        <w:pStyle w:val="BodyTextIndent2"/>
        <w:numPr>
          <w:ilvl w:val="0"/>
          <w:numId w:val="52"/>
        </w:numPr>
      </w:pPr>
      <w:r w:rsidRPr="00E77209">
        <w:rPr>
          <w:b/>
        </w:rPr>
        <w:t>Explain the reasons for any program changes or adjustments</w:t>
      </w:r>
      <w:r w:rsidR="00866809">
        <w:rPr>
          <w:b/>
        </w:rPr>
        <w:t xml:space="preserve"> </w:t>
      </w:r>
      <w:r w:rsidRPr="00B36781" w:rsidR="007007AF">
        <w:rPr>
          <w:b/>
        </w:rPr>
        <w:t>in Respondent Burden</w:t>
      </w:r>
    </w:p>
    <w:p w:rsidR="007007AF" w:rsidP="00974675" w14:paraId="2BF30BAA" w14:textId="61081845">
      <w:pPr>
        <w:pStyle w:val="BodyTextIndent2"/>
        <w:ind w:left="450"/>
      </w:pPr>
      <w:r w:rsidRPr="0004428D">
        <w:br/>
      </w:r>
      <w:bookmarkStart w:id="7" w:name="_Hlk94706546"/>
      <w:r w:rsidRPr="00710637" w:rsidR="00974675">
        <w:t xml:space="preserve">Reporting burden has decreased from </w:t>
      </w:r>
      <w:r w:rsidRPr="00710637" w:rsidR="00B35E4D">
        <w:rPr>
          <w:color w:val="000000"/>
        </w:rPr>
        <w:t>36,222</w:t>
      </w:r>
      <w:r w:rsidR="004864DA">
        <w:rPr>
          <w:color w:val="000000"/>
        </w:rPr>
        <w:t xml:space="preserve"> to </w:t>
      </w:r>
      <w:r w:rsidR="000E1F23">
        <w:rPr>
          <w:color w:val="000000"/>
        </w:rPr>
        <w:t>34,</w:t>
      </w:r>
      <w:r w:rsidR="008E6B6B">
        <w:rPr>
          <w:color w:val="000000"/>
        </w:rPr>
        <w:t>619</w:t>
      </w:r>
      <w:r w:rsidRPr="00710637" w:rsidR="00FF7B22">
        <w:rPr>
          <w:color w:val="000000"/>
        </w:rPr>
        <w:t xml:space="preserve"> </w:t>
      </w:r>
      <w:r w:rsidRPr="00710637" w:rsidR="00974675">
        <w:t xml:space="preserve">due </w:t>
      </w:r>
      <w:r w:rsidRPr="00710637" w:rsidR="00C03080">
        <w:t>to decreasing response rates</w:t>
      </w:r>
      <w:r w:rsidR="000E1F23">
        <w:t xml:space="preserve"> and decreases in the sample size</w:t>
      </w:r>
      <w:r w:rsidRPr="00710637" w:rsidR="00FF7B22">
        <w:t>.</w:t>
      </w:r>
      <w:r w:rsidRPr="00710637" w:rsidR="00974675">
        <w:t xml:space="preserve"> (See Supporting Statement Part B for additional information on response rates.)</w:t>
      </w:r>
      <w:bookmarkEnd w:id="7"/>
    </w:p>
    <w:p w:rsidR="001B55AF" w:rsidP="00974675" w14:paraId="36DB94AD" w14:textId="77777777">
      <w:pPr>
        <w:pStyle w:val="BodyTextIndent2"/>
        <w:ind w:left="450"/>
      </w:pPr>
    </w:p>
    <w:p w:rsidR="00304AD2" w:rsidP="001B55AF" w14:paraId="4A02D128" w14:textId="4E91D98D">
      <w:pPr>
        <w:tabs>
          <w:tab w:val="left" w:pos="1176"/>
          <w:tab w:val="left" w:pos="1656"/>
          <w:tab w:val="left" w:pos="6696"/>
          <w:tab w:val="left" w:pos="8256"/>
        </w:tabs>
        <w:ind w:left="480"/>
      </w:pPr>
      <w:r>
        <w:t>The following changes are being requested and will not impact burden.</w:t>
      </w:r>
    </w:p>
    <w:p w:rsidR="00304AD2" w:rsidP="001B55AF" w14:paraId="66545468" w14:textId="77777777">
      <w:pPr>
        <w:tabs>
          <w:tab w:val="left" w:pos="1176"/>
          <w:tab w:val="left" w:pos="1656"/>
          <w:tab w:val="left" w:pos="6696"/>
          <w:tab w:val="left" w:pos="8256"/>
        </w:tabs>
        <w:ind w:left="480"/>
      </w:pPr>
    </w:p>
    <w:p w:rsidR="001B55AF" w:rsidP="001B55AF" w14:paraId="3996D3B0" w14:textId="6E5FA546">
      <w:pPr>
        <w:tabs>
          <w:tab w:val="left" w:pos="1176"/>
          <w:tab w:val="left" w:pos="1656"/>
          <w:tab w:val="left" w:pos="6696"/>
          <w:tab w:val="left" w:pos="8256"/>
        </w:tabs>
        <w:ind w:left="480"/>
      </w:pPr>
      <w:r>
        <w:t xml:space="preserve">In the CEQ, </w:t>
      </w:r>
      <w:r w:rsidRPr="002F1960">
        <w:t xml:space="preserve">CE requests clearance to incorporate outlet collection changes for the Interview survey based on CPI requirements related to the 2025 geographical revision. CE will use three temporary </w:t>
      </w:r>
      <w:r>
        <w:t>population groups (</w:t>
      </w:r>
      <w:r w:rsidRPr="002F1960">
        <w:t>POPGRPs</w:t>
      </w:r>
      <w:r>
        <w:t>)</w:t>
      </w:r>
      <w:r w:rsidRPr="002F1960">
        <w:t xml:space="preserve"> to collect outlet data</w:t>
      </w:r>
      <w:r>
        <w:t xml:space="preserve"> for sourcing outlets for new PSUs to accommodate needed outlet data for the CPI sample redesign.</w:t>
      </w:r>
    </w:p>
    <w:p w:rsidR="001B55AF" w:rsidRPr="002F1960" w:rsidP="001B55AF" w14:paraId="6A43CFB1" w14:textId="77777777">
      <w:pPr>
        <w:tabs>
          <w:tab w:val="left" w:pos="1176"/>
          <w:tab w:val="left" w:pos="1656"/>
          <w:tab w:val="left" w:pos="6696"/>
          <w:tab w:val="left" w:pos="8256"/>
        </w:tabs>
        <w:ind w:left="480"/>
      </w:pPr>
    </w:p>
    <w:p w:rsidR="001B55AF" w:rsidRPr="00E15779" w:rsidP="001B55AF" w14:paraId="4683A173" w14:textId="77777777">
      <w:pPr>
        <w:tabs>
          <w:tab w:val="left" w:pos="1176"/>
          <w:tab w:val="left" w:pos="1656"/>
          <w:tab w:val="left" w:pos="6696"/>
          <w:tab w:val="left" w:pos="8256"/>
        </w:tabs>
        <w:ind w:left="480"/>
      </w:pPr>
      <w:r w:rsidRPr="002F1960">
        <w:t xml:space="preserve">Additionally, recall apparel questions which do not pertain to current interview items </w:t>
      </w:r>
      <w:r>
        <w:t>will be</w:t>
      </w:r>
      <w:r w:rsidRPr="002F1960">
        <w:t xml:space="preserve"> deleted. </w:t>
      </w:r>
      <w:r>
        <w:t>Additionally,</w:t>
      </w:r>
      <w:r w:rsidRPr="002F1960">
        <w:t xml:space="preserve"> the business screener question follow-up text </w:t>
      </w:r>
      <w:r>
        <w:t>will be</w:t>
      </w:r>
      <w:r w:rsidRPr="002F1960">
        <w:t xml:space="preserve"> deleted as Field Representatives</w:t>
      </w:r>
      <w:r>
        <w:t xml:space="preserve"> (FRs) indicated it caused confusion.</w:t>
      </w:r>
    </w:p>
    <w:p w:rsidR="001B55AF" w:rsidP="00974675" w14:paraId="678D91DB" w14:textId="77777777">
      <w:pPr>
        <w:pStyle w:val="BodyTextIndent2"/>
        <w:ind w:left="450"/>
      </w:pPr>
    </w:p>
    <w:p w:rsidR="001B55AF" w:rsidRPr="00E15779" w:rsidP="001B55AF" w14:paraId="1DE5354B" w14:textId="77777777">
      <w:pPr>
        <w:tabs>
          <w:tab w:val="left" w:pos="1176"/>
          <w:tab w:val="left" w:pos="1656"/>
          <w:tab w:val="left" w:pos="6696"/>
          <w:tab w:val="left" w:pos="8256"/>
        </w:tabs>
        <w:ind w:left="480"/>
      </w:pPr>
      <w:r>
        <w:t xml:space="preserve">In the CED, </w:t>
      </w:r>
      <w:r w:rsidRPr="005A46BB">
        <w:t xml:space="preserve">CE requests clearance to delete the following from the cover of the current Diary collection form: “If you have comments regarding this survey, please email </w:t>
      </w:r>
      <w:hyperlink r:id="rId6" w:history="1">
        <w:r w:rsidRPr="005A46BB">
          <w:t>CEcomments@bls.gov</w:t>
        </w:r>
      </w:hyperlink>
      <w:r w:rsidRPr="005A46BB">
        <w:t xml:space="preserve">”. </w:t>
      </w:r>
      <w:r>
        <w:t>This text will remain in the advance letters.  Additionally, at</w:t>
      </w:r>
      <w:r w:rsidRPr="001E0CFE">
        <w:t xml:space="preserve"> the bottom of the same page, the following text will remain “If you have any questions, please call:”, followed by the FR and FR supervisor contact info, written in.</w:t>
      </w:r>
      <w:r>
        <w:t xml:space="preserve"> This will eliminate the confusion for the respondent by having </w:t>
      </w:r>
      <w:r w:rsidRPr="005A46BB">
        <w:t xml:space="preserve">two points of contact listed on the form, the field representative and BLS. </w:t>
      </w:r>
    </w:p>
    <w:p w:rsidR="001B55AF" w:rsidP="001B55AF" w14:paraId="7D3A523D" w14:textId="77777777">
      <w:pPr>
        <w:tabs>
          <w:tab w:val="left" w:pos="1176"/>
          <w:tab w:val="left" w:pos="1656"/>
          <w:tab w:val="left" w:pos="6696"/>
          <w:tab w:val="left" w:pos="8256"/>
        </w:tabs>
        <w:ind w:left="480"/>
      </w:pPr>
    </w:p>
    <w:p w:rsidR="00E40D09" w:rsidP="00974675" w14:paraId="42EEB2D9" w14:textId="77777777">
      <w:pPr>
        <w:pStyle w:val="BodyTextIndent2"/>
        <w:ind w:left="450"/>
      </w:pPr>
    </w:p>
    <w:p w:rsidR="007F0096" w:rsidRPr="007F0096" w:rsidP="007F0096" w14:paraId="273F20D5" w14:textId="39762AB5">
      <w:pPr>
        <w:ind w:left="480" w:hanging="480"/>
      </w:pPr>
      <w:r w:rsidRPr="00175F43">
        <w:t>16.</w:t>
      </w:r>
      <w:r w:rsidRPr="00175F43">
        <w:tab/>
      </w:r>
      <w:r w:rsidRPr="007F0096">
        <w:rPr>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7F0096">
        <w:t>.</w:t>
      </w:r>
    </w:p>
    <w:p w:rsidR="0017508C" w:rsidP="0017508C" w14:paraId="315C531A" w14:textId="19A7198A">
      <w:pPr>
        <w:ind w:left="480" w:hanging="480"/>
      </w:pPr>
    </w:p>
    <w:p w:rsidR="0017508C" w:rsidRPr="00664D7B" w:rsidP="00664D7B" w14:paraId="275A7B7A" w14:textId="58F16073">
      <w:pPr>
        <w:pStyle w:val="BodyTextIndent2"/>
        <w:ind w:left="450"/>
      </w:pPr>
      <w:r>
        <w:t>Data collection activities for the continuing surveys began in September 1979 for the Diary Survey and in October 1979 for the Quarterly Interview Survey.  The Census Bureau delivered the first edited and weighted data to the BLS in April 1981.  Delivery is now scheduled with Quarterly Interview Survey data to be delivered three weeks after the interview month and Diary Survey data to be delivered two months after the interview month.</w:t>
      </w:r>
    </w:p>
    <w:p w:rsidR="0017508C" w:rsidP="00664D7B" w14:paraId="553FCEE9" w14:textId="77777777">
      <w:pPr>
        <w:pStyle w:val="BodyTextIndent2"/>
        <w:ind w:left="450"/>
      </w:pPr>
    </w:p>
    <w:p w:rsidR="0017508C" w:rsidP="00664D7B" w14:paraId="0BF1A773" w14:textId="77777777">
      <w:pPr>
        <w:pStyle w:val="BodyTextIndent2"/>
        <w:ind w:left="450"/>
      </w:pPr>
      <w:r>
        <w:t>In May 1983, the BLS published the first tables from the continuing CE Surveys and selected data from the 1980</w:t>
      </w:r>
      <w:r>
        <w:noBreakHyphen/>
        <w:t>81 Diary Surveys.  Also, microdata on public use tapes were made available for the first time in June 1983 for the Diary Survey and in October 1984 for the Interview Survey.</w:t>
      </w:r>
    </w:p>
    <w:p w:rsidR="0017508C" w:rsidP="00664D7B" w14:paraId="50B1A258" w14:textId="77777777">
      <w:pPr>
        <w:pStyle w:val="BodyTextIndent2"/>
        <w:ind w:left="450"/>
      </w:pPr>
      <w:bookmarkStart w:id="8" w:name="_Hlk90891389"/>
    </w:p>
    <w:p w:rsidR="00EA13A0" w:rsidP="00EA13A0" w14:paraId="78D1E8B9" w14:textId="77777777">
      <w:pPr>
        <w:pStyle w:val="BodyTextIndent2"/>
        <w:ind w:left="450"/>
      </w:pPr>
      <w:bookmarkStart w:id="9" w:name="_Hlk143155160"/>
      <w:r>
        <w:t>The BLS will release Diary and Quarterly Interview Survey public use microdata for the first half of 2023 in May 2024.  The 2023 annual tabular data and the second half of public use microdata are scheduled to be released in September 2024.</w:t>
      </w:r>
    </w:p>
    <w:bookmarkEnd w:id="8"/>
    <w:bookmarkEnd w:id="9"/>
    <w:p w:rsidR="0028518E" w:rsidRPr="00B36781" w:rsidP="0017508C" w14:paraId="7BF7C4F3" w14:textId="7B3F5874">
      <w:pPr>
        <w:tabs>
          <w:tab w:val="left" w:pos="1176"/>
          <w:tab w:val="left" w:pos="1656"/>
          <w:tab w:val="left" w:pos="5016"/>
          <w:tab w:val="left" w:pos="6696"/>
          <w:tab w:val="left" w:pos="8256"/>
        </w:tabs>
        <w:ind w:left="480" w:hanging="480"/>
      </w:pPr>
    </w:p>
    <w:p w:rsidR="00673B1B" w:rsidRPr="00B36781" w:rsidP="00673B1B" w14:paraId="3452ACC2" w14:textId="77777777">
      <w:pPr>
        <w:pStyle w:val="BodyText"/>
        <w:tabs>
          <w:tab w:val="left" w:pos="720"/>
          <w:tab w:val="clear" w:pos="1176"/>
          <w:tab w:val="clear" w:pos="1656"/>
          <w:tab w:val="clear" w:pos="6696"/>
          <w:tab w:val="clear" w:pos="8256"/>
        </w:tabs>
        <w:ind w:left="540"/>
        <w:rPr>
          <w:szCs w:val="24"/>
        </w:rPr>
      </w:pPr>
    </w:p>
    <w:p w:rsidR="007F0096" w:rsidRPr="007F0096" w:rsidP="00E570DF" w14:paraId="68AAB7BB" w14:textId="26FB05C8">
      <w:pPr>
        <w:pStyle w:val="Title"/>
        <w:ind w:left="475" w:hanging="475"/>
        <w:jc w:val="left"/>
        <w:outlineLvl w:val="9"/>
        <w:rPr>
          <w:b/>
          <w:bCs/>
        </w:rPr>
      </w:pPr>
      <w:r w:rsidRPr="00B36781">
        <w:rPr>
          <w:szCs w:val="24"/>
        </w:rPr>
        <w:t xml:space="preserve">17.  </w:t>
      </w:r>
      <w:r w:rsidRPr="007F0096">
        <w:rPr>
          <w:b/>
          <w:bCs/>
        </w:rPr>
        <w:t>If seeking approval to not display the expiration date for OMB approval of the information collection, explain the reasons that display would be inappropriate.</w:t>
      </w:r>
    </w:p>
    <w:p w:rsidR="00673B1B" w:rsidRPr="00B36781" w:rsidP="00B36781" w14:paraId="62BA4E8A" w14:textId="3F0E08E0">
      <w:pPr>
        <w:pStyle w:val="Title"/>
        <w:ind w:left="450" w:hanging="450"/>
        <w:jc w:val="left"/>
        <w:rPr>
          <w:szCs w:val="24"/>
        </w:rPr>
      </w:pPr>
      <w:r>
        <w:br/>
      </w:r>
      <w:r w:rsidRPr="00B36781">
        <w:rPr>
          <w:szCs w:val="24"/>
        </w:rPr>
        <w:t xml:space="preserve">The BLS </w:t>
      </w:r>
      <w:r w:rsidRPr="00B36781" w:rsidR="00017D68">
        <w:rPr>
          <w:szCs w:val="24"/>
        </w:rPr>
        <w:t>requests not</w:t>
      </w:r>
      <w:r w:rsidRPr="00B36781">
        <w:rPr>
          <w:szCs w:val="24"/>
        </w:rPr>
        <w:t xml:space="preserve"> to display the expiration date of the information collection because the Quarterly Interview and the Diary Household Characteristics instruments are automated; the respondent, therefore, never sees the date.  The OMB control number for the CE Surveys is included in the advance letter given to respondents</w:t>
      </w:r>
      <w:r w:rsidRPr="00B36781" w:rsidR="001D557B">
        <w:rPr>
          <w:szCs w:val="24"/>
        </w:rPr>
        <w:t xml:space="preserve"> </w:t>
      </w:r>
      <w:r w:rsidRPr="00B36781">
        <w:rPr>
          <w:szCs w:val="24"/>
        </w:rPr>
        <w:t xml:space="preserve">(see Attachment </w:t>
      </w:r>
      <w:r w:rsidR="006D1BB3">
        <w:rPr>
          <w:szCs w:val="24"/>
        </w:rPr>
        <w:t>E</w:t>
      </w:r>
      <w:r w:rsidRPr="00B36781">
        <w:rPr>
          <w:szCs w:val="24"/>
        </w:rPr>
        <w:t>).  For the Diary CE-801 there is a significant costs savings in printing a large quantity of forms at one time due to the set up costs involved in printing for the survey instrument.  By not printing the date on the form the BLS w</w:t>
      </w:r>
      <w:r w:rsidRPr="00B36781" w:rsidR="004A1DD4">
        <w:rPr>
          <w:szCs w:val="24"/>
        </w:rPr>
        <w:t>ill</w:t>
      </w:r>
      <w:r w:rsidRPr="00B36781">
        <w:rPr>
          <w:szCs w:val="24"/>
        </w:rPr>
        <w:t xml:space="preserve"> be able to continue to use forms in stock, assuming no form changes, once the OMB clearance date has expired and a new expiration date has been approved.  The BLS would save both time and money by not having to destroy the old questionnaires and </w:t>
      </w:r>
      <w:r w:rsidRPr="00B36781" w:rsidR="00475B5E">
        <w:rPr>
          <w:szCs w:val="24"/>
        </w:rPr>
        <w:t>printing new ones</w:t>
      </w:r>
      <w:r w:rsidRPr="00B36781">
        <w:rPr>
          <w:szCs w:val="24"/>
        </w:rPr>
        <w:t>.</w:t>
      </w:r>
      <w:r w:rsidRPr="00B36781">
        <w:rPr>
          <w:szCs w:val="24"/>
        </w:rPr>
        <w:br/>
      </w:r>
    </w:p>
    <w:p w:rsidR="007F0096" w:rsidRPr="007F0096" w:rsidP="007F0096" w14:paraId="3CDFCB87" w14:textId="57F4DF90">
      <w:pPr>
        <w:tabs>
          <w:tab w:val="left" w:pos="1176"/>
          <w:tab w:val="left" w:pos="1656"/>
          <w:tab w:val="left" w:pos="5016"/>
          <w:tab w:val="left" w:pos="6696"/>
          <w:tab w:val="left" w:pos="8256"/>
        </w:tabs>
        <w:ind w:left="480" w:hanging="480"/>
        <w:rPr>
          <w:b/>
        </w:rPr>
      </w:pPr>
      <w:r>
        <w:t xml:space="preserve">18.   </w:t>
      </w:r>
      <w:r w:rsidRPr="007F0096">
        <w:rPr>
          <w:b/>
        </w:rPr>
        <w:t>Explain each exception to the certification statement.</w:t>
      </w:r>
    </w:p>
    <w:p w:rsidR="007801DB" w:rsidP="005E2032" w14:paraId="2063E997" w14:textId="6EFAC356">
      <w:pPr>
        <w:tabs>
          <w:tab w:val="left" w:pos="1176"/>
          <w:tab w:val="left" w:pos="1656"/>
          <w:tab w:val="left" w:pos="5016"/>
          <w:tab w:val="left" w:pos="6696"/>
          <w:tab w:val="left" w:pos="8256"/>
        </w:tabs>
        <w:ind w:left="480" w:hanging="480"/>
      </w:pPr>
      <w:r>
        <w:br/>
      </w:r>
      <w:r w:rsidR="00673B1B">
        <w:t>There are no exceptions to the certification statement.</w:t>
      </w:r>
    </w:p>
    <w:sectPr w:rsidSect="00B0054D">
      <w:headerReference w:type="default" r:id="rId7"/>
      <w:footerReference w:type="even" r:id="rId8"/>
      <w:footerReference w:type="default" r:id="rId9"/>
      <w:pgSz w:w="12240" w:h="15840" w:code="1"/>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97C" w14:paraId="640592E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31C53">
      <w:rPr>
        <w:rStyle w:val="PageNumber"/>
      </w:rPr>
      <w:fldChar w:fldCharType="separate"/>
    </w:r>
    <w:r>
      <w:rPr>
        <w:rStyle w:val="PageNumber"/>
      </w:rPr>
      <w:fldChar w:fldCharType="end"/>
    </w:r>
  </w:p>
  <w:p w:rsidR="002D297C" w14:paraId="44E0C7A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97C" w14:paraId="7E322FC9" w14:textId="77777777">
    <w:pPr>
      <w:pStyle w:val="Footer"/>
      <w:framePr w:wrap="around" w:vAnchor="text" w:hAnchor="margin" w:xAlign="center" w:y="1"/>
      <w:rPr>
        <w:rStyle w:val="PageNumber"/>
        <w:rFonts w:ascii="Courier" w:hAnsi="Courier"/>
        <w:sz w:val="24"/>
      </w:rPr>
    </w:pPr>
    <w:r>
      <w:rPr>
        <w:rStyle w:val="PageNumber"/>
        <w:rFonts w:ascii="Courier" w:hAnsi="Courier"/>
        <w:sz w:val="24"/>
      </w:rPr>
      <w:fldChar w:fldCharType="begin"/>
    </w:r>
    <w:r>
      <w:rPr>
        <w:rStyle w:val="PageNumber"/>
        <w:rFonts w:ascii="Courier" w:hAnsi="Courier"/>
        <w:sz w:val="24"/>
      </w:rPr>
      <w:instrText xml:space="preserve">PAGE  </w:instrText>
    </w:r>
    <w:r>
      <w:rPr>
        <w:rStyle w:val="PageNumber"/>
        <w:rFonts w:ascii="Courier" w:hAnsi="Courier"/>
        <w:sz w:val="24"/>
      </w:rPr>
      <w:fldChar w:fldCharType="separate"/>
    </w:r>
    <w:r w:rsidR="009A1DA6">
      <w:rPr>
        <w:rStyle w:val="PageNumber"/>
        <w:rFonts w:ascii="Courier" w:hAnsi="Courier"/>
        <w:noProof/>
        <w:sz w:val="24"/>
      </w:rPr>
      <w:t>15</w:t>
    </w:r>
    <w:r>
      <w:rPr>
        <w:rStyle w:val="PageNumber"/>
        <w:rFonts w:ascii="Courier" w:hAnsi="Courier"/>
        <w:sz w:val="24"/>
      </w:rPr>
      <w:fldChar w:fldCharType="end"/>
    </w:r>
  </w:p>
  <w:p w:rsidR="002D297C" w14:paraId="66601CC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97C" w14:paraId="546722D0" w14:textId="252D652A">
    <w:pPr>
      <w:pStyle w:val="Header"/>
    </w:pPr>
    <w:r>
      <w:t>Consumer Expenditure Surveys</w:t>
    </w:r>
  </w:p>
  <w:p w:rsidR="002D297C" w14:paraId="633DB503" w14:textId="5680C013">
    <w:pPr>
      <w:pStyle w:val="Header"/>
    </w:pPr>
    <w:r>
      <w:t>OMB Control Number</w:t>
    </w:r>
    <w:r w:rsidR="00161E6F">
      <w:t>:</w:t>
    </w:r>
    <w:r>
      <w:t xml:space="preserve"> 1220-0050</w:t>
    </w:r>
  </w:p>
  <w:p w:rsidR="002D297C" w14:paraId="04D8F4BD" w14:textId="18773ED6">
    <w:pPr>
      <w:pStyle w:val="Header"/>
    </w:pPr>
    <w:r>
      <w:t>OMB Expiration Date:</w:t>
    </w:r>
    <w:r w:rsidR="00926F7C">
      <w:t xml:space="preserve"> </w:t>
    </w:r>
    <w:r w:rsidR="00C04145">
      <w:t>March 31, 2027</w:t>
    </w:r>
  </w:p>
  <w:p w:rsidR="002D297C" w14:paraId="12BE54A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B42D1"/>
    <w:multiLevelType w:val="hybridMultilevel"/>
    <w:tmpl w:val="0A92F046"/>
    <w:lvl w:ilvl="0">
      <w:start w:val="1"/>
      <w:numFmt w:val="decimal"/>
      <w:lvlText w:val="%1."/>
      <w:lvlJc w:val="left"/>
      <w:pPr>
        <w:tabs>
          <w:tab w:val="num" w:pos="1200"/>
        </w:tabs>
        <w:ind w:left="1200" w:hanging="360"/>
      </w:pPr>
    </w:lvl>
    <w:lvl w:ilvl="1" w:tentative="1">
      <w:start w:val="1"/>
      <w:numFmt w:val="lowerLetter"/>
      <w:lvlText w:val="%2."/>
      <w:lvlJc w:val="left"/>
      <w:pPr>
        <w:tabs>
          <w:tab w:val="num" w:pos="1920"/>
        </w:tabs>
        <w:ind w:left="1920" w:hanging="360"/>
      </w:pPr>
    </w:lvl>
    <w:lvl w:ilvl="2" w:tentative="1">
      <w:start w:val="1"/>
      <w:numFmt w:val="lowerRoman"/>
      <w:lvlText w:val="%3."/>
      <w:lvlJc w:val="right"/>
      <w:pPr>
        <w:tabs>
          <w:tab w:val="num" w:pos="2640"/>
        </w:tabs>
        <w:ind w:left="2640" w:hanging="180"/>
      </w:pPr>
    </w:lvl>
    <w:lvl w:ilvl="3" w:tentative="1">
      <w:start w:val="1"/>
      <w:numFmt w:val="decimal"/>
      <w:lvlText w:val="%4."/>
      <w:lvlJc w:val="left"/>
      <w:pPr>
        <w:tabs>
          <w:tab w:val="num" w:pos="3360"/>
        </w:tabs>
        <w:ind w:left="3360" w:hanging="360"/>
      </w:pPr>
    </w:lvl>
    <w:lvl w:ilvl="4" w:tentative="1">
      <w:start w:val="1"/>
      <w:numFmt w:val="lowerLetter"/>
      <w:lvlText w:val="%5."/>
      <w:lvlJc w:val="left"/>
      <w:pPr>
        <w:tabs>
          <w:tab w:val="num" w:pos="4080"/>
        </w:tabs>
        <w:ind w:left="4080" w:hanging="360"/>
      </w:pPr>
    </w:lvl>
    <w:lvl w:ilvl="5" w:tentative="1">
      <w:start w:val="1"/>
      <w:numFmt w:val="lowerRoman"/>
      <w:lvlText w:val="%6."/>
      <w:lvlJc w:val="right"/>
      <w:pPr>
        <w:tabs>
          <w:tab w:val="num" w:pos="4800"/>
        </w:tabs>
        <w:ind w:left="4800" w:hanging="180"/>
      </w:pPr>
    </w:lvl>
    <w:lvl w:ilvl="6" w:tentative="1">
      <w:start w:val="1"/>
      <w:numFmt w:val="decimal"/>
      <w:lvlText w:val="%7."/>
      <w:lvlJc w:val="left"/>
      <w:pPr>
        <w:tabs>
          <w:tab w:val="num" w:pos="5520"/>
        </w:tabs>
        <w:ind w:left="5520" w:hanging="360"/>
      </w:pPr>
    </w:lvl>
    <w:lvl w:ilvl="7" w:tentative="1">
      <w:start w:val="1"/>
      <w:numFmt w:val="lowerLetter"/>
      <w:lvlText w:val="%8."/>
      <w:lvlJc w:val="left"/>
      <w:pPr>
        <w:tabs>
          <w:tab w:val="num" w:pos="6240"/>
        </w:tabs>
        <w:ind w:left="6240" w:hanging="360"/>
      </w:pPr>
    </w:lvl>
    <w:lvl w:ilvl="8" w:tentative="1">
      <w:start w:val="1"/>
      <w:numFmt w:val="lowerRoman"/>
      <w:lvlText w:val="%9."/>
      <w:lvlJc w:val="right"/>
      <w:pPr>
        <w:tabs>
          <w:tab w:val="num" w:pos="6960"/>
        </w:tabs>
        <w:ind w:left="6960" w:hanging="180"/>
      </w:pPr>
    </w:lvl>
  </w:abstractNum>
  <w:abstractNum w:abstractNumId="1">
    <w:nsid w:val="070741A2"/>
    <w:multiLevelType w:val="hybridMultilevel"/>
    <w:tmpl w:val="699A93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4861A1"/>
    <w:multiLevelType w:val="hybridMultilevel"/>
    <w:tmpl w:val="80746E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AD711B3"/>
    <w:multiLevelType w:val="singleLevel"/>
    <w:tmpl w:val="79008246"/>
    <w:lvl w:ilvl="0">
      <w:start w:val="1"/>
      <w:numFmt w:val="upperLetter"/>
      <w:lvlText w:val="%1."/>
      <w:lvlJc w:val="left"/>
      <w:pPr>
        <w:tabs>
          <w:tab w:val="num" w:pos="720"/>
        </w:tabs>
        <w:ind w:left="720" w:hanging="720"/>
      </w:pPr>
      <w:rPr>
        <w:rFonts w:hint="default"/>
      </w:rPr>
    </w:lvl>
  </w:abstractNum>
  <w:abstractNum w:abstractNumId="4">
    <w:nsid w:val="0CCE70F1"/>
    <w:multiLevelType w:val="hybridMultilevel"/>
    <w:tmpl w:val="24BE169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0D423E13"/>
    <w:multiLevelType w:val="hybridMultilevel"/>
    <w:tmpl w:val="298AD7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63C2E55"/>
    <w:multiLevelType w:val="singleLevel"/>
    <w:tmpl w:val="284A1CC4"/>
    <w:lvl w:ilvl="0">
      <w:start w:val="1"/>
      <w:numFmt w:val="decimal"/>
      <w:lvlText w:val="%1."/>
      <w:lvlJc w:val="left"/>
      <w:pPr>
        <w:tabs>
          <w:tab w:val="num" w:pos="480"/>
        </w:tabs>
        <w:ind w:left="480" w:hanging="480"/>
      </w:pPr>
      <w:rPr>
        <w:rFonts w:hint="default"/>
        <w:u w:val="none"/>
      </w:rPr>
    </w:lvl>
  </w:abstractNum>
  <w:abstractNum w:abstractNumId="7">
    <w:nsid w:val="1A0D19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A804DC5"/>
    <w:multiLevelType w:val="hybridMultilevel"/>
    <w:tmpl w:val="8CE47A98"/>
    <w:lvl w:ilvl="0">
      <w:start w:val="1"/>
      <w:numFmt w:val="decimal"/>
      <w:lvlText w:val="%1)"/>
      <w:lvlJc w:val="left"/>
      <w:pPr>
        <w:tabs>
          <w:tab w:val="num" w:pos="840"/>
        </w:tabs>
        <w:ind w:left="8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B247553"/>
    <w:multiLevelType w:val="hybridMultilevel"/>
    <w:tmpl w:val="47FA9F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B8F748C"/>
    <w:multiLevelType w:val="singleLevel"/>
    <w:tmpl w:val="B8ECE3DC"/>
    <w:lvl w:ilvl="0">
      <w:start w:val="1"/>
      <w:numFmt w:val="decimal"/>
      <w:lvlText w:val="%1."/>
      <w:lvlJc w:val="left"/>
      <w:pPr>
        <w:tabs>
          <w:tab w:val="num" w:pos="504"/>
        </w:tabs>
        <w:ind w:left="504" w:hanging="504"/>
      </w:pPr>
      <w:rPr>
        <w:b w:val="0"/>
        <w:i w:val="0"/>
      </w:rPr>
    </w:lvl>
  </w:abstractNum>
  <w:abstractNum w:abstractNumId="11">
    <w:nsid w:val="1BB8206B"/>
    <w:multiLevelType w:val="hybridMultilevel"/>
    <w:tmpl w:val="A3D22AFA"/>
    <w:lvl w:ilvl="0">
      <w:start w:val="17"/>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C337A68"/>
    <w:multiLevelType w:val="singleLevel"/>
    <w:tmpl w:val="0409000F"/>
    <w:lvl w:ilvl="0">
      <w:start w:val="1"/>
      <w:numFmt w:val="decimal"/>
      <w:lvlText w:val="%1."/>
      <w:lvlJc w:val="left"/>
      <w:pPr>
        <w:tabs>
          <w:tab w:val="num" w:pos="360"/>
        </w:tabs>
        <w:ind w:left="360" w:hanging="360"/>
      </w:pPr>
    </w:lvl>
  </w:abstractNum>
  <w:abstractNum w:abstractNumId="13">
    <w:nsid w:val="1ECE6C43"/>
    <w:multiLevelType w:val="hybridMultilevel"/>
    <w:tmpl w:val="18666F70"/>
    <w:lvl w:ilvl="0">
      <w:start w:val="1"/>
      <w:numFmt w:val="decimal"/>
      <w:lvlText w:val="%1)"/>
      <w:lvlJc w:val="left"/>
      <w:pPr>
        <w:tabs>
          <w:tab w:val="num" w:pos="840"/>
        </w:tabs>
        <w:ind w:left="840" w:hanging="360"/>
      </w:pPr>
      <w:rPr>
        <w:rFonts w:hint="default"/>
      </w:rPr>
    </w:lvl>
    <w:lvl w:ilvl="1" w:tentative="1">
      <w:start w:val="1"/>
      <w:numFmt w:val="bullet"/>
      <w:lvlText w:val="o"/>
      <w:lvlJc w:val="left"/>
      <w:pPr>
        <w:tabs>
          <w:tab w:val="num" w:pos="1920"/>
        </w:tabs>
        <w:ind w:left="1920" w:hanging="360"/>
      </w:pPr>
      <w:rPr>
        <w:rFonts w:ascii="Courier New" w:hAnsi="Courier New" w:cs="Courier New" w:hint="default"/>
      </w:rPr>
    </w:lvl>
    <w:lvl w:ilvl="2" w:tentative="1">
      <w:start w:val="1"/>
      <w:numFmt w:val="bullet"/>
      <w:lvlText w:val=""/>
      <w:lvlJc w:val="left"/>
      <w:pPr>
        <w:tabs>
          <w:tab w:val="num" w:pos="2640"/>
        </w:tabs>
        <w:ind w:left="2640" w:hanging="360"/>
      </w:pPr>
      <w:rPr>
        <w:rFonts w:ascii="Wingdings" w:hAnsi="Wingdings" w:hint="default"/>
      </w:rPr>
    </w:lvl>
    <w:lvl w:ilvl="3" w:tentative="1">
      <w:start w:val="1"/>
      <w:numFmt w:val="bullet"/>
      <w:lvlText w:val=""/>
      <w:lvlJc w:val="left"/>
      <w:pPr>
        <w:tabs>
          <w:tab w:val="num" w:pos="3360"/>
        </w:tabs>
        <w:ind w:left="3360" w:hanging="360"/>
      </w:pPr>
      <w:rPr>
        <w:rFonts w:ascii="Symbol" w:hAnsi="Symbol" w:hint="default"/>
      </w:rPr>
    </w:lvl>
    <w:lvl w:ilvl="4" w:tentative="1">
      <w:start w:val="1"/>
      <w:numFmt w:val="bullet"/>
      <w:lvlText w:val="o"/>
      <w:lvlJc w:val="left"/>
      <w:pPr>
        <w:tabs>
          <w:tab w:val="num" w:pos="4080"/>
        </w:tabs>
        <w:ind w:left="4080" w:hanging="360"/>
      </w:pPr>
      <w:rPr>
        <w:rFonts w:ascii="Courier New" w:hAnsi="Courier New" w:cs="Courier New" w:hint="default"/>
      </w:rPr>
    </w:lvl>
    <w:lvl w:ilvl="5" w:tentative="1">
      <w:start w:val="1"/>
      <w:numFmt w:val="bullet"/>
      <w:lvlText w:val=""/>
      <w:lvlJc w:val="left"/>
      <w:pPr>
        <w:tabs>
          <w:tab w:val="num" w:pos="4800"/>
        </w:tabs>
        <w:ind w:left="4800" w:hanging="360"/>
      </w:pPr>
      <w:rPr>
        <w:rFonts w:ascii="Wingdings" w:hAnsi="Wingdings" w:hint="default"/>
      </w:rPr>
    </w:lvl>
    <w:lvl w:ilvl="6" w:tentative="1">
      <w:start w:val="1"/>
      <w:numFmt w:val="bullet"/>
      <w:lvlText w:val=""/>
      <w:lvlJc w:val="left"/>
      <w:pPr>
        <w:tabs>
          <w:tab w:val="num" w:pos="5520"/>
        </w:tabs>
        <w:ind w:left="5520" w:hanging="360"/>
      </w:pPr>
      <w:rPr>
        <w:rFonts w:ascii="Symbol" w:hAnsi="Symbol" w:hint="default"/>
      </w:rPr>
    </w:lvl>
    <w:lvl w:ilvl="7" w:tentative="1">
      <w:start w:val="1"/>
      <w:numFmt w:val="bullet"/>
      <w:lvlText w:val="o"/>
      <w:lvlJc w:val="left"/>
      <w:pPr>
        <w:tabs>
          <w:tab w:val="num" w:pos="6240"/>
        </w:tabs>
        <w:ind w:left="6240" w:hanging="360"/>
      </w:pPr>
      <w:rPr>
        <w:rFonts w:ascii="Courier New" w:hAnsi="Courier New" w:cs="Courier New" w:hint="default"/>
      </w:rPr>
    </w:lvl>
    <w:lvl w:ilvl="8" w:tentative="1">
      <w:start w:val="1"/>
      <w:numFmt w:val="bullet"/>
      <w:lvlText w:val=""/>
      <w:lvlJc w:val="left"/>
      <w:pPr>
        <w:tabs>
          <w:tab w:val="num" w:pos="6960"/>
        </w:tabs>
        <w:ind w:left="6960" w:hanging="360"/>
      </w:pPr>
      <w:rPr>
        <w:rFonts w:ascii="Wingdings" w:hAnsi="Wingdings" w:hint="default"/>
      </w:rPr>
    </w:lvl>
  </w:abstractNum>
  <w:abstractNum w:abstractNumId="14">
    <w:nsid w:val="20AE7028"/>
    <w:multiLevelType w:val="singleLevel"/>
    <w:tmpl w:val="DC8EC006"/>
    <w:lvl w:ilvl="0">
      <w:start w:val="12"/>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5">
    <w:nsid w:val="21630EF6"/>
    <w:multiLevelType w:val="singleLevel"/>
    <w:tmpl w:val="284A1CC4"/>
    <w:lvl w:ilvl="0">
      <w:start w:val="17"/>
      <w:numFmt w:val="decimal"/>
      <w:lvlText w:val="%1."/>
      <w:lvlJc w:val="left"/>
      <w:pPr>
        <w:tabs>
          <w:tab w:val="num" w:pos="480"/>
        </w:tabs>
        <w:ind w:left="480" w:hanging="480"/>
      </w:pPr>
      <w:rPr>
        <w:rFonts w:hint="default"/>
      </w:rPr>
    </w:lvl>
  </w:abstractNum>
  <w:abstractNum w:abstractNumId="16">
    <w:nsid w:val="22F0141B"/>
    <w:multiLevelType w:val="singleLevel"/>
    <w:tmpl w:val="449A47FE"/>
    <w:lvl w:ilvl="0">
      <w:start w:val="1"/>
      <w:numFmt w:val="decimal"/>
      <w:lvlText w:val="%1"/>
      <w:lvlJc w:val="left"/>
      <w:pPr>
        <w:tabs>
          <w:tab w:val="num" w:pos="936"/>
        </w:tabs>
        <w:ind w:left="0" w:firstLine="576"/>
      </w:pPr>
      <w:rPr>
        <w:b w:val="0"/>
        <w:i w:val="0"/>
      </w:rPr>
    </w:lvl>
  </w:abstractNum>
  <w:abstractNum w:abstractNumId="17">
    <w:nsid w:val="243114B6"/>
    <w:multiLevelType w:val="hybridMultilevel"/>
    <w:tmpl w:val="0B68DB82"/>
    <w:lvl w:ilvl="0">
      <w:start w:val="1"/>
      <w:numFmt w:val="decimal"/>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18">
    <w:nsid w:val="24A579BD"/>
    <w:multiLevelType w:val="singleLevel"/>
    <w:tmpl w:val="4F42F6E6"/>
    <w:lvl w:ilvl="0">
      <w:start w:val="18"/>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9">
    <w:nsid w:val="250E3660"/>
    <w:multiLevelType w:val="hybridMultilevel"/>
    <w:tmpl w:val="6290C136"/>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0">
    <w:nsid w:val="28132369"/>
    <w:multiLevelType w:val="hybridMultilevel"/>
    <w:tmpl w:val="7BE8E78E"/>
    <w:lvl w:ilvl="0">
      <w:start w:val="9"/>
      <w:numFmt w:val="decimal"/>
      <w:lvlText w:val="%1."/>
      <w:lvlJc w:val="left"/>
      <w:pPr>
        <w:tabs>
          <w:tab w:val="num" w:pos="1335"/>
        </w:tabs>
        <w:ind w:left="1335"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2D025DA2"/>
    <w:multiLevelType w:val="hybridMultilevel"/>
    <w:tmpl w:val="8FD8E7D4"/>
    <w:lvl w:ilvl="0">
      <w:start w:val="1"/>
      <w:numFmt w:val="decimal"/>
      <w:lvlText w:val="%1)"/>
      <w:lvlJc w:val="left"/>
      <w:pPr>
        <w:tabs>
          <w:tab w:val="num" w:pos="840"/>
        </w:tabs>
        <w:ind w:left="8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2F8D61B2"/>
    <w:multiLevelType w:val="hybridMultilevel"/>
    <w:tmpl w:val="08005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016740B"/>
    <w:multiLevelType w:val="hybridMultilevel"/>
    <w:tmpl w:val="56EE6406"/>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0B5456B"/>
    <w:multiLevelType w:val="hybridMultilevel"/>
    <w:tmpl w:val="9EF0C9EE"/>
    <w:lvl w:ilvl="0">
      <w:start w:val="1"/>
      <w:numFmt w:val="decimal"/>
      <w:lvlText w:val="%1)"/>
      <w:lvlJc w:val="left"/>
      <w:pPr>
        <w:tabs>
          <w:tab w:val="num" w:pos="840"/>
        </w:tabs>
        <w:ind w:left="8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31763B42"/>
    <w:multiLevelType w:val="hybridMultilevel"/>
    <w:tmpl w:val="3F0C16D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nsid w:val="326214EB"/>
    <w:multiLevelType w:val="hybridMultilevel"/>
    <w:tmpl w:val="611A97A4"/>
    <w:lvl w:ilvl="0">
      <w:start w:val="15"/>
      <w:numFmt w:val="decimal"/>
      <w:lvlText w:val="%1."/>
      <w:lvlJc w:val="left"/>
      <w:pPr>
        <w:ind w:left="450" w:hanging="360"/>
      </w:pPr>
      <w:rPr>
        <w:rFonts w:hint="default"/>
        <w:b w:val="0"/>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7">
    <w:nsid w:val="326F0F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351E0509"/>
    <w:multiLevelType w:val="singleLevel"/>
    <w:tmpl w:val="0409000F"/>
    <w:lvl w:ilvl="0">
      <w:start w:val="1"/>
      <w:numFmt w:val="decimal"/>
      <w:lvlText w:val="%1."/>
      <w:lvlJc w:val="left"/>
      <w:pPr>
        <w:tabs>
          <w:tab w:val="num" w:pos="360"/>
        </w:tabs>
        <w:ind w:left="360" w:hanging="360"/>
      </w:pPr>
    </w:lvl>
  </w:abstractNum>
  <w:abstractNum w:abstractNumId="29">
    <w:nsid w:val="35C037AA"/>
    <w:multiLevelType w:val="hybridMultilevel"/>
    <w:tmpl w:val="75C46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3C6660A4"/>
    <w:multiLevelType w:val="hybridMultilevel"/>
    <w:tmpl w:val="FDB81374"/>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DD855AD"/>
    <w:multiLevelType w:val="hybridMultilevel"/>
    <w:tmpl w:val="1F30F644"/>
    <w:lvl w:ilvl="0">
      <w:start w:val="1"/>
      <w:numFmt w:val="bullet"/>
      <w:lvlText w:val=""/>
      <w:lvlJc w:val="left"/>
      <w:pPr>
        <w:tabs>
          <w:tab w:val="num" w:pos="1200"/>
        </w:tabs>
        <w:ind w:left="1200" w:hanging="360"/>
      </w:pPr>
      <w:rPr>
        <w:rFonts w:ascii="Symbol" w:hAnsi="Symbol" w:hint="default"/>
      </w:rPr>
    </w:lvl>
    <w:lvl w:ilvl="1" w:tentative="1">
      <w:start w:val="1"/>
      <w:numFmt w:val="bullet"/>
      <w:lvlText w:val="o"/>
      <w:lvlJc w:val="left"/>
      <w:pPr>
        <w:tabs>
          <w:tab w:val="num" w:pos="1920"/>
        </w:tabs>
        <w:ind w:left="1920" w:hanging="360"/>
      </w:pPr>
      <w:rPr>
        <w:rFonts w:ascii="Courier New" w:hAnsi="Courier New" w:cs="Courier New" w:hint="default"/>
      </w:rPr>
    </w:lvl>
    <w:lvl w:ilvl="2" w:tentative="1">
      <w:start w:val="1"/>
      <w:numFmt w:val="bullet"/>
      <w:lvlText w:val=""/>
      <w:lvlJc w:val="left"/>
      <w:pPr>
        <w:tabs>
          <w:tab w:val="num" w:pos="2640"/>
        </w:tabs>
        <w:ind w:left="2640" w:hanging="360"/>
      </w:pPr>
      <w:rPr>
        <w:rFonts w:ascii="Wingdings" w:hAnsi="Wingdings" w:hint="default"/>
      </w:rPr>
    </w:lvl>
    <w:lvl w:ilvl="3" w:tentative="1">
      <w:start w:val="1"/>
      <w:numFmt w:val="bullet"/>
      <w:lvlText w:val=""/>
      <w:lvlJc w:val="left"/>
      <w:pPr>
        <w:tabs>
          <w:tab w:val="num" w:pos="3360"/>
        </w:tabs>
        <w:ind w:left="3360" w:hanging="360"/>
      </w:pPr>
      <w:rPr>
        <w:rFonts w:ascii="Symbol" w:hAnsi="Symbol" w:hint="default"/>
      </w:rPr>
    </w:lvl>
    <w:lvl w:ilvl="4" w:tentative="1">
      <w:start w:val="1"/>
      <w:numFmt w:val="bullet"/>
      <w:lvlText w:val="o"/>
      <w:lvlJc w:val="left"/>
      <w:pPr>
        <w:tabs>
          <w:tab w:val="num" w:pos="4080"/>
        </w:tabs>
        <w:ind w:left="4080" w:hanging="360"/>
      </w:pPr>
      <w:rPr>
        <w:rFonts w:ascii="Courier New" w:hAnsi="Courier New" w:cs="Courier New" w:hint="default"/>
      </w:rPr>
    </w:lvl>
    <w:lvl w:ilvl="5" w:tentative="1">
      <w:start w:val="1"/>
      <w:numFmt w:val="bullet"/>
      <w:lvlText w:val=""/>
      <w:lvlJc w:val="left"/>
      <w:pPr>
        <w:tabs>
          <w:tab w:val="num" w:pos="4800"/>
        </w:tabs>
        <w:ind w:left="4800" w:hanging="360"/>
      </w:pPr>
      <w:rPr>
        <w:rFonts w:ascii="Wingdings" w:hAnsi="Wingdings" w:hint="default"/>
      </w:rPr>
    </w:lvl>
    <w:lvl w:ilvl="6" w:tentative="1">
      <w:start w:val="1"/>
      <w:numFmt w:val="bullet"/>
      <w:lvlText w:val=""/>
      <w:lvlJc w:val="left"/>
      <w:pPr>
        <w:tabs>
          <w:tab w:val="num" w:pos="5520"/>
        </w:tabs>
        <w:ind w:left="5520" w:hanging="360"/>
      </w:pPr>
      <w:rPr>
        <w:rFonts w:ascii="Symbol" w:hAnsi="Symbol" w:hint="default"/>
      </w:rPr>
    </w:lvl>
    <w:lvl w:ilvl="7" w:tentative="1">
      <w:start w:val="1"/>
      <w:numFmt w:val="bullet"/>
      <w:lvlText w:val="o"/>
      <w:lvlJc w:val="left"/>
      <w:pPr>
        <w:tabs>
          <w:tab w:val="num" w:pos="6240"/>
        </w:tabs>
        <w:ind w:left="6240" w:hanging="360"/>
      </w:pPr>
      <w:rPr>
        <w:rFonts w:ascii="Courier New" w:hAnsi="Courier New" w:cs="Courier New" w:hint="default"/>
      </w:rPr>
    </w:lvl>
    <w:lvl w:ilvl="8" w:tentative="1">
      <w:start w:val="1"/>
      <w:numFmt w:val="bullet"/>
      <w:lvlText w:val=""/>
      <w:lvlJc w:val="left"/>
      <w:pPr>
        <w:tabs>
          <w:tab w:val="num" w:pos="6960"/>
        </w:tabs>
        <w:ind w:left="6960" w:hanging="360"/>
      </w:pPr>
      <w:rPr>
        <w:rFonts w:ascii="Wingdings" w:hAnsi="Wingdings" w:hint="default"/>
      </w:rPr>
    </w:lvl>
  </w:abstractNum>
  <w:abstractNum w:abstractNumId="32">
    <w:nsid w:val="418D074F"/>
    <w:multiLevelType w:val="singleLevel"/>
    <w:tmpl w:val="969C5AF4"/>
    <w:lvl w:ilvl="0">
      <w:start w:val="15"/>
      <w:numFmt w:val="none"/>
      <w:lvlText w:val="15"/>
      <w:lvlJc w:val="left"/>
      <w:pPr>
        <w:tabs>
          <w:tab w:val="num" w:pos="450"/>
        </w:tabs>
        <w:ind w:left="450" w:hanging="450"/>
      </w:pPr>
      <w:rPr>
        <w:rFonts w:hint="default"/>
      </w:rPr>
    </w:lvl>
  </w:abstractNum>
  <w:abstractNum w:abstractNumId="33">
    <w:nsid w:val="42D92FB1"/>
    <w:multiLevelType w:val="hybridMultilevel"/>
    <w:tmpl w:val="8B804170"/>
    <w:lvl w:ilvl="0">
      <w:start w:val="1"/>
      <w:numFmt w:val="decimal"/>
      <w:lvlText w:val="%1."/>
      <w:lvlJc w:val="left"/>
      <w:pPr>
        <w:tabs>
          <w:tab w:val="num" w:pos="1170"/>
        </w:tabs>
        <w:ind w:left="1170" w:hanging="6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472F0B34"/>
    <w:multiLevelType w:val="hybridMultilevel"/>
    <w:tmpl w:val="D8FAAD5C"/>
    <w:lvl w:ilvl="0">
      <w:start w:val="1"/>
      <w:numFmt w:val="decimal"/>
      <w:lvlText w:val="%1)"/>
      <w:lvlJc w:val="left"/>
      <w:pPr>
        <w:tabs>
          <w:tab w:val="num" w:pos="840"/>
        </w:tabs>
        <w:ind w:left="8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4D7A10A6"/>
    <w:multiLevelType w:val="hybridMultilevel"/>
    <w:tmpl w:val="76DE89D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6">
    <w:nsid w:val="4F507306"/>
    <w:multiLevelType w:val="hybridMultilevel"/>
    <w:tmpl w:val="324E44F8"/>
    <w:lvl w:ilvl="0">
      <w:start w:val="1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505F0236"/>
    <w:multiLevelType w:val="singleLevel"/>
    <w:tmpl w:val="DCCE8A9E"/>
    <w:lvl w:ilvl="0">
      <w:start w:val="8"/>
      <w:numFmt w:val="decimal"/>
      <w:lvlText w:val="%1."/>
      <w:lvlJc w:val="left"/>
      <w:pPr>
        <w:tabs>
          <w:tab w:val="num" w:pos="1616"/>
        </w:tabs>
        <w:ind w:left="1616" w:hanging="435"/>
      </w:pPr>
      <w:rPr>
        <w:rFonts w:hint="default"/>
      </w:rPr>
    </w:lvl>
  </w:abstractNum>
  <w:abstractNum w:abstractNumId="38">
    <w:nsid w:val="51114477"/>
    <w:multiLevelType w:val="hybridMultilevel"/>
    <w:tmpl w:val="B54A6C04"/>
    <w:lvl w:ilvl="0">
      <w:start w:val="15"/>
      <w:numFmt w:val="decimal"/>
      <w:lvlText w:val="%1."/>
      <w:lvlJc w:val="left"/>
      <w:pPr>
        <w:tabs>
          <w:tab w:val="num" w:pos="1821"/>
        </w:tabs>
        <w:ind w:left="1821"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5132311C"/>
    <w:multiLevelType w:val="hybridMultilevel"/>
    <w:tmpl w:val="BFB86966"/>
    <w:lvl w:ilvl="0">
      <w:start w:val="1"/>
      <w:numFmt w:val="decimal"/>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40">
    <w:nsid w:val="540B7BA3"/>
    <w:multiLevelType w:val="hybridMultilevel"/>
    <w:tmpl w:val="E46487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B3841EB"/>
    <w:multiLevelType w:val="hybridMultilevel"/>
    <w:tmpl w:val="42869A7C"/>
    <w:lvl w:ilvl="0">
      <w:start w:val="8"/>
      <w:numFmt w:val="decimal"/>
      <w:lvlText w:val="%1."/>
      <w:lvlJc w:val="left"/>
      <w:pPr>
        <w:tabs>
          <w:tab w:val="num" w:pos="1335"/>
        </w:tabs>
        <w:ind w:left="1335"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5D972B75"/>
    <w:multiLevelType w:val="hybridMultilevel"/>
    <w:tmpl w:val="D01A116E"/>
    <w:lvl w:ilvl="0">
      <w:start w:val="9"/>
      <w:numFmt w:val="decimal"/>
      <w:lvlText w:val="%1."/>
      <w:lvlJc w:val="left"/>
      <w:pPr>
        <w:tabs>
          <w:tab w:val="num" w:pos="1335"/>
        </w:tabs>
        <w:ind w:left="1335"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5F532F57"/>
    <w:multiLevelType w:val="hybridMultilevel"/>
    <w:tmpl w:val="D2B869E4"/>
    <w:lvl w:ilvl="0">
      <w:start w:val="8"/>
      <w:numFmt w:val="decimal"/>
      <w:lvlText w:val="%1."/>
      <w:lvlJc w:val="left"/>
      <w:pPr>
        <w:tabs>
          <w:tab w:val="num" w:pos="2253"/>
        </w:tabs>
        <w:ind w:left="2253"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5">
    <w:nsid w:val="61641699"/>
    <w:multiLevelType w:val="singleLevel"/>
    <w:tmpl w:val="0409000F"/>
    <w:lvl w:ilvl="0">
      <w:start w:val="1"/>
      <w:numFmt w:val="decimal"/>
      <w:lvlText w:val="%1."/>
      <w:lvlJc w:val="left"/>
      <w:pPr>
        <w:tabs>
          <w:tab w:val="num" w:pos="360"/>
        </w:tabs>
        <w:ind w:left="360" w:hanging="360"/>
      </w:pPr>
    </w:lvl>
  </w:abstractNum>
  <w:abstractNum w:abstractNumId="46">
    <w:nsid w:val="6454477B"/>
    <w:multiLevelType w:val="hybridMultilevel"/>
    <w:tmpl w:val="3BC41E56"/>
    <w:lvl w:ilvl="0">
      <w:start w:val="1"/>
      <w:numFmt w:val="decimal"/>
      <w:lvlText w:val="%1."/>
      <w:lvlJc w:val="left"/>
      <w:pPr>
        <w:tabs>
          <w:tab w:val="num" w:pos="216"/>
        </w:tabs>
        <w:ind w:left="216" w:hanging="360"/>
      </w:pPr>
      <w:rPr>
        <w:rFonts w:hint="default"/>
      </w:rPr>
    </w:lvl>
    <w:lvl w:ilvl="1" w:tentative="1">
      <w:start w:val="1"/>
      <w:numFmt w:val="lowerLetter"/>
      <w:lvlText w:val="%2."/>
      <w:lvlJc w:val="left"/>
      <w:pPr>
        <w:tabs>
          <w:tab w:val="num" w:pos="936"/>
        </w:tabs>
        <w:ind w:left="936" w:hanging="360"/>
      </w:pPr>
    </w:lvl>
    <w:lvl w:ilvl="2" w:tentative="1">
      <w:start w:val="1"/>
      <w:numFmt w:val="lowerRoman"/>
      <w:lvlText w:val="%3."/>
      <w:lvlJc w:val="right"/>
      <w:pPr>
        <w:tabs>
          <w:tab w:val="num" w:pos="1656"/>
        </w:tabs>
        <w:ind w:left="1656" w:hanging="180"/>
      </w:pPr>
    </w:lvl>
    <w:lvl w:ilvl="3" w:tentative="1">
      <w:start w:val="1"/>
      <w:numFmt w:val="decimal"/>
      <w:lvlText w:val="%4."/>
      <w:lvlJc w:val="left"/>
      <w:pPr>
        <w:tabs>
          <w:tab w:val="num" w:pos="2376"/>
        </w:tabs>
        <w:ind w:left="2376" w:hanging="360"/>
      </w:pPr>
    </w:lvl>
    <w:lvl w:ilvl="4" w:tentative="1">
      <w:start w:val="1"/>
      <w:numFmt w:val="lowerLetter"/>
      <w:lvlText w:val="%5."/>
      <w:lvlJc w:val="left"/>
      <w:pPr>
        <w:tabs>
          <w:tab w:val="num" w:pos="3096"/>
        </w:tabs>
        <w:ind w:left="3096" w:hanging="360"/>
      </w:pPr>
    </w:lvl>
    <w:lvl w:ilvl="5" w:tentative="1">
      <w:start w:val="1"/>
      <w:numFmt w:val="lowerRoman"/>
      <w:lvlText w:val="%6."/>
      <w:lvlJc w:val="right"/>
      <w:pPr>
        <w:tabs>
          <w:tab w:val="num" w:pos="3816"/>
        </w:tabs>
        <w:ind w:left="3816" w:hanging="180"/>
      </w:pPr>
    </w:lvl>
    <w:lvl w:ilvl="6" w:tentative="1">
      <w:start w:val="1"/>
      <w:numFmt w:val="decimal"/>
      <w:lvlText w:val="%7."/>
      <w:lvlJc w:val="left"/>
      <w:pPr>
        <w:tabs>
          <w:tab w:val="num" w:pos="4536"/>
        </w:tabs>
        <w:ind w:left="4536" w:hanging="360"/>
      </w:pPr>
    </w:lvl>
    <w:lvl w:ilvl="7" w:tentative="1">
      <w:start w:val="1"/>
      <w:numFmt w:val="lowerLetter"/>
      <w:lvlText w:val="%8."/>
      <w:lvlJc w:val="left"/>
      <w:pPr>
        <w:tabs>
          <w:tab w:val="num" w:pos="5256"/>
        </w:tabs>
        <w:ind w:left="5256" w:hanging="360"/>
      </w:pPr>
    </w:lvl>
    <w:lvl w:ilvl="8" w:tentative="1">
      <w:start w:val="1"/>
      <w:numFmt w:val="lowerRoman"/>
      <w:lvlText w:val="%9."/>
      <w:lvlJc w:val="right"/>
      <w:pPr>
        <w:tabs>
          <w:tab w:val="num" w:pos="5976"/>
        </w:tabs>
        <w:ind w:left="5976" w:hanging="180"/>
      </w:pPr>
    </w:lvl>
  </w:abstractNum>
  <w:abstractNum w:abstractNumId="47">
    <w:nsid w:val="678C2395"/>
    <w:multiLevelType w:val="hybridMultilevel"/>
    <w:tmpl w:val="FA4821B8"/>
    <w:lvl w:ilvl="0">
      <w:start w:val="1"/>
      <w:numFmt w:val="decimal"/>
      <w:lvlText w:val="%1)"/>
      <w:lvlJc w:val="left"/>
      <w:pPr>
        <w:tabs>
          <w:tab w:val="num" w:pos="840"/>
        </w:tabs>
        <w:ind w:left="840" w:hanging="36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8">
    <w:nsid w:val="678C3DCB"/>
    <w:multiLevelType w:val="hybridMultilevel"/>
    <w:tmpl w:val="794486E2"/>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6A8B2124"/>
    <w:multiLevelType w:val="multilevel"/>
    <w:tmpl w:val="D01A116E"/>
    <w:lvl w:ilvl="0">
      <w:start w:val="9"/>
      <w:numFmt w:val="decimal"/>
      <w:lvlText w:val="%1."/>
      <w:lvlJc w:val="left"/>
      <w:pPr>
        <w:tabs>
          <w:tab w:val="num" w:pos="1335"/>
        </w:tabs>
        <w:ind w:left="133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6B1A0C84"/>
    <w:multiLevelType w:val="singleLevel"/>
    <w:tmpl w:val="D9C02A58"/>
    <w:lvl w:ilvl="0">
      <w:start w:val="1"/>
      <w:numFmt w:val="none"/>
      <w:lvlText w:val="3."/>
      <w:lvlJc w:val="left"/>
      <w:pPr>
        <w:tabs>
          <w:tab w:val="num" w:pos="360"/>
        </w:tabs>
        <w:ind w:left="360" w:hanging="360"/>
      </w:pPr>
    </w:lvl>
  </w:abstractNum>
  <w:abstractNum w:abstractNumId="51">
    <w:nsid w:val="6BF61887"/>
    <w:multiLevelType w:val="hybridMultilevel"/>
    <w:tmpl w:val="7154433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nsid w:val="6F9D2B52"/>
    <w:multiLevelType w:val="singleLevel"/>
    <w:tmpl w:val="C922D49A"/>
    <w:lvl w:ilvl="0">
      <w:start w:val="3"/>
      <w:numFmt w:val="none"/>
      <w:lvlText w:val="3"/>
      <w:lvlJc w:val="left"/>
      <w:pPr>
        <w:tabs>
          <w:tab w:val="num" w:pos="360"/>
        </w:tabs>
        <w:ind w:left="360" w:hanging="360"/>
      </w:pPr>
    </w:lvl>
  </w:abstractNum>
  <w:abstractNum w:abstractNumId="53">
    <w:nsid w:val="717C0196"/>
    <w:multiLevelType w:val="singleLevel"/>
    <w:tmpl w:val="1C24F70C"/>
    <w:lvl w:ilvl="0">
      <w:start w:val="8"/>
      <w:numFmt w:val="decimal"/>
      <w:lvlText w:val="%1."/>
      <w:lvlJc w:val="left"/>
      <w:pPr>
        <w:tabs>
          <w:tab w:val="num" w:pos="1530"/>
        </w:tabs>
        <w:ind w:left="1530" w:hanging="360"/>
      </w:pPr>
      <w:rPr>
        <w:rFonts w:hint="default"/>
      </w:rPr>
    </w:lvl>
  </w:abstractNum>
  <w:abstractNum w:abstractNumId="54">
    <w:nsid w:val="758E0ED4"/>
    <w:multiLevelType w:val="hybridMultilevel"/>
    <w:tmpl w:val="CB78637E"/>
    <w:lvl w:ilvl="0">
      <w:start w:val="1"/>
      <w:numFmt w:val="decimal"/>
      <w:lvlText w:val="%1."/>
      <w:lvlJc w:val="left"/>
      <w:pPr>
        <w:tabs>
          <w:tab w:val="num" w:pos="1170"/>
        </w:tabs>
        <w:ind w:left="1170" w:hanging="69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55">
    <w:nsid w:val="7B8904C0"/>
    <w:multiLevelType w:val="singleLevel"/>
    <w:tmpl w:val="BBCACE62"/>
    <w:lvl w:ilvl="0">
      <w:start w:val="12"/>
      <w:numFmt w:val="decimal"/>
      <w:lvlText w:val="%1."/>
      <w:lvlJc w:val="left"/>
      <w:pPr>
        <w:tabs>
          <w:tab w:val="num" w:pos="480"/>
        </w:tabs>
        <w:ind w:left="480" w:hanging="480"/>
      </w:pPr>
      <w:rPr>
        <w:rFonts w:hint="default"/>
      </w:rPr>
    </w:lvl>
  </w:abstractNum>
  <w:num w:numId="1" w16cid:durableId="396368023">
    <w:abstractNumId w:val="14"/>
  </w:num>
  <w:num w:numId="2" w16cid:durableId="439182581">
    <w:abstractNumId w:val="18"/>
  </w:num>
  <w:num w:numId="3" w16cid:durableId="1072970655">
    <w:abstractNumId w:val="37"/>
  </w:num>
  <w:num w:numId="4" w16cid:durableId="1402293015">
    <w:abstractNumId w:val="15"/>
  </w:num>
  <w:num w:numId="5" w16cid:durableId="461507326">
    <w:abstractNumId w:val="53"/>
  </w:num>
  <w:num w:numId="6" w16cid:durableId="1488860665">
    <w:abstractNumId w:val="6"/>
  </w:num>
  <w:num w:numId="7" w16cid:durableId="1757822676">
    <w:abstractNumId w:val="27"/>
  </w:num>
  <w:num w:numId="8" w16cid:durableId="26638260">
    <w:abstractNumId w:val="55"/>
  </w:num>
  <w:num w:numId="9" w16cid:durableId="1300186845">
    <w:abstractNumId w:val="32"/>
  </w:num>
  <w:num w:numId="10" w16cid:durableId="1009794427">
    <w:abstractNumId w:val="52"/>
  </w:num>
  <w:num w:numId="11" w16cid:durableId="10187020">
    <w:abstractNumId w:val="50"/>
  </w:num>
  <w:num w:numId="12" w16cid:durableId="1940983161">
    <w:abstractNumId w:val="12"/>
  </w:num>
  <w:num w:numId="13" w16cid:durableId="1022248350">
    <w:abstractNumId w:val="28"/>
  </w:num>
  <w:num w:numId="14" w16cid:durableId="1417704288">
    <w:abstractNumId w:val="45"/>
  </w:num>
  <w:num w:numId="15" w16cid:durableId="1014921907">
    <w:abstractNumId w:val="7"/>
  </w:num>
  <w:num w:numId="16" w16cid:durableId="727613278">
    <w:abstractNumId w:val="3"/>
  </w:num>
  <w:num w:numId="17" w16cid:durableId="892817306">
    <w:abstractNumId w:val="11"/>
  </w:num>
  <w:num w:numId="18" w16cid:durableId="792215130">
    <w:abstractNumId w:val="36"/>
  </w:num>
  <w:num w:numId="19" w16cid:durableId="1298148108">
    <w:abstractNumId w:val="42"/>
  </w:num>
  <w:num w:numId="20" w16cid:durableId="828247670">
    <w:abstractNumId w:val="41"/>
  </w:num>
  <w:num w:numId="21" w16cid:durableId="303318372">
    <w:abstractNumId w:val="49"/>
  </w:num>
  <w:num w:numId="22" w16cid:durableId="720521247">
    <w:abstractNumId w:val="20"/>
  </w:num>
  <w:num w:numId="23" w16cid:durableId="605188273">
    <w:abstractNumId w:val="38"/>
  </w:num>
  <w:num w:numId="24" w16cid:durableId="1030297080">
    <w:abstractNumId w:val="43"/>
  </w:num>
  <w:num w:numId="25" w16cid:durableId="2086106751">
    <w:abstractNumId w:val="10"/>
  </w:num>
  <w:num w:numId="26" w16cid:durableId="1876892191">
    <w:abstractNumId w:val="16"/>
  </w:num>
  <w:num w:numId="27" w16cid:durableId="1641182421">
    <w:abstractNumId w:val="4"/>
  </w:num>
  <w:num w:numId="28" w16cid:durableId="1812793855">
    <w:abstractNumId w:val="51"/>
  </w:num>
  <w:num w:numId="29" w16cid:durableId="96760174">
    <w:abstractNumId w:val="2"/>
  </w:num>
  <w:num w:numId="30" w16cid:durableId="492526130">
    <w:abstractNumId w:val="54"/>
  </w:num>
  <w:num w:numId="31" w16cid:durableId="815535536">
    <w:abstractNumId w:val="33"/>
  </w:num>
  <w:num w:numId="32" w16cid:durableId="1388993756">
    <w:abstractNumId w:val="47"/>
  </w:num>
  <w:num w:numId="33" w16cid:durableId="1344013239">
    <w:abstractNumId w:val="21"/>
  </w:num>
  <w:num w:numId="34" w16cid:durableId="595669762">
    <w:abstractNumId w:val="8"/>
  </w:num>
  <w:num w:numId="35" w16cid:durableId="1483304284">
    <w:abstractNumId w:val="31"/>
  </w:num>
  <w:num w:numId="36" w16cid:durableId="1956520537">
    <w:abstractNumId w:val="13"/>
  </w:num>
  <w:num w:numId="37" w16cid:durableId="876238153">
    <w:abstractNumId w:val="34"/>
  </w:num>
  <w:num w:numId="38" w16cid:durableId="1314674298">
    <w:abstractNumId w:val="24"/>
  </w:num>
  <w:num w:numId="39" w16cid:durableId="1913351593">
    <w:abstractNumId w:val="46"/>
  </w:num>
  <w:num w:numId="40" w16cid:durableId="841163514">
    <w:abstractNumId w:val="9"/>
  </w:num>
  <w:num w:numId="41" w16cid:durableId="791825793">
    <w:abstractNumId w:val="0"/>
  </w:num>
  <w:num w:numId="42" w16cid:durableId="6088528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7797514">
    <w:abstractNumId w:val="1"/>
  </w:num>
  <w:num w:numId="44" w16cid:durableId="1741100051">
    <w:abstractNumId w:val="40"/>
  </w:num>
  <w:num w:numId="45" w16cid:durableId="1324968380">
    <w:abstractNumId w:val="19"/>
  </w:num>
  <w:num w:numId="46" w16cid:durableId="457913311">
    <w:abstractNumId w:val="30"/>
  </w:num>
  <w:num w:numId="47" w16cid:durableId="357854124">
    <w:abstractNumId w:val="3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05905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65558546">
    <w:abstractNumId w:val="48"/>
  </w:num>
  <w:num w:numId="50" w16cid:durableId="1683048722">
    <w:abstractNumId w:val="17"/>
  </w:num>
  <w:num w:numId="51" w16cid:durableId="1863206266">
    <w:abstractNumId w:val="25"/>
  </w:num>
  <w:num w:numId="52" w16cid:durableId="173959832">
    <w:abstractNumId w:val="26"/>
  </w:num>
  <w:num w:numId="53" w16cid:durableId="2064676238">
    <w:abstractNumId w:val="39"/>
  </w:num>
  <w:num w:numId="54" w16cid:durableId="1962498132">
    <w:abstractNumId w:val="35"/>
  </w:num>
  <w:num w:numId="55" w16cid:durableId="643390773">
    <w:abstractNumId w:val="35"/>
  </w:num>
  <w:num w:numId="56" w16cid:durableId="1864515999">
    <w:abstractNumId w:val="23"/>
  </w:num>
  <w:num w:numId="57" w16cid:durableId="1209224147">
    <w:abstractNumId w:val="44"/>
  </w:num>
  <w:num w:numId="58" w16cid:durableId="335304417">
    <w:abstractNumId w:val="5"/>
  </w:num>
  <w:num w:numId="59" w16cid:durableId="860440242">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EFB"/>
    <w:rsid w:val="00000388"/>
    <w:rsid w:val="0000379B"/>
    <w:rsid w:val="00004351"/>
    <w:rsid w:val="000044AE"/>
    <w:rsid w:val="00005D23"/>
    <w:rsid w:val="00010526"/>
    <w:rsid w:val="000137E3"/>
    <w:rsid w:val="00014C49"/>
    <w:rsid w:val="0001540E"/>
    <w:rsid w:val="00017608"/>
    <w:rsid w:val="00017D68"/>
    <w:rsid w:val="00021206"/>
    <w:rsid w:val="00024F80"/>
    <w:rsid w:val="0002657A"/>
    <w:rsid w:val="00027D70"/>
    <w:rsid w:val="00030025"/>
    <w:rsid w:val="00031FCC"/>
    <w:rsid w:val="000332C6"/>
    <w:rsid w:val="0003584A"/>
    <w:rsid w:val="000358D4"/>
    <w:rsid w:val="00035F53"/>
    <w:rsid w:val="00040C9E"/>
    <w:rsid w:val="00042D62"/>
    <w:rsid w:val="0004428D"/>
    <w:rsid w:val="00045379"/>
    <w:rsid w:val="000460A4"/>
    <w:rsid w:val="00046FF2"/>
    <w:rsid w:val="00050A7C"/>
    <w:rsid w:val="000556E5"/>
    <w:rsid w:val="0005755B"/>
    <w:rsid w:val="00060504"/>
    <w:rsid w:val="0006130E"/>
    <w:rsid w:val="00063CA0"/>
    <w:rsid w:val="00065DDC"/>
    <w:rsid w:val="00066270"/>
    <w:rsid w:val="00071349"/>
    <w:rsid w:val="00071E76"/>
    <w:rsid w:val="00072BA3"/>
    <w:rsid w:val="00075E59"/>
    <w:rsid w:val="00077A45"/>
    <w:rsid w:val="00081DB8"/>
    <w:rsid w:val="00084C59"/>
    <w:rsid w:val="00084C77"/>
    <w:rsid w:val="000878C4"/>
    <w:rsid w:val="000904CA"/>
    <w:rsid w:val="000A116F"/>
    <w:rsid w:val="000A1C63"/>
    <w:rsid w:val="000A2CD0"/>
    <w:rsid w:val="000A2EED"/>
    <w:rsid w:val="000A461A"/>
    <w:rsid w:val="000A6627"/>
    <w:rsid w:val="000A7237"/>
    <w:rsid w:val="000B1A25"/>
    <w:rsid w:val="000B3A84"/>
    <w:rsid w:val="000B5F4C"/>
    <w:rsid w:val="000B632A"/>
    <w:rsid w:val="000B6E16"/>
    <w:rsid w:val="000C12FA"/>
    <w:rsid w:val="000C207E"/>
    <w:rsid w:val="000C216D"/>
    <w:rsid w:val="000C2F78"/>
    <w:rsid w:val="000C4C7C"/>
    <w:rsid w:val="000C595F"/>
    <w:rsid w:val="000C7852"/>
    <w:rsid w:val="000D1EFD"/>
    <w:rsid w:val="000D2CA2"/>
    <w:rsid w:val="000D3538"/>
    <w:rsid w:val="000D3819"/>
    <w:rsid w:val="000D5D56"/>
    <w:rsid w:val="000E0FED"/>
    <w:rsid w:val="000E1156"/>
    <w:rsid w:val="000E1F23"/>
    <w:rsid w:val="000E329B"/>
    <w:rsid w:val="000E46C3"/>
    <w:rsid w:val="000E488A"/>
    <w:rsid w:val="000E4EFB"/>
    <w:rsid w:val="000E5E37"/>
    <w:rsid w:val="000F2B87"/>
    <w:rsid w:val="000F3F22"/>
    <w:rsid w:val="0010044E"/>
    <w:rsid w:val="00100B40"/>
    <w:rsid w:val="00101C64"/>
    <w:rsid w:val="00102CB7"/>
    <w:rsid w:val="0010351B"/>
    <w:rsid w:val="001041FE"/>
    <w:rsid w:val="00106C16"/>
    <w:rsid w:val="0011245F"/>
    <w:rsid w:val="00113B2A"/>
    <w:rsid w:val="00114AF0"/>
    <w:rsid w:val="00114C32"/>
    <w:rsid w:val="0012063A"/>
    <w:rsid w:val="001218AB"/>
    <w:rsid w:val="00121DAE"/>
    <w:rsid w:val="001226D4"/>
    <w:rsid w:val="00124118"/>
    <w:rsid w:val="0012749D"/>
    <w:rsid w:val="001279BE"/>
    <w:rsid w:val="001306E7"/>
    <w:rsid w:val="001309A9"/>
    <w:rsid w:val="00130D0F"/>
    <w:rsid w:val="00131EF2"/>
    <w:rsid w:val="00132F17"/>
    <w:rsid w:val="00135CF0"/>
    <w:rsid w:val="0013761A"/>
    <w:rsid w:val="0014116F"/>
    <w:rsid w:val="00141CE6"/>
    <w:rsid w:val="00141D84"/>
    <w:rsid w:val="001426B7"/>
    <w:rsid w:val="00142847"/>
    <w:rsid w:val="00143484"/>
    <w:rsid w:val="00143D82"/>
    <w:rsid w:val="00145DF7"/>
    <w:rsid w:val="00146DC6"/>
    <w:rsid w:val="00147160"/>
    <w:rsid w:val="0015292E"/>
    <w:rsid w:val="0015452D"/>
    <w:rsid w:val="00157750"/>
    <w:rsid w:val="00161C98"/>
    <w:rsid w:val="00161E6F"/>
    <w:rsid w:val="00164269"/>
    <w:rsid w:val="00164BE9"/>
    <w:rsid w:val="00167224"/>
    <w:rsid w:val="00174EE8"/>
    <w:rsid w:val="0017508C"/>
    <w:rsid w:val="00175D12"/>
    <w:rsid w:val="00175F43"/>
    <w:rsid w:val="00177A87"/>
    <w:rsid w:val="00177C3C"/>
    <w:rsid w:val="00180FE7"/>
    <w:rsid w:val="0018113E"/>
    <w:rsid w:val="00184535"/>
    <w:rsid w:val="00184D9C"/>
    <w:rsid w:val="00187BFC"/>
    <w:rsid w:val="0019020D"/>
    <w:rsid w:val="00190C4F"/>
    <w:rsid w:val="00191B45"/>
    <w:rsid w:val="001930A9"/>
    <w:rsid w:val="00193FA6"/>
    <w:rsid w:val="0019402E"/>
    <w:rsid w:val="0019444C"/>
    <w:rsid w:val="00194FE3"/>
    <w:rsid w:val="001A05FB"/>
    <w:rsid w:val="001A1BBB"/>
    <w:rsid w:val="001A1F71"/>
    <w:rsid w:val="001A32FB"/>
    <w:rsid w:val="001A481D"/>
    <w:rsid w:val="001A509E"/>
    <w:rsid w:val="001A560C"/>
    <w:rsid w:val="001A6179"/>
    <w:rsid w:val="001A6C7A"/>
    <w:rsid w:val="001A6DF5"/>
    <w:rsid w:val="001B1DA1"/>
    <w:rsid w:val="001B217B"/>
    <w:rsid w:val="001B2AF0"/>
    <w:rsid w:val="001B4633"/>
    <w:rsid w:val="001B55AF"/>
    <w:rsid w:val="001B6134"/>
    <w:rsid w:val="001B6A70"/>
    <w:rsid w:val="001B6C2E"/>
    <w:rsid w:val="001B7D60"/>
    <w:rsid w:val="001C3BEC"/>
    <w:rsid w:val="001C4EF7"/>
    <w:rsid w:val="001D18BA"/>
    <w:rsid w:val="001D3125"/>
    <w:rsid w:val="001D557B"/>
    <w:rsid w:val="001D5FF2"/>
    <w:rsid w:val="001D6ABA"/>
    <w:rsid w:val="001D7EE0"/>
    <w:rsid w:val="001E0BDB"/>
    <w:rsid w:val="001E0CFE"/>
    <w:rsid w:val="001E183A"/>
    <w:rsid w:val="001E2FEE"/>
    <w:rsid w:val="001E3F1A"/>
    <w:rsid w:val="001E7B52"/>
    <w:rsid w:val="001F309D"/>
    <w:rsid w:val="001F4333"/>
    <w:rsid w:val="001F537D"/>
    <w:rsid w:val="002045BB"/>
    <w:rsid w:val="00206931"/>
    <w:rsid w:val="0021219B"/>
    <w:rsid w:val="0021260F"/>
    <w:rsid w:val="002128BF"/>
    <w:rsid w:val="002129D8"/>
    <w:rsid w:val="00212E79"/>
    <w:rsid w:val="00213C16"/>
    <w:rsid w:val="0021510F"/>
    <w:rsid w:val="0021559C"/>
    <w:rsid w:val="002200BE"/>
    <w:rsid w:val="0022240D"/>
    <w:rsid w:val="00222B10"/>
    <w:rsid w:val="00223241"/>
    <w:rsid w:val="00223942"/>
    <w:rsid w:val="00223CC5"/>
    <w:rsid w:val="002243AF"/>
    <w:rsid w:val="00225901"/>
    <w:rsid w:val="00227421"/>
    <w:rsid w:val="00227F0F"/>
    <w:rsid w:val="002305EC"/>
    <w:rsid w:val="00230C54"/>
    <w:rsid w:val="00231D4C"/>
    <w:rsid w:val="002329E7"/>
    <w:rsid w:val="0023352D"/>
    <w:rsid w:val="00236B8B"/>
    <w:rsid w:val="00237C5D"/>
    <w:rsid w:val="00240053"/>
    <w:rsid w:val="00241013"/>
    <w:rsid w:val="00241D58"/>
    <w:rsid w:val="0024461E"/>
    <w:rsid w:val="002502B2"/>
    <w:rsid w:val="0025102E"/>
    <w:rsid w:val="00251C7B"/>
    <w:rsid w:val="0025288C"/>
    <w:rsid w:val="00255CCF"/>
    <w:rsid w:val="00256B9F"/>
    <w:rsid w:val="00257E12"/>
    <w:rsid w:val="0026180D"/>
    <w:rsid w:val="00261C1A"/>
    <w:rsid w:val="00263BC5"/>
    <w:rsid w:val="00266B01"/>
    <w:rsid w:val="00271767"/>
    <w:rsid w:val="00271C7A"/>
    <w:rsid w:val="00273892"/>
    <w:rsid w:val="00277C02"/>
    <w:rsid w:val="0028518E"/>
    <w:rsid w:val="00285302"/>
    <w:rsid w:val="002854C4"/>
    <w:rsid w:val="002858B7"/>
    <w:rsid w:val="00285E4E"/>
    <w:rsid w:val="00286174"/>
    <w:rsid w:val="002863FB"/>
    <w:rsid w:val="002866EB"/>
    <w:rsid w:val="00287C57"/>
    <w:rsid w:val="002920F5"/>
    <w:rsid w:val="00293590"/>
    <w:rsid w:val="00294116"/>
    <w:rsid w:val="002951D6"/>
    <w:rsid w:val="00295B82"/>
    <w:rsid w:val="002A03CF"/>
    <w:rsid w:val="002A0B99"/>
    <w:rsid w:val="002A17A6"/>
    <w:rsid w:val="002A3CB6"/>
    <w:rsid w:val="002A5A87"/>
    <w:rsid w:val="002A5F72"/>
    <w:rsid w:val="002A6280"/>
    <w:rsid w:val="002A7031"/>
    <w:rsid w:val="002A70E6"/>
    <w:rsid w:val="002A7FD3"/>
    <w:rsid w:val="002B1873"/>
    <w:rsid w:val="002B433E"/>
    <w:rsid w:val="002B7C7E"/>
    <w:rsid w:val="002C0787"/>
    <w:rsid w:val="002C0D7B"/>
    <w:rsid w:val="002C264E"/>
    <w:rsid w:val="002C27EA"/>
    <w:rsid w:val="002C2DE5"/>
    <w:rsid w:val="002C54E4"/>
    <w:rsid w:val="002C612F"/>
    <w:rsid w:val="002C6DD7"/>
    <w:rsid w:val="002D1154"/>
    <w:rsid w:val="002D145D"/>
    <w:rsid w:val="002D1619"/>
    <w:rsid w:val="002D2724"/>
    <w:rsid w:val="002D297C"/>
    <w:rsid w:val="002D29FC"/>
    <w:rsid w:val="002D2A21"/>
    <w:rsid w:val="002D2A99"/>
    <w:rsid w:val="002D31C8"/>
    <w:rsid w:val="002D486C"/>
    <w:rsid w:val="002D73BE"/>
    <w:rsid w:val="002E1361"/>
    <w:rsid w:val="002E1E8F"/>
    <w:rsid w:val="002E2480"/>
    <w:rsid w:val="002E4B21"/>
    <w:rsid w:val="002F1960"/>
    <w:rsid w:val="002F1A9C"/>
    <w:rsid w:val="002F502F"/>
    <w:rsid w:val="002F61C1"/>
    <w:rsid w:val="002F7E84"/>
    <w:rsid w:val="00302B48"/>
    <w:rsid w:val="003044E9"/>
    <w:rsid w:val="00304AD2"/>
    <w:rsid w:val="00306184"/>
    <w:rsid w:val="003103A5"/>
    <w:rsid w:val="0032054D"/>
    <w:rsid w:val="00321E79"/>
    <w:rsid w:val="003227ED"/>
    <w:rsid w:val="00323B4B"/>
    <w:rsid w:val="00325AAD"/>
    <w:rsid w:val="003266A0"/>
    <w:rsid w:val="0032753D"/>
    <w:rsid w:val="00334156"/>
    <w:rsid w:val="0033578F"/>
    <w:rsid w:val="00335EEA"/>
    <w:rsid w:val="0033757E"/>
    <w:rsid w:val="00340351"/>
    <w:rsid w:val="00344FF4"/>
    <w:rsid w:val="003463E3"/>
    <w:rsid w:val="00347119"/>
    <w:rsid w:val="003537F4"/>
    <w:rsid w:val="003547C2"/>
    <w:rsid w:val="00355D05"/>
    <w:rsid w:val="003565CA"/>
    <w:rsid w:val="00356F08"/>
    <w:rsid w:val="00362610"/>
    <w:rsid w:val="003645F5"/>
    <w:rsid w:val="00366AA6"/>
    <w:rsid w:val="00367B8F"/>
    <w:rsid w:val="00367C62"/>
    <w:rsid w:val="0037051A"/>
    <w:rsid w:val="003708C7"/>
    <w:rsid w:val="0037174B"/>
    <w:rsid w:val="00371BD6"/>
    <w:rsid w:val="00372065"/>
    <w:rsid w:val="003733A4"/>
    <w:rsid w:val="003744DB"/>
    <w:rsid w:val="00376086"/>
    <w:rsid w:val="00376275"/>
    <w:rsid w:val="0037650B"/>
    <w:rsid w:val="003817C3"/>
    <w:rsid w:val="00385FC9"/>
    <w:rsid w:val="00391FDD"/>
    <w:rsid w:val="00394BD7"/>
    <w:rsid w:val="00394CD3"/>
    <w:rsid w:val="003967FA"/>
    <w:rsid w:val="003A331B"/>
    <w:rsid w:val="003A4DFA"/>
    <w:rsid w:val="003B0735"/>
    <w:rsid w:val="003B1A6E"/>
    <w:rsid w:val="003B3E9A"/>
    <w:rsid w:val="003B733C"/>
    <w:rsid w:val="003C2E7E"/>
    <w:rsid w:val="003C49C6"/>
    <w:rsid w:val="003D2223"/>
    <w:rsid w:val="003D2701"/>
    <w:rsid w:val="003D355A"/>
    <w:rsid w:val="003D4EEA"/>
    <w:rsid w:val="003E2CF1"/>
    <w:rsid w:val="003E3C21"/>
    <w:rsid w:val="003E3FD2"/>
    <w:rsid w:val="003E7639"/>
    <w:rsid w:val="003E7D9F"/>
    <w:rsid w:val="003F0D4B"/>
    <w:rsid w:val="003F133B"/>
    <w:rsid w:val="003F3FE0"/>
    <w:rsid w:val="003F60DD"/>
    <w:rsid w:val="003F7588"/>
    <w:rsid w:val="00405B2A"/>
    <w:rsid w:val="00406BA9"/>
    <w:rsid w:val="00411D3C"/>
    <w:rsid w:val="00411F2A"/>
    <w:rsid w:val="0041220B"/>
    <w:rsid w:val="004129E1"/>
    <w:rsid w:val="00413F89"/>
    <w:rsid w:val="00416915"/>
    <w:rsid w:val="004224A1"/>
    <w:rsid w:val="004234F4"/>
    <w:rsid w:val="004235FD"/>
    <w:rsid w:val="00423D91"/>
    <w:rsid w:val="00425266"/>
    <w:rsid w:val="0042539F"/>
    <w:rsid w:val="004253BD"/>
    <w:rsid w:val="00426B9C"/>
    <w:rsid w:val="00430C87"/>
    <w:rsid w:val="00431338"/>
    <w:rsid w:val="00431FB5"/>
    <w:rsid w:val="00433DAD"/>
    <w:rsid w:val="00435386"/>
    <w:rsid w:val="00435732"/>
    <w:rsid w:val="00436B9C"/>
    <w:rsid w:val="004376C8"/>
    <w:rsid w:val="00442CFD"/>
    <w:rsid w:val="0044436B"/>
    <w:rsid w:val="00444844"/>
    <w:rsid w:val="00447A2B"/>
    <w:rsid w:val="00450788"/>
    <w:rsid w:val="00461C7F"/>
    <w:rsid w:val="00461CA4"/>
    <w:rsid w:val="00462B67"/>
    <w:rsid w:val="00464DBE"/>
    <w:rsid w:val="00466BA0"/>
    <w:rsid w:val="00470432"/>
    <w:rsid w:val="00470C13"/>
    <w:rsid w:val="00474884"/>
    <w:rsid w:val="004750C6"/>
    <w:rsid w:val="00475B5E"/>
    <w:rsid w:val="00482DCA"/>
    <w:rsid w:val="00483A1C"/>
    <w:rsid w:val="00485008"/>
    <w:rsid w:val="00485BF2"/>
    <w:rsid w:val="00485D5C"/>
    <w:rsid w:val="004864DA"/>
    <w:rsid w:val="00486FF3"/>
    <w:rsid w:val="00487CFF"/>
    <w:rsid w:val="00491B3E"/>
    <w:rsid w:val="004922BC"/>
    <w:rsid w:val="00492F39"/>
    <w:rsid w:val="00494AA0"/>
    <w:rsid w:val="00495A44"/>
    <w:rsid w:val="00496C3B"/>
    <w:rsid w:val="004A0D6E"/>
    <w:rsid w:val="004A1543"/>
    <w:rsid w:val="004A160F"/>
    <w:rsid w:val="004A1DD4"/>
    <w:rsid w:val="004A23E4"/>
    <w:rsid w:val="004A5140"/>
    <w:rsid w:val="004A651E"/>
    <w:rsid w:val="004A73C4"/>
    <w:rsid w:val="004B0AD3"/>
    <w:rsid w:val="004B5A86"/>
    <w:rsid w:val="004C3B76"/>
    <w:rsid w:val="004D19F1"/>
    <w:rsid w:val="004E1442"/>
    <w:rsid w:val="004E6C3F"/>
    <w:rsid w:val="004E6C9F"/>
    <w:rsid w:val="004E7E51"/>
    <w:rsid w:val="004F4BE2"/>
    <w:rsid w:val="004F68DF"/>
    <w:rsid w:val="004F68F5"/>
    <w:rsid w:val="00500578"/>
    <w:rsid w:val="005013F8"/>
    <w:rsid w:val="005043DC"/>
    <w:rsid w:val="005054E4"/>
    <w:rsid w:val="00506183"/>
    <w:rsid w:val="00506482"/>
    <w:rsid w:val="005079BB"/>
    <w:rsid w:val="005117A9"/>
    <w:rsid w:val="00513899"/>
    <w:rsid w:val="00514524"/>
    <w:rsid w:val="0051479C"/>
    <w:rsid w:val="00514BD8"/>
    <w:rsid w:val="00516F5D"/>
    <w:rsid w:val="005200B7"/>
    <w:rsid w:val="005217B8"/>
    <w:rsid w:val="00524063"/>
    <w:rsid w:val="005241DA"/>
    <w:rsid w:val="005249D1"/>
    <w:rsid w:val="00530317"/>
    <w:rsid w:val="005318CC"/>
    <w:rsid w:val="005340F9"/>
    <w:rsid w:val="00535657"/>
    <w:rsid w:val="00537249"/>
    <w:rsid w:val="0054549B"/>
    <w:rsid w:val="005454D4"/>
    <w:rsid w:val="00545598"/>
    <w:rsid w:val="00552F84"/>
    <w:rsid w:val="0056329D"/>
    <w:rsid w:val="00566264"/>
    <w:rsid w:val="00566971"/>
    <w:rsid w:val="00567639"/>
    <w:rsid w:val="0057037C"/>
    <w:rsid w:val="00571A4D"/>
    <w:rsid w:val="00571F66"/>
    <w:rsid w:val="005729D6"/>
    <w:rsid w:val="00573EAB"/>
    <w:rsid w:val="00573F8C"/>
    <w:rsid w:val="00575100"/>
    <w:rsid w:val="005758D7"/>
    <w:rsid w:val="00581CEC"/>
    <w:rsid w:val="005859E3"/>
    <w:rsid w:val="00585E44"/>
    <w:rsid w:val="00587C5C"/>
    <w:rsid w:val="005922B6"/>
    <w:rsid w:val="00593419"/>
    <w:rsid w:val="005938B8"/>
    <w:rsid w:val="005945BD"/>
    <w:rsid w:val="00596D8B"/>
    <w:rsid w:val="005A095E"/>
    <w:rsid w:val="005A46BB"/>
    <w:rsid w:val="005B00CA"/>
    <w:rsid w:val="005B0487"/>
    <w:rsid w:val="005B518D"/>
    <w:rsid w:val="005B6A16"/>
    <w:rsid w:val="005B7063"/>
    <w:rsid w:val="005C0E61"/>
    <w:rsid w:val="005C5867"/>
    <w:rsid w:val="005C5961"/>
    <w:rsid w:val="005C7C43"/>
    <w:rsid w:val="005D106D"/>
    <w:rsid w:val="005E1776"/>
    <w:rsid w:val="005E2032"/>
    <w:rsid w:val="005E378C"/>
    <w:rsid w:val="005E428D"/>
    <w:rsid w:val="005E4614"/>
    <w:rsid w:val="005F10F8"/>
    <w:rsid w:val="005F349E"/>
    <w:rsid w:val="005F6174"/>
    <w:rsid w:val="005F724F"/>
    <w:rsid w:val="005F76B7"/>
    <w:rsid w:val="00600577"/>
    <w:rsid w:val="006010F6"/>
    <w:rsid w:val="0060704D"/>
    <w:rsid w:val="00610037"/>
    <w:rsid w:val="0061092B"/>
    <w:rsid w:val="0061234B"/>
    <w:rsid w:val="00612E82"/>
    <w:rsid w:val="00613666"/>
    <w:rsid w:val="00614C21"/>
    <w:rsid w:val="00622A1A"/>
    <w:rsid w:val="00622F60"/>
    <w:rsid w:val="0062396A"/>
    <w:rsid w:val="0062495A"/>
    <w:rsid w:val="00626903"/>
    <w:rsid w:val="00627B59"/>
    <w:rsid w:val="00633ED8"/>
    <w:rsid w:val="00634A1E"/>
    <w:rsid w:val="00634CEE"/>
    <w:rsid w:val="00636757"/>
    <w:rsid w:val="0064258D"/>
    <w:rsid w:val="0064266E"/>
    <w:rsid w:val="006454E0"/>
    <w:rsid w:val="00651C9F"/>
    <w:rsid w:val="00653887"/>
    <w:rsid w:val="006607DD"/>
    <w:rsid w:val="0066089A"/>
    <w:rsid w:val="00664D7B"/>
    <w:rsid w:val="0066587A"/>
    <w:rsid w:val="0067053B"/>
    <w:rsid w:val="006706FA"/>
    <w:rsid w:val="00671067"/>
    <w:rsid w:val="00671219"/>
    <w:rsid w:val="00673B1B"/>
    <w:rsid w:val="0067614C"/>
    <w:rsid w:val="00681CD0"/>
    <w:rsid w:val="00682FFB"/>
    <w:rsid w:val="00683274"/>
    <w:rsid w:val="0068474D"/>
    <w:rsid w:val="006850AC"/>
    <w:rsid w:val="006852C1"/>
    <w:rsid w:val="0068660D"/>
    <w:rsid w:val="00696913"/>
    <w:rsid w:val="006A1AEA"/>
    <w:rsid w:val="006A6E0B"/>
    <w:rsid w:val="006A6F11"/>
    <w:rsid w:val="006A7F25"/>
    <w:rsid w:val="006B1B0A"/>
    <w:rsid w:val="006B1E81"/>
    <w:rsid w:val="006B66C3"/>
    <w:rsid w:val="006C05FC"/>
    <w:rsid w:val="006C31B9"/>
    <w:rsid w:val="006C563C"/>
    <w:rsid w:val="006C6669"/>
    <w:rsid w:val="006D1BB3"/>
    <w:rsid w:val="006D2416"/>
    <w:rsid w:val="006D308A"/>
    <w:rsid w:val="006D53CD"/>
    <w:rsid w:val="006D783A"/>
    <w:rsid w:val="006D7B55"/>
    <w:rsid w:val="006E2CD2"/>
    <w:rsid w:val="006E46EC"/>
    <w:rsid w:val="006E62B9"/>
    <w:rsid w:val="006F167C"/>
    <w:rsid w:val="006F339D"/>
    <w:rsid w:val="006F4286"/>
    <w:rsid w:val="006F7586"/>
    <w:rsid w:val="007007AF"/>
    <w:rsid w:val="00705047"/>
    <w:rsid w:val="00706125"/>
    <w:rsid w:val="00707B51"/>
    <w:rsid w:val="00707FCD"/>
    <w:rsid w:val="00710637"/>
    <w:rsid w:val="007110BC"/>
    <w:rsid w:val="00714F6E"/>
    <w:rsid w:val="007151BC"/>
    <w:rsid w:val="00715284"/>
    <w:rsid w:val="0071628A"/>
    <w:rsid w:val="007162C7"/>
    <w:rsid w:val="00721F32"/>
    <w:rsid w:val="00722147"/>
    <w:rsid w:val="00722C00"/>
    <w:rsid w:val="00726D22"/>
    <w:rsid w:val="00732724"/>
    <w:rsid w:val="00732CAB"/>
    <w:rsid w:val="00735A19"/>
    <w:rsid w:val="007411DE"/>
    <w:rsid w:val="00741401"/>
    <w:rsid w:val="00741A2D"/>
    <w:rsid w:val="00741F6D"/>
    <w:rsid w:val="00742BAC"/>
    <w:rsid w:val="00746934"/>
    <w:rsid w:val="00747056"/>
    <w:rsid w:val="007475E3"/>
    <w:rsid w:val="00750AFB"/>
    <w:rsid w:val="007560AD"/>
    <w:rsid w:val="0075796A"/>
    <w:rsid w:val="00757D20"/>
    <w:rsid w:val="00760E85"/>
    <w:rsid w:val="0076284D"/>
    <w:rsid w:val="007638FD"/>
    <w:rsid w:val="00763E85"/>
    <w:rsid w:val="00765DEE"/>
    <w:rsid w:val="00767C32"/>
    <w:rsid w:val="00767FBD"/>
    <w:rsid w:val="00770C55"/>
    <w:rsid w:val="00771429"/>
    <w:rsid w:val="0077258C"/>
    <w:rsid w:val="007753BC"/>
    <w:rsid w:val="00775964"/>
    <w:rsid w:val="007801DB"/>
    <w:rsid w:val="00780D1B"/>
    <w:rsid w:val="00782571"/>
    <w:rsid w:val="00782BA9"/>
    <w:rsid w:val="0078359E"/>
    <w:rsid w:val="007839D8"/>
    <w:rsid w:val="0078739C"/>
    <w:rsid w:val="00790746"/>
    <w:rsid w:val="007907B6"/>
    <w:rsid w:val="00791F49"/>
    <w:rsid w:val="0079370D"/>
    <w:rsid w:val="0079655D"/>
    <w:rsid w:val="00797477"/>
    <w:rsid w:val="007A1D14"/>
    <w:rsid w:val="007A2D7E"/>
    <w:rsid w:val="007A3675"/>
    <w:rsid w:val="007A45A8"/>
    <w:rsid w:val="007A62B8"/>
    <w:rsid w:val="007A662F"/>
    <w:rsid w:val="007B3489"/>
    <w:rsid w:val="007B5361"/>
    <w:rsid w:val="007B7D10"/>
    <w:rsid w:val="007C1915"/>
    <w:rsid w:val="007C3709"/>
    <w:rsid w:val="007C4716"/>
    <w:rsid w:val="007C7177"/>
    <w:rsid w:val="007C7660"/>
    <w:rsid w:val="007D326E"/>
    <w:rsid w:val="007D48AC"/>
    <w:rsid w:val="007D7423"/>
    <w:rsid w:val="007E0C70"/>
    <w:rsid w:val="007E4015"/>
    <w:rsid w:val="007E5480"/>
    <w:rsid w:val="007E6CDB"/>
    <w:rsid w:val="007E7B13"/>
    <w:rsid w:val="007F0096"/>
    <w:rsid w:val="007F3CD3"/>
    <w:rsid w:val="007F7975"/>
    <w:rsid w:val="008031C1"/>
    <w:rsid w:val="00803914"/>
    <w:rsid w:val="00806D97"/>
    <w:rsid w:val="00811B8A"/>
    <w:rsid w:val="00812210"/>
    <w:rsid w:val="008125BA"/>
    <w:rsid w:val="0081306A"/>
    <w:rsid w:val="00815EB1"/>
    <w:rsid w:val="008165A2"/>
    <w:rsid w:val="008177A1"/>
    <w:rsid w:val="00821F4F"/>
    <w:rsid w:val="00824C9B"/>
    <w:rsid w:val="00824EA6"/>
    <w:rsid w:val="00826A14"/>
    <w:rsid w:val="00826B6E"/>
    <w:rsid w:val="00832784"/>
    <w:rsid w:val="008361EA"/>
    <w:rsid w:val="00837917"/>
    <w:rsid w:val="0084049E"/>
    <w:rsid w:val="00841DF9"/>
    <w:rsid w:val="00842406"/>
    <w:rsid w:val="00844AB9"/>
    <w:rsid w:val="00844F5F"/>
    <w:rsid w:val="00846577"/>
    <w:rsid w:val="00847A57"/>
    <w:rsid w:val="008506A8"/>
    <w:rsid w:val="00852DFA"/>
    <w:rsid w:val="00857A92"/>
    <w:rsid w:val="00861208"/>
    <w:rsid w:val="0086236F"/>
    <w:rsid w:val="00864C94"/>
    <w:rsid w:val="008663C1"/>
    <w:rsid w:val="008667BA"/>
    <w:rsid w:val="00866809"/>
    <w:rsid w:val="00870BD0"/>
    <w:rsid w:val="00870F1F"/>
    <w:rsid w:val="00872A27"/>
    <w:rsid w:val="008756C3"/>
    <w:rsid w:val="008768FC"/>
    <w:rsid w:val="0087690F"/>
    <w:rsid w:val="00876B10"/>
    <w:rsid w:val="00881066"/>
    <w:rsid w:val="008827F9"/>
    <w:rsid w:val="008858A9"/>
    <w:rsid w:val="00887623"/>
    <w:rsid w:val="00892382"/>
    <w:rsid w:val="00892720"/>
    <w:rsid w:val="00892F33"/>
    <w:rsid w:val="00893684"/>
    <w:rsid w:val="00893A65"/>
    <w:rsid w:val="00894A32"/>
    <w:rsid w:val="008A2D20"/>
    <w:rsid w:val="008A3775"/>
    <w:rsid w:val="008A4450"/>
    <w:rsid w:val="008A44EF"/>
    <w:rsid w:val="008A53E0"/>
    <w:rsid w:val="008A68A1"/>
    <w:rsid w:val="008A6C20"/>
    <w:rsid w:val="008A7FFA"/>
    <w:rsid w:val="008B367B"/>
    <w:rsid w:val="008B3933"/>
    <w:rsid w:val="008B3C59"/>
    <w:rsid w:val="008B5C1F"/>
    <w:rsid w:val="008B632E"/>
    <w:rsid w:val="008B654B"/>
    <w:rsid w:val="008B6AB3"/>
    <w:rsid w:val="008C02A3"/>
    <w:rsid w:val="008C1B77"/>
    <w:rsid w:val="008C3706"/>
    <w:rsid w:val="008C4049"/>
    <w:rsid w:val="008C5541"/>
    <w:rsid w:val="008D1E4F"/>
    <w:rsid w:val="008D3565"/>
    <w:rsid w:val="008D526C"/>
    <w:rsid w:val="008D58C8"/>
    <w:rsid w:val="008D5A74"/>
    <w:rsid w:val="008E2D07"/>
    <w:rsid w:val="008E6B6B"/>
    <w:rsid w:val="008E7E4A"/>
    <w:rsid w:val="008F2E47"/>
    <w:rsid w:val="008F2E9F"/>
    <w:rsid w:val="008F56FE"/>
    <w:rsid w:val="008F5C1B"/>
    <w:rsid w:val="008F7DD4"/>
    <w:rsid w:val="00900DD6"/>
    <w:rsid w:val="00903D14"/>
    <w:rsid w:val="00906C87"/>
    <w:rsid w:val="009103F7"/>
    <w:rsid w:val="00914394"/>
    <w:rsid w:val="00915193"/>
    <w:rsid w:val="00917991"/>
    <w:rsid w:val="00920BE2"/>
    <w:rsid w:val="00920FF5"/>
    <w:rsid w:val="00922A85"/>
    <w:rsid w:val="00923447"/>
    <w:rsid w:val="00925CC7"/>
    <w:rsid w:val="00926D53"/>
    <w:rsid w:val="00926F7C"/>
    <w:rsid w:val="009309E9"/>
    <w:rsid w:val="00930A65"/>
    <w:rsid w:val="00930FE6"/>
    <w:rsid w:val="00935ADA"/>
    <w:rsid w:val="0093617F"/>
    <w:rsid w:val="0093772B"/>
    <w:rsid w:val="00937ACE"/>
    <w:rsid w:val="009408CE"/>
    <w:rsid w:val="009410BE"/>
    <w:rsid w:val="00941D58"/>
    <w:rsid w:val="00943074"/>
    <w:rsid w:val="00945F78"/>
    <w:rsid w:val="00946C83"/>
    <w:rsid w:val="00951D52"/>
    <w:rsid w:val="009526A7"/>
    <w:rsid w:val="00953034"/>
    <w:rsid w:val="0095415E"/>
    <w:rsid w:val="009549F8"/>
    <w:rsid w:val="00954D4A"/>
    <w:rsid w:val="0095528E"/>
    <w:rsid w:val="00956E92"/>
    <w:rsid w:val="00960B06"/>
    <w:rsid w:val="009629D5"/>
    <w:rsid w:val="009637A1"/>
    <w:rsid w:val="00963C18"/>
    <w:rsid w:val="009645A5"/>
    <w:rsid w:val="00964A5B"/>
    <w:rsid w:val="009662E1"/>
    <w:rsid w:val="00971E29"/>
    <w:rsid w:val="009729D9"/>
    <w:rsid w:val="00972FAA"/>
    <w:rsid w:val="00974675"/>
    <w:rsid w:val="009751DE"/>
    <w:rsid w:val="00975490"/>
    <w:rsid w:val="0097569B"/>
    <w:rsid w:val="00977D50"/>
    <w:rsid w:val="00980A85"/>
    <w:rsid w:val="009821AE"/>
    <w:rsid w:val="00993A74"/>
    <w:rsid w:val="00994248"/>
    <w:rsid w:val="00994717"/>
    <w:rsid w:val="009955A8"/>
    <w:rsid w:val="00997A72"/>
    <w:rsid w:val="00997B16"/>
    <w:rsid w:val="009A1DA6"/>
    <w:rsid w:val="009A2ECD"/>
    <w:rsid w:val="009A400B"/>
    <w:rsid w:val="009A4785"/>
    <w:rsid w:val="009A6CC6"/>
    <w:rsid w:val="009B0DA3"/>
    <w:rsid w:val="009B14F3"/>
    <w:rsid w:val="009B2F2E"/>
    <w:rsid w:val="009B529C"/>
    <w:rsid w:val="009B5547"/>
    <w:rsid w:val="009B6B95"/>
    <w:rsid w:val="009B722C"/>
    <w:rsid w:val="009C0B4C"/>
    <w:rsid w:val="009C0E03"/>
    <w:rsid w:val="009C29A6"/>
    <w:rsid w:val="009C64AF"/>
    <w:rsid w:val="009D5AE6"/>
    <w:rsid w:val="009D5FDB"/>
    <w:rsid w:val="009D756C"/>
    <w:rsid w:val="009D75C0"/>
    <w:rsid w:val="009E152F"/>
    <w:rsid w:val="009E3774"/>
    <w:rsid w:val="009E3DF1"/>
    <w:rsid w:val="009E6319"/>
    <w:rsid w:val="009E688F"/>
    <w:rsid w:val="009E7D8D"/>
    <w:rsid w:val="009F448F"/>
    <w:rsid w:val="009F4530"/>
    <w:rsid w:val="009F4FAB"/>
    <w:rsid w:val="00A04A8A"/>
    <w:rsid w:val="00A06770"/>
    <w:rsid w:val="00A06F6C"/>
    <w:rsid w:val="00A07CA6"/>
    <w:rsid w:val="00A11492"/>
    <w:rsid w:val="00A121FC"/>
    <w:rsid w:val="00A1419E"/>
    <w:rsid w:val="00A17080"/>
    <w:rsid w:val="00A20222"/>
    <w:rsid w:val="00A20DB2"/>
    <w:rsid w:val="00A21B07"/>
    <w:rsid w:val="00A22445"/>
    <w:rsid w:val="00A23662"/>
    <w:rsid w:val="00A32C66"/>
    <w:rsid w:val="00A3315A"/>
    <w:rsid w:val="00A331E0"/>
    <w:rsid w:val="00A3372C"/>
    <w:rsid w:val="00A3390C"/>
    <w:rsid w:val="00A34830"/>
    <w:rsid w:val="00A364AF"/>
    <w:rsid w:val="00A36E6B"/>
    <w:rsid w:val="00A40778"/>
    <w:rsid w:val="00A4089F"/>
    <w:rsid w:val="00A40BB3"/>
    <w:rsid w:val="00A40F13"/>
    <w:rsid w:val="00A43215"/>
    <w:rsid w:val="00A43B6E"/>
    <w:rsid w:val="00A43D11"/>
    <w:rsid w:val="00A46266"/>
    <w:rsid w:val="00A47DA7"/>
    <w:rsid w:val="00A50562"/>
    <w:rsid w:val="00A51195"/>
    <w:rsid w:val="00A51FB4"/>
    <w:rsid w:val="00A52EC2"/>
    <w:rsid w:val="00A55509"/>
    <w:rsid w:val="00A55C6F"/>
    <w:rsid w:val="00A57AD7"/>
    <w:rsid w:val="00A61101"/>
    <w:rsid w:val="00A6271A"/>
    <w:rsid w:val="00A63052"/>
    <w:rsid w:val="00A722B6"/>
    <w:rsid w:val="00A73009"/>
    <w:rsid w:val="00A74207"/>
    <w:rsid w:val="00A75780"/>
    <w:rsid w:val="00A7597C"/>
    <w:rsid w:val="00A75AA6"/>
    <w:rsid w:val="00A8191E"/>
    <w:rsid w:val="00A83EA4"/>
    <w:rsid w:val="00A85B83"/>
    <w:rsid w:val="00A914F1"/>
    <w:rsid w:val="00A92334"/>
    <w:rsid w:val="00A93705"/>
    <w:rsid w:val="00A938EA"/>
    <w:rsid w:val="00A93EE7"/>
    <w:rsid w:val="00A95284"/>
    <w:rsid w:val="00A965CC"/>
    <w:rsid w:val="00A96D53"/>
    <w:rsid w:val="00AA043D"/>
    <w:rsid w:val="00AA13D9"/>
    <w:rsid w:val="00AA24B6"/>
    <w:rsid w:val="00AA3964"/>
    <w:rsid w:val="00AA4A51"/>
    <w:rsid w:val="00AA4D8A"/>
    <w:rsid w:val="00AA51D1"/>
    <w:rsid w:val="00AB0DA0"/>
    <w:rsid w:val="00AB1521"/>
    <w:rsid w:val="00AB2A07"/>
    <w:rsid w:val="00AB3512"/>
    <w:rsid w:val="00AB43D8"/>
    <w:rsid w:val="00AB5909"/>
    <w:rsid w:val="00AB5D7A"/>
    <w:rsid w:val="00AC0734"/>
    <w:rsid w:val="00AC300A"/>
    <w:rsid w:val="00AC5A44"/>
    <w:rsid w:val="00AD0DD8"/>
    <w:rsid w:val="00AD6DC4"/>
    <w:rsid w:val="00AD7A67"/>
    <w:rsid w:val="00AE0264"/>
    <w:rsid w:val="00AE0BAD"/>
    <w:rsid w:val="00AE36B8"/>
    <w:rsid w:val="00AE3967"/>
    <w:rsid w:val="00AE4310"/>
    <w:rsid w:val="00AE61C7"/>
    <w:rsid w:val="00AF0774"/>
    <w:rsid w:val="00AF1BD0"/>
    <w:rsid w:val="00AF2605"/>
    <w:rsid w:val="00AF3A63"/>
    <w:rsid w:val="00AF3D0B"/>
    <w:rsid w:val="00AF412F"/>
    <w:rsid w:val="00AF5E60"/>
    <w:rsid w:val="00AF6676"/>
    <w:rsid w:val="00AF72A1"/>
    <w:rsid w:val="00B0054D"/>
    <w:rsid w:val="00B01ED9"/>
    <w:rsid w:val="00B02871"/>
    <w:rsid w:val="00B041D9"/>
    <w:rsid w:val="00B04F8B"/>
    <w:rsid w:val="00B056BA"/>
    <w:rsid w:val="00B07981"/>
    <w:rsid w:val="00B10B6C"/>
    <w:rsid w:val="00B12F33"/>
    <w:rsid w:val="00B14C9D"/>
    <w:rsid w:val="00B14FBF"/>
    <w:rsid w:val="00B15D26"/>
    <w:rsid w:val="00B16C8A"/>
    <w:rsid w:val="00B16EEC"/>
    <w:rsid w:val="00B17854"/>
    <w:rsid w:val="00B2033F"/>
    <w:rsid w:val="00B206A4"/>
    <w:rsid w:val="00B21EAB"/>
    <w:rsid w:val="00B2624E"/>
    <w:rsid w:val="00B274E5"/>
    <w:rsid w:val="00B27662"/>
    <w:rsid w:val="00B3022C"/>
    <w:rsid w:val="00B309C0"/>
    <w:rsid w:val="00B327DA"/>
    <w:rsid w:val="00B3346C"/>
    <w:rsid w:val="00B353BC"/>
    <w:rsid w:val="00B35E4D"/>
    <w:rsid w:val="00B36781"/>
    <w:rsid w:val="00B37D91"/>
    <w:rsid w:val="00B401D0"/>
    <w:rsid w:val="00B41696"/>
    <w:rsid w:val="00B44EF2"/>
    <w:rsid w:val="00B4742B"/>
    <w:rsid w:val="00B51EFD"/>
    <w:rsid w:val="00B5373F"/>
    <w:rsid w:val="00B53CB5"/>
    <w:rsid w:val="00B54A45"/>
    <w:rsid w:val="00B54A6C"/>
    <w:rsid w:val="00B5531C"/>
    <w:rsid w:val="00B56A6E"/>
    <w:rsid w:val="00B626BD"/>
    <w:rsid w:val="00B62B4B"/>
    <w:rsid w:val="00B636AE"/>
    <w:rsid w:val="00B644A2"/>
    <w:rsid w:val="00B64EE2"/>
    <w:rsid w:val="00B65F6B"/>
    <w:rsid w:val="00B660BB"/>
    <w:rsid w:val="00B66F4B"/>
    <w:rsid w:val="00B703B9"/>
    <w:rsid w:val="00B70AF0"/>
    <w:rsid w:val="00B7733A"/>
    <w:rsid w:val="00B77DE4"/>
    <w:rsid w:val="00B8012C"/>
    <w:rsid w:val="00B815B2"/>
    <w:rsid w:val="00B82D76"/>
    <w:rsid w:val="00B84CE1"/>
    <w:rsid w:val="00B86A85"/>
    <w:rsid w:val="00B86F1D"/>
    <w:rsid w:val="00B871CF"/>
    <w:rsid w:val="00B87814"/>
    <w:rsid w:val="00B90A43"/>
    <w:rsid w:val="00B94036"/>
    <w:rsid w:val="00B94FB8"/>
    <w:rsid w:val="00B95B49"/>
    <w:rsid w:val="00B979B1"/>
    <w:rsid w:val="00BA022A"/>
    <w:rsid w:val="00BA0AE9"/>
    <w:rsid w:val="00BA16D6"/>
    <w:rsid w:val="00BA652C"/>
    <w:rsid w:val="00BB7053"/>
    <w:rsid w:val="00BB7904"/>
    <w:rsid w:val="00BC12A1"/>
    <w:rsid w:val="00BC3D54"/>
    <w:rsid w:val="00BC44D0"/>
    <w:rsid w:val="00BC6008"/>
    <w:rsid w:val="00BC620F"/>
    <w:rsid w:val="00BC6371"/>
    <w:rsid w:val="00BD16AD"/>
    <w:rsid w:val="00BD21AA"/>
    <w:rsid w:val="00BD33DA"/>
    <w:rsid w:val="00BD36AE"/>
    <w:rsid w:val="00BD3F1B"/>
    <w:rsid w:val="00BD5ABC"/>
    <w:rsid w:val="00BE06F7"/>
    <w:rsid w:val="00BE2D7F"/>
    <w:rsid w:val="00BE4C08"/>
    <w:rsid w:val="00BE59D7"/>
    <w:rsid w:val="00BE5D9D"/>
    <w:rsid w:val="00BE65E8"/>
    <w:rsid w:val="00BE6DDE"/>
    <w:rsid w:val="00BF652C"/>
    <w:rsid w:val="00C01325"/>
    <w:rsid w:val="00C0147F"/>
    <w:rsid w:val="00C01BC3"/>
    <w:rsid w:val="00C03080"/>
    <w:rsid w:val="00C03BD5"/>
    <w:rsid w:val="00C03D86"/>
    <w:rsid w:val="00C04145"/>
    <w:rsid w:val="00C122E7"/>
    <w:rsid w:val="00C14504"/>
    <w:rsid w:val="00C15F8E"/>
    <w:rsid w:val="00C17DE8"/>
    <w:rsid w:val="00C20260"/>
    <w:rsid w:val="00C22CBF"/>
    <w:rsid w:val="00C24377"/>
    <w:rsid w:val="00C275B8"/>
    <w:rsid w:val="00C3132A"/>
    <w:rsid w:val="00C320D9"/>
    <w:rsid w:val="00C32C22"/>
    <w:rsid w:val="00C34E7F"/>
    <w:rsid w:val="00C34E8E"/>
    <w:rsid w:val="00C362E2"/>
    <w:rsid w:val="00C36B3A"/>
    <w:rsid w:val="00C40EED"/>
    <w:rsid w:val="00C412FE"/>
    <w:rsid w:val="00C41336"/>
    <w:rsid w:val="00C426BD"/>
    <w:rsid w:val="00C45BD1"/>
    <w:rsid w:val="00C45BE4"/>
    <w:rsid w:val="00C4667F"/>
    <w:rsid w:val="00C4675D"/>
    <w:rsid w:val="00C47015"/>
    <w:rsid w:val="00C47133"/>
    <w:rsid w:val="00C540D3"/>
    <w:rsid w:val="00C62B2A"/>
    <w:rsid w:val="00C64F6C"/>
    <w:rsid w:val="00C65418"/>
    <w:rsid w:val="00C65D0D"/>
    <w:rsid w:val="00C6626B"/>
    <w:rsid w:val="00C705B1"/>
    <w:rsid w:val="00C83324"/>
    <w:rsid w:val="00C834AA"/>
    <w:rsid w:val="00C8434B"/>
    <w:rsid w:val="00C846DC"/>
    <w:rsid w:val="00C85040"/>
    <w:rsid w:val="00C86B9F"/>
    <w:rsid w:val="00C87310"/>
    <w:rsid w:val="00C941CA"/>
    <w:rsid w:val="00C94327"/>
    <w:rsid w:val="00C97102"/>
    <w:rsid w:val="00CA1061"/>
    <w:rsid w:val="00CA2C06"/>
    <w:rsid w:val="00CA3EAE"/>
    <w:rsid w:val="00CA683A"/>
    <w:rsid w:val="00CB340C"/>
    <w:rsid w:val="00CB6757"/>
    <w:rsid w:val="00CB69B3"/>
    <w:rsid w:val="00CC05E8"/>
    <w:rsid w:val="00CC0626"/>
    <w:rsid w:val="00CD1D9F"/>
    <w:rsid w:val="00CD4EB8"/>
    <w:rsid w:val="00CD6B92"/>
    <w:rsid w:val="00CD6EE6"/>
    <w:rsid w:val="00CD720D"/>
    <w:rsid w:val="00CE0A4E"/>
    <w:rsid w:val="00CE465E"/>
    <w:rsid w:val="00CE62B7"/>
    <w:rsid w:val="00CE642F"/>
    <w:rsid w:val="00CE6E8B"/>
    <w:rsid w:val="00CE79A9"/>
    <w:rsid w:val="00CF196C"/>
    <w:rsid w:val="00CF5155"/>
    <w:rsid w:val="00CF5327"/>
    <w:rsid w:val="00CF5898"/>
    <w:rsid w:val="00CF7199"/>
    <w:rsid w:val="00D00EB6"/>
    <w:rsid w:val="00D033C6"/>
    <w:rsid w:val="00D04AE1"/>
    <w:rsid w:val="00D125E0"/>
    <w:rsid w:val="00D12CA2"/>
    <w:rsid w:val="00D17A87"/>
    <w:rsid w:val="00D200F3"/>
    <w:rsid w:val="00D20C9E"/>
    <w:rsid w:val="00D27BEC"/>
    <w:rsid w:val="00D34E24"/>
    <w:rsid w:val="00D36270"/>
    <w:rsid w:val="00D36AFB"/>
    <w:rsid w:val="00D42FF8"/>
    <w:rsid w:val="00D44608"/>
    <w:rsid w:val="00D4467D"/>
    <w:rsid w:val="00D46B32"/>
    <w:rsid w:val="00D53DEB"/>
    <w:rsid w:val="00D541E0"/>
    <w:rsid w:val="00D55723"/>
    <w:rsid w:val="00D55A62"/>
    <w:rsid w:val="00D6021B"/>
    <w:rsid w:val="00D614AA"/>
    <w:rsid w:val="00D62184"/>
    <w:rsid w:val="00D63C05"/>
    <w:rsid w:val="00D63F3C"/>
    <w:rsid w:val="00D64F56"/>
    <w:rsid w:val="00D654C8"/>
    <w:rsid w:val="00D66064"/>
    <w:rsid w:val="00D66342"/>
    <w:rsid w:val="00D701C7"/>
    <w:rsid w:val="00D7112C"/>
    <w:rsid w:val="00D72FE7"/>
    <w:rsid w:val="00D76BA4"/>
    <w:rsid w:val="00D800B6"/>
    <w:rsid w:val="00D81077"/>
    <w:rsid w:val="00D815B5"/>
    <w:rsid w:val="00D81C59"/>
    <w:rsid w:val="00D82B0C"/>
    <w:rsid w:val="00D84045"/>
    <w:rsid w:val="00D84EC6"/>
    <w:rsid w:val="00D85CD1"/>
    <w:rsid w:val="00D86255"/>
    <w:rsid w:val="00D91232"/>
    <w:rsid w:val="00D95D91"/>
    <w:rsid w:val="00DA1829"/>
    <w:rsid w:val="00DA323F"/>
    <w:rsid w:val="00DA420A"/>
    <w:rsid w:val="00DA55C9"/>
    <w:rsid w:val="00DA5671"/>
    <w:rsid w:val="00DA6CA3"/>
    <w:rsid w:val="00DB2764"/>
    <w:rsid w:val="00DB3FDD"/>
    <w:rsid w:val="00DB58F4"/>
    <w:rsid w:val="00DB59FB"/>
    <w:rsid w:val="00DB5E07"/>
    <w:rsid w:val="00DC03FB"/>
    <w:rsid w:val="00DC4557"/>
    <w:rsid w:val="00DC60A3"/>
    <w:rsid w:val="00DC64DD"/>
    <w:rsid w:val="00DC7362"/>
    <w:rsid w:val="00DD0FD2"/>
    <w:rsid w:val="00DD4B14"/>
    <w:rsid w:val="00DD671A"/>
    <w:rsid w:val="00DD6BF6"/>
    <w:rsid w:val="00DE1037"/>
    <w:rsid w:val="00DE199D"/>
    <w:rsid w:val="00DE2F80"/>
    <w:rsid w:val="00DE620A"/>
    <w:rsid w:val="00DE6B0F"/>
    <w:rsid w:val="00DF159B"/>
    <w:rsid w:val="00DF34B7"/>
    <w:rsid w:val="00E00166"/>
    <w:rsid w:val="00E023C6"/>
    <w:rsid w:val="00E07987"/>
    <w:rsid w:val="00E1165B"/>
    <w:rsid w:val="00E12D48"/>
    <w:rsid w:val="00E15779"/>
    <w:rsid w:val="00E2116A"/>
    <w:rsid w:val="00E2198C"/>
    <w:rsid w:val="00E26316"/>
    <w:rsid w:val="00E27343"/>
    <w:rsid w:val="00E27369"/>
    <w:rsid w:val="00E27F64"/>
    <w:rsid w:val="00E30779"/>
    <w:rsid w:val="00E31C53"/>
    <w:rsid w:val="00E31E43"/>
    <w:rsid w:val="00E32F8A"/>
    <w:rsid w:val="00E33F1A"/>
    <w:rsid w:val="00E3685C"/>
    <w:rsid w:val="00E36DE1"/>
    <w:rsid w:val="00E400CD"/>
    <w:rsid w:val="00E40A50"/>
    <w:rsid w:val="00E40D09"/>
    <w:rsid w:val="00E4346B"/>
    <w:rsid w:val="00E44F1E"/>
    <w:rsid w:val="00E45DEA"/>
    <w:rsid w:val="00E51231"/>
    <w:rsid w:val="00E5133F"/>
    <w:rsid w:val="00E518F0"/>
    <w:rsid w:val="00E525B7"/>
    <w:rsid w:val="00E5450B"/>
    <w:rsid w:val="00E54FF7"/>
    <w:rsid w:val="00E570DF"/>
    <w:rsid w:val="00E66E14"/>
    <w:rsid w:val="00E72DC8"/>
    <w:rsid w:val="00E73546"/>
    <w:rsid w:val="00E75704"/>
    <w:rsid w:val="00E77209"/>
    <w:rsid w:val="00E77EED"/>
    <w:rsid w:val="00E80008"/>
    <w:rsid w:val="00E8147E"/>
    <w:rsid w:val="00E823C0"/>
    <w:rsid w:val="00E83CE9"/>
    <w:rsid w:val="00E84310"/>
    <w:rsid w:val="00E859AC"/>
    <w:rsid w:val="00E85BF8"/>
    <w:rsid w:val="00E866E9"/>
    <w:rsid w:val="00E869DA"/>
    <w:rsid w:val="00E86F93"/>
    <w:rsid w:val="00E9167E"/>
    <w:rsid w:val="00E92A29"/>
    <w:rsid w:val="00E95119"/>
    <w:rsid w:val="00E95873"/>
    <w:rsid w:val="00E97328"/>
    <w:rsid w:val="00EA059C"/>
    <w:rsid w:val="00EA09A5"/>
    <w:rsid w:val="00EA0AB1"/>
    <w:rsid w:val="00EA13A0"/>
    <w:rsid w:val="00EA263F"/>
    <w:rsid w:val="00EA5032"/>
    <w:rsid w:val="00EB5B53"/>
    <w:rsid w:val="00EB670C"/>
    <w:rsid w:val="00EC0789"/>
    <w:rsid w:val="00EC0DF7"/>
    <w:rsid w:val="00EC2424"/>
    <w:rsid w:val="00EC458C"/>
    <w:rsid w:val="00EC6E56"/>
    <w:rsid w:val="00EC79B7"/>
    <w:rsid w:val="00ED07BD"/>
    <w:rsid w:val="00ED0D81"/>
    <w:rsid w:val="00ED262A"/>
    <w:rsid w:val="00ED2C8D"/>
    <w:rsid w:val="00ED38BB"/>
    <w:rsid w:val="00ED7648"/>
    <w:rsid w:val="00EE2A83"/>
    <w:rsid w:val="00EE7B82"/>
    <w:rsid w:val="00EF1C79"/>
    <w:rsid w:val="00EF4A62"/>
    <w:rsid w:val="00EF4CA7"/>
    <w:rsid w:val="00EF60EB"/>
    <w:rsid w:val="00F00E55"/>
    <w:rsid w:val="00F02EAC"/>
    <w:rsid w:val="00F037FB"/>
    <w:rsid w:val="00F063D4"/>
    <w:rsid w:val="00F070C5"/>
    <w:rsid w:val="00F12244"/>
    <w:rsid w:val="00F1453E"/>
    <w:rsid w:val="00F149E9"/>
    <w:rsid w:val="00F1508C"/>
    <w:rsid w:val="00F20B0D"/>
    <w:rsid w:val="00F21097"/>
    <w:rsid w:val="00F21DC6"/>
    <w:rsid w:val="00F23024"/>
    <w:rsid w:val="00F23E74"/>
    <w:rsid w:val="00F240CB"/>
    <w:rsid w:val="00F25E26"/>
    <w:rsid w:val="00F30F7D"/>
    <w:rsid w:val="00F40F9D"/>
    <w:rsid w:val="00F425D0"/>
    <w:rsid w:val="00F42DBB"/>
    <w:rsid w:val="00F44900"/>
    <w:rsid w:val="00F45938"/>
    <w:rsid w:val="00F45AE7"/>
    <w:rsid w:val="00F46F32"/>
    <w:rsid w:val="00F507F6"/>
    <w:rsid w:val="00F512D5"/>
    <w:rsid w:val="00F51F40"/>
    <w:rsid w:val="00F52EF6"/>
    <w:rsid w:val="00F5353D"/>
    <w:rsid w:val="00F5681E"/>
    <w:rsid w:val="00F56DDF"/>
    <w:rsid w:val="00F609C7"/>
    <w:rsid w:val="00F610CC"/>
    <w:rsid w:val="00F61BDB"/>
    <w:rsid w:val="00F63DC0"/>
    <w:rsid w:val="00F65B95"/>
    <w:rsid w:val="00F7137B"/>
    <w:rsid w:val="00F721B6"/>
    <w:rsid w:val="00F7557A"/>
    <w:rsid w:val="00F80DC3"/>
    <w:rsid w:val="00F86D95"/>
    <w:rsid w:val="00F87DCE"/>
    <w:rsid w:val="00F90337"/>
    <w:rsid w:val="00F93209"/>
    <w:rsid w:val="00F94658"/>
    <w:rsid w:val="00F951E2"/>
    <w:rsid w:val="00F96A53"/>
    <w:rsid w:val="00FA0A99"/>
    <w:rsid w:val="00FA0E5B"/>
    <w:rsid w:val="00FA4ED5"/>
    <w:rsid w:val="00FB47A9"/>
    <w:rsid w:val="00FB6C6E"/>
    <w:rsid w:val="00FB72AE"/>
    <w:rsid w:val="00FC2470"/>
    <w:rsid w:val="00FC378F"/>
    <w:rsid w:val="00FC3BE4"/>
    <w:rsid w:val="00FD1DF1"/>
    <w:rsid w:val="00FD3270"/>
    <w:rsid w:val="00FD4873"/>
    <w:rsid w:val="00FD48B0"/>
    <w:rsid w:val="00FD689B"/>
    <w:rsid w:val="00FE08A5"/>
    <w:rsid w:val="00FE0A5F"/>
    <w:rsid w:val="00FE0ED4"/>
    <w:rsid w:val="00FE1D56"/>
    <w:rsid w:val="00FE1E4D"/>
    <w:rsid w:val="00FE3262"/>
    <w:rsid w:val="00FE526C"/>
    <w:rsid w:val="00FE543F"/>
    <w:rsid w:val="00FE7ABC"/>
    <w:rsid w:val="00FF2599"/>
    <w:rsid w:val="00FF27C1"/>
    <w:rsid w:val="00FF2D09"/>
    <w:rsid w:val="00FF319E"/>
    <w:rsid w:val="00FF7075"/>
    <w:rsid w:val="00FF7681"/>
    <w:rsid w:val="00FF7B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38B70C"/>
  <w15:docId w15:val="{F61914B2-0FFE-438C-B421-CED8E10A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054D"/>
    <w:rPr>
      <w:sz w:val="24"/>
      <w:szCs w:val="24"/>
    </w:rPr>
  </w:style>
  <w:style w:type="paragraph" w:styleId="Heading1">
    <w:name w:val="heading 1"/>
    <w:basedOn w:val="Normal"/>
    <w:next w:val="Normal"/>
    <w:qFormat/>
    <w:rsid w:val="00B0054D"/>
    <w:pPr>
      <w:keepNext/>
      <w:tabs>
        <w:tab w:val="left" w:pos="1176"/>
        <w:tab w:val="left" w:pos="1656"/>
        <w:tab w:val="left" w:pos="6696"/>
        <w:tab w:val="left" w:pos="8256"/>
      </w:tabs>
      <w:ind w:left="1656"/>
      <w:outlineLvl w:val="0"/>
    </w:pPr>
    <w:rPr>
      <w:szCs w:val="20"/>
    </w:rPr>
  </w:style>
  <w:style w:type="paragraph" w:styleId="Heading2">
    <w:name w:val="heading 2"/>
    <w:basedOn w:val="Normal"/>
    <w:next w:val="Normal"/>
    <w:qFormat/>
    <w:rsid w:val="00B0054D"/>
    <w:pPr>
      <w:keepNext/>
      <w:tabs>
        <w:tab w:val="left" w:pos="1176"/>
        <w:tab w:val="left" w:pos="1656"/>
        <w:tab w:val="left" w:pos="6696"/>
        <w:tab w:val="left" w:pos="8256"/>
      </w:tabs>
      <w:ind w:left="960"/>
      <w:jc w:val="center"/>
      <w:outlineLvl w:val="1"/>
    </w:pPr>
    <w:rPr>
      <w:szCs w:val="20"/>
      <w:u w:val="single"/>
    </w:rPr>
  </w:style>
  <w:style w:type="paragraph" w:styleId="Heading3">
    <w:name w:val="heading 3"/>
    <w:basedOn w:val="Normal"/>
    <w:next w:val="Normal"/>
    <w:qFormat/>
    <w:rsid w:val="00B0054D"/>
    <w:pPr>
      <w:keepNext/>
      <w:tabs>
        <w:tab w:val="left" w:pos="1176"/>
        <w:tab w:val="left" w:pos="1656"/>
        <w:tab w:val="left" w:pos="6696"/>
        <w:tab w:val="left" w:pos="8256"/>
      </w:tabs>
      <w:outlineLvl w:val="2"/>
    </w:pPr>
    <w:rPr>
      <w:szCs w:val="20"/>
    </w:rPr>
  </w:style>
  <w:style w:type="paragraph" w:styleId="Heading4">
    <w:name w:val="heading 4"/>
    <w:basedOn w:val="Normal"/>
    <w:next w:val="Normal"/>
    <w:qFormat/>
    <w:rsid w:val="00B0054D"/>
    <w:pPr>
      <w:keepNext/>
      <w:tabs>
        <w:tab w:val="left" w:pos="1176"/>
        <w:tab w:val="left" w:pos="1656"/>
        <w:tab w:val="left" w:pos="5016"/>
        <w:tab w:val="left" w:pos="6696"/>
        <w:tab w:val="left" w:pos="8256"/>
      </w:tabs>
      <w:jc w:val="center"/>
      <w:outlineLvl w:val="3"/>
    </w:pPr>
    <w:rPr>
      <w:b/>
      <w:bCs/>
    </w:rPr>
  </w:style>
  <w:style w:type="paragraph" w:styleId="Heading5">
    <w:name w:val="heading 5"/>
    <w:basedOn w:val="Normal"/>
    <w:next w:val="Normal"/>
    <w:qFormat/>
    <w:rsid w:val="00B0054D"/>
    <w:pPr>
      <w:keepNext/>
      <w:outlineLvl w:val="4"/>
    </w:pPr>
    <w:rPr>
      <w:b/>
      <w:bCs/>
      <w:sz w:val="28"/>
    </w:rPr>
  </w:style>
  <w:style w:type="paragraph" w:styleId="Heading6">
    <w:name w:val="heading 6"/>
    <w:basedOn w:val="Normal"/>
    <w:next w:val="Normal"/>
    <w:qFormat/>
    <w:rsid w:val="00B0054D"/>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0054D"/>
    <w:pPr>
      <w:tabs>
        <w:tab w:val="left" w:pos="1176"/>
        <w:tab w:val="left" w:pos="1656"/>
        <w:tab w:val="left" w:pos="5940"/>
        <w:tab w:val="left" w:pos="8256"/>
      </w:tabs>
      <w:ind w:left="720"/>
    </w:pPr>
  </w:style>
  <w:style w:type="character" w:customStyle="1" w:styleId="changedrop">
    <w:name w:val="change_drop"/>
    <w:basedOn w:val="DefaultParagraphFont"/>
    <w:rsid w:val="00B0054D"/>
    <w:rPr>
      <w:strike/>
      <w:color w:val="FF0000"/>
    </w:rPr>
  </w:style>
  <w:style w:type="character" w:customStyle="1" w:styleId="changeadd">
    <w:name w:val="change_add"/>
    <w:basedOn w:val="DefaultParagraphFont"/>
    <w:rsid w:val="00B0054D"/>
    <w:rPr>
      <w:b/>
      <w:bCs/>
      <w:color w:val="0000FF"/>
    </w:rPr>
  </w:style>
  <w:style w:type="paragraph" w:styleId="BodyTextIndent2">
    <w:name w:val="Body Text Indent 2"/>
    <w:basedOn w:val="Normal"/>
    <w:link w:val="BodyTextIndent2Char"/>
    <w:rsid w:val="00B0054D"/>
    <w:pPr>
      <w:tabs>
        <w:tab w:val="left" w:pos="1176"/>
        <w:tab w:val="left" w:pos="1656"/>
        <w:tab w:val="left" w:pos="5016"/>
        <w:tab w:val="left" w:pos="6696"/>
        <w:tab w:val="left" w:pos="8256"/>
      </w:tabs>
      <w:ind w:left="480"/>
    </w:pPr>
  </w:style>
  <w:style w:type="paragraph" w:styleId="BodyTextIndent3">
    <w:name w:val="Body Text Indent 3"/>
    <w:basedOn w:val="Normal"/>
    <w:link w:val="BodyTextIndent3Char"/>
    <w:uiPriority w:val="99"/>
    <w:rsid w:val="00B0054D"/>
    <w:pPr>
      <w:tabs>
        <w:tab w:val="left" w:pos="1176"/>
        <w:tab w:val="left" w:pos="1656"/>
        <w:tab w:val="left" w:pos="5016"/>
        <w:tab w:val="left" w:pos="6696"/>
        <w:tab w:val="left" w:pos="8256"/>
      </w:tabs>
      <w:ind w:left="360"/>
    </w:pPr>
  </w:style>
  <w:style w:type="character" w:styleId="FootnoteReference">
    <w:name w:val="footnote reference"/>
    <w:basedOn w:val="DefaultParagraphFont"/>
    <w:rsid w:val="00B0054D"/>
    <w:rPr>
      <w:vertAlign w:val="superscript"/>
    </w:rPr>
  </w:style>
  <w:style w:type="paragraph" w:styleId="Footer">
    <w:name w:val="footer"/>
    <w:basedOn w:val="Normal"/>
    <w:rsid w:val="00B0054D"/>
    <w:pPr>
      <w:tabs>
        <w:tab w:val="center" w:pos="4320"/>
        <w:tab w:val="right" w:pos="8640"/>
      </w:tabs>
    </w:pPr>
    <w:rPr>
      <w:rFonts w:ascii="CG Times" w:hAnsi="CG Times"/>
      <w:sz w:val="20"/>
      <w:szCs w:val="20"/>
    </w:rPr>
  </w:style>
  <w:style w:type="paragraph" w:styleId="BlockText">
    <w:name w:val="Block Text"/>
    <w:basedOn w:val="Normal"/>
    <w:rsid w:val="00B0054D"/>
    <w:pPr>
      <w:tabs>
        <w:tab w:val="left" w:pos="1176"/>
        <w:tab w:val="left" w:pos="1656"/>
        <w:tab w:val="left" w:pos="5016"/>
        <w:tab w:val="left" w:pos="6696"/>
        <w:tab w:val="left" w:pos="8256"/>
      </w:tabs>
      <w:ind w:left="1152" w:right="1152"/>
    </w:pPr>
    <w:rPr>
      <w:szCs w:val="20"/>
    </w:rPr>
  </w:style>
  <w:style w:type="paragraph" w:styleId="BodyText">
    <w:name w:val="Body Text"/>
    <w:basedOn w:val="Normal"/>
    <w:rsid w:val="00B0054D"/>
    <w:pPr>
      <w:tabs>
        <w:tab w:val="left" w:pos="1176"/>
        <w:tab w:val="left" w:pos="1656"/>
        <w:tab w:val="left" w:pos="6696"/>
        <w:tab w:val="left" w:pos="8256"/>
      </w:tabs>
    </w:pPr>
    <w:rPr>
      <w:szCs w:val="20"/>
    </w:rPr>
  </w:style>
  <w:style w:type="paragraph" w:styleId="FootnoteText">
    <w:name w:val="footnote text"/>
    <w:basedOn w:val="Normal"/>
    <w:link w:val="FootnoteTextChar"/>
    <w:rsid w:val="00B0054D"/>
    <w:rPr>
      <w:rFonts w:ascii="CG Times" w:hAnsi="CG Times"/>
      <w:sz w:val="20"/>
      <w:szCs w:val="20"/>
    </w:rPr>
  </w:style>
  <w:style w:type="character" w:styleId="PageNumber">
    <w:name w:val="page number"/>
    <w:basedOn w:val="DefaultParagraphFont"/>
    <w:rsid w:val="00B0054D"/>
  </w:style>
  <w:style w:type="paragraph" w:styleId="Title">
    <w:name w:val="Title"/>
    <w:basedOn w:val="Normal"/>
    <w:qFormat/>
    <w:rsid w:val="00673B1B"/>
    <w:pPr>
      <w:tabs>
        <w:tab w:val="left" w:pos="1176"/>
        <w:tab w:val="left" w:pos="1656"/>
        <w:tab w:val="left" w:pos="6696"/>
        <w:tab w:val="left" w:pos="8256"/>
      </w:tabs>
      <w:jc w:val="center"/>
      <w:outlineLvl w:val="0"/>
    </w:pPr>
    <w:rPr>
      <w:szCs w:val="20"/>
    </w:rPr>
  </w:style>
  <w:style w:type="paragraph" w:styleId="Subtitle">
    <w:name w:val="Subtitle"/>
    <w:basedOn w:val="Normal"/>
    <w:qFormat/>
    <w:rsid w:val="00673B1B"/>
    <w:pPr>
      <w:tabs>
        <w:tab w:val="left" w:pos="1176"/>
        <w:tab w:val="left" w:pos="1656"/>
        <w:tab w:val="left" w:pos="6696"/>
        <w:tab w:val="left" w:pos="8256"/>
      </w:tabs>
      <w:ind w:left="1176" w:hanging="1176"/>
    </w:pPr>
    <w:rPr>
      <w:szCs w:val="20"/>
    </w:rPr>
  </w:style>
  <w:style w:type="paragraph" w:styleId="BalloonText">
    <w:name w:val="Balloon Text"/>
    <w:basedOn w:val="Normal"/>
    <w:semiHidden/>
    <w:rsid w:val="008506A8"/>
    <w:rPr>
      <w:rFonts w:ascii="Tahoma" w:hAnsi="Tahoma" w:cs="Tahoma"/>
      <w:sz w:val="16"/>
      <w:szCs w:val="16"/>
    </w:rPr>
  </w:style>
  <w:style w:type="paragraph" w:styleId="Header">
    <w:name w:val="header"/>
    <w:basedOn w:val="Normal"/>
    <w:link w:val="HeaderChar"/>
    <w:uiPriority w:val="99"/>
    <w:rsid w:val="00AF412F"/>
    <w:pPr>
      <w:tabs>
        <w:tab w:val="center" w:pos="4320"/>
        <w:tab w:val="right" w:pos="8640"/>
      </w:tabs>
    </w:pPr>
  </w:style>
  <w:style w:type="table" w:styleId="TableGrid">
    <w:name w:val="Table Grid"/>
    <w:basedOn w:val="TableNormal"/>
    <w:uiPriority w:val="39"/>
    <w:rsid w:val="00521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00379B"/>
    <w:rPr>
      <w:sz w:val="16"/>
      <w:szCs w:val="16"/>
    </w:rPr>
  </w:style>
  <w:style w:type="paragraph" w:styleId="CommentText">
    <w:name w:val="annotation text"/>
    <w:basedOn w:val="Normal"/>
    <w:link w:val="CommentTextChar"/>
    <w:uiPriority w:val="99"/>
    <w:semiHidden/>
    <w:rsid w:val="0000379B"/>
    <w:rPr>
      <w:sz w:val="20"/>
      <w:szCs w:val="20"/>
    </w:rPr>
  </w:style>
  <w:style w:type="paragraph" w:styleId="CommentSubject">
    <w:name w:val="annotation subject"/>
    <w:basedOn w:val="CommentText"/>
    <w:next w:val="CommentText"/>
    <w:semiHidden/>
    <w:rsid w:val="0000379B"/>
    <w:rPr>
      <w:b/>
      <w:bCs/>
    </w:rPr>
  </w:style>
  <w:style w:type="character" w:styleId="Hyperlink">
    <w:name w:val="Hyperlink"/>
    <w:basedOn w:val="DefaultParagraphFont"/>
    <w:rsid w:val="00A04A8A"/>
    <w:rPr>
      <w:color w:val="0000FF"/>
      <w:u w:val="single"/>
    </w:rPr>
  </w:style>
  <w:style w:type="paragraph" w:customStyle="1" w:styleId="Pa5">
    <w:name w:val="Pa5"/>
    <w:basedOn w:val="Normal"/>
    <w:next w:val="Normal"/>
    <w:rsid w:val="00A04A8A"/>
    <w:pPr>
      <w:autoSpaceDE w:val="0"/>
      <w:autoSpaceDN w:val="0"/>
      <w:adjustRightInd w:val="0"/>
      <w:spacing w:line="201" w:lineRule="atLeast"/>
    </w:pPr>
  </w:style>
  <w:style w:type="character" w:styleId="FollowedHyperlink">
    <w:name w:val="FollowedHyperlink"/>
    <w:basedOn w:val="DefaultParagraphFont"/>
    <w:rsid w:val="00FA0E5B"/>
    <w:rPr>
      <w:color w:val="606420"/>
      <w:u w:val="single"/>
    </w:rPr>
  </w:style>
  <w:style w:type="character" w:customStyle="1" w:styleId="CommentTextChar">
    <w:name w:val="Comment Text Char"/>
    <w:basedOn w:val="DefaultParagraphFont"/>
    <w:link w:val="CommentText"/>
    <w:uiPriority w:val="99"/>
    <w:semiHidden/>
    <w:rsid w:val="009B14F3"/>
  </w:style>
  <w:style w:type="paragraph" w:styleId="Revision">
    <w:name w:val="Revision"/>
    <w:hidden/>
    <w:uiPriority w:val="99"/>
    <w:semiHidden/>
    <w:rsid w:val="009A2ECD"/>
    <w:rPr>
      <w:sz w:val="24"/>
      <w:szCs w:val="24"/>
    </w:rPr>
  </w:style>
  <w:style w:type="character" w:customStyle="1" w:styleId="BodyTextIndent3Char">
    <w:name w:val="Body Text Indent 3 Char"/>
    <w:basedOn w:val="DefaultParagraphFont"/>
    <w:link w:val="BodyTextIndent3"/>
    <w:uiPriority w:val="99"/>
    <w:rsid w:val="00030025"/>
    <w:rPr>
      <w:sz w:val="24"/>
      <w:szCs w:val="24"/>
    </w:rPr>
  </w:style>
  <w:style w:type="paragraph" w:styleId="ListParagraph">
    <w:name w:val="List Paragraph"/>
    <w:basedOn w:val="Normal"/>
    <w:link w:val="ListParagraphChar"/>
    <w:uiPriority w:val="34"/>
    <w:qFormat/>
    <w:rsid w:val="00114C32"/>
    <w:pPr>
      <w:spacing w:after="200" w:line="276"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rsid w:val="00114C32"/>
    <w:rPr>
      <w:rFonts w:ascii="CG Times" w:hAnsi="CG Times"/>
    </w:rPr>
  </w:style>
  <w:style w:type="paragraph" w:styleId="NoSpacing">
    <w:name w:val="No Spacing"/>
    <w:uiPriority w:val="1"/>
    <w:qFormat/>
    <w:rsid w:val="00CF5155"/>
    <w:rPr>
      <w:rFonts w:ascii="Arial" w:hAnsi="Arial" w:eastAsiaTheme="minorHAnsi" w:cs="Arial"/>
    </w:rPr>
  </w:style>
  <w:style w:type="paragraph" w:styleId="NormalWeb">
    <w:name w:val="Normal (Web)"/>
    <w:basedOn w:val="Normal"/>
    <w:uiPriority w:val="99"/>
    <w:unhideWhenUsed/>
    <w:rsid w:val="0018113E"/>
    <w:rPr>
      <w:rFonts w:eastAsiaTheme="minorHAnsi"/>
    </w:rPr>
  </w:style>
  <w:style w:type="character" w:customStyle="1" w:styleId="BodyTextIndent2Char">
    <w:name w:val="Body Text Indent 2 Char"/>
    <w:basedOn w:val="DefaultParagraphFont"/>
    <w:link w:val="BodyTextIndent2"/>
    <w:rsid w:val="007007AF"/>
    <w:rPr>
      <w:sz w:val="24"/>
      <w:szCs w:val="24"/>
    </w:rPr>
  </w:style>
  <w:style w:type="paragraph" w:customStyle="1" w:styleId="FigureHeading">
    <w:name w:val="Figure Heading"/>
    <w:basedOn w:val="Normal"/>
    <w:rsid w:val="001D7EE0"/>
    <w:pPr>
      <w:spacing w:before="100" w:beforeAutospacing="1" w:after="100" w:afterAutospacing="1" w:line="480" w:lineRule="auto"/>
    </w:pPr>
  </w:style>
  <w:style w:type="character" w:customStyle="1" w:styleId="HeaderChar">
    <w:name w:val="Header Char"/>
    <w:basedOn w:val="DefaultParagraphFont"/>
    <w:link w:val="Header"/>
    <w:uiPriority w:val="99"/>
    <w:rsid w:val="00AB0DA0"/>
    <w:rPr>
      <w:sz w:val="24"/>
      <w:szCs w:val="24"/>
    </w:rPr>
  </w:style>
  <w:style w:type="character" w:customStyle="1" w:styleId="ListParagraphChar">
    <w:name w:val="List Paragraph Char"/>
    <w:link w:val="ListParagraph"/>
    <w:uiPriority w:val="34"/>
    <w:locked/>
    <w:rsid w:val="00A55509"/>
    <w:rPr>
      <w:rFonts w:asciiTheme="minorHAnsi" w:eastAsiaTheme="minorHAnsi" w:hAnsiTheme="minorHAnsi" w:cstheme="minorBidi"/>
      <w:sz w:val="22"/>
      <w:szCs w:val="22"/>
    </w:rPr>
  </w:style>
  <w:style w:type="paragraph" w:customStyle="1" w:styleId="Basic">
    <w:name w:val="Basic"/>
    <w:basedOn w:val="Normal"/>
    <w:qFormat/>
    <w:rsid w:val="00A55509"/>
    <w:rPr>
      <w:rFonts w:ascii="Calibri" w:hAnsi="Calibri"/>
    </w:rPr>
  </w:style>
  <w:style w:type="paragraph" w:customStyle="1" w:styleId="xxmsonormal">
    <w:name w:val="x_xmsonormal"/>
    <w:basedOn w:val="Normal"/>
    <w:rsid w:val="00B82D76"/>
    <w:rPr>
      <w:rFonts w:ascii="Calibri" w:hAnsi="Calibri" w:eastAsiaTheme="minorHAnsi" w:cs="Calibri"/>
      <w:sz w:val="22"/>
      <w:szCs w:val="22"/>
    </w:rPr>
  </w:style>
  <w:style w:type="character" w:customStyle="1" w:styleId="ui-provider">
    <w:name w:val="ui-provider"/>
    <w:basedOn w:val="DefaultParagraphFont"/>
    <w:rsid w:val="00257E12"/>
  </w:style>
  <w:style w:type="paragraph" w:customStyle="1" w:styleId="xmsonormal">
    <w:name w:val="x_msonormal"/>
    <w:basedOn w:val="Normal"/>
    <w:rsid w:val="00E15779"/>
    <w:rPr>
      <w:rFonts w:ascii="Aptos" w:hAnsi="Aptos" w:eastAsiaTheme="minorHAnsi" w:cs="Aptos"/>
      <w:sz w:val="22"/>
      <w:szCs w:val="22"/>
    </w:rPr>
  </w:style>
  <w:style w:type="character" w:customStyle="1" w:styleId="cf01">
    <w:name w:val="cf01"/>
    <w:basedOn w:val="DefaultParagraphFont"/>
    <w:rsid w:val="0023352D"/>
    <w:rPr>
      <w:rFonts w:ascii="Segoe UI" w:hAnsi="Segoe UI" w:cs="Segoe UI" w:hint="default"/>
      <w:sz w:val="18"/>
      <w:szCs w:val="18"/>
    </w:rPr>
  </w:style>
  <w:style w:type="character" w:styleId="UnresolvedMention">
    <w:name w:val="Unresolved Mention"/>
    <w:basedOn w:val="DefaultParagraphFont"/>
    <w:uiPriority w:val="99"/>
    <w:semiHidden/>
    <w:unhideWhenUsed/>
    <w:rsid w:val="00215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CEcomments@bls.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A3FB7-3C92-4680-AAA1-5DEDD1A3C021}">
  <ds:schemaRefs>
    <ds:schemaRef ds:uri="http://schemas.openxmlformats.org/officeDocument/2006/bibliography"/>
  </ds:schemaRefs>
</ds:datastoreItem>
</file>

<file path=customXml/itemProps2.xml><?xml version="1.0" encoding="utf-8"?>
<ds:datastoreItem xmlns:ds="http://schemas.openxmlformats.org/officeDocument/2006/customXml" ds:itemID="{A1C39B9E-D15A-4FE2-8183-6BF694F2C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5042</Words>
  <Characters>28746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Changes in section A</vt:lpstr>
    </vt:vector>
  </TitlesOfParts>
  <Company>U.S. Department Of Commerce</Company>
  <LinksUpToDate>false</LinksUpToDate>
  <CharactersWithSpaces>33721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in section A</dc:title>
  <dc:creator>FRIEDLANDER_M</dc:creator>
  <cp:lastModifiedBy>Kincaid, Nora</cp:lastModifiedBy>
  <cp:revision>2</cp:revision>
  <cp:lastPrinted>2010-08-16T12:03:00Z</cp:lastPrinted>
  <dcterms:created xsi:type="dcterms:W3CDTF">2024-09-13T12:52:00Z</dcterms:created>
  <dcterms:modified xsi:type="dcterms:W3CDTF">2024-09-13T12:52:00Z</dcterms:modified>
</cp:coreProperties>
</file>