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5373" w14:paraId="766D3060" w14:textId="77777777"/>
    <w:p w:rsidR="000A089E" w:rsidRPr="00592DBB" w:rsidP="000A089E" w14:paraId="31369AF3" w14:textId="45D3537E">
      <w:pPr>
        <w:rPr>
          <w:rFonts w:ascii="Calibri" w:hAnsi="Calibri" w:cs="Calibri"/>
          <w:b/>
          <w:bCs/>
          <w:kern w:val="0"/>
          <w:sz w:val="28"/>
          <w:szCs w:val="28"/>
        </w:rPr>
      </w:pPr>
      <w:r w:rsidRPr="00592DBB">
        <w:rPr>
          <w:rFonts w:ascii="Calibri" w:hAnsi="Calibri" w:cs="Calibri"/>
          <w:b/>
          <w:bCs/>
          <w:kern w:val="0"/>
          <w:sz w:val="28"/>
          <w:szCs w:val="28"/>
        </w:rPr>
        <w:t>To summarize, the IIAC proposes that the IRS:</w:t>
      </w:r>
      <w:r w:rsidR="00325A25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</w:p>
    <w:p w:rsidR="00166FDE" w:rsidP="000A089E" w14:paraId="752F7649" w14:textId="342CF84B">
      <w:pPr>
        <w:pStyle w:val="Default"/>
      </w:pPr>
      <w:r>
        <w:t>(</w:t>
      </w:r>
      <w:r>
        <w:t>The responses below generally refer to QIs/WP/s</w:t>
      </w:r>
      <w:r w:rsidR="0056027F">
        <w:t xml:space="preserve"> </w:t>
      </w:r>
      <w:r>
        <w:t>&amp; WTs.</w:t>
      </w:r>
      <w:r>
        <w:t>)</w:t>
      </w:r>
    </w:p>
    <w:p w:rsidR="00166FDE" w:rsidP="000A089E" w14:paraId="5FADA892" w14:textId="77777777">
      <w:pPr>
        <w:pStyle w:val="Default"/>
      </w:pPr>
    </w:p>
    <w:p w:rsidR="000A089E" w:rsidRPr="00BA422B" w:rsidP="00BA422B" w14:paraId="7E9007E8" w14:textId="77777777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Automatically extend the due date for submitting periodic certifications for review years 2021 or 2022 from September 1, 2024, to June 1, 2025. </w:t>
      </w:r>
    </w:p>
    <w:p w:rsidR="00B26039" w:rsidRPr="00BA422B" w:rsidP="00422BDF" w14:paraId="4E3BD03D" w14:textId="2B27FD69">
      <w:pPr>
        <w:pStyle w:val="Default"/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Certification due dates for periodic certifications originally due in 2024, with 202</w:t>
      </w:r>
      <w:r w:rsidR="00897C4C">
        <w:rPr>
          <w:b/>
          <w:bCs/>
          <w:color w:val="002060"/>
          <w:sz w:val="28"/>
          <w:szCs w:val="28"/>
        </w:rPr>
        <w:t>1</w:t>
      </w:r>
      <w:r w:rsidRPr="00BA422B">
        <w:rPr>
          <w:b/>
          <w:bCs/>
          <w:color w:val="002060"/>
          <w:sz w:val="28"/>
          <w:szCs w:val="28"/>
        </w:rPr>
        <w:t xml:space="preserve"> or 202</w:t>
      </w:r>
      <w:r w:rsidR="00897C4C">
        <w:rPr>
          <w:b/>
          <w:bCs/>
          <w:color w:val="002060"/>
          <w:sz w:val="28"/>
          <w:szCs w:val="28"/>
        </w:rPr>
        <w:t>2</w:t>
      </w:r>
      <w:r w:rsidRPr="00BA422B">
        <w:rPr>
          <w:b/>
          <w:bCs/>
          <w:color w:val="002060"/>
          <w:sz w:val="28"/>
          <w:szCs w:val="28"/>
        </w:rPr>
        <w:t xml:space="preserve"> selected for periodic year of review, have been extended to November 1, 2024.   </w:t>
      </w:r>
      <w:r w:rsidRPr="00BA422B" w:rsidR="0069084E">
        <w:rPr>
          <w:b/>
          <w:bCs/>
          <w:color w:val="002060"/>
          <w:sz w:val="28"/>
          <w:szCs w:val="28"/>
        </w:rPr>
        <w:t>Due dates for c</w:t>
      </w:r>
      <w:r w:rsidRPr="00BA422B" w:rsidR="00F3044B">
        <w:rPr>
          <w:b/>
          <w:bCs/>
          <w:color w:val="002060"/>
          <w:sz w:val="28"/>
          <w:szCs w:val="28"/>
        </w:rPr>
        <w:t>ertifications</w:t>
      </w:r>
      <w:r w:rsidRPr="00BA422B">
        <w:rPr>
          <w:b/>
          <w:bCs/>
          <w:color w:val="002060"/>
          <w:sz w:val="28"/>
          <w:szCs w:val="28"/>
        </w:rPr>
        <w:t xml:space="preserve"> </w:t>
      </w:r>
      <w:r w:rsidRPr="00BA422B" w:rsidR="00992EFD">
        <w:rPr>
          <w:b/>
          <w:bCs/>
          <w:color w:val="002060"/>
          <w:sz w:val="28"/>
          <w:szCs w:val="28"/>
        </w:rPr>
        <w:t>originally due</w:t>
      </w:r>
      <w:r w:rsidRPr="00BA422B">
        <w:rPr>
          <w:b/>
          <w:bCs/>
          <w:color w:val="002060"/>
          <w:sz w:val="28"/>
          <w:szCs w:val="28"/>
        </w:rPr>
        <w:t xml:space="preserve"> </w:t>
      </w:r>
      <w:r w:rsidRPr="00BA422B" w:rsidR="00325A25">
        <w:rPr>
          <w:b/>
          <w:bCs/>
          <w:color w:val="002060"/>
          <w:sz w:val="28"/>
          <w:szCs w:val="28"/>
        </w:rPr>
        <w:t xml:space="preserve">in </w:t>
      </w:r>
      <w:r w:rsidRPr="00BA422B">
        <w:rPr>
          <w:b/>
          <w:bCs/>
          <w:color w:val="002060"/>
          <w:sz w:val="28"/>
          <w:szCs w:val="28"/>
        </w:rPr>
        <w:t>2024 with 2023 selected for periodic year of review</w:t>
      </w:r>
      <w:r w:rsidRPr="00BA422B" w:rsidR="00F3044B">
        <w:rPr>
          <w:b/>
          <w:bCs/>
          <w:color w:val="002060"/>
          <w:sz w:val="28"/>
          <w:szCs w:val="28"/>
        </w:rPr>
        <w:t xml:space="preserve">, </w:t>
      </w:r>
      <w:r w:rsidRPr="00BA422B">
        <w:rPr>
          <w:b/>
          <w:bCs/>
          <w:color w:val="002060"/>
          <w:sz w:val="28"/>
          <w:szCs w:val="28"/>
        </w:rPr>
        <w:t>have been extended</w:t>
      </w:r>
      <w:r w:rsidRPr="00BA422B" w:rsidR="00F3044B">
        <w:rPr>
          <w:b/>
          <w:bCs/>
          <w:color w:val="002060"/>
          <w:sz w:val="28"/>
          <w:szCs w:val="28"/>
        </w:rPr>
        <w:t xml:space="preserve"> to March 1,</w:t>
      </w:r>
      <w:r w:rsidRPr="00BA422B" w:rsidR="0069084E">
        <w:rPr>
          <w:b/>
          <w:bCs/>
          <w:color w:val="002060"/>
          <w:sz w:val="28"/>
          <w:szCs w:val="28"/>
        </w:rPr>
        <w:t xml:space="preserve"> </w:t>
      </w:r>
      <w:r w:rsidRPr="00BA422B" w:rsidR="00F3044B">
        <w:rPr>
          <w:b/>
          <w:bCs/>
          <w:color w:val="002060"/>
          <w:sz w:val="28"/>
          <w:szCs w:val="28"/>
        </w:rPr>
        <w:t>2025.</w:t>
      </w:r>
      <w:r w:rsidRPr="00BA422B" w:rsidR="00325A25">
        <w:rPr>
          <w:b/>
          <w:bCs/>
          <w:color w:val="002060"/>
          <w:sz w:val="28"/>
          <w:szCs w:val="28"/>
        </w:rPr>
        <w:t xml:space="preserve">  E</w:t>
      </w:r>
      <w:r w:rsidRPr="00BA422B">
        <w:rPr>
          <w:b/>
          <w:bCs/>
          <w:color w:val="002060"/>
          <w:sz w:val="28"/>
          <w:szCs w:val="28"/>
        </w:rPr>
        <w:t xml:space="preserve">xtending periodic certification due dates to 6/1/25 </w:t>
      </w:r>
      <w:r w:rsidR="00464C01">
        <w:rPr>
          <w:b/>
          <w:bCs/>
          <w:color w:val="002060"/>
          <w:sz w:val="28"/>
          <w:szCs w:val="28"/>
        </w:rPr>
        <w:t xml:space="preserve">generally </w:t>
      </w:r>
      <w:r w:rsidR="00DD39DA">
        <w:rPr>
          <w:b/>
          <w:bCs/>
          <w:color w:val="002060"/>
          <w:sz w:val="28"/>
          <w:szCs w:val="28"/>
        </w:rPr>
        <w:t>may</w:t>
      </w:r>
      <w:r w:rsidRPr="00BA422B">
        <w:rPr>
          <w:b/>
          <w:bCs/>
          <w:color w:val="002060"/>
          <w:sz w:val="28"/>
          <w:szCs w:val="28"/>
        </w:rPr>
        <w:t xml:space="preserve"> </w:t>
      </w:r>
      <w:r w:rsidR="00464C01">
        <w:rPr>
          <w:b/>
          <w:bCs/>
          <w:color w:val="002060"/>
          <w:sz w:val="28"/>
          <w:szCs w:val="28"/>
        </w:rPr>
        <w:t>cause statute of limitations issue</w:t>
      </w:r>
      <w:r w:rsidR="00270787">
        <w:rPr>
          <w:b/>
          <w:bCs/>
          <w:color w:val="002060"/>
          <w:sz w:val="28"/>
          <w:szCs w:val="28"/>
        </w:rPr>
        <w:t xml:space="preserve">s relating to potential tax liabilities of </w:t>
      </w:r>
      <w:r w:rsidR="00CA2BFF">
        <w:rPr>
          <w:b/>
          <w:bCs/>
          <w:color w:val="002060"/>
          <w:sz w:val="28"/>
          <w:szCs w:val="28"/>
        </w:rPr>
        <w:t xml:space="preserve">QIs, </w:t>
      </w:r>
      <w:r w:rsidR="004D2DF7">
        <w:rPr>
          <w:b/>
          <w:bCs/>
          <w:color w:val="002060"/>
          <w:sz w:val="28"/>
          <w:szCs w:val="28"/>
        </w:rPr>
        <w:t>so are not granted except when specifically permitted.</w:t>
      </w:r>
      <w:r w:rsidRPr="00BA422B">
        <w:rPr>
          <w:b/>
          <w:bCs/>
          <w:color w:val="002060"/>
          <w:sz w:val="28"/>
          <w:szCs w:val="28"/>
        </w:rPr>
        <w:t xml:space="preserve"> </w:t>
      </w:r>
    </w:p>
    <w:p w:rsidR="00422BDF" w:rsidP="00422BDF" w14:paraId="4A77D8E7" w14:textId="77777777">
      <w:pPr>
        <w:pStyle w:val="Default"/>
        <w:spacing w:after="39"/>
        <w:rPr>
          <w:sz w:val="22"/>
          <w:szCs w:val="22"/>
        </w:rPr>
      </w:pPr>
    </w:p>
    <w:p w:rsidR="00325A25" w:rsidP="00422BDF" w14:paraId="46BD0A86" w14:textId="77777777">
      <w:pPr>
        <w:pStyle w:val="Default"/>
        <w:spacing w:after="39"/>
        <w:rPr>
          <w:sz w:val="22"/>
          <w:szCs w:val="22"/>
        </w:rPr>
      </w:pPr>
    </w:p>
    <w:p w:rsidR="000A089E" w:rsidRPr="00BA422B" w:rsidP="00BA422B" w14:paraId="768C4969" w14:textId="77777777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To minimize the burden associated with explaining all variances, allow for a de minimis threshold for unexplained differences (unexplained reconciliation differences under the de minimis threshold would not trigger penalties). </w:t>
      </w:r>
    </w:p>
    <w:p w:rsidR="00422BDF" w:rsidP="00422BDF" w14:paraId="35B408AD" w14:textId="77777777">
      <w:pPr>
        <w:pStyle w:val="Default"/>
        <w:spacing w:after="39"/>
        <w:rPr>
          <w:sz w:val="22"/>
          <w:szCs w:val="22"/>
        </w:rPr>
      </w:pPr>
    </w:p>
    <w:p w:rsidR="00422BDF" w:rsidRPr="00BA422B" w:rsidP="00422BDF" w14:paraId="1522E5E0" w14:textId="6C8A9100">
      <w:pPr>
        <w:pStyle w:val="Default"/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do not plan to implement a de minimis threshold for </w:t>
      </w:r>
      <w:r w:rsidRPr="00BA422B" w:rsidR="006F75CF">
        <w:rPr>
          <w:b/>
          <w:bCs/>
          <w:color w:val="002060"/>
          <w:sz w:val="28"/>
          <w:szCs w:val="28"/>
        </w:rPr>
        <w:t>several reasons</w:t>
      </w:r>
      <w:r w:rsidRPr="00BA422B" w:rsidR="005A23B8">
        <w:rPr>
          <w:b/>
          <w:bCs/>
          <w:color w:val="002060"/>
          <w:sz w:val="28"/>
          <w:szCs w:val="28"/>
        </w:rPr>
        <w:t xml:space="preserve"> including</w:t>
      </w:r>
      <w:r w:rsidRPr="00BA422B">
        <w:rPr>
          <w:b/>
          <w:bCs/>
          <w:color w:val="002060"/>
          <w:sz w:val="28"/>
          <w:szCs w:val="28"/>
        </w:rPr>
        <w:t xml:space="preserve">: </w:t>
      </w:r>
    </w:p>
    <w:p w:rsidR="00422BDF" w:rsidRPr="00BA422B" w:rsidP="00422BDF" w14:paraId="11D2839E" w14:textId="77777777">
      <w:pPr>
        <w:pStyle w:val="Default"/>
        <w:spacing w:after="39"/>
        <w:rPr>
          <w:sz w:val="28"/>
          <w:szCs w:val="28"/>
        </w:rPr>
      </w:pPr>
    </w:p>
    <w:p w:rsidR="00422BDF" w:rsidRPr="00BA422B" w:rsidP="00EA7643" w14:paraId="3DD073A0" w14:textId="04BDFFBC">
      <w:pPr>
        <w:pStyle w:val="Default"/>
        <w:numPr>
          <w:ilvl w:val="0"/>
          <w:numId w:val="8"/>
        </w:numPr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do not want to discourage entities from explaining variances they may be able to explain with a reasonable amount of effort.  </w:t>
      </w:r>
    </w:p>
    <w:p w:rsidR="0021445D" w:rsidRPr="00BA422B" w:rsidP="007F14AD" w14:paraId="03AA520A" w14:textId="1CC36A11">
      <w:pPr>
        <w:pStyle w:val="Default"/>
        <w:numPr>
          <w:ilvl w:val="0"/>
          <w:numId w:val="8"/>
        </w:numPr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Q</w:t>
      </w:r>
      <w:r w:rsidRPr="00BA422B" w:rsidR="00F62110">
        <w:rPr>
          <w:b/>
          <w:bCs/>
          <w:color w:val="002060"/>
          <w:sz w:val="28"/>
          <w:szCs w:val="28"/>
        </w:rPr>
        <w:t>I</w:t>
      </w:r>
      <w:r w:rsidRPr="00BA422B">
        <w:rPr>
          <w:b/>
          <w:bCs/>
          <w:color w:val="002060"/>
          <w:sz w:val="28"/>
          <w:szCs w:val="28"/>
        </w:rPr>
        <w:t xml:space="preserve">s can explain variances and why they should not be subject to penalties during the IRS </w:t>
      </w:r>
      <w:r w:rsidRPr="00BA422B" w:rsidR="00325A25">
        <w:rPr>
          <w:b/>
          <w:bCs/>
          <w:color w:val="002060"/>
          <w:sz w:val="28"/>
          <w:szCs w:val="28"/>
        </w:rPr>
        <w:t>c</w:t>
      </w:r>
      <w:r w:rsidRPr="00BA422B" w:rsidR="0066650E">
        <w:rPr>
          <w:b/>
          <w:bCs/>
          <w:color w:val="002060"/>
          <w:sz w:val="28"/>
          <w:szCs w:val="28"/>
        </w:rPr>
        <w:t>ertification review</w:t>
      </w:r>
      <w:r w:rsidRPr="00BA422B">
        <w:rPr>
          <w:b/>
          <w:bCs/>
          <w:color w:val="002060"/>
          <w:sz w:val="28"/>
          <w:szCs w:val="28"/>
        </w:rPr>
        <w:t xml:space="preserve"> process.</w:t>
      </w:r>
    </w:p>
    <w:p w:rsidR="00325A25" w:rsidP="00BA422B" w14:paraId="207443EF" w14:textId="77777777">
      <w:pPr>
        <w:pStyle w:val="Default"/>
        <w:spacing w:after="39"/>
        <w:ind w:left="720"/>
        <w:rPr>
          <w:b/>
          <w:bCs/>
          <w:color w:val="002060"/>
          <w:sz w:val="22"/>
          <w:szCs w:val="22"/>
        </w:rPr>
      </w:pPr>
    </w:p>
    <w:p w:rsidR="00422BDF" w:rsidP="00422BDF" w14:paraId="42798EED" w14:textId="08AFB99B">
      <w:pPr>
        <w:pStyle w:val="Default"/>
        <w:spacing w:after="39"/>
        <w:rPr>
          <w:b/>
          <w:bCs/>
          <w:color w:val="002060"/>
          <w:sz w:val="22"/>
          <w:szCs w:val="22"/>
        </w:rPr>
      </w:pPr>
      <w:bookmarkStart w:id="0" w:name="_Hlk171341659"/>
    </w:p>
    <w:bookmarkEnd w:id="0"/>
    <w:p w:rsidR="000A089E" w:rsidRPr="00BA422B" w:rsidP="00BA422B" w14:paraId="7EE94457" w14:textId="741ED6E9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Implement a slip matching program for Forms 1042-S. </w:t>
      </w:r>
    </w:p>
    <w:p w:rsidR="0081256A" w:rsidP="0081256A" w14:paraId="466977BE" w14:textId="77777777">
      <w:pPr>
        <w:pStyle w:val="Default"/>
        <w:rPr>
          <w:sz w:val="22"/>
          <w:szCs w:val="22"/>
        </w:rPr>
      </w:pPr>
    </w:p>
    <w:p w:rsidR="0081256A" w:rsidRPr="00BA422B" w:rsidP="0081256A" w14:paraId="0A0BE8B4" w14:textId="1BC1B57D">
      <w:pPr>
        <w:pStyle w:val="Default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do not plan a slip matching program </w:t>
      </w:r>
      <w:r w:rsidRPr="00BA422B" w:rsidR="003F5E67">
        <w:rPr>
          <w:b/>
          <w:bCs/>
          <w:color w:val="002060"/>
          <w:sz w:val="28"/>
          <w:szCs w:val="28"/>
        </w:rPr>
        <w:t xml:space="preserve">for the following </w:t>
      </w:r>
      <w:r w:rsidRPr="00BA422B" w:rsidR="00230B80">
        <w:rPr>
          <w:b/>
          <w:bCs/>
          <w:color w:val="002060"/>
          <w:sz w:val="28"/>
          <w:szCs w:val="28"/>
        </w:rPr>
        <w:t>reasons</w:t>
      </w:r>
      <w:r w:rsidRPr="00BA422B">
        <w:rPr>
          <w:b/>
          <w:bCs/>
          <w:color w:val="002060"/>
          <w:sz w:val="28"/>
          <w:szCs w:val="28"/>
        </w:rPr>
        <w:t>:</w:t>
      </w:r>
    </w:p>
    <w:p w:rsidR="0081256A" w:rsidRPr="00BA422B" w:rsidP="0081256A" w14:paraId="174AEF8E" w14:textId="558AF1E0">
      <w:pPr>
        <w:pStyle w:val="Default"/>
        <w:numPr>
          <w:ilvl w:val="0"/>
          <w:numId w:val="2"/>
        </w:numPr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Data security.</w:t>
      </w:r>
    </w:p>
    <w:p w:rsidR="0081256A" w:rsidRPr="00BA422B" w:rsidP="0081256A" w14:paraId="7E61F1EC" w14:textId="78F385A4">
      <w:pPr>
        <w:pStyle w:val="Default"/>
        <w:numPr>
          <w:ilvl w:val="0"/>
          <w:numId w:val="2"/>
        </w:numPr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QIs should have their own systems, </w:t>
      </w:r>
      <w:r w:rsidRPr="00BA422B" w:rsidR="00230B80">
        <w:rPr>
          <w:b/>
          <w:bCs/>
          <w:color w:val="002060"/>
          <w:sz w:val="28"/>
          <w:szCs w:val="28"/>
        </w:rPr>
        <w:t>policies,</w:t>
      </w:r>
      <w:r w:rsidRPr="00BA422B">
        <w:rPr>
          <w:b/>
          <w:bCs/>
          <w:color w:val="002060"/>
          <w:sz w:val="28"/>
          <w:szCs w:val="28"/>
        </w:rPr>
        <w:t xml:space="preserve"> and procedures for tracking </w:t>
      </w:r>
      <w:r w:rsidRPr="00BA422B" w:rsidR="003F5E67">
        <w:rPr>
          <w:b/>
          <w:bCs/>
          <w:color w:val="002060"/>
          <w:sz w:val="28"/>
          <w:szCs w:val="28"/>
        </w:rPr>
        <w:t>F</w:t>
      </w:r>
      <w:r w:rsidRPr="00BA422B">
        <w:rPr>
          <w:b/>
          <w:bCs/>
          <w:color w:val="002060"/>
          <w:sz w:val="28"/>
          <w:szCs w:val="28"/>
        </w:rPr>
        <w:t>orms 1042-</w:t>
      </w:r>
      <w:r w:rsidRPr="00BA422B" w:rsidR="003F5E67">
        <w:rPr>
          <w:b/>
          <w:bCs/>
          <w:color w:val="002060"/>
          <w:sz w:val="28"/>
          <w:szCs w:val="28"/>
        </w:rPr>
        <w:t>S</w:t>
      </w:r>
      <w:r w:rsidRPr="00BA422B">
        <w:rPr>
          <w:b/>
          <w:bCs/>
          <w:color w:val="002060"/>
          <w:sz w:val="28"/>
          <w:szCs w:val="28"/>
        </w:rPr>
        <w:t xml:space="preserve"> received from upstream withholding agents as we</w:t>
      </w:r>
      <w:r w:rsidRPr="00BA422B" w:rsidR="003707E2">
        <w:rPr>
          <w:b/>
          <w:bCs/>
          <w:color w:val="002060"/>
          <w:sz w:val="28"/>
          <w:szCs w:val="28"/>
        </w:rPr>
        <w:t>ll</w:t>
      </w:r>
      <w:r w:rsidRPr="00BA422B">
        <w:rPr>
          <w:b/>
          <w:bCs/>
          <w:color w:val="002060"/>
          <w:sz w:val="28"/>
          <w:szCs w:val="28"/>
        </w:rPr>
        <w:t xml:space="preserve"> as their </w:t>
      </w:r>
      <w:r w:rsidRPr="00BA422B">
        <w:rPr>
          <w:b/>
          <w:bCs/>
          <w:color w:val="002060"/>
          <w:sz w:val="28"/>
          <w:szCs w:val="28"/>
        </w:rPr>
        <w:t xml:space="preserve">own independent systems </w:t>
      </w:r>
      <w:r w:rsidRPr="00BA422B" w:rsidR="003F5E67">
        <w:rPr>
          <w:b/>
          <w:bCs/>
          <w:color w:val="002060"/>
          <w:sz w:val="28"/>
          <w:szCs w:val="28"/>
        </w:rPr>
        <w:t xml:space="preserve">for </w:t>
      </w:r>
      <w:r w:rsidRPr="00BA422B">
        <w:rPr>
          <w:b/>
          <w:bCs/>
          <w:color w:val="002060"/>
          <w:sz w:val="28"/>
          <w:szCs w:val="28"/>
        </w:rPr>
        <w:t xml:space="preserve">tracking payments received in their QI capacity. </w:t>
      </w:r>
    </w:p>
    <w:p w:rsidR="007F14AD" w:rsidP="007F14AD" w14:paraId="5EFA1924" w14:textId="77777777">
      <w:pPr>
        <w:pStyle w:val="Default"/>
        <w:spacing w:after="39"/>
        <w:ind w:left="720"/>
        <w:rPr>
          <w:b/>
          <w:bCs/>
          <w:color w:val="002060"/>
          <w:sz w:val="22"/>
          <w:szCs w:val="22"/>
        </w:rPr>
      </w:pPr>
    </w:p>
    <w:p w:rsidR="00124FB2" w:rsidP="00124FB2" w14:paraId="5CEC4A41" w14:textId="77777777">
      <w:pPr>
        <w:pStyle w:val="Default"/>
        <w:spacing w:after="39"/>
        <w:rPr>
          <w:b/>
          <w:bCs/>
          <w:color w:val="002060"/>
          <w:sz w:val="22"/>
          <w:szCs w:val="22"/>
        </w:rPr>
      </w:pPr>
    </w:p>
    <w:p w:rsidR="00325A25" w:rsidP="00124FB2" w14:paraId="234D57E9" w14:textId="77777777">
      <w:pPr>
        <w:pStyle w:val="Default"/>
        <w:spacing w:after="39"/>
        <w:rPr>
          <w:b/>
          <w:bCs/>
          <w:color w:val="auto"/>
          <w:sz w:val="28"/>
          <w:szCs w:val="28"/>
        </w:rPr>
      </w:pPr>
    </w:p>
    <w:p w:rsidR="00325A25" w:rsidP="00124FB2" w14:paraId="0DF6E383" w14:textId="77777777">
      <w:pPr>
        <w:pStyle w:val="Default"/>
        <w:spacing w:after="39"/>
        <w:rPr>
          <w:b/>
          <w:bCs/>
          <w:color w:val="auto"/>
          <w:sz w:val="28"/>
          <w:szCs w:val="28"/>
        </w:rPr>
      </w:pPr>
    </w:p>
    <w:p w:rsidR="00325A25" w:rsidP="00124FB2" w14:paraId="3E83DCAB" w14:textId="77777777">
      <w:pPr>
        <w:pStyle w:val="Default"/>
        <w:spacing w:after="39"/>
        <w:rPr>
          <w:b/>
          <w:bCs/>
          <w:color w:val="auto"/>
          <w:sz w:val="28"/>
          <w:szCs w:val="28"/>
        </w:rPr>
      </w:pPr>
    </w:p>
    <w:p w:rsidR="00325A25" w:rsidRPr="00BA422B" w:rsidP="00124FB2" w14:paraId="1A7DDE8D" w14:textId="77777777">
      <w:pPr>
        <w:pStyle w:val="Default"/>
        <w:spacing w:after="39"/>
        <w:rPr>
          <w:b/>
          <w:bCs/>
          <w:color w:val="auto"/>
          <w:sz w:val="28"/>
          <w:szCs w:val="28"/>
        </w:rPr>
      </w:pPr>
    </w:p>
    <w:p w:rsidR="00124FB2" w:rsidRPr="00BA422B" w:rsidP="00124FB2" w14:paraId="3C0758C1" w14:textId="77777777">
      <w:pPr>
        <w:pStyle w:val="Default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To summarize, the IIAC recommends the following to further minimize the burden associated with collecting information from respondents: </w:t>
      </w:r>
    </w:p>
    <w:p w:rsidR="005A23B8" w:rsidP="00124FB2" w14:paraId="05AB172F" w14:textId="77777777">
      <w:pPr>
        <w:pStyle w:val="Default"/>
        <w:rPr>
          <w:b/>
          <w:bCs/>
          <w:sz w:val="22"/>
          <w:szCs w:val="22"/>
        </w:rPr>
      </w:pPr>
    </w:p>
    <w:p w:rsidR="00124FB2" w:rsidRPr="00BA422B" w:rsidP="00BA422B" w14:paraId="00E4BC02" w14:textId="77777777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Provide standard templates for QIs to complete the certification and the periodic review report. </w:t>
      </w:r>
    </w:p>
    <w:p w:rsidR="00DF4F39" w:rsidP="00DF4F39" w14:paraId="1E8D9B73" w14:textId="77777777">
      <w:pPr>
        <w:pStyle w:val="Default"/>
        <w:spacing w:after="39"/>
        <w:rPr>
          <w:sz w:val="22"/>
          <w:szCs w:val="22"/>
        </w:rPr>
      </w:pPr>
    </w:p>
    <w:p w:rsidR="00943C47" w:rsidRPr="00BA422B" w:rsidP="00F62110" w14:paraId="58958F53" w14:textId="7250B72E">
      <w:pPr>
        <w:pStyle w:val="Default"/>
        <w:numPr>
          <w:ilvl w:val="0"/>
          <w:numId w:val="4"/>
        </w:numPr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The certifications on </w:t>
      </w:r>
      <w:r w:rsidRPr="00BA422B" w:rsidR="00C55067">
        <w:rPr>
          <w:b/>
          <w:bCs/>
          <w:color w:val="002060"/>
          <w:sz w:val="28"/>
          <w:szCs w:val="28"/>
        </w:rPr>
        <w:t xml:space="preserve">QAAMS </w:t>
      </w:r>
      <w:r w:rsidRPr="00BA422B" w:rsidR="00205BE1">
        <w:rPr>
          <w:b/>
          <w:bCs/>
          <w:color w:val="002060"/>
          <w:sz w:val="28"/>
          <w:szCs w:val="28"/>
        </w:rPr>
        <w:t>are</w:t>
      </w:r>
      <w:r w:rsidRPr="00BA422B" w:rsidR="005A70ED">
        <w:rPr>
          <w:b/>
          <w:bCs/>
          <w:color w:val="002060"/>
          <w:sz w:val="28"/>
          <w:szCs w:val="28"/>
        </w:rPr>
        <w:t xml:space="preserve"> a </w:t>
      </w:r>
      <w:r w:rsidRPr="00BA422B">
        <w:rPr>
          <w:b/>
          <w:bCs/>
          <w:color w:val="002060"/>
          <w:sz w:val="28"/>
          <w:szCs w:val="28"/>
        </w:rPr>
        <w:t>standard template.</w:t>
      </w:r>
      <w:r w:rsidRPr="00BA422B">
        <w:rPr>
          <w:b/>
          <w:bCs/>
          <w:color w:val="002060"/>
          <w:sz w:val="28"/>
          <w:szCs w:val="28"/>
        </w:rPr>
        <w:t xml:space="preserve"> </w:t>
      </w:r>
    </w:p>
    <w:p w:rsidR="005A70ED" w:rsidRPr="00BA422B" w:rsidP="00124FB2" w14:paraId="4D88A80F" w14:textId="376A3E01">
      <w:pPr>
        <w:pStyle w:val="Default"/>
        <w:numPr>
          <w:ilvl w:val="0"/>
          <w:numId w:val="4"/>
        </w:numPr>
        <w:spacing w:after="39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have </w:t>
      </w:r>
      <w:r w:rsidRPr="00BA422B" w:rsidR="00353644">
        <w:rPr>
          <w:b/>
          <w:bCs/>
          <w:color w:val="002060"/>
          <w:sz w:val="28"/>
          <w:szCs w:val="28"/>
        </w:rPr>
        <w:t>consider</w:t>
      </w:r>
      <w:r w:rsidRPr="00BA422B" w:rsidR="005A23B8">
        <w:rPr>
          <w:b/>
          <w:bCs/>
          <w:color w:val="002060"/>
          <w:sz w:val="28"/>
          <w:szCs w:val="28"/>
        </w:rPr>
        <w:t>ed</w:t>
      </w:r>
      <w:r w:rsidRPr="00BA422B" w:rsidR="00124FB2">
        <w:rPr>
          <w:b/>
          <w:bCs/>
          <w:color w:val="002060"/>
          <w:sz w:val="28"/>
          <w:szCs w:val="28"/>
        </w:rPr>
        <w:t xml:space="preserve"> </w:t>
      </w:r>
      <w:r w:rsidRPr="00BA422B">
        <w:rPr>
          <w:b/>
          <w:bCs/>
          <w:color w:val="002060"/>
          <w:sz w:val="28"/>
          <w:szCs w:val="28"/>
        </w:rPr>
        <w:t xml:space="preserve">creating </w:t>
      </w:r>
      <w:r w:rsidRPr="00BA422B" w:rsidR="00124FB2">
        <w:rPr>
          <w:b/>
          <w:bCs/>
          <w:color w:val="002060"/>
          <w:sz w:val="28"/>
          <w:szCs w:val="28"/>
        </w:rPr>
        <w:t>a standard periodic review report</w:t>
      </w:r>
      <w:r w:rsidRPr="00BA422B" w:rsidR="005A23B8">
        <w:rPr>
          <w:b/>
          <w:bCs/>
          <w:color w:val="002060"/>
          <w:sz w:val="28"/>
          <w:szCs w:val="28"/>
        </w:rPr>
        <w:t>;</w:t>
      </w:r>
      <w:r w:rsidRPr="00BA422B" w:rsidR="00124FB2">
        <w:rPr>
          <w:b/>
          <w:bCs/>
          <w:color w:val="002060"/>
          <w:sz w:val="28"/>
          <w:szCs w:val="28"/>
        </w:rPr>
        <w:t xml:space="preserve"> however</w:t>
      </w:r>
      <w:r w:rsidRPr="00BA422B" w:rsidR="005A23B8">
        <w:rPr>
          <w:b/>
          <w:bCs/>
          <w:color w:val="002060"/>
          <w:sz w:val="28"/>
          <w:szCs w:val="28"/>
        </w:rPr>
        <w:t xml:space="preserve">, </w:t>
      </w:r>
      <w:r w:rsidRPr="00BA422B" w:rsidR="00124FB2">
        <w:rPr>
          <w:b/>
          <w:bCs/>
          <w:color w:val="002060"/>
          <w:sz w:val="28"/>
          <w:szCs w:val="28"/>
        </w:rPr>
        <w:t xml:space="preserve">by providing such a template we may be missing potential issues and may discourage reviewers from using discretion when </w:t>
      </w:r>
      <w:r w:rsidRPr="00BA422B" w:rsidR="00353644">
        <w:rPr>
          <w:b/>
          <w:bCs/>
          <w:color w:val="002060"/>
          <w:sz w:val="28"/>
          <w:szCs w:val="28"/>
        </w:rPr>
        <w:t>an issue not covered by the template is identified</w:t>
      </w:r>
      <w:r w:rsidRPr="00BA422B" w:rsidR="00943C47">
        <w:rPr>
          <w:b/>
          <w:bCs/>
          <w:color w:val="002060"/>
          <w:sz w:val="28"/>
          <w:szCs w:val="28"/>
        </w:rPr>
        <w:t xml:space="preserve">. </w:t>
      </w:r>
    </w:p>
    <w:p w:rsidR="00124FB2" w:rsidP="00124FB2" w14:paraId="5DF8847C" w14:textId="77777777">
      <w:pPr>
        <w:pStyle w:val="Default"/>
        <w:spacing w:after="39"/>
        <w:rPr>
          <w:sz w:val="22"/>
          <w:szCs w:val="22"/>
        </w:rPr>
      </w:pPr>
    </w:p>
    <w:p w:rsidR="00226CF0" w:rsidP="00124FB2" w14:paraId="1028F7EA" w14:textId="77777777">
      <w:pPr>
        <w:pStyle w:val="Default"/>
        <w:spacing w:after="39"/>
        <w:rPr>
          <w:sz w:val="22"/>
          <w:szCs w:val="22"/>
        </w:rPr>
      </w:pPr>
    </w:p>
    <w:p w:rsidR="00124FB2" w:rsidRPr="00BA422B" w:rsidP="00BA422B" w14:paraId="620D4EAC" w14:textId="77777777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Provide access to the </w:t>
      </w: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>eTrak</w:t>
      </w: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 system. </w:t>
      </w:r>
    </w:p>
    <w:p w:rsidR="00A91260" w:rsidP="00A91260" w14:paraId="2D7BF4C6" w14:textId="77777777">
      <w:pPr>
        <w:pStyle w:val="Default"/>
        <w:spacing w:after="39"/>
        <w:rPr>
          <w:sz w:val="22"/>
          <w:szCs w:val="22"/>
        </w:rPr>
      </w:pPr>
    </w:p>
    <w:p w:rsidR="00226CF0" w:rsidP="00BA422B" w14:paraId="22E6D80F" w14:textId="3D2FE113">
      <w:pPr>
        <w:pStyle w:val="Default"/>
        <w:spacing w:after="39"/>
        <w:ind w:left="720"/>
        <w:rPr>
          <w:b/>
          <w:bCs/>
          <w:color w:val="002060"/>
          <w:sz w:val="22"/>
          <w:szCs w:val="22"/>
        </w:rPr>
      </w:pPr>
      <w:r w:rsidRPr="00BA422B">
        <w:rPr>
          <w:b/>
          <w:bCs/>
          <w:color w:val="002060"/>
          <w:sz w:val="28"/>
          <w:szCs w:val="28"/>
        </w:rPr>
        <w:t xml:space="preserve">We do not plan to provide </w:t>
      </w:r>
      <w:r w:rsidRPr="00BA422B" w:rsidR="00F62110">
        <w:rPr>
          <w:b/>
          <w:bCs/>
          <w:color w:val="002060"/>
          <w:sz w:val="28"/>
          <w:szCs w:val="28"/>
        </w:rPr>
        <w:t xml:space="preserve">direct </w:t>
      </w:r>
      <w:r w:rsidRPr="00BA422B">
        <w:rPr>
          <w:b/>
          <w:bCs/>
          <w:color w:val="002060"/>
          <w:sz w:val="28"/>
          <w:szCs w:val="28"/>
        </w:rPr>
        <w:t xml:space="preserve">access to </w:t>
      </w:r>
      <w:r w:rsidRPr="00BA422B" w:rsidR="00F62110">
        <w:rPr>
          <w:b/>
          <w:bCs/>
          <w:color w:val="002060"/>
          <w:sz w:val="28"/>
          <w:szCs w:val="28"/>
        </w:rPr>
        <w:t xml:space="preserve">information reporting </w:t>
      </w:r>
      <w:r w:rsidRPr="00BA422B">
        <w:rPr>
          <w:b/>
          <w:bCs/>
          <w:color w:val="002060"/>
          <w:sz w:val="28"/>
          <w:szCs w:val="28"/>
        </w:rPr>
        <w:t>data</w:t>
      </w:r>
      <w:r w:rsidRPr="00BA422B" w:rsidR="00992EFD">
        <w:rPr>
          <w:b/>
          <w:bCs/>
          <w:color w:val="002060"/>
          <w:sz w:val="28"/>
          <w:szCs w:val="28"/>
        </w:rPr>
        <w:t xml:space="preserve"> because of d</w:t>
      </w:r>
      <w:r w:rsidRPr="00BA422B">
        <w:rPr>
          <w:b/>
          <w:bCs/>
          <w:color w:val="002060"/>
          <w:sz w:val="28"/>
          <w:szCs w:val="28"/>
        </w:rPr>
        <w:t>ata securit</w:t>
      </w:r>
      <w:r w:rsidRPr="00BA422B">
        <w:rPr>
          <w:b/>
          <w:bCs/>
          <w:color w:val="002060"/>
          <w:sz w:val="28"/>
          <w:szCs w:val="28"/>
        </w:rPr>
        <w:t>y</w:t>
      </w:r>
      <w:r w:rsidRPr="00BA422B">
        <w:rPr>
          <w:b/>
          <w:bCs/>
          <w:color w:val="002060"/>
          <w:sz w:val="28"/>
          <w:szCs w:val="28"/>
        </w:rPr>
        <w:t>.</w:t>
      </w:r>
    </w:p>
    <w:p w:rsidR="00A91260" w:rsidRPr="00E24D54" w:rsidP="00BA422B" w14:paraId="5C32288A" w14:textId="28492B2E">
      <w:pPr>
        <w:pStyle w:val="Default"/>
        <w:ind w:left="720"/>
        <w:rPr>
          <w:b/>
          <w:bCs/>
          <w:color w:val="002060"/>
          <w:sz w:val="22"/>
          <w:szCs w:val="22"/>
        </w:rPr>
      </w:pPr>
    </w:p>
    <w:p w:rsidR="005A23B8" w:rsidRPr="00682D0B" w:rsidP="00897712" w14:paraId="724B7B67" w14:textId="57764F51">
      <w:pPr>
        <w:pStyle w:val="Default"/>
        <w:numPr>
          <w:ilvl w:val="0"/>
          <w:numId w:val="3"/>
        </w:numPr>
        <w:spacing w:after="39"/>
        <w:ind w:left="720"/>
        <w:rPr>
          <w:b/>
          <w:bCs/>
          <w:color w:val="002060"/>
          <w:sz w:val="22"/>
          <w:szCs w:val="22"/>
        </w:rPr>
      </w:pPr>
    </w:p>
    <w:p w:rsidR="00F62110" w:rsidRPr="00BA422B" w:rsidP="00BA422B" w14:paraId="71CA1FF5" w14:textId="1A0A4773">
      <w:pPr>
        <w:rPr>
          <w:b/>
          <w:bCs/>
          <w:sz w:val="28"/>
          <w:szCs w:val="28"/>
        </w:rPr>
      </w:pPr>
      <w:r w:rsidRPr="00BA422B">
        <w:rPr>
          <w:rFonts w:ascii="Calibri" w:hAnsi="Calibri" w:cs="Calibri"/>
          <w:b/>
          <w:bCs/>
          <w:kern w:val="0"/>
          <w:sz w:val="28"/>
          <w:szCs w:val="28"/>
        </w:rPr>
        <w:t xml:space="preserve">Modify QAAMS to provide more flexibility for QIs to drop file/upload any time without reopening their certification. </w:t>
      </w:r>
    </w:p>
    <w:p w:rsidR="00682D0B" w:rsidRPr="00F62110" w:rsidP="00BA422B" w14:paraId="61F0030E" w14:textId="77777777">
      <w:pPr>
        <w:pStyle w:val="Default"/>
        <w:numPr>
          <w:ilvl w:val="0"/>
          <w:numId w:val="3"/>
        </w:numPr>
        <w:spacing w:after="39"/>
        <w:rPr>
          <w:b/>
          <w:bCs/>
          <w:color w:val="002060"/>
        </w:rPr>
      </w:pPr>
    </w:p>
    <w:p w:rsidR="00D054F0" w:rsidRPr="00BA422B" w:rsidP="00D054F0" w14:paraId="3E21465A" w14:textId="0AA70325">
      <w:pPr>
        <w:pStyle w:val="ListParagraph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Files can be sent to the IRS via</w:t>
      </w:r>
      <w:r w:rsidRPr="00BA422B" w:rsidR="00FA5009">
        <w:rPr>
          <w:b/>
          <w:bCs/>
          <w:color w:val="002060"/>
          <w:sz w:val="28"/>
          <w:szCs w:val="28"/>
        </w:rPr>
        <w:t xml:space="preserve"> </w:t>
      </w:r>
      <w:r w:rsidRPr="00BA422B">
        <w:rPr>
          <w:b/>
          <w:bCs/>
          <w:color w:val="002060"/>
          <w:sz w:val="28"/>
          <w:szCs w:val="28"/>
        </w:rPr>
        <w:t>email</w:t>
      </w:r>
      <w:r w:rsidRPr="00BA422B" w:rsidR="00FA5009">
        <w:rPr>
          <w:b/>
          <w:bCs/>
          <w:color w:val="002060"/>
          <w:sz w:val="28"/>
          <w:szCs w:val="28"/>
        </w:rPr>
        <w:t xml:space="preserve">; </w:t>
      </w:r>
      <w:r w:rsidRPr="00BA422B">
        <w:rPr>
          <w:b/>
          <w:bCs/>
          <w:color w:val="002060"/>
          <w:sz w:val="28"/>
          <w:szCs w:val="28"/>
        </w:rPr>
        <w:t>however</w:t>
      </w:r>
      <w:r w:rsidRPr="00BA422B" w:rsidR="00795F4D">
        <w:rPr>
          <w:b/>
          <w:bCs/>
          <w:color w:val="002060"/>
          <w:sz w:val="28"/>
          <w:szCs w:val="28"/>
        </w:rPr>
        <w:t>,</w:t>
      </w:r>
      <w:r w:rsidRPr="00BA422B">
        <w:rPr>
          <w:b/>
          <w:bCs/>
          <w:color w:val="002060"/>
          <w:sz w:val="28"/>
          <w:szCs w:val="28"/>
        </w:rPr>
        <w:t xml:space="preserve"> QAAMS does not allow the uploading of files by IRS</w:t>
      </w:r>
      <w:r w:rsidRPr="00BA422B" w:rsidR="00413004">
        <w:rPr>
          <w:b/>
          <w:bCs/>
          <w:color w:val="002060"/>
          <w:sz w:val="28"/>
          <w:szCs w:val="28"/>
        </w:rPr>
        <w:t>.</w:t>
      </w:r>
      <w:r w:rsidRPr="00BA422B">
        <w:rPr>
          <w:b/>
          <w:bCs/>
          <w:color w:val="002060"/>
          <w:sz w:val="28"/>
          <w:szCs w:val="28"/>
        </w:rPr>
        <w:t xml:space="preserve"> </w:t>
      </w:r>
      <w:r w:rsidRPr="00BA422B">
        <w:rPr>
          <w:color w:val="002060"/>
          <w:sz w:val="28"/>
          <w:szCs w:val="28"/>
        </w:rPr>
        <w:t xml:space="preserve">  </w:t>
      </w:r>
    </w:p>
    <w:p w:rsidR="00FA5009" w:rsidP="00D054F0" w14:paraId="3B052373" w14:textId="77777777">
      <w:pPr>
        <w:pStyle w:val="ListParagraph"/>
        <w:rPr>
          <w:b/>
          <w:bCs/>
          <w:color w:val="002060"/>
        </w:rPr>
      </w:pPr>
    </w:p>
    <w:p w:rsidR="00226CF0" w:rsidRPr="00D054F0" w:rsidP="00D054F0" w14:paraId="2F53AF8C" w14:textId="77777777">
      <w:pPr>
        <w:pStyle w:val="ListParagraph"/>
        <w:rPr>
          <w:b/>
          <w:bCs/>
          <w:color w:val="002060"/>
        </w:rPr>
      </w:pPr>
    </w:p>
    <w:p w:rsidR="00124FB2" w:rsidRPr="00BA422B" w:rsidP="00124FB2" w14:paraId="3967778F" w14:textId="77777777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Expand the list of contacts who can access QAAMS and add a list of level 1 and level 2 authorized representatives who the IRS can contact. </w:t>
      </w:r>
    </w:p>
    <w:p w:rsidR="00160C4F" w:rsidP="00160C4F" w14:paraId="560CDBFE" w14:textId="77777777">
      <w:pPr>
        <w:pStyle w:val="Default"/>
        <w:spacing w:after="39"/>
        <w:rPr>
          <w:sz w:val="22"/>
          <w:szCs w:val="22"/>
        </w:rPr>
      </w:pPr>
    </w:p>
    <w:p w:rsidR="00160C4F" w:rsidRPr="00BA422B" w:rsidP="00160C4F" w14:paraId="31B32762" w14:textId="4E401A47">
      <w:pPr>
        <w:pStyle w:val="ListParagraph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We have no plans to expand the list of contacts.  Presently a QI can have 4 authorized users (RO, POC, &amp; 2 POAs</w:t>
      </w:r>
      <w:r w:rsidRPr="00BA422B" w:rsidR="00072D6A">
        <w:rPr>
          <w:b/>
          <w:bCs/>
          <w:color w:val="002060"/>
          <w:sz w:val="28"/>
          <w:szCs w:val="28"/>
        </w:rPr>
        <w:t>)</w:t>
      </w:r>
      <w:r w:rsidRPr="00BA422B">
        <w:rPr>
          <w:b/>
          <w:bCs/>
          <w:color w:val="002060"/>
          <w:sz w:val="28"/>
          <w:szCs w:val="28"/>
        </w:rPr>
        <w:t xml:space="preserve">.  </w:t>
      </w:r>
      <w:r w:rsidRPr="00BA422B" w:rsidR="00F62110">
        <w:rPr>
          <w:b/>
          <w:bCs/>
          <w:color w:val="002060"/>
          <w:sz w:val="28"/>
          <w:szCs w:val="28"/>
        </w:rPr>
        <w:t xml:space="preserve"> </w:t>
      </w:r>
      <w:bookmarkStart w:id="1" w:name="_Hlk171344717"/>
      <w:r w:rsidRPr="00BA422B" w:rsidR="00FA5009">
        <w:rPr>
          <w:b/>
          <w:bCs/>
          <w:color w:val="002060"/>
          <w:sz w:val="28"/>
          <w:szCs w:val="28"/>
        </w:rPr>
        <w:t xml:space="preserve">QIs </w:t>
      </w:r>
      <w:r w:rsidRPr="00BA422B" w:rsidR="00F62110">
        <w:rPr>
          <w:b/>
          <w:bCs/>
          <w:color w:val="002060"/>
          <w:sz w:val="28"/>
          <w:szCs w:val="28"/>
        </w:rPr>
        <w:t xml:space="preserve">also </w:t>
      </w:r>
      <w:r w:rsidRPr="00BA422B" w:rsidR="00FA5009">
        <w:rPr>
          <w:b/>
          <w:bCs/>
          <w:color w:val="002060"/>
          <w:sz w:val="28"/>
          <w:szCs w:val="28"/>
        </w:rPr>
        <w:t xml:space="preserve">have the option of </w:t>
      </w:r>
      <w:r w:rsidRPr="00BA422B" w:rsidR="0066650E">
        <w:rPr>
          <w:b/>
          <w:bCs/>
          <w:color w:val="002060"/>
          <w:sz w:val="28"/>
          <w:szCs w:val="28"/>
        </w:rPr>
        <w:t>having employees</w:t>
      </w:r>
      <w:r w:rsidRPr="00BA422B" w:rsidR="00FA5009">
        <w:rPr>
          <w:b/>
          <w:bCs/>
          <w:color w:val="002060"/>
          <w:sz w:val="28"/>
          <w:szCs w:val="28"/>
        </w:rPr>
        <w:t xml:space="preserve"> </w:t>
      </w:r>
      <w:r w:rsidRPr="00BA422B" w:rsidR="00DD565E">
        <w:rPr>
          <w:b/>
          <w:bCs/>
          <w:color w:val="002060"/>
          <w:sz w:val="28"/>
          <w:szCs w:val="28"/>
        </w:rPr>
        <w:t xml:space="preserve">serve </w:t>
      </w:r>
      <w:r w:rsidRPr="00BA422B" w:rsidR="00FA5009">
        <w:rPr>
          <w:b/>
          <w:bCs/>
          <w:color w:val="002060"/>
          <w:sz w:val="28"/>
          <w:szCs w:val="28"/>
        </w:rPr>
        <w:t xml:space="preserve">as </w:t>
      </w:r>
      <w:r w:rsidRPr="00BA422B" w:rsidR="00DD565E">
        <w:rPr>
          <w:b/>
          <w:bCs/>
          <w:color w:val="002060"/>
          <w:sz w:val="28"/>
          <w:szCs w:val="28"/>
        </w:rPr>
        <w:t xml:space="preserve">the </w:t>
      </w:r>
      <w:r w:rsidRPr="00BA422B" w:rsidR="00FA5009">
        <w:rPr>
          <w:b/>
          <w:bCs/>
          <w:color w:val="002060"/>
          <w:sz w:val="28"/>
          <w:szCs w:val="28"/>
        </w:rPr>
        <w:t>POAs.</w:t>
      </w:r>
    </w:p>
    <w:bookmarkEnd w:id="1"/>
    <w:p w:rsidR="00215EB5" w:rsidP="00124FB2" w14:paraId="0D74DFDB" w14:textId="77777777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</w:p>
    <w:p w:rsidR="00215EB5" w:rsidP="00124FB2" w14:paraId="786CAAC0" w14:textId="77777777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</w:p>
    <w:p w:rsidR="00124FB2" w:rsidRPr="00BA422B" w:rsidP="00124FB2" w14:paraId="51627B85" w14:textId="5BA58859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Simplify the renewal process by incorporating an automatic renewal </w:t>
      </w:r>
      <w:r w:rsidRPr="00BA422B">
        <w:rPr>
          <w:b/>
          <w:bCs/>
          <w:color w:val="auto"/>
          <w:sz w:val="28"/>
          <w:szCs w:val="28"/>
        </w:rPr>
        <w:t>process, unless</w:t>
      </w:r>
      <w:r w:rsidRPr="00BA422B">
        <w:rPr>
          <w:b/>
          <w:bCs/>
          <w:color w:val="auto"/>
          <w:sz w:val="28"/>
          <w:szCs w:val="28"/>
        </w:rPr>
        <w:t xml:space="preserve"> changes are required. </w:t>
      </w:r>
    </w:p>
    <w:p w:rsidR="005A23B8" w:rsidRPr="00BA422B" w:rsidP="00124FB2" w14:paraId="542317B3" w14:textId="77777777">
      <w:pPr>
        <w:pStyle w:val="Default"/>
        <w:numPr>
          <w:ilvl w:val="0"/>
          <w:numId w:val="3"/>
        </w:numPr>
        <w:spacing w:after="39"/>
        <w:rPr>
          <w:sz w:val="28"/>
          <w:szCs w:val="28"/>
        </w:rPr>
      </w:pPr>
    </w:p>
    <w:p w:rsidR="00160C4F" w:rsidRPr="00BA422B" w:rsidP="00E4053A" w14:paraId="7194C2D8" w14:textId="6F873DAA">
      <w:pPr>
        <w:pStyle w:val="ListParagraph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do not consider the renewal process overly burdensome because it occurs at most every 6 years and the renewal form is mostly pre-populated.  </w:t>
      </w:r>
    </w:p>
    <w:p w:rsidR="00160C4F" w:rsidRPr="00BA422B" w:rsidP="00E4053A" w14:paraId="53BEC45F" w14:textId="77777777">
      <w:pPr>
        <w:pStyle w:val="ListParagraph"/>
        <w:rPr>
          <w:b/>
          <w:bCs/>
          <w:color w:val="002060"/>
          <w:sz w:val="28"/>
          <w:szCs w:val="28"/>
        </w:rPr>
      </w:pPr>
    </w:p>
    <w:p w:rsidR="00E4053A" w:rsidRPr="00BA422B" w:rsidP="00E4053A" w14:paraId="3265DF5F" w14:textId="65EEC3B3">
      <w:pPr>
        <w:pStyle w:val="ListParagraph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>R</w:t>
      </w:r>
      <w:r w:rsidRPr="00BA422B" w:rsidR="00160C4F">
        <w:rPr>
          <w:b/>
          <w:bCs/>
          <w:color w:val="002060"/>
          <w:sz w:val="28"/>
          <w:szCs w:val="28"/>
        </w:rPr>
        <w:t xml:space="preserve">equiring visual review of the form encourages updating of </w:t>
      </w:r>
      <w:r w:rsidR="00F01123">
        <w:rPr>
          <w:b/>
          <w:bCs/>
          <w:color w:val="002060"/>
          <w:sz w:val="28"/>
          <w:szCs w:val="28"/>
        </w:rPr>
        <w:t>outdated</w:t>
      </w:r>
      <w:r w:rsidRPr="00BA422B" w:rsidR="00160C4F">
        <w:rPr>
          <w:b/>
          <w:bCs/>
          <w:color w:val="002060"/>
          <w:sz w:val="28"/>
          <w:szCs w:val="28"/>
        </w:rPr>
        <w:t xml:space="preserve"> information (</w:t>
      </w:r>
      <w:r w:rsidRPr="00BA422B" w:rsidR="00205BE1">
        <w:rPr>
          <w:b/>
          <w:bCs/>
          <w:color w:val="002060"/>
          <w:sz w:val="28"/>
          <w:szCs w:val="28"/>
        </w:rPr>
        <w:t>e.g.,</w:t>
      </w:r>
      <w:r w:rsidRPr="00BA422B" w:rsidR="00160C4F">
        <w:rPr>
          <w:b/>
          <w:bCs/>
          <w:color w:val="002060"/>
          <w:sz w:val="28"/>
          <w:szCs w:val="28"/>
        </w:rPr>
        <w:t xml:space="preserve"> authorized users)</w:t>
      </w:r>
      <w:r w:rsidRPr="00BA422B">
        <w:rPr>
          <w:b/>
          <w:bCs/>
          <w:color w:val="002060"/>
          <w:sz w:val="28"/>
          <w:szCs w:val="28"/>
        </w:rPr>
        <w:t xml:space="preserve">.  </w:t>
      </w:r>
    </w:p>
    <w:p w:rsidR="00E4053A" w:rsidRPr="00BA422B" w:rsidP="00E4053A" w14:paraId="09370619" w14:textId="77777777">
      <w:pPr>
        <w:pStyle w:val="ListParagraph"/>
        <w:rPr>
          <w:b/>
          <w:bCs/>
          <w:color w:val="002060"/>
          <w:sz w:val="28"/>
          <w:szCs w:val="28"/>
        </w:rPr>
      </w:pPr>
    </w:p>
    <w:p w:rsidR="00160C4F" w:rsidRPr="00BA422B" w:rsidP="00413004" w14:paraId="303B9C93" w14:textId="52FF6A5F">
      <w:pPr>
        <w:pStyle w:val="ListParagraph"/>
        <w:rPr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The renewal process allows the QI Team to review the compliance of an entity outside the certification process and reconsider </w:t>
      </w:r>
      <w:r w:rsidRPr="00BA422B" w:rsidR="005A23B8">
        <w:rPr>
          <w:b/>
          <w:bCs/>
          <w:color w:val="002060"/>
          <w:sz w:val="28"/>
          <w:szCs w:val="28"/>
        </w:rPr>
        <w:t xml:space="preserve">an </w:t>
      </w:r>
      <w:r w:rsidRPr="00BA422B">
        <w:rPr>
          <w:b/>
          <w:bCs/>
          <w:color w:val="002060"/>
          <w:sz w:val="28"/>
          <w:szCs w:val="28"/>
        </w:rPr>
        <w:t>entity</w:t>
      </w:r>
      <w:r w:rsidRPr="00BA422B" w:rsidR="00A432BD">
        <w:rPr>
          <w:b/>
          <w:bCs/>
          <w:color w:val="002060"/>
          <w:sz w:val="28"/>
          <w:szCs w:val="28"/>
        </w:rPr>
        <w:t>’s</w:t>
      </w:r>
      <w:r w:rsidRPr="00BA422B">
        <w:rPr>
          <w:b/>
          <w:bCs/>
          <w:color w:val="002060"/>
          <w:sz w:val="28"/>
          <w:szCs w:val="28"/>
        </w:rPr>
        <w:t xml:space="preserve"> </w:t>
      </w:r>
      <w:r w:rsidRPr="00BA422B" w:rsidR="00A432BD">
        <w:rPr>
          <w:b/>
          <w:bCs/>
          <w:color w:val="002060"/>
          <w:sz w:val="28"/>
          <w:szCs w:val="28"/>
        </w:rPr>
        <w:t>QI status.</w:t>
      </w:r>
    </w:p>
    <w:p w:rsidR="00413004" w:rsidP="00215EB5" w14:paraId="44B0E55B" w14:textId="77777777">
      <w:pPr>
        <w:pStyle w:val="Default"/>
        <w:spacing w:after="39"/>
        <w:rPr>
          <w:sz w:val="22"/>
          <w:szCs w:val="22"/>
        </w:rPr>
      </w:pPr>
    </w:p>
    <w:p w:rsidR="00215EB5" w:rsidP="00BA422B" w14:paraId="19576A18" w14:textId="77777777">
      <w:pPr>
        <w:pStyle w:val="Default"/>
        <w:spacing w:after="39"/>
        <w:rPr>
          <w:sz w:val="22"/>
          <w:szCs w:val="22"/>
        </w:rPr>
      </w:pPr>
    </w:p>
    <w:p w:rsidR="00124FB2" w:rsidRPr="00BA422B" w:rsidP="00124FB2" w14:paraId="4A297D99" w14:textId="5BA0D8FA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Facilitate an easier and quicker refund process for over-withholding. </w:t>
      </w:r>
    </w:p>
    <w:p w:rsidR="00E1476B" w:rsidP="00E1476B" w14:paraId="28878364" w14:textId="77777777">
      <w:pPr>
        <w:pStyle w:val="Default"/>
        <w:spacing w:after="39"/>
        <w:rPr>
          <w:sz w:val="22"/>
          <w:szCs w:val="22"/>
        </w:rPr>
      </w:pPr>
    </w:p>
    <w:p w:rsidR="00E1476B" w:rsidRPr="00BA422B" w:rsidP="004B105C" w14:paraId="2C53D2DF" w14:textId="777FDCEF">
      <w:pPr>
        <w:pStyle w:val="Default"/>
        <w:spacing w:after="39"/>
        <w:ind w:left="720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</w:t>
      </w:r>
      <w:r w:rsidR="00F01123">
        <w:rPr>
          <w:b/>
          <w:bCs/>
          <w:color w:val="002060"/>
          <w:sz w:val="28"/>
          <w:szCs w:val="28"/>
        </w:rPr>
        <w:t xml:space="preserve">are </w:t>
      </w:r>
      <w:r w:rsidRPr="00BA422B">
        <w:rPr>
          <w:b/>
          <w:bCs/>
          <w:color w:val="002060"/>
          <w:sz w:val="28"/>
          <w:szCs w:val="28"/>
        </w:rPr>
        <w:t xml:space="preserve">not contemplating a new refund process. </w:t>
      </w:r>
      <w:r w:rsidRPr="00BA422B" w:rsidR="003E30DC">
        <w:rPr>
          <w:b/>
          <w:bCs/>
          <w:color w:val="002060"/>
          <w:sz w:val="28"/>
          <w:szCs w:val="28"/>
        </w:rPr>
        <w:t xml:space="preserve">The </w:t>
      </w:r>
      <w:r w:rsidRPr="00BA422B" w:rsidR="00215EB5">
        <w:rPr>
          <w:b/>
          <w:bCs/>
          <w:color w:val="002060"/>
          <w:sz w:val="28"/>
          <w:szCs w:val="28"/>
        </w:rPr>
        <w:t>r</w:t>
      </w:r>
      <w:r w:rsidRPr="00BA422B" w:rsidR="003E30DC">
        <w:rPr>
          <w:b/>
          <w:bCs/>
          <w:color w:val="002060"/>
          <w:sz w:val="28"/>
          <w:szCs w:val="28"/>
        </w:rPr>
        <w:t xml:space="preserve">efund process is a service center </w:t>
      </w:r>
      <w:r w:rsidRPr="00BA422B">
        <w:rPr>
          <w:b/>
          <w:bCs/>
          <w:color w:val="002060"/>
          <w:sz w:val="28"/>
          <w:szCs w:val="28"/>
        </w:rPr>
        <w:t>function.  A</w:t>
      </w:r>
      <w:r w:rsidRPr="00BA422B" w:rsidR="003E30DC">
        <w:rPr>
          <w:b/>
          <w:bCs/>
          <w:color w:val="002060"/>
          <w:sz w:val="28"/>
          <w:szCs w:val="28"/>
        </w:rPr>
        <w:t xml:space="preserve">ny new process </w:t>
      </w:r>
      <w:r w:rsidRPr="00BA422B">
        <w:rPr>
          <w:b/>
          <w:bCs/>
          <w:color w:val="002060"/>
          <w:sz w:val="28"/>
          <w:szCs w:val="28"/>
        </w:rPr>
        <w:t xml:space="preserve">needs </w:t>
      </w:r>
      <w:r w:rsidRPr="00BA422B" w:rsidR="003E30DC">
        <w:rPr>
          <w:b/>
          <w:bCs/>
          <w:color w:val="002060"/>
          <w:sz w:val="28"/>
          <w:szCs w:val="28"/>
        </w:rPr>
        <w:t>to be made available to all customers of the IRS</w:t>
      </w:r>
      <w:r w:rsidRPr="00BA422B" w:rsidR="00F62110">
        <w:rPr>
          <w:b/>
          <w:bCs/>
          <w:color w:val="002060"/>
          <w:sz w:val="28"/>
          <w:szCs w:val="28"/>
        </w:rPr>
        <w:t>.</w:t>
      </w:r>
      <w:r w:rsidRPr="00BA422B" w:rsidR="003E30DC">
        <w:rPr>
          <w:b/>
          <w:bCs/>
          <w:color w:val="002060"/>
          <w:sz w:val="28"/>
          <w:szCs w:val="28"/>
        </w:rPr>
        <w:t xml:space="preserve"> </w:t>
      </w:r>
    </w:p>
    <w:p w:rsidR="00E1476B" w:rsidP="00E1476B" w14:paraId="3305BFE0" w14:textId="77777777">
      <w:pPr>
        <w:pStyle w:val="Default"/>
        <w:spacing w:after="39"/>
        <w:rPr>
          <w:sz w:val="22"/>
          <w:szCs w:val="22"/>
        </w:rPr>
      </w:pPr>
    </w:p>
    <w:p w:rsidR="00215EB5" w:rsidP="00E1476B" w14:paraId="4AF7DA2F" w14:textId="77777777">
      <w:pPr>
        <w:pStyle w:val="Default"/>
        <w:spacing w:after="39"/>
        <w:rPr>
          <w:sz w:val="22"/>
          <w:szCs w:val="22"/>
        </w:rPr>
      </w:pPr>
    </w:p>
    <w:p w:rsidR="00124FB2" w:rsidRPr="00BA422B" w:rsidP="00BA422B" w14:paraId="34C44015" w14:textId="599F9BFE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Develop a comprehensive approach to modernizing delivery requirements and supporting a </w:t>
      </w:r>
      <w:r w:rsidRPr="00BA422B" w:rsidR="00034700">
        <w:rPr>
          <w:b/>
          <w:bCs/>
          <w:color w:val="auto"/>
          <w:sz w:val="28"/>
          <w:szCs w:val="28"/>
        </w:rPr>
        <w:t>mo</w:t>
      </w:r>
      <w:r w:rsidRPr="00BA422B" w:rsidR="00F62110">
        <w:rPr>
          <w:b/>
          <w:bCs/>
          <w:color w:val="auto"/>
          <w:sz w:val="28"/>
          <w:szCs w:val="28"/>
        </w:rPr>
        <w:t>ve</w:t>
      </w:r>
      <w:r w:rsidRPr="00BA422B">
        <w:rPr>
          <w:b/>
          <w:bCs/>
          <w:color w:val="auto"/>
          <w:sz w:val="28"/>
          <w:szCs w:val="28"/>
        </w:rPr>
        <w:t xml:space="preserve"> towards greater reliance on electronic delivery. </w:t>
      </w:r>
    </w:p>
    <w:p w:rsidR="00034700" w:rsidRPr="00557FDB" w:rsidP="00557FDB" w14:paraId="417DD3BC" w14:textId="77777777">
      <w:pPr>
        <w:pStyle w:val="ListParagraph"/>
        <w:rPr>
          <w:b/>
          <w:bCs/>
          <w:color w:val="002060"/>
        </w:rPr>
      </w:pPr>
    </w:p>
    <w:p w:rsidR="00557FDB" w:rsidRPr="00BA422B" w:rsidP="00557FDB" w14:paraId="3CDE0A98" w14:textId="42204D56">
      <w:pPr>
        <w:pStyle w:val="ListParagraph"/>
        <w:rPr>
          <w:b/>
          <w:bCs/>
          <w:color w:val="002060"/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We have addressed this in the new QI agreement </w:t>
      </w:r>
      <w:r w:rsidRPr="00BA422B" w:rsidR="00D16046">
        <w:rPr>
          <w:b/>
          <w:bCs/>
          <w:color w:val="002060"/>
          <w:sz w:val="28"/>
          <w:szCs w:val="28"/>
        </w:rPr>
        <w:t>to the extent feasible.    S</w:t>
      </w:r>
      <w:r w:rsidRPr="00BA422B">
        <w:rPr>
          <w:b/>
          <w:bCs/>
          <w:color w:val="002060"/>
          <w:sz w:val="28"/>
          <w:szCs w:val="28"/>
        </w:rPr>
        <w:t xml:space="preserve">ee below.  </w:t>
      </w:r>
      <w:r w:rsidRPr="00BA422B" w:rsidR="00D16046">
        <w:rPr>
          <w:b/>
          <w:bCs/>
          <w:color w:val="002060"/>
          <w:sz w:val="28"/>
          <w:szCs w:val="28"/>
        </w:rPr>
        <w:t xml:space="preserve"> </w:t>
      </w:r>
    </w:p>
    <w:p w:rsidR="00034700" w:rsidRPr="00034700" w:rsidP="00FA5009" w14:paraId="225CCF6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b/>
          <w:bCs/>
          <w:color w:val="000000"/>
          <w:kern w:val="0"/>
          <w:sz w:val="23"/>
          <w:szCs w:val="23"/>
        </w:rPr>
        <w:t xml:space="preserve">Sec. 12.06. </w:t>
      </w: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Except as otherwise provided on QAAMS, all written notices sent to the IRS by QI must be </w:t>
      </w:r>
      <w:r w:rsidRPr="00EC24B4">
        <w:rPr>
          <w:rFonts w:ascii="Arial" w:hAnsi="Arial" w:cs="Arial"/>
          <w:b/>
          <w:bCs/>
          <w:color w:val="000000"/>
          <w:kern w:val="0"/>
          <w:sz w:val="23"/>
          <w:szCs w:val="23"/>
        </w:rPr>
        <w:t>sent by either e-mail to lbi.fi.qiwpissues@IRS.gov</w:t>
      </w: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 or by </w:t>
      </w: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registered, first class airmail (with each such notice to include the QI's name, QI-EIN, GIIN (if applicable), and the name of its responsible officer), addressed as follows: </w:t>
      </w:r>
    </w:p>
    <w:p w:rsidR="00034700" w:rsidRPr="00034700" w:rsidP="00FA5009" w14:paraId="5D8D9103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Internal Revenue Service </w:t>
      </w:r>
    </w:p>
    <w:p w:rsidR="00034700" w:rsidRPr="00034700" w:rsidP="00FA5009" w14:paraId="1B00FDD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Foreign Payments Practice </w:t>
      </w:r>
    </w:p>
    <w:p w:rsidR="00034700" w:rsidRPr="00034700" w:rsidP="00FA5009" w14:paraId="10166A6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Foreign Intermediaries Program </w:t>
      </w:r>
    </w:p>
    <w:p w:rsidR="00034700" w:rsidRPr="00034700" w:rsidP="00FA5009" w14:paraId="46FD010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290 Broadway, 12th Floor NW </w:t>
      </w:r>
    </w:p>
    <w:p w:rsidR="00034700" w:rsidRPr="00034700" w:rsidP="00FA5009" w14:paraId="731E57C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3"/>
          <w:szCs w:val="23"/>
        </w:rPr>
      </w:pPr>
      <w:r w:rsidRPr="00034700">
        <w:rPr>
          <w:rFonts w:ascii="Arial" w:hAnsi="Arial" w:cs="Arial"/>
          <w:color w:val="000000"/>
          <w:kern w:val="0"/>
          <w:sz w:val="23"/>
          <w:szCs w:val="23"/>
        </w:rPr>
        <w:t xml:space="preserve">New York, New York 10007-1867 </w:t>
      </w:r>
    </w:p>
    <w:p w:rsidR="00034700" w:rsidP="00034700" w14:paraId="79829D44" w14:textId="1D9FF1BF">
      <w:pPr>
        <w:pStyle w:val="Default"/>
        <w:spacing w:after="39"/>
        <w:ind w:left="720"/>
        <w:rPr>
          <w:sz w:val="22"/>
          <w:szCs w:val="22"/>
        </w:rPr>
      </w:pPr>
      <w:r w:rsidRPr="00034700">
        <w:rPr>
          <w:rFonts w:ascii="Arial" w:hAnsi="Arial" w:cs="Arial"/>
          <w:sz w:val="23"/>
          <w:szCs w:val="23"/>
        </w:rPr>
        <w:t xml:space="preserve">Written notices provided to QI under this Agreement </w:t>
      </w:r>
      <w:r w:rsidRPr="00EC24B4">
        <w:rPr>
          <w:rFonts w:ascii="Arial" w:hAnsi="Arial" w:cs="Arial"/>
          <w:b/>
          <w:bCs/>
          <w:sz w:val="23"/>
          <w:szCs w:val="23"/>
        </w:rPr>
        <w:t>shall be sent by IRS by secure e-mail</w:t>
      </w:r>
      <w:r w:rsidRPr="00034700">
        <w:rPr>
          <w:rFonts w:ascii="Arial" w:hAnsi="Arial" w:cs="Arial"/>
          <w:sz w:val="23"/>
          <w:szCs w:val="23"/>
        </w:rPr>
        <w:t xml:space="preserve"> to the responsible officer of the QI and all contact persons identified by QI.</w:t>
      </w:r>
    </w:p>
    <w:p w:rsidR="00034700" w:rsidP="00034700" w14:paraId="5D5A5DC8" w14:textId="77777777">
      <w:pPr>
        <w:pStyle w:val="Default"/>
        <w:spacing w:after="39"/>
        <w:rPr>
          <w:sz w:val="22"/>
          <w:szCs w:val="22"/>
        </w:rPr>
      </w:pPr>
    </w:p>
    <w:p w:rsidR="00215EB5" w:rsidP="00034700" w14:paraId="5A1169D3" w14:textId="77777777">
      <w:pPr>
        <w:pStyle w:val="Default"/>
        <w:spacing w:after="39"/>
        <w:rPr>
          <w:sz w:val="22"/>
          <w:szCs w:val="22"/>
        </w:rPr>
      </w:pPr>
    </w:p>
    <w:p w:rsidR="00160C4F" w:rsidRPr="00BA422B" w:rsidP="00BA422B" w14:paraId="605437D9" w14:textId="685FB24B">
      <w:pPr>
        <w:pStyle w:val="Default"/>
        <w:numPr>
          <w:ilvl w:val="0"/>
          <w:numId w:val="3"/>
        </w:numPr>
        <w:spacing w:after="39"/>
        <w:rPr>
          <w:b/>
          <w:bCs/>
          <w:color w:val="auto"/>
          <w:sz w:val="28"/>
          <w:szCs w:val="28"/>
        </w:rPr>
      </w:pPr>
      <w:r w:rsidRPr="00BA422B">
        <w:rPr>
          <w:b/>
          <w:bCs/>
          <w:color w:val="auto"/>
          <w:sz w:val="28"/>
          <w:szCs w:val="28"/>
        </w:rPr>
        <w:t xml:space="preserve">Expand the portal </w:t>
      </w:r>
      <w:r w:rsidRPr="00BA422B">
        <w:rPr>
          <w:b/>
          <w:bCs/>
          <w:color w:val="auto"/>
          <w:sz w:val="28"/>
          <w:szCs w:val="28"/>
        </w:rPr>
        <w:t xml:space="preserve">capabilities so that QIs could easily access Notices and copies of transcripts, when needed. </w:t>
      </w:r>
    </w:p>
    <w:p w:rsidR="00557FDB" w:rsidP="00160C4F" w14:paraId="56320263" w14:textId="77777777">
      <w:pPr>
        <w:pStyle w:val="Default"/>
        <w:rPr>
          <w:sz w:val="22"/>
          <w:szCs w:val="22"/>
        </w:rPr>
      </w:pPr>
    </w:p>
    <w:p w:rsidR="0081256A" w:rsidRPr="00BA422B" w:rsidP="005F147B" w14:paraId="2A2820DC" w14:textId="2291FE03">
      <w:pPr>
        <w:pStyle w:val="ListParagraph"/>
        <w:rPr>
          <w:sz w:val="28"/>
          <w:szCs w:val="28"/>
        </w:rPr>
      </w:pPr>
      <w:r w:rsidRPr="00BA422B">
        <w:rPr>
          <w:b/>
          <w:bCs/>
          <w:color w:val="002060"/>
          <w:sz w:val="28"/>
          <w:szCs w:val="28"/>
        </w:rPr>
        <w:t xml:space="preserve">This function resides with the IRS Service Centers.  </w:t>
      </w:r>
      <w:r w:rsidRPr="00BA422B" w:rsidR="00557FDB">
        <w:rPr>
          <w:b/>
          <w:bCs/>
          <w:color w:val="002060"/>
          <w:sz w:val="28"/>
          <w:szCs w:val="28"/>
        </w:rPr>
        <w:t xml:space="preserve">We do not plan to expand the portal to accommodate </w:t>
      </w:r>
      <w:r w:rsidRPr="00BA422B" w:rsidR="00215EB5">
        <w:rPr>
          <w:b/>
          <w:bCs/>
          <w:color w:val="002060"/>
          <w:sz w:val="28"/>
          <w:szCs w:val="28"/>
        </w:rPr>
        <w:t>N</w:t>
      </w:r>
      <w:r w:rsidRPr="00BA422B" w:rsidR="00557FDB">
        <w:rPr>
          <w:b/>
          <w:bCs/>
          <w:color w:val="002060"/>
          <w:sz w:val="28"/>
          <w:szCs w:val="28"/>
        </w:rPr>
        <w:t>otices and cop</w:t>
      </w:r>
      <w:r w:rsidRPr="00BA422B" w:rsidR="00D16046">
        <w:rPr>
          <w:b/>
          <w:bCs/>
          <w:color w:val="002060"/>
          <w:sz w:val="28"/>
          <w:szCs w:val="28"/>
        </w:rPr>
        <w:t>ies</w:t>
      </w:r>
      <w:r w:rsidRPr="00BA422B" w:rsidR="00557FDB">
        <w:rPr>
          <w:b/>
          <w:bCs/>
          <w:color w:val="002060"/>
          <w:sz w:val="28"/>
          <w:szCs w:val="28"/>
        </w:rPr>
        <w:t xml:space="preserve"> of transcripts</w:t>
      </w:r>
      <w:r w:rsidRPr="00BA422B">
        <w:rPr>
          <w:b/>
          <w:bCs/>
          <w:color w:val="002060"/>
          <w:sz w:val="28"/>
          <w:szCs w:val="28"/>
        </w:rPr>
        <w:t xml:space="preserve"> because of data security.  </w:t>
      </w:r>
      <w:r w:rsidRPr="00BA422B" w:rsidR="00557FDB">
        <w:rPr>
          <w:b/>
          <w:bCs/>
          <w:color w:val="002060"/>
          <w:sz w:val="28"/>
          <w:szCs w:val="28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109B"/>
    <w:multiLevelType w:val="hybridMultilevel"/>
    <w:tmpl w:val="85E425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799"/>
    <w:multiLevelType w:val="hybridMultilevel"/>
    <w:tmpl w:val="9294BB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6401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A857CC5"/>
    <w:multiLevelType w:val="hybridMultilevel"/>
    <w:tmpl w:val="CCF2E0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92A9C"/>
    <w:multiLevelType w:val="hybridMultilevel"/>
    <w:tmpl w:val="D488EE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A1E20"/>
    <w:multiLevelType w:val="hybridMultilevel"/>
    <w:tmpl w:val="37702D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B73A5"/>
    <w:multiLevelType w:val="hybridMultilevel"/>
    <w:tmpl w:val="85E425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FE3ED"/>
    <w:multiLevelType w:val="hybridMultilevel"/>
    <w:tmpl w:val="28942F76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772160601">
    <w:abstractNumId w:val="2"/>
  </w:num>
  <w:num w:numId="2" w16cid:durableId="792554114">
    <w:abstractNumId w:val="0"/>
  </w:num>
  <w:num w:numId="3" w16cid:durableId="1100300829">
    <w:abstractNumId w:val="7"/>
  </w:num>
  <w:num w:numId="4" w16cid:durableId="654602312">
    <w:abstractNumId w:val="1"/>
  </w:num>
  <w:num w:numId="5" w16cid:durableId="1797067682">
    <w:abstractNumId w:val="4"/>
  </w:num>
  <w:num w:numId="6" w16cid:durableId="1215967380">
    <w:abstractNumId w:val="6"/>
  </w:num>
  <w:num w:numId="7" w16cid:durableId="113410030">
    <w:abstractNumId w:val="5"/>
  </w:num>
  <w:num w:numId="8" w16cid:durableId="2034263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E"/>
    <w:rsid w:val="000341B7"/>
    <w:rsid w:val="00034700"/>
    <w:rsid w:val="00072D6A"/>
    <w:rsid w:val="000A089E"/>
    <w:rsid w:val="0012457F"/>
    <w:rsid w:val="00124FB2"/>
    <w:rsid w:val="00152DDB"/>
    <w:rsid w:val="00160C4F"/>
    <w:rsid w:val="00162EB3"/>
    <w:rsid w:val="00166FDE"/>
    <w:rsid w:val="001677B2"/>
    <w:rsid w:val="001C647C"/>
    <w:rsid w:val="00205BE1"/>
    <w:rsid w:val="0021445D"/>
    <w:rsid w:val="00215EB5"/>
    <w:rsid w:val="00226CF0"/>
    <w:rsid w:val="00230B80"/>
    <w:rsid w:val="00270787"/>
    <w:rsid w:val="00272DE5"/>
    <w:rsid w:val="002D0064"/>
    <w:rsid w:val="002D07BE"/>
    <w:rsid w:val="00310E88"/>
    <w:rsid w:val="00325A25"/>
    <w:rsid w:val="00353644"/>
    <w:rsid w:val="003707E2"/>
    <w:rsid w:val="003E30DC"/>
    <w:rsid w:val="003F5E67"/>
    <w:rsid w:val="00410BCA"/>
    <w:rsid w:val="00413004"/>
    <w:rsid w:val="00422BDF"/>
    <w:rsid w:val="004421FA"/>
    <w:rsid w:val="0045273C"/>
    <w:rsid w:val="00464C01"/>
    <w:rsid w:val="00491DCF"/>
    <w:rsid w:val="004B105C"/>
    <w:rsid w:val="004D2DF7"/>
    <w:rsid w:val="00521B48"/>
    <w:rsid w:val="00557FDB"/>
    <w:rsid w:val="0056027F"/>
    <w:rsid w:val="00592DBB"/>
    <w:rsid w:val="005A23B8"/>
    <w:rsid w:val="005A70ED"/>
    <w:rsid w:val="005F147B"/>
    <w:rsid w:val="00603634"/>
    <w:rsid w:val="00605373"/>
    <w:rsid w:val="006627B0"/>
    <w:rsid w:val="0066650E"/>
    <w:rsid w:val="00682D0B"/>
    <w:rsid w:val="00683B62"/>
    <w:rsid w:val="0069084E"/>
    <w:rsid w:val="006F75CF"/>
    <w:rsid w:val="00795F4D"/>
    <w:rsid w:val="007B2B6D"/>
    <w:rsid w:val="007F14AD"/>
    <w:rsid w:val="0081256A"/>
    <w:rsid w:val="00825F41"/>
    <w:rsid w:val="00897712"/>
    <w:rsid w:val="00897C4C"/>
    <w:rsid w:val="008C0266"/>
    <w:rsid w:val="008E78E4"/>
    <w:rsid w:val="00943C47"/>
    <w:rsid w:val="00992EFD"/>
    <w:rsid w:val="00A206C8"/>
    <w:rsid w:val="00A432BD"/>
    <w:rsid w:val="00A91260"/>
    <w:rsid w:val="00AB3EE3"/>
    <w:rsid w:val="00AD088D"/>
    <w:rsid w:val="00B15F6E"/>
    <w:rsid w:val="00B26039"/>
    <w:rsid w:val="00B54863"/>
    <w:rsid w:val="00BA422B"/>
    <w:rsid w:val="00C04870"/>
    <w:rsid w:val="00C55067"/>
    <w:rsid w:val="00C962EA"/>
    <w:rsid w:val="00CA1964"/>
    <w:rsid w:val="00CA2BFF"/>
    <w:rsid w:val="00D054F0"/>
    <w:rsid w:val="00D16046"/>
    <w:rsid w:val="00DC076C"/>
    <w:rsid w:val="00DC3D26"/>
    <w:rsid w:val="00DC623F"/>
    <w:rsid w:val="00DD39DA"/>
    <w:rsid w:val="00DD565E"/>
    <w:rsid w:val="00DF4F39"/>
    <w:rsid w:val="00E1476B"/>
    <w:rsid w:val="00E24D54"/>
    <w:rsid w:val="00E4053A"/>
    <w:rsid w:val="00E56423"/>
    <w:rsid w:val="00E87895"/>
    <w:rsid w:val="00EA7643"/>
    <w:rsid w:val="00EA7F18"/>
    <w:rsid w:val="00EC24B4"/>
    <w:rsid w:val="00EE4F5E"/>
    <w:rsid w:val="00F01123"/>
    <w:rsid w:val="00F23155"/>
    <w:rsid w:val="00F27A47"/>
    <w:rsid w:val="00F3044B"/>
    <w:rsid w:val="00F62110"/>
    <w:rsid w:val="00F75F34"/>
    <w:rsid w:val="00FA5009"/>
    <w:rsid w:val="00FC66CE"/>
    <w:rsid w:val="00FE0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AC195"/>
  <w15:chartTrackingRefBased/>
  <w15:docId w15:val="{22584344-9E83-4551-84B6-15A186E0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4F0"/>
    <w:pPr>
      <w:ind w:left="720"/>
      <w:contextualSpacing/>
    </w:pPr>
  </w:style>
  <w:style w:type="paragraph" w:styleId="Revision">
    <w:name w:val="Revision"/>
    <w:hidden/>
    <w:uiPriority w:val="99"/>
    <w:semiHidden/>
    <w:rsid w:val="00166F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D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 Nicholas</dc:creator>
  <cp:lastModifiedBy>Goryuk Katerina</cp:lastModifiedBy>
  <cp:revision>2</cp:revision>
  <dcterms:created xsi:type="dcterms:W3CDTF">2024-11-20T18:13:00Z</dcterms:created>
  <dcterms:modified xsi:type="dcterms:W3CDTF">2024-11-20T18:13:00Z</dcterms:modified>
</cp:coreProperties>
</file>