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6929" w:rsidRPr="00445244" w:rsidP="00966929" w14:paraId="09DB56D0" w14:textId="24F8CE8E">
      <w:pPr>
        <w:pStyle w:val="Default"/>
        <w:jc w:val="center"/>
        <w:rPr>
          <w:rFonts w:eastAsia="Times New Roman" w:asciiTheme="minorHAnsi" w:hAnsiTheme="minorHAnsi" w:cstheme="minorHAnsi"/>
          <w:b/>
          <w:bCs/>
          <w:color w:val="auto"/>
        </w:rPr>
      </w:pPr>
      <w:r w:rsidRPr="00445244">
        <w:rPr>
          <w:rFonts w:eastAsia="Times New Roman" w:asciiTheme="minorHAnsi" w:hAnsiTheme="minorHAnsi" w:cstheme="minorHAnsi"/>
          <w:b/>
          <w:bCs/>
          <w:color w:val="auto"/>
        </w:rPr>
        <w:t>SUPPORTING STATEMENT</w:t>
      </w:r>
    </w:p>
    <w:p w:rsidR="00966929" w:rsidRPr="00445244" w:rsidP="00966929" w14:paraId="3E9E3012" w14:textId="77777777">
      <w:pPr>
        <w:pStyle w:val="Default"/>
        <w:jc w:val="center"/>
        <w:rPr>
          <w:rFonts w:eastAsia="Times New Roman" w:asciiTheme="minorHAnsi" w:hAnsiTheme="minorHAnsi" w:cstheme="minorHAnsi"/>
          <w:b/>
          <w:bCs/>
          <w:color w:val="auto"/>
        </w:rPr>
      </w:pPr>
      <w:r w:rsidRPr="00445244">
        <w:rPr>
          <w:rFonts w:eastAsia="Times New Roman" w:asciiTheme="minorHAnsi" w:hAnsiTheme="minorHAnsi" w:cstheme="minorHAnsi"/>
          <w:b/>
          <w:bCs/>
          <w:color w:val="auto"/>
        </w:rPr>
        <w:t>Internal Revenue Service (IRS)</w:t>
      </w:r>
    </w:p>
    <w:p w:rsidR="00966929" w:rsidRPr="00445244" w:rsidP="00966929" w14:paraId="62E0636D" w14:textId="77777777">
      <w:pPr>
        <w:pStyle w:val="Default"/>
        <w:jc w:val="center"/>
        <w:rPr>
          <w:rFonts w:eastAsia="Times New Roman" w:asciiTheme="minorHAnsi" w:hAnsiTheme="minorHAnsi" w:cstheme="minorHAnsi"/>
          <w:b/>
          <w:bCs/>
          <w:color w:val="auto"/>
        </w:rPr>
      </w:pPr>
      <w:r w:rsidRPr="00445244">
        <w:rPr>
          <w:rFonts w:eastAsia="Times New Roman" w:asciiTheme="minorHAnsi" w:hAnsiTheme="minorHAnsi" w:cstheme="minorHAnsi"/>
          <w:b/>
          <w:bCs/>
          <w:color w:val="auto"/>
        </w:rPr>
        <w:t>OMB Control Number 1545-1573</w:t>
      </w:r>
    </w:p>
    <w:p w:rsidR="00AC64AE" w:rsidRPr="00445244" w:rsidP="00966929" w14:paraId="75634450" w14:textId="03861F2C">
      <w:pPr>
        <w:pStyle w:val="Default"/>
        <w:jc w:val="center"/>
        <w:rPr>
          <w:rFonts w:eastAsia="Times New Roman" w:asciiTheme="minorHAnsi" w:hAnsiTheme="minorHAnsi" w:cstheme="minorHAnsi"/>
          <w:b/>
          <w:bCs/>
          <w:color w:val="auto"/>
        </w:rPr>
      </w:pPr>
      <w:r w:rsidRPr="00445244">
        <w:rPr>
          <w:rFonts w:asciiTheme="minorHAnsi" w:hAnsiTheme="minorHAnsi" w:cstheme="minorHAnsi"/>
          <w:b/>
          <w:bCs/>
        </w:rPr>
        <w:t>Regulation about Required Distributions from Retirement Plans</w:t>
      </w:r>
    </w:p>
    <w:p w:rsidR="00464E63" w:rsidRPr="00445244" w14:paraId="654E26AE" w14:textId="77777777">
      <w:pPr>
        <w:rPr>
          <w:rFonts w:asciiTheme="minorHAnsi" w:hAnsiTheme="minorHAnsi" w:cstheme="minorHAnsi"/>
          <w:b/>
          <w:bCs/>
        </w:rPr>
      </w:pPr>
    </w:p>
    <w:p w:rsidR="00464E63" w:rsidRPr="00445244" w14:paraId="022EC5FE" w14:textId="77777777">
      <w:pPr>
        <w:pStyle w:val="Quick1"/>
        <w:numPr>
          <w:ilvl w:val="0"/>
          <w:numId w:val="1"/>
        </w:numPr>
        <w:tabs>
          <w:tab w:val="left" w:pos="-1440"/>
          <w:tab w:val="num" w:pos="720"/>
        </w:tabs>
        <w:rPr>
          <w:rFonts w:asciiTheme="minorHAnsi" w:hAnsiTheme="minorHAnsi" w:cstheme="minorHAnsi"/>
        </w:rPr>
      </w:pPr>
      <w:r w:rsidRPr="00445244">
        <w:rPr>
          <w:rFonts w:asciiTheme="minorHAnsi" w:hAnsiTheme="minorHAnsi" w:cstheme="minorHAnsi"/>
          <w:u w:val="single"/>
        </w:rPr>
        <w:t>CIRCUMSTANCES NECESSITATING COLLECTION OF INFORMATION</w:t>
      </w:r>
    </w:p>
    <w:p w:rsidR="00464E63" w:rsidRPr="00445244" w14:paraId="576E6083" w14:textId="77777777">
      <w:pPr>
        <w:rPr>
          <w:rFonts w:asciiTheme="minorHAnsi" w:hAnsiTheme="minorHAnsi" w:cstheme="minorHAnsi"/>
        </w:rPr>
      </w:pPr>
    </w:p>
    <w:p w:rsidR="006D6150" w:rsidRPr="00445244" w:rsidP="006D6150" w14:paraId="1F4D85AB" w14:textId="77777777">
      <w:pPr>
        <w:ind w:left="720"/>
        <w:rPr>
          <w:rFonts w:asciiTheme="minorHAnsi" w:hAnsiTheme="minorHAnsi" w:cstheme="minorHAnsi"/>
        </w:rPr>
      </w:pPr>
      <w:r w:rsidRPr="00445244">
        <w:rPr>
          <w:rFonts w:asciiTheme="minorHAnsi" w:hAnsiTheme="minorHAnsi" w:cstheme="minorHAnsi"/>
        </w:rPr>
        <w:t>Sections 1.401(a)(9)-3(b)(4)(iii) and (c)(5)(iii) allow a plan to permit an eligible designated beneficiary in that plan to elect between the 5-year rule (or 10-year rule, if applicable) and life expectancy rule in the case of an employee who dies before the employee’s required beginning date. This election only arises in the context of a plan (and not an individual retirement plan (“IRA”)) because the plan administrator will need that information to satisfy the required minimum distribution (“RMD”) requirements with respect to the beneficiary. An IRA custodian has no obligation to force out an RMD so there is no need for a beneficiary of an IRA to file any type of election with the custodian. There is not a requirement that an employee make such an election. The plan will provide for a default in the absence of an election.</w:t>
      </w:r>
    </w:p>
    <w:p w:rsidR="006D6150" w:rsidRPr="00445244" w:rsidP="006D6150" w14:paraId="7C0DA92A" w14:textId="77777777">
      <w:pPr>
        <w:ind w:left="720"/>
        <w:rPr>
          <w:rFonts w:asciiTheme="minorHAnsi" w:hAnsiTheme="minorHAnsi" w:cstheme="minorHAnsi"/>
        </w:rPr>
      </w:pPr>
    </w:p>
    <w:p w:rsidR="006D6150" w:rsidRPr="00445244" w:rsidP="006D6150" w14:paraId="331FAB5E" w14:textId="382EA1AB">
      <w:pPr>
        <w:ind w:left="720"/>
        <w:rPr>
          <w:rFonts w:asciiTheme="minorHAnsi" w:hAnsiTheme="minorHAnsi" w:cstheme="minorHAnsi"/>
        </w:rPr>
      </w:pPr>
      <w:r w:rsidRPr="00445244">
        <w:rPr>
          <w:rFonts w:asciiTheme="minorHAnsi" w:hAnsiTheme="minorHAnsi" w:cstheme="minorHAnsi"/>
        </w:rPr>
        <w:t xml:space="preserve">Section 1.401(a)(9)-4(e)(7) requires a beneficiary to provide documentation to a plan administrator showing that the beneficiary was disabled or chronically ill as of the date of the employee’s death. The beneficiary only needs to have a licensed health care practitioner provide that the beneficiary was disabled or chronically ill in a letter to the plan administrator. </w:t>
      </w:r>
    </w:p>
    <w:p w:rsidR="006D6150" w:rsidRPr="00445244" w:rsidP="006D6150" w14:paraId="60FDF968" w14:textId="77777777">
      <w:pPr>
        <w:ind w:left="720"/>
        <w:rPr>
          <w:rFonts w:asciiTheme="minorHAnsi" w:hAnsiTheme="minorHAnsi" w:cstheme="minorHAnsi"/>
        </w:rPr>
      </w:pPr>
    </w:p>
    <w:p w:rsidR="006D6150" w:rsidRPr="00445244" w:rsidP="006D6150" w14:paraId="0A55F6D5" w14:textId="179E53D7">
      <w:pPr>
        <w:ind w:left="720"/>
        <w:rPr>
          <w:rFonts w:asciiTheme="minorHAnsi" w:hAnsiTheme="minorHAnsi" w:cstheme="minorHAnsi"/>
        </w:rPr>
      </w:pPr>
      <w:r w:rsidRPr="00445244">
        <w:rPr>
          <w:rFonts w:asciiTheme="minorHAnsi" w:hAnsiTheme="minorHAnsi" w:cstheme="minorHAnsi"/>
        </w:rPr>
        <w:t>Section 1.401(a)(9)-4(h) permits a taxpayer who wants to name a trust as a beneficiary to treat the underlying beneficiaries of the trust as designated beneficiaries of the taxpayer's benefit under a retirement plan if the taxpayer either: (1) provides a copy of the trust instrument to the plan administrator or (2) provides a list of all the beneficiaries of the trust, certifies that, to the best of the taxpayer's knowledge, this list is correct and complete, and agrees to provide a copy of the trust instrument upon demand. If the trust instrument is amended at any time in the future, the taxpayer must, within a reasonable time, provide a copy of each such amendment, or provide corrected certifications to the extent that the amendment changes the information previously certified. This requirement must generally be satisfied no later than October 31 of the calendar year following the calendar year of the employee’s death.</w:t>
      </w:r>
    </w:p>
    <w:p w:rsidR="006D6150" w:rsidRPr="00445244" w:rsidP="006D6150" w14:paraId="1EEAFA02" w14:textId="77777777">
      <w:pPr>
        <w:ind w:left="720"/>
        <w:rPr>
          <w:rFonts w:asciiTheme="minorHAnsi" w:hAnsiTheme="minorHAnsi" w:cstheme="minorHAnsi"/>
        </w:rPr>
      </w:pPr>
    </w:p>
    <w:p w:rsidR="006D6150" w:rsidRPr="00445244" w:rsidP="006D6150" w14:paraId="3785F425" w14:textId="77777777">
      <w:pPr>
        <w:ind w:left="720"/>
        <w:rPr>
          <w:rFonts w:asciiTheme="minorHAnsi" w:hAnsiTheme="minorHAnsi" w:cstheme="minorHAnsi"/>
        </w:rPr>
      </w:pPr>
      <w:r w:rsidRPr="00445244">
        <w:rPr>
          <w:rFonts w:asciiTheme="minorHAnsi" w:hAnsiTheme="minorHAnsi" w:cstheme="minorHAnsi"/>
        </w:rPr>
        <w:t>These collections of information are covered under Internal Revenue Code Sections 401(a)(9) and 7805.</w:t>
      </w:r>
    </w:p>
    <w:p w:rsidR="00464E63" w:rsidRPr="00445244" w14:paraId="0C75DF77" w14:textId="77777777">
      <w:pPr>
        <w:rPr>
          <w:rFonts w:asciiTheme="minorHAnsi" w:hAnsiTheme="minorHAnsi" w:cstheme="minorHAnsi"/>
        </w:rPr>
      </w:pPr>
    </w:p>
    <w:p w:rsidR="00464E63" w:rsidRPr="00445244" w14:paraId="210A8B7C" w14:textId="77777777">
      <w:pPr>
        <w:tabs>
          <w:tab w:val="left" w:pos="-1440"/>
        </w:tabs>
        <w:ind w:left="720" w:hanging="720"/>
        <w:rPr>
          <w:rFonts w:asciiTheme="minorHAnsi" w:hAnsiTheme="minorHAnsi" w:cstheme="minorHAnsi"/>
        </w:rPr>
      </w:pPr>
      <w:r w:rsidRPr="00445244">
        <w:rPr>
          <w:rFonts w:asciiTheme="minorHAnsi" w:hAnsiTheme="minorHAnsi" w:cstheme="minorHAnsi"/>
        </w:rPr>
        <w:t>2.</w:t>
      </w:r>
      <w:r w:rsidRPr="00445244">
        <w:rPr>
          <w:rFonts w:asciiTheme="minorHAnsi" w:hAnsiTheme="minorHAnsi" w:cstheme="minorHAnsi"/>
        </w:rPr>
        <w:tab/>
      </w:r>
      <w:r w:rsidRPr="00445244">
        <w:rPr>
          <w:rFonts w:asciiTheme="minorHAnsi" w:hAnsiTheme="minorHAnsi" w:cstheme="minorHAnsi"/>
          <w:u w:val="single"/>
        </w:rPr>
        <w:t>USE OF DATA</w:t>
      </w:r>
      <w:r w:rsidRPr="00445244">
        <w:rPr>
          <w:rFonts w:asciiTheme="minorHAnsi" w:hAnsiTheme="minorHAnsi" w:cstheme="minorHAnsi"/>
        </w:rPr>
        <w:t xml:space="preserve">              </w:t>
      </w:r>
    </w:p>
    <w:p w:rsidR="00464E63" w:rsidRPr="00445244" w14:paraId="2C95D0D1" w14:textId="77777777">
      <w:pPr>
        <w:rPr>
          <w:rFonts w:asciiTheme="minorHAnsi" w:hAnsiTheme="minorHAnsi" w:cstheme="minorHAnsi"/>
        </w:rPr>
      </w:pPr>
    </w:p>
    <w:p w:rsidR="00464E63" w:rsidRPr="00445244" w14:paraId="0A78A152" w14:textId="0EB08F8E">
      <w:pPr>
        <w:ind w:left="720"/>
        <w:rPr>
          <w:rFonts w:asciiTheme="minorHAnsi" w:hAnsiTheme="minorHAnsi" w:cstheme="minorHAnsi"/>
        </w:rPr>
      </w:pPr>
      <w:r w:rsidRPr="00445244">
        <w:rPr>
          <w:rFonts w:asciiTheme="minorHAnsi" w:hAnsiTheme="minorHAnsi" w:cstheme="minorHAnsi"/>
        </w:rPr>
        <w:t xml:space="preserve">The data will be used by employers that maintain qualified plans, plan administrators of qualified plans, and IRA trustees, </w:t>
      </w:r>
      <w:r w:rsidRPr="00445244" w:rsidR="006D4F74">
        <w:rPr>
          <w:rFonts w:asciiTheme="minorHAnsi" w:hAnsiTheme="minorHAnsi" w:cstheme="minorHAnsi"/>
        </w:rPr>
        <w:t>custodians,</w:t>
      </w:r>
      <w:r w:rsidRPr="00445244">
        <w:rPr>
          <w:rFonts w:asciiTheme="minorHAnsi" w:hAnsiTheme="minorHAnsi" w:cstheme="minorHAnsi"/>
        </w:rPr>
        <w:t xml:space="preserve"> or issuers to</w:t>
      </w:r>
      <w:r w:rsidRPr="00445244" w:rsidR="00F11D19">
        <w:rPr>
          <w:rFonts w:asciiTheme="minorHAnsi" w:hAnsiTheme="minorHAnsi" w:cstheme="minorHAnsi"/>
        </w:rPr>
        <w:t xml:space="preserve"> determine the method of payments to a beneficiary, to determine whether a beneficiary is an eligible designated </w:t>
      </w:r>
      <w:r w:rsidRPr="00445244" w:rsidR="00F11D19">
        <w:rPr>
          <w:rFonts w:asciiTheme="minorHAnsi" w:hAnsiTheme="minorHAnsi" w:cstheme="minorHAnsi"/>
        </w:rPr>
        <w:t>beneficiary entitled to distributions over that beneficiary’s life expectancy, and to</w:t>
      </w:r>
      <w:r w:rsidRPr="00445244">
        <w:rPr>
          <w:rFonts w:asciiTheme="minorHAnsi" w:hAnsiTheme="minorHAnsi" w:cstheme="minorHAnsi"/>
        </w:rPr>
        <w:t xml:space="preserve"> record the names of the taxpayer's beneficiaries under the trust.                    </w:t>
      </w:r>
    </w:p>
    <w:p w:rsidR="00464E63" w:rsidRPr="00445244" w14:paraId="50D16D87" w14:textId="77777777">
      <w:pPr>
        <w:rPr>
          <w:rFonts w:asciiTheme="minorHAnsi" w:hAnsiTheme="minorHAnsi" w:cstheme="minorHAnsi"/>
        </w:rPr>
      </w:pPr>
      <w:r w:rsidRPr="00445244">
        <w:rPr>
          <w:rFonts w:asciiTheme="minorHAnsi" w:hAnsiTheme="minorHAnsi" w:cstheme="minorHAnsi"/>
        </w:rPr>
        <w:t xml:space="preserve">               </w:t>
      </w:r>
    </w:p>
    <w:p w:rsidR="00464E63" w:rsidRPr="00445244" w14:paraId="0D63AA5D" w14:textId="77777777">
      <w:pPr>
        <w:pStyle w:val="Quick1"/>
        <w:numPr>
          <w:ilvl w:val="0"/>
          <w:numId w:val="2"/>
        </w:numPr>
        <w:tabs>
          <w:tab w:val="left" w:pos="-1440"/>
          <w:tab w:val="num" w:pos="720"/>
        </w:tabs>
        <w:rPr>
          <w:rFonts w:asciiTheme="minorHAnsi" w:hAnsiTheme="minorHAnsi" w:cstheme="minorHAnsi"/>
        </w:rPr>
      </w:pPr>
      <w:r w:rsidRPr="00445244">
        <w:rPr>
          <w:rFonts w:asciiTheme="minorHAnsi" w:hAnsiTheme="minorHAnsi" w:cstheme="minorHAnsi"/>
          <w:u w:val="single"/>
        </w:rPr>
        <w:t>USE OF IMPROVED INFORMATION TECHNOLOGY TO REDUCE BURDEN</w:t>
      </w:r>
    </w:p>
    <w:p w:rsidR="00464E63" w:rsidRPr="00445244" w14:paraId="438B6EDA" w14:textId="77777777">
      <w:pPr>
        <w:rPr>
          <w:rFonts w:asciiTheme="minorHAnsi" w:hAnsiTheme="minorHAnsi" w:cstheme="minorHAnsi"/>
        </w:rPr>
      </w:pPr>
    </w:p>
    <w:p w:rsidR="00464E63" w:rsidRPr="00445244" w14:paraId="57287C75" w14:textId="72DE01EA">
      <w:pPr>
        <w:ind w:left="720"/>
        <w:rPr>
          <w:rFonts w:asciiTheme="minorHAnsi" w:hAnsiTheme="minorHAnsi" w:cstheme="minorHAnsi"/>
        </w:rPr>
      </w:pPr>
      <w:r w:rsidRPr="00445244">
        <w:rPr>
          <w:rFonts w:asciiTheme="minorHAnsi" w:hAnsiTheme="minorHAnsi" w:cstheme="minorHAnsi"/>
        </w:rPr>
        <w:t xml:space="preserve">Electronic collection is not possible because these are third-party disclosures and recordkeeping requirements. </w:t>
      </w:r>
    </w:p>
    <w:p w:rsidR="00AF6041" w:rsidRPr="00445244" w14:paraId="4F63A7DD" w14:textId="77777777">
      <w:pPr>
        <w:rPr>
          <w:rFonts w:asciiTheme="minorHAnsi" w:hAnsiTheme="minorHAnsi" w:cstheme="minorHAnsi"/>
        </w:rPr>
      </w:pPr>
    </w:p>
    <w:p w:rsidR="00464E63" w:rsidRPr="00445244" w14:paraId="3D2B9EA1" w14:textId="77777777">
      <w:pPr>
        <w:pStyle w:val="Quick1"/>
        <w:numPr>
          <w:ilvl w:val="0"/>
          <w:numId w:val="2"/>
        </w:numPr>
        <w:tabs>
          <w:tab w:val="left" w:pos="-1440"/>
          <w:tab w:val="num" w:pos="720"/>
        </w:tabs>
        <w:rPr>
          <w:rFonts w:asciiTheme="minorHAnsi" w:hAnsiTheme="minorHAnsi" w:cstheme="minorHAnsi"/>
        </w:rPr>
      </w:pPr>
      <w:r w:rsidRPr="00445244">
        <w:rPr>
          <w:rFonts w:asciiTheme="minorHAnsi" w:hAnsiTheme="minorHAnsi" w:cstheme="minorHAnsi"/>
          <w:u w:val="single"/>
        </w:rPr>
        <w:t>EFFORTS TO IDENTIFY DUPLICATION</w:t>
      </w:r>
    </w:p>
    <w:p w:rsidR="00464E63" w:rsidRPr="00445244" w14:paraId="4D715C0E" w14:textId="77777777">
      <w:pPr>
        <w:rPr>
          <w:rFonts w:asciiTheme="minorHAnsi" w:hAnsiTheme="minorHAnsi" w:cstheme="minorHAnsi"/>
        </w:rPr>
      </w:pPr>
    </w:p>
    <w:p w:rsidR="00DF5C1F" w:rsidRPr="00445244" w:rsidP="00DF5C1F" w14:paraId="0DE7D5D4" w14:textId="06BA285D">
      <w:pPr>
        <w:pStyle w:val="ListParagraph"/>
        <w:tabs>
          <w:tab w:val="left" w:pos="821"/>
        </w:tabs>
        <w:ind w:left="720" w:firstLine="0"/>
        <w:rPr>
          <w:rFonts w:eastAsia="Times New Roman" w:asciiTheme="minorHAnsi" w:hAnsiTheme="minorHAnsi" w:cstheme="minorHAnsi"/>
          <w:sz w:val="24"/>
          <w:szCs w:val="24"/>
          <w:lang w:bidi="ar-SA"/>
        </w:rPr>
      </w:pPr>
      <w:r w:rsidRPr="00445244">
        <w:rPr>
          <w:rFonts w:eastAsia="Times New Roman" w:asciiTheme="minorHAnsi" w:hAnsiTheme="minorHAnsi" w:cstheme="minorHAnsi"/>
          <w:sz w:val="24"/>
          <w:szCs w:val="24"/>
          <w:lang w:bidi="ar-SA"/>
        </w:rPr>
        <w:t xml:space="preserve">The IRS is the only Agency with the authority to require this information; therefore, it is not duplicated elsewhere in the Federal government. </w:t>
      </w:r>
    </w:p>
    <w:p w:rsidR="00464E63" w:rsidRPr="00445244" w14:paraId="4CF59F0F" w14:textId="77777777">
      <w:pPr>
        <w:rPr>
          <w:rFonts w:asciiTheme="minorHAnsi" w:hAnsiTheme="minorHAnsi" w:cstheme="minorHAnsi"/>
        </w:rPr>
      </w:pPr>
    </w:p>
    <w:p w:rsidR="0078472C" w:rsidRPr="00445244" w14:paraId="05E3E1B0" w14:textId="77777777">
      <w:pPr>
        <w:rPr>
          <w:rFonts w:asciiTheme="minorHAnsi" w:hAnsiTheme="minorHAnsi" w:cstheme="minorHAnsi"/>
        </w:rPr>
        <w:sectPr>
          <w:pgSz w:w="12240" w:h="15840"/>
          <w:pgMar w:top="1440" w:right="1440" w:bottom="1440" w:left="1419" w:header="1440" w:footer="1440" w:gutter="0"/>
          <w:cols w:space="720"/>
          <w:noEndnote/>
        </w:sectPr>
      </w:pPr>
    </w:p>
    <w:p w:rsidR="00464E63" w:rsidRPr="00445244" w14:paraId="1255CB3F" w14:textId="4D8D4900">
      <w:pPr>
        <w:tabs>
          <w:tab w:val="left" w:pos="-1440"/>
        </w:tabs>
        <w:ind w:left="720" w:hanging="720"/>
        <w:rPr>
          <w:rFonts w:asciiTheme="minorHAnsi" w:hAnsiTheme="minorHAnsi" w:cstheme="minorHAnsi"/>
        </w:rPr>
      </w:pPr>
      <w:r w:rsidRPr="00445244">
        <w:rPr>
          <w:rFonts w:asciiTheme="minorHAnsi" w:hAnsiTheme="minorHAnsi" w:cstheme="minorHAnsi"/>
        </w:rPr>
        <w:t>5.</w:t>
      </w:r>
      <w:r w:rsidRPr="00445244">
        <w:rPr>
          <w:rFonts w:asciiTheme="minorHAnsi" w:hAnsiTheme="minorHAnsi" w:cstheme="minorHAnsi"/>
        </w:rPr>
        <w:tab/>
      </w:r>
      <w:r w:rsidRPr="00445244">
        <w:rPr>
          <w:rFonts w:asciiTheme="minorHAnsi" w:hAnsiTheme="minorHAnsi" w:cstheme="minorHAnsi"/>
          <w:u w:val="single"/>
        </w:rPr>
        <w:t>METHODS TO MINIMIZE BURDEN ON SMALL BUSINESSES OR OTHER</w:t>
      </w:r>
      <w:r w:rsidR="006C47D4">
        <w:rPr>
          <w:rFonts w:asciiTheme="minorHAnsi" w:hAnsiTheme="minorHAnsi" w:cstheme="minorHAnsi"/>
          <w:u w:val="single"/>
        </w:rPr>
        <w:t xml:space="preserve"> </w:t>
      </w:r>
      <w:r w:rsidRPr="00445244">
        <w:rPr>
          <w:rFonts w:asciiTheme="minorHAnsi" w:hAnsiTheme="minorHAnsi" w:cstheme="minorHAnsi"/>
          <w:u w:val="single"/>
        </w:rPr>
        <w:t>SMALL ENTITIES</w:t>
      </w:r>
    </w:p>
    <w:p w:rsidR="00464E63" w:rsidRPr="00445244" w14:paraId="0062ED1B" w14:textId="77777777">
      <w:pPr>
        <w:rPr>
          <w:rFonts w:asciiTheme="minorHAnsi" w:hAnsiTheme="minorHAnsi" w:cstheme="minorHAnsi"/>
        </w:rPr>
      </w:pPr>
    </w:p>
    <w:p w:rsidR="00DF5C1F" w:rsidRPr="00445244" w:rsidP="00DF5C1F" w14:paraId="65267777" w14:textId="77777777">
      <w:pPr>
        <w:pStyle w:val="ListParagraph"/>
        <w:spacing w:line="259" w:lineRule="auto"/>
        <w:ind w:left="720" w:right="158" w:firstLine="0"/>
        <w:rPr>
          <w:rFonts w:eastAsia="Times New Roman" w:asciiTheme="minorHAnsi" w:hAnsiTheme="minorHAnsi" w:cstheme="minorHAnsi"/>
          <w:sz w:val="24"/>
          <w:szCs w:val="24"/>
          <w:lang w:bidi="ar-SA"/>
        </w:rPr>
      </w:pPr>
      <w:r w:rsidRPr="00445244">
        <w:rPr>
          <w:rFonts w:eastAsia="Times New Roman" w:asciiTheme="minorHAnsi" w:hAnsiTheme="minorHAnsi" w:cstheme="minorHAnsi"/>
          <w:sz w:val="24"/>
          <w:szCs w:val="24"/>
          <w:lang w:bidi="ar-SA"/>
        </w:rPr>
        <w:t xml:space="preserve">There is no burden on small businesses or other small entities due to the inapplicability of the authorizing statute to these entities. </w:t>
      </w:r>
    </w:p>
    <w:p w:rsidR="0078472C" w:rsidRPr="00445244" w14:paraId="18797FAF" w14:textId="77777777">
      <w:pPr>
        <w:ind w:left="720"/>
        <w:rPr>
          <w:rFonts w:asciiTheme="minorHAnsi" w:hAnsiTheme="minorHAnsi" w:cstheme="minorHAnsi"/>
        </w:rPr>
      </w:pPr>
    </w:p>
    <w:p w:rsidR="00464E63" w:rsidRPr="00445244" w:rsidP="006C47D4" w14:paraId="08241D3E" w14:textId="72445220">
      <w:pPr>
        <w:ind w:left="720" w:hanging="720"/>
        <w:rPr>
          <w:rFonts w:asciiTheme="minorHAnsi" w:hAnsiTheme="minorHAnsi" w:cstheme="minorHAnsi"/>
        </w:rPr>
      </w:pPr>
      <w:r w:rsidRPr="00445244">
        <w:rPr>
          <w:rFonts w:asciiTheme="minorHAnsi" w:hAnsiTheme="minorHAnsi" w:cstheme="minorHAnsi"/>
        </w:rPr>
        <w:t>6.</w:t>
      </w:r>
      <w:r w:rsidRPr="00445244">
        <w:rPr>
          <w:rFonts w:asciiTheme="minorHAnsi" w:hAnsiTheme="minorHAnsi" w:cstheme="minorHAnsi"/>
        </w:rPr>
        <w:tab/>
      </w:r>
      <w:r w:rsidRPr="00445244">
        <w:rPr>
          <w:rFonts w:asciiTheme="minorHAnsi" w:hAnsiTheme="minorHAnsi" w:cstheme="minorHAnsi"/>
          <w:u w:val="single"/>
        </w:rPr>
        <w:t>CONSEQUENCES OF LESS FREQUENT COLLECTION ON FEDERAL</w:t>
      </w:r>
      <w:r w:rsidR="006C47D4">
        <w:rPr>
          <w:rFonts w:asciiTheme="minorHAnsi" w:hAnsiTheme="minorHAnsi" w:cstheme="minorHAnsi"/>
          <w:u w:val="single"/>
        </w:rPr>
        <w:t xml:space="preserve"> </w:t>
      </w:r>
      <w:r w:rsidRPr="00445244">
        <w:rPr>
          <w:rFonts w:asciiTheme="minorHAnsi" w:hAnsiTheme="minorHAnsi" w:cstheme="minorHAnsi"/>
          <w:u w:val="single"/>
        </w:rPr>
        <w:t>PROGRAMS OR POLICY ACTIVITIES</w:t>
      </w:r>
    </w:p>
    <w:p w:rsidR="00464E63" w:rsidRPr="00445244" w14:paraId="6C827DA1" w14:textId="77777777">
      <w:pPr>
        <w:rPr>
          <w:rFonts w:asciiTheme="minorHAnsi" w:hAnsiTheme="minorHAnsi" w:cstheme="minorHAnsi"/>
        </w:rPr>
      </w:pPr>
    </w:p>
    <w:p w:rsidR="00DF5C1F" w:rsidRPr="00445244" w:rsidP="00DF5C1F" w14:paraId="2B60A96F" w14:textId="37165FE3">
      <w:pPr>
        <w:pStyle w:val="ListParagraph"/>
        <w:spacing w:line="259" w:lineRule="auto"/>
        <w:ind w:left="720" w:right="158" w:firstLine="0"/>
        <w:rPr>
          <w:rFonts w:eastAsia="Times New Roman" w:asciiTheme="minorHAnsi" w:hAnsiTheme="minorHAnsi" w:cstheme="minorHAnsi"/>
          <w:sz w:val="24"/>
          <w:szCs w:val="24"/>
          <w:lang w:bidi="ar-SA"/>
        </w:rPr>
      </w:pPr>
      <w:r w:rsidRPr="00445244">
        <w:rPr>
          <w:rFonts w:eastAsia="Times New Roman" w:asciiTheme="minorHAnsi" w:hAnsiTheme="minorHAnsi" w:cstheme="minorHAnsi"/>
          <w:sz w:val="24"/>
          <w:szCs w:val="24"/>
          <w:lang w:bidi="ar-SA"/>
        </w:rPr>
        <w:t xml:space="preserve">Consequences of less frequent collection would result in the IRS being unable to verify </w:t>
      </w:r>
      <w:r w:rsidRPr="00445244" w:rsidR="008C22BD">
        <w:rPr>
          <w:rFonts w:eastAsia="Times New Roman" w:asciiTheme="minorHAnsi" w:hAnsiTheme="minorHAnsi" w:cstheme="minorHAnsi"/>
          <w:sz w:val="24"/>
          <w:szCs w:val="24"/>
          <w:lang w:bidi="ar-SA"/>
        </w:rPr>
        <w:t xml:space="preserve">that a qualified plan has satisfied the RMD requirements for a plan year, </w:t>
      </w:r>
      <w:r w:rsidRPr="00445244">
        <w:rPr>
          <w:rFonts w:eastAsia="Times New Roman" w:asciiTheme="minorHAnsi" w:hAnsiTheme="minorHAnsi" w:cstheme="minorHAnsi"/>
          <w:sz w:val="24"/>
          <w:szCs w:val="24"/>
          <w:lang w:bidi="ar-SA"/>
        </w:rPr>
        <w:t>thereby jeopardizing the ability of the IRS to meet its mission.</w:t>
      </w:r>
    </w:p>
    <w:p w:rsidR="00464E63" w:rsidRPr="00445244" w14:paraId="4699D79E" w14:textId="77777777">
      <w:pPr>
        <w:rPr>
          <w:rFonts w:asciiTheme="minorHAnsi" w:hAnsiTheme="minorHAnsi" w:cstheme="minorHAnsi"/>
        </w:rPr>
      </w:pPr>
    </w:p>
    <w:p w:rsidR="00464E63" w:rsidRPr="00445244" w14:paraId="16F19521" w14:textId="0673029D">
      <w:pPr>
        <w:tabs>
          <w:tab w:val="left" w:pos="-1440"/>
        </w:tabs>
        <w:ind w:left="720" w:hanging="720"/>
        <w:rPr>
          <w:rFonts w:asciiTheme="minorHAnsi" w:hAnsiTheme="minorHAnsi" w:cstheme="minorHAnsi"/>
        </w:rPr>
      </w:pPr>
      <w:r w:rsidRPr="00445244">
        <w:rPr>
          <w:rFonts w:asciiTheme="minorHAnsi" w:hAnsiTheme="minorHAnsi" w:cstheme="minorHAnsi"/>
        </w:rPr>
        <w:t>7.</w:t>
      </w:r>
      <w:r w:rsidRPr="00445244">
        <w:rPr>
          <w:rFonts w:asciiTheme="minorHAnsi" w:hAnsiTheme="minorHAnsi" w:cstheme="minorHAnsi"/>
        </w:rPr>
        <w:tab/>
      </w:r>
      <w:r w:rsidRPr="00445244">
        <w:rPr>
          <w:rFonts w:asciiTheme="minorHAnsi" w:hAnsiTheme="minorHAnsi" w:cstheme="minorHAnsi"/>
          <w:u w:val="single"/>
        </w:rPr>
        <w:t>SPECIAL CIRCUMSTANCES REQUIRING DATA COLLECTION TO BE</w:t>
      </w:r>
      <w:r w:rsidRPr="006C47D4" w:rsidR="006C47D4">
        <w:rPr>
          <w:rFonts w:asciiTheme="minorHAnsi" w:hAnsiTheme="minorHAnsi" w:cstheme="minorHAnsi"/>
          <w:u w:val="single"/>
        </w:rPr>
        <w:t xml:space="preserve"> </w:t>
      </w:r>
      <w:r w:rsidRPr="00445244">
        <w:rPr>
          <w:rFonts w:asciiTheme="minorHAnsi" w:hAnsiTheme="minorHAnsi" w:cstheme="minorHAnsi"/>
          <w:u w:val="single"/>
        </w:rPr>
        <w:t>INCONSISTENT WITH GUIDELINES IN 5 CFR 1320.5(d)(2)</w:t>
      </w:r>
    </w:p>
    <w:p w:rsidR="00464E63" w:rsidRPr="00445244" w14:paraId="4CF2C677" w14:textId="77777777">
      <w:pPr>
        <w:rPr>
          <w:rFonts w:asciiTheme="minorHAnsi" w:hAnsiTheme="minorHAnsi" w:cstheme="minorHAnsi"/>
        </w:rPr>
      </w:pPr>
    </w:p>
    <w:p w:rsidR="00DF5C1F" w:rsidRPr="00445244" w:rsidP="00DF5C1F" w14:paraId="1B7FB789" w14:textId="77777777">
      <w:pPr>
        <w:pStyle w:val="ListParagraph"/>
        <w:spacing w:before="0" w:line="276" w:lineRule="auto"/>
        <w:ind w:left="720" w:firstLine="0"/>
        <w:contextualSpacing/>
        <w:rPr>
          <w:rFonts w:eastAsia="Times New Roman" w:asciiTheme="minorHAnsi" w:hAnsiTheme="minorHAnsi" w:cstheme="minorHAnsi"/>
          <w:sz w:val="24"/>
          <w:szCs w:val="24"/>
          <w:lang w:bidi="ar-SA"/>
        </w:rPr>
      </w:pPr>
      <w:r w:rsidRPr="00445244">
        <w:rPr>
          <w:rFonts w:eastAsia="Times New Roman" w:asciiTheme="minorHAnsi" w:hAnsiTheme="minorHAnsi" w:cstheme="minorHAnsi"/>
          <w:sz w:val="24"/>
          <w:szCs w:val="24"/>
          <w:lang w:bidi="ar-SA"/>
        </w:rPr>
        <w:t>There are no special circumstances requiring data collection to be inconsistent with Guidelines in 5 CFR 1320.5(d)(2).</w:t>
      </w:r>
    </w:p>
    <w:p w:rsidR="00464E63" w:rsidRPr="00445244" w14:paraId="62C13B4E" w14:textId="77777777">
      <w:pPr>
        <w:rPr>
          <w:rFonts w:asciiTheme="minorHAnsi" w:hAnsiTheme="minorHAnsi" w:cstheme="minorHAnsi"/>
        </w:rPr>
      </w:pPr>
    </w:p>
    <w:p w:rsidR="00464E63" w:rsidRPr="00445244" w14:paraId="2A0D13ED" w14:textId="2B2E689E">
      <w:pPr>
        <w:pStyle w:val="Quick1"/>
        <w:numPr>
          <w:ilvl w:val="0"/>
          <w:numId w:val="3"/>
        </w:numPr>
        <w:tabs>
          <w:tab w:val="left" w:pos="-1440"/>
          <w:tab w:val="num" w:pos="720"/>
        </w:tabs>
        <w:rPr>
          <w:rFonts w:asciiTheme="minorHAnsi" w:hAnsiTheme="minorHAnsi" w:cstheme="minorHAnsi"/>
        </w:rPr>
      </w:pPr>
      <w:r w:rsidRPr="00445244">
        <w:rPr>
          <w:rFonts w:asciiTheme="minorHAnsi" w:hAnsiTheme="minorHAnsi" w:cstheme="minorHAnsi"/>
          <w:u w:val="single"/>
        </w:rPr>
        <w:t>CONSULTATION WITH INDIVIDUALS OUTSIDE OF THE AGENCY ON</w:t>
      </w:r>
      <w:r w:rsidRPr="006C47D4" w:rsidR="006C47D4">
        <w:rPr>
          <w:rFonts w:asciiTheme="minorHAnsi" w:hAnsiTheme="minorHAnsi" w:cstheme="minorHAnsi"/>
          <w:u w:val="single"/>
        </w:rPr>
        <w:t xml:space="preserve"> </w:t>
      </w:r>
      <w:r w:rsidRPr="00445244">
        <w:rPr>
          <w:rFonts w:asciiTheme="minorHAnsi" w:hAnsiTheme="minorHAnsi" w:cstheme="minorHAnsi"/>
          <w:u w:val="single"/>
        </w:rPr>
        <w:t>AVAILABILITY OF DATA, FREQUENCY OF COLLECTION, CLARITY OF INSTRUCTIONS AND FORMS, AND DATA ELEMENTS</w:t>
      </w:r>
    </w:p>
    <w:p w:rsidR="00464E63" w:rsidRPr="00445244" w14:paraId="52C236D9" w14:textId="77777777">
      <w:pPr>
        <w:rPr>
          <w:rFonts w:asciiTheme="minorHAnsi" w:hAnsiTheme="minorHAnsi" w:cstheme="minorHAnsi"/>
        </w:rPr>
      </w:pPr>
    </w:p>
    <w:p w:rsidR="00464E63" w:rsidP="00DF5C1F" w14:paraId="128FDD23" w14:textId="27961B73">
      <w:pPr>
        <w:ind w:left="720"/>
        <w:rPr>
          <w:rFonts w:asciiTheme="minorHAnsi" w:hAnsiTheme="minorHAnsi" w:cstheme="minorHAnsi"/>
          <w:bCs/>
        </w:rPr>
      </w:pPr>
      <w:r w:rsidRPr="007B28D4">
        <w:rPr>
          <w:rFonts w:asciiTheme="minorHAnsi" w:hAnsiTheme="minorHAnsi" w:cstheme="minorHAnsi"/>
          <w:bCs/>
        </w:rPr>
        <w:t>The Treasury Department and the IRS solicited public comments during the proposed rulemaking at 87 FR 10504 on February 24, 2022. During the public comment period, the Treasury Department and the IRS did not receive any comments on the collections of information.</w:t>
      </w:r>
      <w:r w:rsidRPr="007A1077" w:rsidR="007A1077">
        <w:rPr>
          <w:rFonts w:asciiTheme="minorHAnsi" w:hAnsiTheme="minorHAnsi" w:cstheme="minorHAnsi"/>
          <w:bCs/>
        </w:rPr>
        <w:t xml:space="preserve">  </w:t>
      </w:r>
    </w:p>
    <w:p w:rsidR="007A1077" w:rsidRPr="00445244" w:rsidP="00DF5C1F" w14:paraId="2F7261CA" w14:textId="77777777">
      <w:pPr>
        <w:ind w:left="720"/>
        <w:rPr>
          <w:rFonts w:asciiTheme="minorHAnsi" w:hAnsiTheme="minorHAnsi" w:cstheme="minorHAnsi"/>
          <w:bCs/>
        </w:rPr>
      </w:pPr>
    </w:p>
    <w:p w:rsidR="00464E63" w:rsidRPr="00445244" w14:paraId="34234EAC" w14:textId="24469839">
      <w:pPr>
        <w:pStyle w:val="Quick1"/>
        <w:numPr>
          <w:ilvl w:val="0"/>
          <w:numId w:val="3"/>
        </w:numPr>
        <w:tabs>
          <w:tab w:val="left" w:pos="-1440"/>
          <w:tab w:val="num" w:pos="720"/>
        </w:tabs>
        <w:rPr>
          <w:rFonts w:asciiTheme="minorHAnsi" w:hAnsiTheme="minorHAnsi" w:cstheme="minorHAnsi"/>
        </w:rPr>
      </w:pPr>
      <w:r w:rsidRPr="00445244">
        <w:rPr>
          <w:rFonts w:asciiTheme="minorHAnsi" w:hAnsiTheme="minorHAnsi" w:cstheme="minorHAnsi"/>
          <w:u w:val="single"/>
        </w:rPr>
        <w:t>EXPLANATION OF DECISION TO PROVIDE ANY PAYMENT OR GIFT TO</w:t>
      </w:r>
      <w:r w:rsidR="006C47D4">
        <w:rPr>
          <w:rFonts w:asciiTheme="minorHAnsi" w:hAnsiTheme="minorHAnsi" w:cstheme="minorHAnsi"/>
          <w:u w:val="single"/>
        </w:rPr>
        <w:t xml:space="preserve"> </w:t>
      </w:r>
      <w:r w:rsidRPr="00445244">
        <w:rPr>
          <w:rFonts w:asciiTheme="minorHAnsi" w:hAnsiTheme="minorHAnsi" w:cstheme="minorHAnsi"/>
          <w:u w:val="single"/>
        </w:rPr>
        <w:t>RESPONDENTS</w:t>
      </w:r>
    </w:p>
    <w:p w:rsidR="00464E63" w:rsidRPr="00445244" w14:paraId="498DF6D9" w14:textId="77777777">
      <w:pPr>
        <w:rPr>
          <w:rFonts w:asciiTheme="minorHAnsi" w:hAnsiTheme="minorHAnsi" w:cstheme="minorHAnsi"/>
        </w:rPr>
      </w:pPr>
    </w:p>
    <w:p w:rsidR="00464E63" w:rsidRPr="006D0A92" w:rsidP="006D0A92" w14:paraId="6643BEEB" w14:textId="6E801D7B">
      <w:pPr>
        <w:pStyle w:val="ListParagraph"/>
        <w:spacing w:before="0" w:line="276" w:lineRule="auto"/>
        <w:ind w:left="720" w:firstLine="0"/>
        <w:contextualSpacing/>
        <w:rPr>
          <w:rFonts w:eastAsia="Times New Roman" w:asciiTheme="minorHAnsi" w:hAnsiTheme="minorHAnsi" w:cstheme="minorHAnsi"/>
          <w:sz w:val="24"/>
          <w:szCs w:val="24"/>
          <w:lang w:bidi="ar-SA"/>
        </w:rPr>
      </w:pPr>
      <w:r w:rsidRPr="00445244">
        <w:rPr>
          <w:rFonts w:eastAsia="Times New Roman" w:asciiTheme="minorHAnsi" w:hAnsiTheme="minorHAnsi" w:cstheme="minorHAnsi"/>
          <w:sz w:val="24"/>
          <w:szCs w:val="24"/>
          <w:lang w:bidi="ar-SA"/>
        </w:rPr>
        <w:t>No payment or gift has been provided to any respondents.</w:t>
      </w:r>
    </w:p>
    <w:p w:rsidR="00464E63" w:rsidRPr="00445244" w14:paraId="50002047" w14:textId="77777777">
      <w:pPr>
        <w:rPr>
          <w:rFonts w:asciiTheme="minorHAnsi" w:hAnsiTheme="minorHAnsi" w:cstheme="minorHAnsi"/>
        </w:rPr>
      </w:pPr>
    </w:p>
    <w:p w:rsidR="00464E63" w:rsidRPr="00445244" w14:paraId="2FE314A4" w14:textId="77777777">
      <w:pPr>
        <w:tabs>
          <w:tab w:val="left" w:pos="-1440"/>
        </w:tabs>
        <w:ind w:left="720" w:hanging="720"/>
        <w:rPr>
          <w:rFonts w:asciiTheme="minorHAnsi" w:hAnsiTheme="minorHAnsi" w:cstheme="minorHAnsi"/>
        </w:rPr>
      </w:pPr>
      <w:r w:rsidRPr="00445244">
        <w:rPr>
          <w:rFonts w:asciiTheme="minorHAnsi" w:hAnsiTheme="minorHAnsi" w:cstheme="minorHAnsi"/>
        </w:rPr>
        <w:t>10.</w:t>
      </w:r>
      <w:r w:rsidRPr="00445244">
        <w:rPr>
          <w:rFonts w:asciiTheme="minorHAnsi" w:hAnsiTheme="minorHAnsi" w:cstheme="minorHAnsi"/>
        </w:rPr>
        <w:tab/>
      </w:r>
      <w:r w:rsidRPr="00445244">
        <w:rPr>
          <w:rFonts w:asciiTheme="minorHAnsi" w:hAnsiTheme="minorHAnsi" w:cstheme="minorHAnsi"/>
          <w:u w:val="single"/>
        </w:rPr>
        <w:t>ASSURANCE OF CONFIDENTIALITY OF RESPONSES</w:t>
      </w:r>
    </w:p>
    <w:p w:rsidR="00464E63" w:rsidRPr="00445244" w14:paraId="359BB10B" w14:textId="77777777">
      <w:pPr>
        <w:rPr>
          <w:rFonts w:asciiTheme="minorHAnsi" w:hAnsiTheme="minorHAnsi" w:cstheme="minorHAnsi"/>
        </w:rPr>
      </w:pPr>
    </w:p>
    <w:p w:rsidR="00464E63" w:rsidRPr="00445244" w14:paraId="30E3C831" w14:textId="77777777">
      <w:pPr>
        <w:ind w:left="720"/>
        <w:rPr>
          <w:rFonts w:asciiTheme="minorHAnsi" w:hAnsiTheme="minorHAnsi" w:cstheme="minorHAnsi"/>
        </w:rPr>
      </w:pPr>
      <w:r w:rsidRPr="00445244">
        <w:rPr>
          <w:rFonts w:asciiTheme="minorHAnsi" w:hAnsiTheme="minorHAnsi" w:cstheme="minorHAnsi"/>
        </w:rPr>
        <w:t>Generally, tax returns and tax return information are confidential as required by 26 USC 6103.</w:t>
      </w:r>
    </w:p>
    <w:p w:rsidR="00464E63" w:rsidRPr="00445244" w14:paraId="2D83C76F" w14:textId="77777777">
      <w:pPr>
        <w:rPr>
          <w:rFonts w:asciiTheme="minorHAnsi" w:hAnsiTheme="minorHAnsi" w:cstheme="minorHAnsi"/>
        </w:rPr>
      </w:pPr>
    </w:p>
    <w:p w:rsidR="00464E63" w:rsidRPr="00445244" w14:paraId="3386B9AD" w14:textId="77777777">
      <w:pPr>
        <w:pStyle w:val="Quick1"/>
        <w:numPr>
          <w:ilvl w:val="0"/>
          <w:numId w:val="4"/>
        </w:numPr>
        <w:tabs>
          <w:tab w:val="left" w:pos="-1440"/>
          <w:tab w:val="num" w:pos="720"/>
        </w:tabs>
        <w:rPr>
          <w:rFonts w:asciiTheme="minorHAnsi" w:hAnsiTheme="minorHAnsi" w:cstheme="minorHAnsi"/>
          <w:u w:val="single"/>
        </w:rPr>
      </w:pPr>
      <w:r w:rsidRPr="00445244">
        <w:rPr>
          <w:rFonts w:asciiTheme="minorHAnsi" w:hAnsiTheme="minorHAnsi" w:cstheme="minorHAnsi"/>
          <w:u w:val="single"/>
        </w:rPr>
        <w:t>JUSTIFICATION OF SENSITIVE QUESTIONS</w:t>
      </w:r>
    </w:p>
    <w:p w:rsidR="00464E63" w:rsidRPr="00445244" w14:paraId="528DFF35" w14:textId="77777777">
      <w:pPr>
        <w:rPr>
          <w:rFonts w:asciiTheme="minorHAnsi" w:hAnsiTheme="minorHAnsi" w:cstheme="minorHAnsi"/>
          <w:u w:val="single"/>
        </w:rPr>
      </w:pPr>
    </w:p>
    <w:p w:rsidR="00DF5C1F" w:rsidRPr="00445244" w:rsidP="00DF5C1F" w14:paraId="6AF928E4" w14:textId="77777777">
      <w:pPr>
        <w:pStyle w:val="ListParagraph"/>
        <w:spacing w:before="0" w:line="276" w:lineRule="auto"/>
        <w:ind w:left="720" w:firstLine="0"/>
        <w:contextualSpacing/>
        <w:rPr>
          <w:rFonts w:eastAsia="Times New Roman" w:asciiTheme="minorHAnsi" w:hAnsiTheme="minorHAnsi" w:cstheme="minorHAnsi"/>
          <w:sz w:val="24"/>
          <w:szCs w:val="24"/>
          <w:lang w:bidi="ar-SA"/>
        </w:rPr>
      </w:pPr>
      <w:r w:rsidRPr="00445244">
        <w:rPr>
          <w:rFonts w:eastAsia="Times New Roman" w:asciiTheme="minorHAnsi" w:hAnsiTheme="minorHAnsi" w:cstheme="minorHAnsi"/>
          <w:sz w:val="24"/>
          <w:szCs w:val="24"/>
          <w:lang w:bidi="ar-SA"/>
        </w:rPr>
        <w:t>There is no Personally Identifiable Information (PII) collected.  Therefore, this collection is not impacted by the Privacy Act and does not require a Privacy Impact Assessment (PIA) or System of Records Notice (SORN).</w:t>
      </w:r>
    </w:p>
    <w:p w:rsidR="00464E63" w:rsidRPr="00445244" w:rsidP="00DF5C1F" w14:paraId="715D8AEB" w14:textId="45CB6109">
      <w:pPr>
        <w:ind w:left="705"/>
        <w:rPr>
          <w:rFonts w:asciiTheme="minorHAnsi" w:hAnsiTheme="minorHAnsi" w:cstheme="minorHAnsi"/>
        </w:rPr>
        <w:sectPr>
          <w:headerReference w:type="default" r:id="rId5"/>
          <w:type w:val="continuous"/>
          <w:pgSz w:w="12240" w:h="15840"/>
          <w:pgMar w:top="1440" w:right="1440" w:bottom="1440" w:left="1419" w:header="1440" w:footer="1440" w:gutter="0"/>
          <w:cols w:space="720"/>
          <w:noEndnote/>
        </w:sectPr>
      </w:pPr>
    </w:p>
    <w:p w:rsidR="00464E63" w:rsidRPr="00445244" w14:paraId="2CA75F92" w14:textId="77777777">
      <w:pPr>
        <w:rPr>
          <w:rFonts w:asciiTheme="minorHAnsi" w:hAnsiTheme="minorHAnsi" w:cstheme="minorHAnsi"/>
        </w:rPr>
      </w:pPr>
    </w:p>
    <w:p w:rsidR="00464E63" w:rsidRPr="00445244" w14:paraId="2C0A23CE" w14:textId="77777777">
      <w:pPr>
        <w:tabs>
          <w:tab w:val="left" w:pos="-1440"/>
        </w:tabs>
        <w:ind w:left="720" w:hanging="720"/>
        <w:rPr>
          <w:rFonts w:asciiTheme="minorHAnsi" w:hAnsiTheme="minorHAnsi" w:cstheme="minorHAnsi"/>
          <w:u w:val="single"/>
        </w:rPr>
      </w:pPr>
      <w:r w:rsidRPr="00445244">
        <w:rPr>
          <w:rFonts w:asciiTheme="minorHAnsi" w:hAnsiTheme="minorHAnsi" w:cstheme="minorHAnsi"/>
        </w:rPr>
        <w:t>12.</w:t>
      </w:r>
      <w:r w:rsidRPr="00445244">
        <w:rPr>
          <w:rFonts w:asciiTheme="minorHAnsi" w:hAnsiTheme="minorHAnsi" w:cstheme="minorHAnsi"/>
        </w:rPr>
        <w:tab/>
      </w:r>
      <w:r w:rsidRPr="00445244">
        <w:rPr>
          <w:rFonts w:asciiTheme="minorHAnsi" w:hAnsiTheme="minorHAnsi" w:cstheme="minorHAnsi"/>
          <w:u w:val="single"/>
        </w:rPr>
        <w:t>ESTIMATED BURDEN OF INFORMATION COLLECTION</w:t>
      </w:r>
    </w:p>
    <w:p w:rsidR="00464E63" w:rsidRPr="00445244" w14:paraId="1C0C5F6B" w14:textId="77777777">
      <w:pPr>
        <w:rPr>
          <w:rFonts w:asciiTheme="minorHAnsi" w:hAnsiTheme="minorHAnsi" w:cstheme="minorHAnsi"/>
        </w:rPr>
      </w:pPr>
    </w:p>
    <w:p w:rsidR="00601C92" w:rsidRPr="00445244" w:rsidP="00601C92" w14:paraId="3C412A66" w14:textId="5B849A1C">
      <w:pPr>
        <w:ind w:left="720"/>
        <w:rPr>
          <w:rFonts w:asciiTheme="minorHAnsi" w:hAnsiTheme="minorHAnsi" w:cstheme="minorHAnsi"/>
        </w:rPr>
      </w:pPr>
      <w:r w:rsidRPr="00445244">
        <w:rPr>
          <w:rFonts w:asciiTheme="minorHAnsi" w:hAnsiTheme="minorHAnsi" w:cstheme="minorHAnsi"/>
        </w:rPr>
        <w:t>The collections of information required by this notice are in 1.401(a)(9)-3(b)(4)(iii) and (c)(5)(iii); 1.401(a)(9)</w:t>
      </w:r>
      <w:r w:rsidRPr="00445244" w:rsidR="006D4F74">
        <w:rPr>
          <w:rFonts w:asciiTheme="minorHAnsi" w:hAnsiTheme="minorHAnsi" w:cstheme="minorHAnsi"/>
        </w:rPr>
        <w:noBreakHyphen/>
      </w:r>
      <w:r w:rsidRPr="00445244">
        <w:rPr>
          <w:rFonts w:asciiTheme="minorHAnsi" w:hAnsiTheme="minorHAnsi" w:cstheme="minorHAnsi"/>
        </w:rPr>
        <w:t xml:space="preserve">4(e)(7); </w:t>
      </w:r>
      <w:r w:rsidRPr="00445244" w:rsidR="008C22BD">
        <w:rPr>
          <w:rFonts w:asciiTheme="minorHAnsi" w:hAnsiTheme="minorHAnsi" w:cstheme="minorHAnsi"/>
        </w:rPr>
        <w:t xml:space="preserve">and </w:t>
      </w:r>
      <w:r w:rsidRPr="00445244">
        <w:rPr>
          <w:rFonts w:asciiTheme="minorHAnsi" w:hAnsiTheme="minorHAnsi" w:cstheme="minorHAnsi"/>
        </w:rPr>
        <w:t>1.401(a)(9)-4(h)</w:t>
      </w:r>
      <w:r w:rsidRPr="00445244" w:rsidR="008C22BD">
        <w:rPr>
          <w:rFonts w:asciiTheme="minorHAnsi" w:hAnsiTheme="minorHAnsi" w:cstheme="minorHAnsi"/>
        </w:rPr>
        <w:t xml:space="preserve">. </w:t>
      </w:r>
      <w:r w:rsidRPr="00445244">
        <w:rPr>
          <w:rFonts w:asciiTheme="minorHAnsi" w:hAnsiTheme="minorHAnsi" w:cstheme="minorHAnsi"/>
        </w:rPr>
        <w:t xml:space="preserve">This information will be used to ensure compliance with RMD </w:t>
      </w:r>
      <w:r w:rsidRPr="00445244" w:rsidR="008C22BD">
        <w:rPr>
          <w:rFonts w:asciiTheme="minorHAnsi" w:hAnsiTheme="minorHAnsi" w:cstheme="minorHAnsi"/>
        </w:rPr>
        <w:t>requirements</w:t>
      </w:r>
      <w:r w:rsidRPr="00445244">
        <w:rPr>
          <w:rFonts w:asciiTheme="minorHAnsi" w:hAnsiTheme="minorHAnsi" w:cstheme="minorHAnsi"/>
        </w:rPr>
        <w:t>. The likely respondents are individuals</w:t>
      </w:r>
      <w:r w:rsidRPr="00445244" w:rsidR="006D4F74">
        <w:rPr>
          <w:rFonts w:asciiTheme="minorHAnsi" w:hAnsiTheme="minorHAnsi" w:cstheme="minorHAnsi"/>
        </w:rPr>
        <w:t xml:space="preserve"> who are either</w:t>
      </w:r>
      <w:r w:rsidRPr="00445244" w:rsidR="006A70D2">
        <w:rPr>
          <w:rFonts w:asciiTheme="minorHAnsi" w:hAnsiTheme="minorHAnsi" w:cstheme="minorHAnsi"/>
        </w:rPr>
        <w:t>:</w:t>
      </w:r>
      <w:r w:rsidRPr="00445244" w:rsidR="006D4F74">
        <w:rPr>
          <w:rFonts w:asciiTheme="minorHAnsi" w:hAnsiTheme="minorHAnsi" w:cstheme="minorHAnsi"/>
        </w:rPr>
        <w:t xml:space="preserve"> </w:t>
      </w:r>
      <w:r w:rsidRPr="00445244" w:rsidR="006A70D2">
        <w:rPr>
          <w:rFonts w:asciiTheme="minorHAnsi" w:hAnsiTheme="minorHAnsi" w:cstheme="minorHAnsi"/>
        </w:rPr>
        <w:t xml:space="preserve">(1) </w:t>
      </w:r>
      <w:r w:rsidRPr="00445244" w:rsidR="006D4F74">
        <w:rPr>
          <w:rFonts w:asciiTheme="minorHAnsi" w:hAnsiTheme="minorHAnsi" w:cstheme="minorHAnsi"/>
        </w:rPr>
        <w:t>designated beneficiaries</w:t>
      </w:r>
      <w:r w:rsidRPr="00445244" w:rsidR="006A70D2">
        <w:rPr>
          <w:rFonts w:asciiTheme="minorHAnsi" w:hAnsiTheme="minorHAnsi" w:cstheme="minorHAnsi"/>
        </w:rPr>
        <w:t xml:space="preserve"> under a plan</w:t>
      </w:r>
      <w:r w:rsidRPr="00445244" w:rsidR="006D4F74">
        <w:rPr>
          <w:rFonts w:asciiTheme="minorHAnsi" w:hAnsiTheme="minorHAnsi" w:cstheme="minorHAnsi"/>
        </w:rPr>
        <w:t xml:space="preserve"> electing life expectancy payments under 1.401(a)(9)-3(b)(4)(iii) or (c)(5)(iii)</w:t>
      </w:r>
      <w:r w:rsidRPr="00445244" w:rsidR="006A70D2">
        <w:rPr>
          <w:rFonts w:asciiTheme="minorHAnsi" w:hAnsiTheme="minorHAnsi" w:cstheme="minorHAnsi"/>
        </w:rPr>
        <w:t>;</w:t>
      </w:r>
      <w:r w:rsidRPr="00445244" w:rsidR="006D4F74">
        <w:rPr>
          <w:rFonts w:asciiTheme="minorHAnsi" w:hAnsiTheme="minorHAnsi" w:cstheme="minorHAnsi"/>
        </w:rPr>
        <w:t xml:space="preserve"> </w:t>
      </w:r>
      <w:r w:rsidRPr="00445244" w:rsidR="006A70D2">
        <w:rPr>
          <w:rFonts w:asciiTheme="minorHAnsi" w:hAnsiTheme="minorHAnsi" w:cstheme="minorHAnsi"/>
        </w:rPr>
        <w:t xml:space="preserve">(2) disabled eligible designated beneficiaries (in the case of a beneficiary who is required to provide documentation in accordance with 1.401(a)(9)-4(e)(7)); or (3) the trustee of a trust with underlying beneficiaries that </w:t>
      </w:r>
      <w:r w:rsidRPr="00445244" w:rsidR="0047102F">
        <w:rPr>
          <w:rFonts w:asciiTheme="minorHAnsi" w:hAnsiTheme="minorHAnsi" w:cstheme="minorHAnsi"/>
        </w:rPr>
        <w:t xml:space="preserve">are seeking to be treated as beneficiaries of the plan participant (and thus, need to satisfy 1.401(a)(9)-4(h)). </w:t>
      </w:r>
      <w:r w:rsidRPr="00445244">
        <w:rPr>
          <w:rFonts w:asciiTheme="minorHAnsi" w:hAnsiTheme="minorHAnsi" w:cstheme="minorHAnsi"/>
        </w:rPr>
        <w:t xml:space="preserve">  </w:t>
      </w:r>
    </w:p>
    <w:p w:rsidR="00601C92" w:rsidRPr="00445244" w:rsidP="00601C92" w14:paraId="2B045EC0" w14:textId="77777777">
      <w:pPr>
        <w:ind w:left="720"/>
        <w:rPr>
          <w:rFonts w:asciiTheme="minorHAnsi" w:hAnsiTheme="minorHAnsi" w:cstheme="minorHAnsi"/>
        </w:rPr>
      </w:pPr>
    </w:p>
    <w:p w:rsidR="00601C92" w:rsidRPr="00445244" w:rsidP="00601C92" w14:paraId="61B3C177" w14:textId="7CF01509">
      <w:pPr>
        <w:ind w:left="720"/>
        <w:rPr>
          <w:rFonts w:asciiTheme="minorHAnsi" w:hAnsiTheme="minorHAnsi" w:cstheme="minorHAnsi"/>
        </w:rPr>
      </w:pPr>
      <w:r w:rsidRPr="00445244">
        <w:rPr>
          <w:rFonts w:asciiTheme="minorHAnsi" w:hAnsiTheme="minorHAnsi" w:cstheme="minorHAnsi"/>
        </w:rPr>
        <w:t xml:space="preserve">The estimated total annual reporting burden is </w:t>
      </w:r>
      <w:r w:rsidRPr="00445244" w:rsidR="001259C1">
        <w:rPr>
          <w:rFonts w:asciiTheme="minorHAnsi" w:hAnsiTheme="minorHAnsi" w:cstheme="minorHAnsi"/>
        </w:rPr>
        <w:t>56,155</w:t>
      </w:r>
      <w:r w:rsidRPr="00445244">
        <w:rPr>
          <w:rFonts w:asciiTheme="minorHAnsi" w:hAnsiTheme="minorHAnsi" w:cstheme="minorHAnsi"/>
        </w:rPr>
        <w:t xml:space="preserve"> hours. The estimated annual burden per respondent is </w:t>
      </w:r>
      <w:r w:rsidRPr="00445244" w:rsidR="0047102F">
        <w:rPr>
          <w:rFonts w:asciiTheme="minorHAnsi" w:hAnsiTheme="minorHAnsi" w:cstheme="minorHAnsi"/>
        </w:rPr>
        <w:t>.17</w:t>
      </w:r>
      <w:r w:rsidRPr="00445244">
        <w:rPr>
          <w:rFonts w:asciiTheme="minorHAnsi" w:hAnsiTheme="minorHAnsi" w:cstheme="minorHAnsi"/>
        </w:rPr>
        <w:t xml:space="preserve"> hours. The estimated number of respondents is </w:t>
      </w:r>
      <w:r w:rsidRPr="00445244" w:rsidR="0047102F">
        <w:rPr>
          <w:rFonts w:asciiTheme="minorHAnsi" w:hAnsiTheme="minorHAnsi" w:cstheme="minorHAnsi"/>
        </w:rPr>
        <w:t>330,322</w:t>
      </w:r>
      <w:r w:rsidRPr="00445244">
        <w:rPr>
          <w:rFonts w:asciiTheme="minorHAnsi" w:hAnsiTheme="minorHAnsi" w:cstheme="minorHAnsi"/>
        </w:rPr>
        <w:t>.</w:t>
      </w:r>
    </w:p>
    <w:p w:rsidR="000C4D87" w:rsidRPr="00445244" w:rsidP="00601C92" w14:paraId="2363FA10" w14:textId="77777777">
      <w:pPr>
        <w:ind w:left="720"/>
        <w:rPr>
          <w:rFonts w:asciiTheme="minorHAnsi" w:hAnsiTheme="minorHAnsi" w:cstheme="minorHAnsi"/>
        </w:rPr>
      </w:pPr>
    </w:p>
    <w:tbl>
      <w:tblPr>
        <w:tblW w:w="979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1801"/>
        <w:gridCol w:w="1657"/>
        <w:gridCol w:w="1513"/>
        <w:gridCol w:w="1369"/>
        <w:gridCol w:w="1081"/>
      </w:tblGrid>
      <w:tr w14:paraId="58E2E0A0" w14:textId="77777777" w:rsidTr="00540BFF">
        <w:tblPrEx>
          <w:tblW w:w="979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8"/>
        </w:trPr>
        <w:tc>
          <w:tcPr>
            <w:tcW w:w="2377" w:type="dxa"/>
            <w:vAlign w:val="bottom"/>
          </w:tcPr>
          <w:p w:rsidR="001D6C6E" w:rsidRPr="00445244" w:rsidP="00216A73" w14:paraId="2B3F89CC" w14:textId="77777777">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Description</w:t>
            </w:r>
          </w:p>
        </w:tc>
        <w:tc>
          <w:tcPr>
            <w:tcW w:w="1801" w:type="dxa"/>
            <w:vAlign w:val="bottom"/>
          </w:tcPr>
          <w:p w:rsidR="001D6C6E" w:rsidRPr="00445244" w:rsidP="00216A73" w14:paraId="3F961932" w14:textId="77777777">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 of Respondents</w:t>
            </w:r>
          </w:p>
        </w:tc>
        <w:tc>
          <w:tcPr>
            <w:tcW w:w="1657" w:type="dxa"/>
            <w:vAlign w:val="bottom"/>
          </w:tcPr>
          <w:p w:rsidR="001D6C6E" w:rsidRPr="00445244" w:rsidP="00216A73" w14:paraId="7C5174F1" w14:textId="77777777">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 Responses per Respondent</w:t>
            </w:r>
          </w:p>
        </w:tc>
        <w:tc>
          <w:tcPr>
            <w:tcW w:w="1513" w:type="dxa"/>
            <w:shd w:val="clear" w:color="auto" w:fill="auto"/>
            <w:vAlign w:val="bottom"/>
          </w:tcPr>
          <w:p w:rsidR="001D6C6E" w:rsidRPr="00445244" w:rsidP="00216A73" w14:paraId="5C004353" w14:textId="77777777">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Annual Responses</w:t>
            </w:r>
          </w:p>
        </w:tc>
        <w:tc>
          <w:tcPr>
            <w:tcW w:w="1369" w:type="dxa"/>
            <w:vAlign w:val="bottom"/>
          </w:tcPr>
          <w:p w:rsidR="001D6C6E" w:rsidRPr="00445244" w:rsidP="00216A73" w14:paraId="1123B813" w14:textId="77777777">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Hours per Response</w:t>
            </w:r>
          </w:p>
        </w:tc>
        <w:tc>
          <w:tcPr>
            <w:tcW w:w="1081" w:type="dxa"/>
            <w:shd w:val="clear" w:color="auto" w:fill="auto"/>
            <w:vAlign w:val="bottom"/>
          </w:tcPr>
          <w:p w:rsidR="001D6C6E" w:rsidRPr="00445244" w:rsidP="00216A73" w14:paraId="22595A1D" w14:textId="77777777">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Total Burden</w:t>
            </w:r>
          </w:p>
        </w:tc>
      </w:tr>
      <w:tr w14:paraId="4DA00F6D" w14:textId="77777777" w:rsidTr="00540BFF">
        <w:tblPrEx>
          <w:tblW w:w="9798" w:type="dxa"/>
          <w:tblInd w:w="715" w:type="dxa"/>
          <w:tblLook w:val="04A0"/>
        </w:tblPrEx>
        <w:trPr>
          <w:trHeight w:val="229"/>
        </w:trPr>
        <w:tc>
          <w:tcPr>
            <w:tcW w:w="2377" w:type="dxa"/>
            <w:vAlign w:val="bottom"/>
          </w:tcPr>
          <w:p w:rsidR="001D6C6E" w:rsidRPr="00445244" w:rsidP="00216A73" w14:paraId="6B3F0756" w14:textId="795E1180">
            <w:pPr>
              <w:keepNext/>
              <w:keepLines/>
              <w:numPr>
                <w:ilvl w:val="12"/>
                <w:numId w:val="0"/>
              </w:numPr>
              <w:jc w:val="center"/>
              <w:rPr>
                <w:rFonts w:asciiTheme="minorHAnsi" w:hAnsiTheme="minorHAnsi" w:cstheme="minorHAnsi"/>
              </w:rPr>
            </w:pPr>
            <w:r w:rsidRPr="00445244">
              <w:rPr>
                <w:rFonts w:asciiTheme="minorHAnsi" w:hAnsiTheme="minorHAnsi" w:cstheme="minorHAnsi"/>
              </w:rPr>
              <w:t>1.401(a)(9)-3(b)(4)(iii)</w:t>
            </w:r>
            <w:r w:rsidRPr="00445244" w:rsidR="00540BFF">
              <w:rPr>
                <w:rFonts w:asciiTheme="minorHAnsi" w:hAnsiTheme="minorHAnsi" w:cstheme="minorHAnsi"/>
              </w:rPr>
              <w:t>and 1.401 (c)(5)(iii)</w:t>
            </w:r>
            <w:r w:rsidRPr="00445244">
              <w:rPr>
                <w:rFonts w:asciiTheme="minorHAnsi" w:hAnsiTheme="minorHAnsi" w:cstheme="minorHAnsi"/>
              </w:rPr>
              <w:t xml:space="preserve"> </w:t>
            </w:r>
          </w:p>
        </w:tc>
        <w:tc>
          <w:tcPr>
            <w:tcW w:w="1801" w:type="dxa"/>
            <w:vAlign w:val="bottom"/>
          </w:tcPr>
          <w:p w:rsidR="001D6C6E" w:rsidRPr="00445244" w:rsidP="00216A73" w14:paraId="6C09509F" w14:textId="697067AA">
            <w:pPr>
              <w:keepNext/>
              <w:keepLines/>
              <w:numPr>
                <w:ilvl w:val="12"/>
                <w:numId w:val="0"/>
              </w:numPr>
              <w:jc w:val="center"/>
              <w:rPr>
                <w:rFonts w:asciiTheme="minorHAnsi" w:hAnsiTheme="minorHAnsi" w:cstheme="minorHAnsi"/>
              </w:rPr>
            </w:pPr>
            <w:r w:rsidRPr="00445244">
              <w:rPr>
                <w:rFonts w:asciiTheme="minorHAnsi" w:hAnsiTheme="minorHAnsi" w:cstheme="minorHAnsi"/>
              </w:rPr>
              <w:t>294,300</w:t>
            </w:r>
          </w:p>
        </w:tc>
        <w:tc>
          <w:tcPr>
            <w:tcW w:w="1657" w:type="dxa"/>
            <w:vAlign w:val="bottom"/>
          </w:tcPr>
          <w:p w:rsidR="001D6C6E" w:rsidRPr="00445244" w:rsidP="00216A73" w14:paraId="3C66D0A2" w14:textId="1845D753">
            <w:pPr>
              <w:keepNext/>
              <w:keepLines/>
              <w:numPr>
                <w:ilvl w:val="12"/>
                <w:numId w:val="0"/>
              </w:numPr>
              <w:jc w:val="center"/>
              <w:rPr>
                <w:rFonts w:asciiTheme="minorHAnsi" w:hAnsiTheme="minorHAnsi" w:cstheme="minorHAnsi"/>
              </w:rPr>
            </w:pPr>
            <w:r w:rsidRPr="00445244">
              <w:rPr>
                <w:rFonts w:asciiTheme="minorHAnsi" w:hAnsiTheme="minorHAnsi" w:cstheme="minorHAnsi"/>
              </w:rPr>
              <w:t>1</w:t>
            </w:r>
          </w:p>
        </w:tc>
        <w:tc>
          <w:tcPr>
            <w:tcW w:w="1513" w:type="dxa"/>
            <w:shd w:val="clear" w:color="auto" w:fill="auto"/>
            <w:vAlign w:val="bottom"/>
          </w:tcPr>
          <w:p w:rsidR="001D6C6E" w:rsidRPr="00445244" w:rsidP="00216A73" w14:paraId="4F5EADD8" w14:textId="6D2EEF94">
            <w:pPr>
              <w:keepNext/>
              <w:keepLines/>
              <w:numPr>
                <w:ilvl w:val="12"/>
                <w:numId w:val="0"/>
              </w:numPr>
              <w:jc w:val="center"/>
              <w:rPr>
                <w:rFonts w:asciiTheme="minorHAnsi" w:hAnsiTheme="minorHAnsi" w:cstheme="minorHAnsi"/>
              </w:rPr>
            </w:pPr>
            <w:r w:rsidRPr="00445244">
              <w:rPr>
                <w:rFonts w:asciiTheme="minorHAnsi" w:hAnsiTheme="minorHAnsi" w:cstheme="minorHAnsi"/>
              </w:rPr>
              <w:t>294,300</w:t>
            </w:r>
          </w:p>
        </w:tc>
        <w:tc>
          <w:tcPr>
            <w:tcW w:w="1369" w:type="dxa"/>
            <w:vAlign w:val="bottom"/>
          </w:tcPr>
          <w:p w:rsidR="001D6C6E" w:rsidRPr="00445244" w:rsidP="00216A73" w14:paraId="7E400CE2" w14:textId="6A7CCF29">
            <w:pPr>
              <w:keepNext/>
              <w:keepLines/>
              <w:numPr>
                <w:ilvl w:val="12"/>
                <w:numId w:val="0"/>
              </w:numPr>
              <w:jc w:val="center"/>
              <w:rPr>
                <w:rFonts w:asciiTheme="minorHAnsi" w:hAnsiTheme="minorHAnsi" w:cstheme="minorHAnsi"/>
              </w:rPr>
            </w:pPr>
            <w:r w:rsidRPr="00445244">
              <w:rPr>
                <w:rFonts w:asciiTheme="minorHAnsi" w:hAnsiTheme="minorHAnsi" w:cstheme="minorHAnsi"/>
              </w:rPr>
              <w:t>.17</w:t>
            </w:r>
          </w:p>
        </w:tc>
        <w:tc>
          <w:tcPr>
            <w:tcW w:w="1081" w:type="dxa"/>
            <w:shd w:val="clear" w:color="auto" w:fill="auto"/>
            <w:vAlign w:val="bottom"/>
          </w:tcPr>
          <w:p w:rsidR="001D6C6E" w:rsidRPr="00445244" w:rsidP="00216A73" w14:paraId="7A3B3D00" w14:textId="16603ECC">
            <w:pPr>
              <w:keepNext/>
              <w:keepLines/>
              <w:numPr>
                <w:ilvl w:val="12"/>
                <w:numId w:val="0"/>
              </w:numPr>
              <w:jc w:val="center"/>
              <w:rPr>
                <w:rFonts w:asciiTheme="minorHAnsi" w:hAnsiTheme="minorHAnsi" w:cstheme="minorHAnsi"/>
              </w:rPr>
            </w:pPr>
            <w:r w:rsidRPr="00445244">
              <w:rPr>
                <w:rFonts w:asciiTheme="minorHAnsi" w:hAnsiTheme="minorHAnsi" w:cstheme="minorHAnsi"/>
              </w:rPr>
              <w:t>50,031</w:t>
            </w:r>
          </w:p>
        </w:tc>
      </w:tr>
      <w:tr w14:paraId="2FA3B873" w14:textId="77777777" w:rsidTr="00540BFF">
        <w:tblPrEx>
          <w:tblW w:w="9798" w:type="dxa"/>
          <w:tblInd w:w="715" w:type="dxa"/>
          <w:tblLook w:val="04A0"/>
        </w:tblPrEx>
        <w:trPr>
          <w:trHeight w:val="229"/>
        </w:trPr>
        <w:tc>
          <w:tcPr>
            <w:tcW w:w="2377" w:type="dxa"/>
            <w:vAlign w:val="bottom"/>
          </w:tcPr>
          <w:p w:rsidR="00F92860" w:rsidRPr="00445244" w:rsidP="00216A73" w14:paraId="28EADFE7" w14:textId="20A58A30">
            <w:pPr>
              <w:keepNext/>
              <w:keepLines/>
              <w:numPr>
                <w:ilvl w:val="12"/>
                <w:numId w:val="0"/>
              </w:numPr>
              <w:jc w:val="center"/>
              <w:rPr>
                <w:rFonts w:asciiTheme="minorHAnsi" w:hAnsiTheme="minorHAnsi" w:cstheme="minorHAnsi"/>
              </w:rPr>
            </w:pPr>
            <w:r w:rsidRPr="00445244">
              <w:rPr>
                <w:rFonts w:asciiTheme="minorHAnsi" w:hAnsiTheme="minorHAnsi" w:cstheme="minorHAnsi"/>
              </w:rPr>
              <w:t>1.401(a)(9)-4(e)(7)</w:t>
            </w:r>
          </w:p>
        </w:tc>
        <w:tc>
          <w:tcPr>
            <w:tcW w:w="1801" w:type="dxa"/>
            <w:vAlign w:val="bottom"/>
          </w:tcPr>
          <w:p w:rsidR="00F92860" w:rsidRPr="00445244" w:rsidP="00216A73" w14:paraId="559C7A15" w14:textId="35CE3815">
            <w:pPr>
              <w:keepNext/>
              <w:keepLines/>
              <w:numPr>
                <w:ilvl w:val="12"/>
                <w:numId w:val="0"/>
              </w:numPr>
              <w:jc w:val="center"/>
              <w:rPr>
                <w:rFonts w:asciiTheme="minorHAnsi" w:hAnsiTheme="minorHAnsi" w:cstheme="minorHAnsi"/>
              </w:rPr>
            </w:pPr>
            <w:r w:rsidRPr="00445244">
              <w:rPr>
                <w:rFonts w:asciiTheme="minorHAnsi" w:hAnsiTheme="minorHAnsi" w:cstheme="minorHAnsi"/>
              </w:rPr>
              <w:t>6,592</w:t>
            </w:r>
          </w:p>
        </w:tc>
        <w:tc>
          <w:tcPr>
            <w:tcW w:w="1657" w:type="dxa"/>
            <w:vAlign w:val="bottom"/>
          </w:tcPr>
          <w:p w:rsidR="00F92860" w:rsidRPr="00445244" w:rsidP="00216A73" w14:paraId="6F04574F" w14:textId="434A4782">
            <w:pPr>
              <w:keepNext/>
              <w:keepLines/>
              <w:numPr>
                <w:ilvl w:val="12"/>
                <w:numId w:val="0"/>
              </w:numPr>
              <w:jc w:val="center"/>
              <w:rPr>
                <w:rFonts w:asciiTheme="minorHAnsi" w:hAnsiTheme="minorHAnsi" w:cstheme="minorHAnsi"/>
              </w:rPr>
            </w:pPr>
            <w:r w:rsidRPr="00445244">
              <w:rPr>
                <w:rFonts w:asciiTheme="minorHAnsi" w:hAnsiTheme="minorHAnsi" w:cstheme="minorHAnsi"/>
              </w:rPr>
              <w:t>1</w:t>
            </w:r>
          </w:p>
        </w:tc>
        <w:tc>
          <w:tcPr>
            <w:tcW w:w="1513" w:type="dxa"/>
            <w:shd w:val="clear" w:color="auto" w:fill="auto"/>
            <w:vAlign w:val="bottom"/>
          </w:tcPr>
          <w:p w:rsidR="00F92860" w:rsidRPr="00445244" w:rsidP="00216A73" w14:paraId="1496702E" w14:textId="6FE56406">
            <w:pPr>
              <w:keepNext/>
              <w:keepLines/>
              <w:numPr>
                <w:ilvl w:val="12"/>
                <w:numId w:val="0"/>
              </w:numPr>
              <w:jc w:val="center"/>
              <w:rPr>
                <w:rFonts w:asciiTheme="minorHAnsi" w:hAnsiTheme="minorHAnsi" w:cstheme="minorHAnsi"/>
              </w:rPr>
            </w:pPr>
            <w:r w:rsidRPr="00445244">
              <w:rPr>
                <w:rFonts w:asciiTheme="minorHAnsi" w:hAnsiTheme="minorHAnsi" w:cstheme="minorHAnsi"/>
              </w:rPr>
              <w:t>6,952</w:t>
            </w:r>
          </w:p>
        </w:tc>
        <w:tc>
          <w:tcPr>
            <w:tcW w:w="1369" w:type="dxa"/>
            <w:vAlign w:val="bottom"/>
          </w:tcPr>
          <w:p w:rsidR="00F92860" w:rsidRPr="00445244" w:rsidP="00216A73" w14:paraId="6A5A5F90" w14:textId="2505D3F5">
            <w:pPr>
              <w:keepNext/>
              <w:keepLines/>
              <w:numPr>
                <w:ilvl w:val="12"/>
                <w:numId w:val="0"/>
              </w:numPr>
              <w:jc w:val="center"/>
              <w:rPr>
                <w:rFonts w:asciiTheme="minorHAnsi" w:hAnsiTheme="minorHAnsi" w:cstheme="minorHAnsi"/>
              </w:rPr>
            </w:pPr>
            <w:r w:rsidRPr="00445244">
              <w:rPr>
                <w:rFonts w:asciiTheme="minorHAnsi" w:hAnsiTheme="minorHAnsi" w:cstheme="minorHAnsi"/>
              </w:rPr>
              <w:t>.17</w:t>
            </w:r>
          </w:p>
        </w:tc>
        <w:tc>
          <w:tcPr>
            <w:tcW w:w="1081" w:type="dxa"/>
            <w:shd w:val="clear" w:color="auto" w:fill="auto"/>
            <w:vAlign w:val="bottom"/>
          </w:tcPr>
          <w:p w:rsidR="00F92860" w:rsidRPr="00445244" w:rsidP="00216A73" w14:paraId="281102C3" w14:textId="2FD4F5F7">
            <w:pPr>
              <w:keepNext/>
              <w:keepLines/>
              <w:numPr>
                <w:ilvl w:val="12"/>
                <w:numId w:val="0"/>
              </w:numPr>
              <w:jc w:val="center"/>
              <w:rPr>
                <w:rFonts w:asciiTheme="minorHAnsi" w:hAnsiTheme="minorHAnsi" w:cstheme="minorHAnsi"/>
              </w:rPr>
            </w:pPr>
            <w:r w:rsidRPr="00445244">
              <w:rPr>
                <w:rFonts w:asciiTheme="minorHAnsi" w:hAnsiTheme="minorHAnsi" w:cstheme="minorHAnsi"/>
              </w:rPr>
              <w:t>1,</w:t>
            </w:r>
            <w:r w:rsidRPr="00445244" w:rsidR="008666C3">
              <w:rPr>
                <w:rFonts w:asciiTheme="minorHAnsi" w:hAnsiTheme="minorHAnsi" w:cstheme="minorHAnsi"/>
              </w:rPr>
              <w:t>121</w:t>
            </w:r>
          </w:p>
        </w:tc>
      </w:tr>
      <w:tr w14:paraId="6DA6D97C" w14:textId="77777777" w:rsidTr="00540BFF">
        <w:tblPrEx>
          <w:tblW w:w="9798" w:type="dxa"/>
          <w:tblInd w:w="715" w:type="dxa"/>
          <w:tblLook w:val="04A0"/>
        </w:tblPrEx>
        <w:trPr>
          <w:trHeight w:val="229"/>
        </w:trPr>
        <w:tc>
          <w:tcPr>
            <w:tcW w:w="2377" w:type="dxa"/>
            <w:vAlign w:val="bottom"/>
          </w:tcPr>
          <w:p w:rsidR="00F92860" w:rsidRPr="00445244" w:rsidP="00216A73" w14:paraId="5F99E8D8" w14:textId="5D78534F">
            <w:pPr>
              <w:keepNext/>
              <w:keepLines/>
              <w:numPr>
                <w:ilvl w:val="12"/>
                <w:numId w:val="0"/>
              </w:numPr>
              <w:jc w:val="center"/>
              <w:rPr>
                <w:rFonts w:asciiTheme="minorHAnsi" w:hAnsiTheme="minorHAnsi" w:cstheme="minorHAnsi"/>
              </w:rPr>
            </w:pPr>
            <w:r w:rsidRPr="00445244">
              <w:rPr>
                <w:rFonts w:asciiTheme="minorHAnsi" w:hAnsiTheme="minorHAnsi" w:cstheme="minorHAnsi"/>
              </w:rPr>
              <w:t>1.401(a)(9)-4(h)</w:t>
            </w:r>
          </w:p>
        </w:tc>
        <w:tc>
          <w:tcPr>
            <w:tcW w:w="1801" w:type="dxa"/>
            <w:vAlign w:val="bottom"/>
          </w:tcPr>
          <w:p w:rsidR="00F92860" w:rsidRPr="00445244" w:rsidP="00216A73" w14:paraId="2E869F2E" w14:textId="75249051">
            <w:pPr>
              <w:keepNext/>
              <w:keepLines/>
              <w:numPr>
                <w:ilvl w:val="12"/>
                <w:numId w:val="0"/>
              </w:numPr>
              <w:jc w:val="center"/>
              <w:rPr>
                <w:rFonts w:asciiTheme="minorHAnsi" w:hAnsiTheme="minorHAnsi" w:cstheme="minorHAnsi"/>
              </w:rPr>
            </w:pPr>
            <w:r w:rsidRPr="00445244">
              <w:rPr>
                <w:rFonts w:asciiTheme="minorHAnsi" w:hAnsiTheme="minorHAnsi" w:cstheme="minorHAnsi"/>
              </w:rPr>
              <w:t>29,430</w:t>
            </w:r>
          </w:p>
        </w:tc>
        <w:tc>
          <w:tcPr>
            <w:tcW w:w="1657" w:type="dxa"/>
            <w:vAlign w:val="bottom"/>
          </w:tcPr>
          <w:p w:rsidR="00F92860" w:rsidRPr="00445244" w:rsidP="00216A73" w14:paraId="7D957316" w14:textId="16C172F5">
            <w:pPr>
              <w:keepNext/>
              <w:keepLines/>
              <w:numPr>
                <w:ilvl w:val="12"/>
                <w:numId w:val="0"/>
              </w:numPr>
              <w:jc w:val="center"/>
              <w:rPr>
                <w:rFonts w:asciiTheme="minorHAnsi" w:hAnsiTheme="minorHAnsi" w:cstheme="minorHAnsi"/>
              </w:rPr>
            </w:pPr>
            <w:r w:rsidRPr="00445244">
              <w:rPr>
                <w:rFonts w:asciiTheme="minorHAnsi" w:hAnsiTheme="minorHAnsi" w:cstheme="minorHAnsi"/>
              </w:rPr>
              <w:t>1</w:t>
            </w:r>
          </w:p>
        </w:tc>
        <w:tc>
          <w:tcPr>
            <w:tcW w:w="1513" w:type="dxa"/>
            <w:shd w:val="clear" w:color="auto" w:fill="auto"/>
            <w:vAlign w:val="bottom"/>
          </w:tcPr>
          <w:p w:rsidR="00F92860" w:rsidRPr="00445244" w:rsidP="00216A73" w14:paraId="696D08DA" w14:textId="2E60FE65">
            <w:pPr>
              <w:keepNext/>
              <w:keepLines/>
              <w:numPr>
                <w:ilvl w:val="12"/>
                <w:numId w:val="0"/>
              </w:numPr>
              <w:jc w:val="center"/>
              <w:rPr>
                <w:rFonts w:asciiTheme="minorHAnsi" w:hAnsiTheme="minorHAnsi" w:cstheme="minorHAnsi"/>
              </w:rPr>
            </w:pPr>
            <w:r w:rsidRPr="00445244">
              <w:rPr>
                <w:rFonts w:asciiTheme="minorHAnsi" w:hAnsiTheme="minorHAnsi" w:cstheme="minorHAnsi"/>
              </w:rPr>
              <w:t>29,430</w:t>
            </w:r>
          </w:p>
        </w:tc>
        <w:tc>
          <w:tcPr>
            <w:tcW w:w="1369" w:type="dxa"/>
            <w:vAlign w:val="bottom"/>
          </w:tcPr>
          <w:p w:rsidR="00F92860" w:rsidRPr="00445244" w:rsidP="00216A73" w14:paraId="16F988C3" w14:textId="01B095C0">
            <w:pPr>
              <w:keepNext/>
              <w:keepLines/>
              <w:numPr>
                <w:ilvl w:val="12"/>
                <w:numId w:val="0"/>
              </w:numPr>
              <w:jc w:val="center"/>
              <w:rPr>
                <w:rFonts w:asciiTheme="minorHAnsi" w:hAnsiTheme="minorHAnsi" w:cstheme="minorHAnsi"/>
              </w:rPr>
            </w:pPr>
            <w:r w:rsidRPr="00445244">
              <w:rPr>
                <w:rFonts w:asciiTheme="minorHAnsi" w:hAnsiTheme="minorHAnsi" w:cstheme="minorHAnsi"/>
              </w:rPr>
              <w:t>.17</w:t>
            </w:r>
          </w:p>
        </w:tc>
        <w:tc>
          <w:tcPr>
            <w:tcW w:w="1081" w:type="dxa"/>
            <w:shd w:val="clear" w:color="auto" w:fill="auto"/>
            <w:vAlign w:val="bottom"/>
          </w:tcPr>
          <w:p w:rsidR="00F92860" w:rsidRPr="00445244" w:rsidP="00216A73" w14:paraId="7E005416" w14:textId="4BD6944C">
            <w:pPr>
              <w:keepNext/>
              <w:keepLines/>
              <w:numPr>
                <w:ilvl w:val="12"/>
                <w:numId w:val="0"/>
              </w:numPr>
              <w:jc w:val="center"/>
              <w:rPr>
                <w:rFonts w:asciiTheme="minorHAnsi" w:hAnsiTheme="minorHAnsi" w:cstheme="minorHAnsi"/>
              </w:rPr>
            </w:pPr>
            <w:r w:rsidRPr="00445244">
              <w:rPr>
                <w:rFonts w:asciiTheme="minorHAnsi" w:hAnsiTheme="minorHAnsi" w:cstheme="minorHAnsi"/>
              </w:rPr>
              <w:t>5,003</w:t>
            </w:r>
          </w:p>
        </w:tc>
      </w:tr>
      <w:tr w14:paraId="0FD7709A" w14:textId="77777777" w:rsidTr="00540BFF">
        <w:tblPrEx>
          <w:tblW w:w="9798" w:type="dxa"/>
          <w:tblInd w:w="715" w:type="dxa"/>
          <w:tblLook w:val="04A0"/>
        </w:tblPrEx>
        <w:trPr>
          <w:trHeight w:val="218"/>
        </w:trPr>
        <w:tc>
          <w:tcPr>
            <w:tcW w:w="2377" w:type="dxa"/>
            <w:vAlign w:val="bottom"/>
          </w:tcPr>
          <w:p w:rsidR="001D6C6E" w:rsidRPr="00445244" w:rsidP="001D6C6E" w14:paraId="1A30E030" w14:textId="67C70245">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Totals</w:t>
            </w:r>
          </w:p>
        </w:tc>
        <w:tc>
          <w:tcPr>
            <w:tcW w:w="1801" w:type="dxa"/>
            <w:vAlign w:val="bottom"/>
          </w:tcPr>
          <w:p w:rsidR="001D6C6E" w:rsidRPr="00445244" w:rsidP="001D6C6E" w14:paraId="60154DC1" w14:textId="7827865B">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330,322</w:t>
            </w:r>
          </w:p>
        </w:tc>
        <w:tc>
          <w:tcPr>
            <w:tcW w:w="1657" w:type="dxa"/>
            <w:vAlign w:val="bottom"/>
          </w:tcPr>
          <w:p w:rsidR="001D6C6E" w:rsidRPr="00445244" w:rsidP="001D6C6E" w14:paraId="2C54C76C" w14:textId="3A352B01">
            <w:pPr>
              <w:keepNext/>
              <w:keepLines/>
              <w:numPr>
                <w:ilvl w:val="12"/>
                <w:numId w:val="0"/>
              </w:numPr>
              <w:jc w:val="center"/>
              <w:rPr>
                <w:rFonts w:asciiTheme="minorHAnsi" w:hAnsiTheme="minorHAnsi" w:cstheme="minorHAnsi"/>
                <w:b/>
                <w:bCs/>
              </w:rPr>
            </w:pPr>
          </w:p>
        </w:tc>
        <w:tc>
          <w:tcPr>
            <w:tcW w:w="1513" w:type="dxa"/>
            <w:shd w:val="clear" w:color="auto" w:fill="auto"/>
            <w:vAlign w:val="bottom"/>
          </w:tcPr>
          <w:p w:rsidR="001D6C6E" w:rsidRPr="00445244" w:rsidP="001D6C6E" w14:paraId="4B7339B3" w14:textId="37949246">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33</w:t>
            </w:r>
            <w:r w:rsidRPr="00445244" w:rsidR="001259C1">
              <w:rPr>
                <w:rFonts w:asciiTheme="minorHAnsi" w:hAnsiTheme="minorHAnsi" w:cstheme="minorHAnsi"/>
                <w:b/>
                <w:bCs/>
              </w:rPr>
              <w:t>0</w:t>
            </w:r>
            <w:r w:rsidRPr="00445244">
              <w:rPr>
                <w:rFonts w:asciiTheme="minorHAnsi" w:hAnsiTheme="minorHAnsi" w:cstheme="minorHAnsi"/>
                <w:b/>
                <w:bCs/>
              </w:rPr>
              <w:t>,332</w:t>
            </w:r>
          </w:p>
        </w:tc>
        <w:tc>
          <w:tcPr>
            <w:tcW w:w="1369" w:type="dxa"/>
            <w:vAlign w:val="bottom"/>
          </w:tcPr>
          <w:p w:rsidR="001D6C6E" w:rsidRPr="00445244" w:rsidP="001D6C6E" w14:paraId="1E795C19" w14:textId="2B56C0F4">
            <w:pPr>
              <w:keepNext/>
              <w:keepLines/>
              <w:numPr>
                <w:ilvl w:val="12"/>
                <w:numId w:val="0"/>
              </w:numPr>
              <w:jc w:val="center"/>
              <w:rPr>
                <w:rFonts w:asciiTheme="minorHAnsi" w:hAnsiTheme="minorHAnsi" w:cstheme="minorHAnsi"/>
                <w:b/>
                <w:bCs/>
              </w:rPr>
            </w:pPr>
          </w:p>
        </w:tc>
        <w:tc>
          <w:tcPr>
            <w:tcW w:w="1081" w:type="dxa"/>
            <w:shd w:val="clear" w:color="auto" w:fill="auto"/>
            <w:vAlign w:val="bottom"/>
          </w:tcPr>
          <w:p w:rsidR="001D6C6E" w:rsidRPr="00445244" w:rsidP="001D6C6E" w14:paraId="30CEFD48" w14:textId="6DECF582">
            <w:pPr>
              <w:keepNext/>
              <w:keepLines/>
              <w:numPr>
                <w:ilvl w:val="12"/>
                <w:numId w:val="0"/>
              </w:numPr>
              <w:jc w:val="center"/>
              <w:rPr>
                <w:rFonts w:asciiTheme="minorHAnsi" w:hAnsiTheme="minorHAnsi" w:cstheme="minorHAnsi"/>
                <w:b/>
                <w:bCs/>
              </w:rPr>
            </w:pPr>
            <w:r w:rsidRPr="00445244">
              <w:rPr>
                <w:rFonts w:asciiTheme="minorHAnsi" w:hAnsiTheme="minorHAnsi" w:cstheme="minorHAnsi"/>
                <w:b/>
                <w:bCs/>
              </w:rPr>
              <w:t>5</w:t>
            </w:r>
            <w:r w:rsidRPr="00445244" w:rsidR="001259C1">
              <w:rPr>
                <w:rFonts w:asciiTheme="minorHAnsi" w:hAnsiTheme="minorHAnsi" w:cstheme="minorHAnsi"/>
                <w:b/>
                <w:bCs/>
              </w:rPr>
              <w:t>6,155</w:t>
            </w:r>
          </w:p>
        </w:tc>
      </w:tr>
    </w:tbl>
    <w:p w:rsidR="00601C92" w:rsidRPr="00445244" w14:paraId="6F5FB4DB" w14:textId="77777777">
      <w:pPr>
        <w:ind w:left="720"/>
        <w:rPr>
          <w:rFonts w:asciiTheme="minorHAnsi" w:hAnsiTheme="minorHAnsi" w:cstheme="minorHAnsi"/>
        </w:rPr>
      </w:pPr>
    </w:p>
    <w:p w:rsidR="00464E63" w:rsidRPr="00445244" w14:paraId="6D3386DD" w14:textId="77777777">
      <w:pPr>
        <w:rPr>
          <w:rFonts w:asciiTheme="minorHAnsi" w:hAnsiTheme="minorHAnsi" w:cstheme="minorHAnsi"/>
        </w:rPr>
      </w:pPr>
    </w:p>
    <w:p w:rsidR="00464E63" w:rsidRPr="00445244" w14:paraId="6CC9AD9D" w14:textId="77777777">
      <w:pPr>
        <w:pStyle w:val="Quick1"/>
        <w:numPr>
          <w:ilvl w:val="0"/>
          <w:numId w:val="5"/>
        </w:numPr>
        <w:tabs>
          <w:tab w:val="left" w:pos="-1440"/>
          <w:tab w:val="num" w:pos="720"/>
        </w:tabs>
        <w:rPr>
          <w:rFonts w:asciiTheme="minorHAnsi" w:hAnsiTheme="minorHAnsi" w:cstheme="minorHAnsi"/>
        </w:rPr>
      </w:pPr>
      <w:r w:rsidRPr="00445244">
        <w:rPr>
          <w:rFonts w:asciiTheme="minorHAnsi" w:hAnsiTheme="minorHAnsi" w:cstheme="minorHAnsi"/>
          <w:u w:val="single"/>
        </w:rPr>
        <w:t>ESTIMATED TOTAL ANNUAL COST BURDEN TO RESPONDENTS</w:t>
      </w:r>
    </w:p>
    <w:p w:rsidR="00464E63" w:rsidRPr="00445244" w14:paraId="10165E71" w14:textId="77777777">
      <w:pPr>
        <w:rPr>
          <w:rFonts w:asciiTheme="minorHAnsi" w:hAnsiTheme="minorHAnsi" w:cstheme="minorHAnsi"/>
        </w:rPr>
      </w:pPr>
    </w:p>
    <w:p w:rsidR="00464E63" w:rsidRPr="00445244" w:rsidP="00E25A7F" w14:paraId="245F1844" w14:textId="12DED700">
      <w:pPr>
        <w:ind w:left="720"/>
        <w:rPr>
          <w:rFonts w:asciiTheme="minorHAnsi" w:hAnsiTheme="minorHAnsi" w:cstheme="minorHAnsi"/>
        </w:rPr>
      </w:pPr>
      <w:r w:rsidRPr="00445244">
        <w:rPr>
          <w:rFonts w:asciiTheme="minorHAnsi" w:hAnsiTheme="minorHAnsi" w:cstheme="minorHAnsi"/>
        </w:rPr>
        <w:t xml:space="preserve">IRS does not anticipate any cost to respondents outside of what is incurred as part of usual and customary business practices.      </w:t>
      </w:r>
    </w:p>
    <w:p w:rsidR="0078472C" w:rsidRPr="00445244" w14:paraId="6F32A9D0" w14:textId="333B1B88">
      <w:pPr>
        <w:rPr>
          <w:rFonts w:asciiTheme="minorHAnsi" w:hAnsiTheme="minorHAnsi" w:cstheme="minorHAnsi"/>
        </w:rPr>
      </w:pPr>
    </w:p>
    <w:p w:rsidR="00464E63" w:rsidRPr="00445244" w14:paraId="05A98AD9" w14:textId="77777777">
      <w:pPr>
        <w:pStyle w:val="Quick1"/>
        <w:numPr>
          <w:ilvl w:val="0"/>
          <w:numId w:val="5"/>
        </w:numPr>
        <w:tabs>
          <w:tab w:val="left" w:pos="-1440"/>
          <w:tab w:val="num" w:pos="720"/>
        </w:tabs>
        <w:rPr>
          <w:rFonts w:asciiTheme="minorHAnsi" w:hAnsiTheme="minorHAnsi" w:cstheme="minorHAnsi"/>
        </w:rPr>
      </w:pPr>
      <w:r w:rsidRPr="00445244">
        <w:rPr>
          <w:rFonts w:asciiTheme="minorHAnsi" w:hAnsiTheme="minorHAnsi" w:cstheme="minorHAnsi"/>
          <w:u w:val="single"/>
        </w:rPr>
        <w:t>ESTIMATED ANNUALIZED COST TO THE FEDERAL GOVERNMENT</w:t>
      </w:r>
    </w:p>
    <w:p w:rsidR="00464E63" w:rsidRPr="00445244" w14:paraId="54406B17" w14:textId="77777777">
      <w:pPr>
        <w:rPr>
          <w:rFonts w:asciiTheme="minorHAnsi" w:hAnsiTheme="minorHAnsi" w:cstheme="minorHAnsi"/>
        </w:rPr>
      </w:pPr>
    </w:p>
    <w:p w:rsidR="003253CA" w:rsidRPr="00445244" w:rsidP="0078472C" w14:paraId="46593D67" w14:textId="7ADC800E">
      <w:pPr>
        <w:ind w:left="720"/>
        <w:rPr>
          <w:rFonts w:asciiTheme="minorHAnsi" w:hAnsiTheme="minorHAnsi" w:cstheme="minorHAnsi"/>
        </w:rPr>
      </w:pPr>
      <w:r w:rsidRPr="00445244">
        <w:rPr>
          <w:rFonts w:asciiTheme="minorHAnsi" w:hAnsiTheme="minorHAnsi" w:cstheme="minorHAnsi"/>
        </w:rPr>
        <w:t xml:space="preserve">There is no cost to the Federal government as these are recordkeeping and third-party disclosures. </w:t>
      </w:r>
    </w:p>
    <w:p w:rsidR="00464E63" w:rsidRPr="00445244" w14:paraId="68956F68" w14:textId="77777777">
      <w:pPr>
        <w:rPr>
          <w:rFonts w:asciiTheme="minorHAnsi" w:hAnsiTheme="minorHAnsi" w:cstheme="minorHAnsi"/>
        </w:rPr>
      </w:pPr>
    </w:p>
    <w:p w:rsidR="00464E63" w:rsidRPr="00445244" w14:paraId="47DFE490" w14:textId="77777777">
      <w:pPr>
        <w:rPr>
          <w:rFonts w:asciiTheme="minorHAnsi" w:hAnsiTheme="minorHAnsi" w:cstheme="minorHAnsi"/>
        </w:rPr>
        <w:sectPr>
          <w:type w:val="continuous"/>
          <w:pgSz w:w="12240" w:h="15840"/>
          <w:pgMar w:top="1440" w:right="1440" w:bottom="1440" w:left="1404" w:header="1440" w:footer="1440" w:gutter="0"/>
          <w:cols w:space="720"/>
          <w:noEndnote/>
        </w:sectPr>
      </w:pPr>
    </w:p>
    <w:p w:rsidR="00464E63" w:rsidRPr="00445244" w14:paraId="735044D9" w14:textId="77777777">
      <w:pPr>
        <w:tabs>
          <w:tab w:val="left" w:pos="-1440"/>
        </w:tabs>
        <w:ind w:left="720" w:hanging="720"/>
        <w:rPr>
          <w:rFonts w:asciiTheme="minorHAnsi" w:hAnsiTheme="minorHAnsi" w:cstheme="minorHAnsi"/>
        </w:rPr>
      </w:pPr>
      <w:r w:rsidRPr="00445244">
        <w:rPr>
          <w:rFonts w:asciiTheme="minorHAnsi" w:hAnsiTheme="minorHAnsi" w:cstheme="minorHAnsi"/>
        </w:rPr>
        <w:t>15.</w:t>
      </w:r>
      <w:r w:rsidRPr="00445244">
        <w:rPr>
          <w:rFonts w:asciiTheme="minorHAnsi" w:hAnsiTheme="minorHAnsi" w:cstheme="minorHAnsi"/>
        </w:rPr>
        <w:tab/>
      </w:r>
      <w:r w:rsidRPr="00445244">
        <w:rPr>
          <w:rFonts w:asciiTheme="minorHAnsi" w:hAnsiTheme="minorHAnsi" w:cstheme="minorHAnsi"/>
          <w:u w:val="single"/>
        </w:rPr>
        <w:t>REASONS FOR CHANGE IN BURDEN</w:t>
      </w:r>
    </w:p>
    <w:p w:rsidR="00464E63" w:rsidRPr="00445244" w14:paraId="696E1F2F" w14:textId="77777777">
      <w:pPr>
        <w:rPr>
          <w:rFonts w:asciiTheme="minorHAnsi" w:hAnsiTheme="minorHAnsi" w:cstheme="minorHAnsi"/>
        </w:rPr>
      </w:pPr>
    </w:p>
    <w:p w:rsidR="00464E63" w:rsidRPr="00445244" w14:paraId="40AF2CB5" w14:textId="3CD87599">
      <w:pPr>
        <w:ind w:left="720"/>
        <w:rPr>
          <w:rFonts w:asciiTheme="minorHAnsi" w:hAnsiTheme="minorHAnsi" w:cstheme="minorHAnsi"/>
        </w:rPr>
      </w:pPr>
      <w:r w:rsidRPr="00445244">
        <w:rPr>
          <w:rFonts w:asciiTheme="minorHAnsi" w:hAnsiTheme="minorHAnsi" w:cstheme="minorHAnsi"/>
        </w:rPr>
        <w:t xml:space="preserve">These regulations </w:t>
      </w:r>
      <w:r w:rsidRPr="00445244" w:rsidR="00E25A7F">
        <w:rPr>
          <w:rFonts w:asciiTheme="minorHAnsi" w:hAnsiTheme="minorHAnsi" w:cstheme="minorHAnsi"/>
        </w:rPr>
        <w:t>are</w:t>
      </w:r>
      <w:r w:rsidRPr="00445244" w:rsidR="000064E3">
        <w:rPr>
          <w:rFonts w:asciiTheme="minorHAnsi" w:hAnsiTheme="minorHAnsi" w:cstheme="minorHAnsi"/>
        </w:rPr>
        <w:t xml:space="preserve"> </w:t>
      </w:r>
      <w:r w:rsidRPr="00445244" w:rsidR="008C22BD">
        <w:rPr>
          <w:rFonts w:asciiTheme="minorHAnsi" w:hAnsiTheme="minorHAnsi" w:cstheme="minorHAnsi"/>
        </w:rPr>
        <w:t>modifying the existing RMD election requirements and adding additional documentation requirements for certain eligible designated beneficiaries</w:t>
      </w:r>
      <w:r w:rsidRPr="00445244" w:rsidR="000064E3">
        <w:rPr>
          <w:rFonts w:asciiTheme="minorHAnsi" w:hAnsiTheme="minorHAnsi" w:cstheme="minorHAnsi"/>
        </w:rPr>
        <w:t xml:space="preserve">. </w:t>
      </w:r>
    </w:p>
    <w:p w:rsidR="00464E63" w:rsidRPr="00445244" w14:paraId="1B530568" w14:textId="77777777">
      <w:pPr>
        <w:rPr>
          <w:rFonts w:asciiTheme="minorHAnsi" w:hAnsiTheme="minorHAnsi" w:cstheme="minorHAnsi"/>
        </w:rPr>
      </w:pPr>
    </w:p>
    <w:p w:rsidR="00464E63" w:rsidRPr="00445244" w14:paraId="5B031E9A" w14:textId="77777777">
      <w:pPr>
        <w:pStyle w:val="Quick1"/>
        <w:tabs>
          <w:tab w:val="left" w:pos="-1440"/>
          <w:tab w:val="num" w:pos="720"/>
        </w:tabs>
        <w:rPr>
          <w:rFonts w:asciiTheme="minorHAnsi" w:hAnsiTheme="minorHAnsi" w:cstheme="minorHAnsi"/>
        </w:rPr>
      </w:pPr>
      <w:r w:rsidRPr="00445244">
        <w:rPr>
          <w:rFonts w:asciiTheme="minorHAnsi" w:hAnsiTheme="minorHAnsi" w:cstheme="minorHAnsi"/>
          <w:u w:val="single"/>
        </w:rPr>
        <w:t>PLANS FOR TABULATION, STATISTICAL ANALYSIS AND PUBLICATION</w:t>
      </w:r>
    </w:p>
    <w:p w:rsidR="00464E63" w:rsidRPr="00445244" w14:paraId="21B9E026" w14:textId="77777777">
      <w:pPr>
        <w:rPr>
          <w:rFonts w:asciiTheme="minorHAnsi" w:hAnsiTheme="minorHAnsi" w:cstheme="minorHAnsi"/>
        </w:rPr>
      </w:pPr>
    </w:p>
    <w:p w:rsidR="00464E63" w:rsidRPr="00445244" w14:paraId="72D8E25A" w14:textId="3BF5D515">
      <w:pPr>
        <w:ind w:left="720"/>
        <w:rPr>
          <w:rFonts w:asciiTheme="minorHAnsi" w:hAnsiTheme="minorHAnsi" w:cstheme="minorHAnsi"/>
        </w:rPr>
      </w:pPr>
      <w:r w:rsidRPr="00445244">
        <w:rPr>
          <w:rFonts w:asciiTheme="minorHAnsi" w:hAnsiTheme="minorHAnsi" w:cstheme="minorHAnsi"/>
        </w:rPr>
        <w:t>There are no plans for tabulation, statistical analysis, and publication.</w:t>
      </w:r>
    </w:p>
    <w:p w:rsidR="00464E63" w:rsidRPr="00445244" w14:paraId="05707AA7" w14:textId="77777777">
      <w:pPr>
        <w:rPr>
          <w:rFonts w:asciiTheme="minorHAnsi" w:hAnsiTheme="minorHAnsi" w:cstheme="minorHAnsi"/>
        </w:rPr>
      </w:pPr>
    </w:p>
    <w:p w:rsidR="00464E63" w:rsidRPr="00445244" w14:paraId="471E1822" w14:textId="1F1427AA">
      <w:pPr>
        <w:pStyle w:val="Quick1"/>
        <w:tabs>
          <w:tab w:val="left" w:pos="-1440"/>
          <w:tab w:val="num" w:pos="720"/>
        </w:tabs>
        <w:rPr>
          <w:rFonts w:asciiTheme="minorHAnsi" w:hAnsiTheme="minorHAnsi" w:cstheme="minorHAnsi"/>
        </w:rPr>
      </w:pPr>
      <w:r w:rsidRPr="00445244">
        <w:rPr>
          <w:rFonts w:asciiTheme="minorHAnsi" w:hAnsiTheme="minorHAnsi" w:cstheme="minorHAnsi"/>
          <w:u w:val="single"/>
        </w:rPr>
        <w:t>REASONS WHY DISPLAYING THE OMB EXPIRATION DATE IS</w:t>
      </w:r>
      <w:r w:rsidRPr="006C47D4" w:rsidR="006C47D4">
        <w:rPr>
          <w:rFonts w:asciiTheme="minorHAnsi" w:hAnsiTheme="minorHAnsi" w:cstheme="minorHAnsi"/>
          <w:u w:val="single"/>
        </w:rPr>
        <w:t xml:space="preserve"> </w:t>
      </w:r>
      <w:r w:rsidRPr="00445244">
        <w:rPr>
          <w:rFonts w:asciiTheme="minorHAnsi" w:hAnsiTheme="minorHAnsi" w:cstheme="minorHAnsi"/>
          <w:u w:val="single"/>
        </w:rPr>
        <w:t>INAPPROPRIATE</w:t>
      </w:r>
    </w:p>
    <w:p w:rsidR="00464E63" w:rsidRPr="00445244" w14:paraId="6890A46B" w14:textId="77777777">
      <w:pPr>
        <w:rPr>
          <w:rFonts w:asciiTheme="minorHAnsi" w:hAnsiTheme="minorHAnsi" w:cstheme="minorHAnsi"/>
        </w:rPr>
      </w:pPr>
    </w:p>
    <w:p w:rsidR="00464E63" w:rsidRPr="00445244" w14:paraId="1000956F" w14:textId="7E963584">
      <w:pPr>
        <w:ind w:left="720"/>
        <w:rPr>
          <w:rFonts w:asciiTheme="minorHAnsi" w:hAnsiTheme="minorHAnsi" w:cstheme="minorHAnsi"/>
        </w:rPr>
      </w:pPr>
      <w:r w:rsidRPr="00445244">
        <w:rPr>
          <w:rFonts w:asciiTheme="minorHAnsi" w:hAnsiTheme="minorHAnsi" w:cstheme="minorHAnsi"/>
        </w:rPr>
        <w:t>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00464E63" w:rsidRPr="00445244" w14:paraId="017180C5" w14:textId="77777777">
      <w:pPr>
        <w:rPr>
          <w:rFonts w:asciiTheme="minorHAnsi" w:hAnsiTheme="minorHAnsi" w:cstheme="minorHAnsi"/>
        </w:rPr>
      </w:pPr>
    </w:p>
    <w:p w:rsidR="00464E63" w:rsidRPr="00445244" w14:paraId="7A65B6F1" w14:textId="77777777">
      <w:pPr>
        <w:tabs>
          <w:tab w:val="left" w:pos="-1440"/>
        </w:tabs>
        <w:ind w:left="720" w:hanging="720"/>
        <w:rPr>
          <w:rFonts w:asciiTheme="minorHAnsi" w:hAnsiTheme="minorHAnsi" w:cstheme="minorHAnsi"/>
        </w:rPr>
      </w:pPr>
      <w:r w:rsidRPr="00445244">
        <w:rPr>
          <w:rFonts w:asciiTheme="minorHAnsi" w:hAnsiTheme="minorHAnsi" w:cstheme="minorHAnsi"/>
        </w:rPr>
        <w:t>18.</w:t>
      </w:r>
      <w:r w:rsidRPr="00445244">
        <w:rPr>
          <w:rFonts w:asciiTheme="minorHAnsi" w:hAnsiTheme="minorHAnsi" w:cstheme="minorHAnsi"/>
        </w:rPr>
        <w:tab/>
      </w:r>
      <w:r w:rsidRPr="00445244">
        <w:rPr>
          <w:rFonts w:asciiTheme="minorHAnsi" w:hAnsiTheme="minorHAnsi" w:cstheme="minorHAnsi"/>
          <w:u w:val="single"/>
        </w:rPr>
        <w:t>EXCEPTIONS TO THE CERTIFICATION STATEMENT ON OMB FORM 83-I</w:t>
      </w:r>
    </w:p>
    <w:p w:rsidR="00464E63" w:rsidRPr="00445244" w14:paraId="2B28304B" w14:textId="77777777">
      <w:pPr>
        <w:rPr>
          <w:rFonts w:asciiTheme="minorHAnsi" w:hAnsiTheme="minorHAnsi" w:cstheme="minorHAnsi"/>
        </w:rPr>
      </w:pPr>
    </w:p>
    <w:p w:rsidR="00464E63" w:rsidRPr="00445244" w:rsidP="000064E3" w14:paraId="602D5738" w14:textId="43722B8D">
      <w:pPr>
        <w:ind w:firstLine="720"/>
        <w:rPr>
          <w:rFonts w:asciiTheme="minorHAnsi" w:hAnsiTheme="minorHAnsi" w:cstheme="minorHAnsi"/>
          <w:iCs/>
        </w:rPr>
      </w:pPr>
      <w:r w:rsidRPr="00445244">
        <w:rPr>
          <w:rFonts w:asciiTheme="minorHAnsi" w:hAnsiTheme="minorHAnsi" w:cstheme="minorHAnsi"/>
          <w:iCs/>
        </w:rPr>
        <w:t>There are no exceptions to the certification statement.</w:t>
      </w:r>
    </w:p>
    <w:p w:rsidR="00116DC4" w:rsidRPr="00445244" w:rsidP="000064E3" w14:paraId="0DFD9711" w14:textId="77777777">
      <w:pPr>
        <w:ind w:firstLine="720"/>
        <w:rPr>
          <w:rFonts w:asciiTheme="minorHAnsi" w:hAnsiTheme="minorHAnsi" w:cstheme="minorHAnsi"/>
          <w:iCs/>
        </w:rPr>
      </w:pPr>
    </w:p>
    <w:p w:rsidR="00464E63" w:rsidRPr="00445244" w:rsidP="000064E3" w14:paraId="4677F282" w14:textId="2EEFAE08">
      <w:pPr>
        <w:ind w:left="720"/>
        <w:rPr>
          <w:rFonts w:asciiTheme="minorHAnsi" w:hAnsiTheme="minorHAnsi" w:cstheme="minorHAnsi"/>
        </w:rPr>
      </w:pPr>
      <w:r w:rsidRPr="00445244">
        <w:rPr>
          <w:rFonts w:asciiTheme="minorHAnsi" w:hAnsiTheme="minorHAnsi" w:cstheme="minorHAnsi"/>
          <w:u w:val="single"/>
        </w:rPr>
        <w:t>Note:</w:t>
      </w:r>
      <w:r w:rsidRPr="00445244">
        <w:rPr>
          <w:rFonts w:asciiTheme="minorHAnsi" w:hAnsiTheme="minorHAnsi" w:cstheme="minorHAnsi"/>
        </w:rPr>
        <w:t xml:space="preserve"> The following paragraph applies to all of the collections of information in this submission:</w:t>
      </w:r>
    </w:p>
    <w:p w:rsidR="00464E63" w:rsidRPr="00445244" w14:paraId="029F460A" w14:textId="77777777">
      <w:pPr>
        <w:rPr>
          <w:rFonts w:asciiTheme="minorHAnsi" w:hAnsiTheme="minorHAnsi" w:cstheme="minorHAnsi"/>
        </w:rPr>
      </w:pPr>
    </w:p>
    <w:p w:rsidR="00464E63" w:rsidRPr="00445244" w:rsidP="000C4D87" w14:paraId="464AF8CB" w14:textId="1CD6FDFF">
      <w:pPr>
        <w:ind w:left="720"/>
        <w:rPr>
          <w:rFonts w:asciiTheme="minorHAnsi" w:hAnsiTheme="minorHAnsi" w:cstheme="minorHAnsi"/>
        </w:rPr>
      </w:pPr>
      <w:r w:rsidRPr="00445244">
        <w:rPr>
          <w:rFonts w:asciiTheme="minorHAnsi" w:hAnsiTheme="minorHAnsi" w:cstheme="minorHAns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464E63">
      <w:type w:val="continuous"/>
      <w:pgSz w:w="12240" w:h="15840"/>
      <w:pgMar w:top="1440" w:right="1440" w:bottom="1440" w:left="140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E63" w14:paraId="4E3ED14C" w14:textId="77777777">
    <w:pPr>
      <w:framePr w:w="9382"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AF6041">
      <w:rPr>
        <w:rFonts w:cs="Courier"/>
        <w:noProof/>
      </w:rPr>
      <w:t>3</w:t>
    </w:r>
    <w:r>
      <w:rPr>
        <w:rFonts w:cs="Courier"/>
      </w:rPr>
      <w:fldChar w:fldCharType="end"/>
    </w:r>
  </w:p>
  <w:p w:rsidR="00464E63" w14:paraId="5AF034B6" w14:textId="77777777">
    <w:pPr>
      <w:ind w:left="21"/>
    </w:pPr>
  </w:p>
  <w:p w:rsidR="00464E63" w14:paraId="4C231DB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Shruti" w:cs="Shruti"/>
        <w:b/>
        <w:bCs/>
        <w:sz w:val="24"/>
        <w:szCs w:val="24"/>
      </w:rPr>
    </w:lvl>
  </w:abstractNum>
  <w:abstractNum w:abstractNumId="1">
    <w:nsid w:val="1DE921C0"/>
    <w:multiLevelType w:val="hybridMultilevel"/>
    <w:tmpl w:val="05AAA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8B2532"/>
    <w:multiLevelType w:val="hybridMultilevel"/>
    <w:tmpl w:val="2FEA7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4">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42788708">
    <w:abstractNumId w:val="0"/>
    <w:lvlOverride w:ilvl="0">
      <w:startOverride w:val="1"/>
      <w:lvl w:ilvl="0">
        <w:start w:val="1"/>
        <w:numFmt w:val="decimal"/>
        <w:pStyle w:val="Quick1"/>
        <w:lvlText w:val="%1."/>
        <w:lvlJc w:val="left"/>
      </w:lvl>
    </w:lvlOverride>
  </w:num>
  <w:num w:numId="2" w16cid:durableId="575238342">
    <w:abstractNumId w:val="0"/>
    <w:lvlOverride w:ilvl="0">
      <w:startOverride w:val="3"/>
      <w:lvl w:ilvl="0">
        <w:start w:val="3"/>
        <w:numFmt w:val="decimal"/>
        <w:pStyle w:val="Quick1"/>
        <w:lvlText w:val="%1."/>
        <w:lvlJc w:val="left"/>
      </w:lvl>
    </w:lvlOverride>
  </w:num>
  <w:num w:numId="3" w16cid:durableId="521356919">
    <w:abstractNumId w:val="0"/>
    <w:lvlOverride w:ilvl="0">
      <w:startOverride w:val="8"/>
      <w:lvl w:ilvl="0">
        <w:start w:val="8"/>
        <w:numFmt w:val="decimal"/>
        <w:pStyle w:val="Quick1"/>
        <w:lvlText w:val="%1."/>
        <w:lvlJc w:val="left"/>
      </w:lvl>
    </w:lvlOverride>
  </w:num>
  <w:num w:numId="4" w16cid:durableId="2015523485">
    <w:abstractNumId w:val="0"/>
    <w:lvlOverride w:ilvl="0">
      <w:startOverride w:val="11"/>
      <w:lvl w:ilvl="0">
        <w:start w:val="11"/>
        <w:numFmt w:val="decimal"/>
        <w:pStyle w:val="Quick1"/>
        <w:lvlText w:val="%1."/>
        <w:lvlJc w:val="left"/>
      </w:lvl>
    </w:lvlOverride>
  </w:num>
  <w:num w:numId="5" w16cid:durableId="1062946831">
    <w:abstractNumId w:val="0"/>
    <w:lvlOverride w:ilvl="0">
      <w:startOverride w:val="13"/>
      <w:lvl w:ilvl="0">
        <w:start w:val="13"/>
        <w:numFmt w:val="decimal"/>
        <w:pStyle w:val="Quick1"/>
        <w:lvlText w:val="%1."/>
        <w:lvlJc w:val="left"/>
      </w:lvl>
    </w:lvlOverride>
  </w:num>
  <w:num w:numId="6" w16cid:durableId="635448241">
    <w:abstractNumId w:val="0"/>
    <w:lvlOverride w:ilvl="0">
      <w:startOverride w:val="16"/>
      <w:lvl w:ilvl="0">
        <w:start w:val="16"/>
        <w:numFmt w:val="decimal"/>
        <w:pStyle w:val="Quick1"/>
        <w:lvlText w:val="%1."/>
        <w:lvlJc w:val="left"/>
      </w:lvl>
    </w:lvlOverride>
  </w:num>
  <w:num w:numId="7" w16cid:durableId="929658927">
    <w:abstractNumId w:val="4"/>
  </w:num>
  <w:num w:numId="8" w16cid:durableId="539703175">
    <w:abstractNumId w:val="3"/>
  </w:num>
  <w:num w:numId="9" w16cid:durableId="2102296233">
    <w:abstractNumId w:val="1"/>
  </w:num>
  <w:num w:numId="10" w16cid:durableId="1080983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63"/>
    <w:rsid w:val="000064E3"/>
    <w:rsid w:val="00016BE5"/>
    <w:rsid w:val="00080D60"/>
    <w:rsid w:val="000958F7"/>
    <w:rsid w:val="00097524"/>
    <w:rsid w:val="000C4D87"/>
    <w:rsid w:val="000E2218"/>
    <w:rsid w:val="00116DC4"/>
    <w:rsid w:val="001259C1"/>
    <w:rsid w:val="00185AAE"/>
    <w:rsid w:val="001A35FA"/>
    <w:rsid w:val="001D46D3"/>
    <w:rsid w:val="001D6C6E"/>
    <w:rsid w:val="00216A73"/>
    <w:rsid w:val="002906E5"/>
    <w:rsid w:val="002915C6"/>
    <w:rsid w:val="0031739B"/>
    <w:rsid w:val="003253CA"/>
    <w:rsid w:val="003375E8"/>
    <w:rsid w:val="003C4E39"/>
    <w:rsid w:val="0042017E"/>
    <w:rsid w:val="00445244"/>
    <w:rsid w:val="00464E63"/>
    <w:rsid w:val="0047102F"/>
    <w:rsid w:val="00486E58"/>
    <w:rsid w:val="00487EEF"/>
    <w:rsid w:val="004C1299"/>
    <w:rsid w:val="004C6083"/>
    <w:rsid w:val="004F2006"/>
    <w:rsid w:val="004F38D7"/>
    <w:rsid w:val="005253A5"/>
    <w:rsid w:val="00537EA7"/>
    <w:rsid w:val="00540BFF"/>
    <w:rsid w:val="00564666"/>
    <w:rsid w:val="00576965"/>
    <w:rsid w:val="00601C92"/>
    <w:rsid w:val="0063407B"/>
    <w:rsid w:val="006A70D2"/>
    <w:rsid w:val="006C47D4"/>
    <w:rsid w:val="006C51B9"/>
    <w:rsid w:val="006D0A92"/>
    <w:rsid w:val="006D4F74"/>
    <w:rsid w:val="006D6150"/>
    <w:rsid w:val="007071DB"/>
    <w:rsid w:val="0075746B"/>
    <w:rsid w:val="0078472C"/>
    <w:rsid w:val="00785B49"/>
    <w:rsid w:val="007A1077"/>
    <w:rsid w:val="007B28D4"/>
    <w:rsid w:val="007F271E"/>
    <w:rsid w:val="00810AC3"/>
    <w:rsid w:val="008666C3"/>
    <w:rsid w:val="008952FA"/>
    <w:rsid w:val="008C22BD"/>
    <w:rsid w:val="00931DB9"/>
    <w:rsid w:val="00937E2E"/>
    <w:rsid w:val="00966929"/>
    <w:rsid w:val="0099125B"/>
    <w:rsid w:val="009B2B9F"/>
    <w:rsid w:val="009D64BA"/>
    <w:rsid w:val="009F6DF8"/>
    <w:rsid w:val="00A430AF"/>
    <w:rsid w:val="00A75CE8"/>
    <w:rsid w:val="00AC64AE"/>
    <w:rsid w:val="00AF6041"/>
    <w:rsid w:val="00B4762E"/>
    <w:rsid w:val="00B66984"/>
    <w:rsid w:val="00B77C41"/>
    <w:rsid w:val="00B84B2F"/>
    <w:rsid w:val="00BB0E2D"/>
    <w:rsid w:val="00C37BA0"/>
    <w:rsid w:val="00CC4BEA"/>
    <w:rsid w:val="00CF3AFF"/>
    <w:rsid w:val="00D50297"/>
    <w:rsid w:val="00D70201"/>
    <w:rsid w:val="00DE350F"/>
    <w:rsid w:val="00DF1FC7"/>
    <w:rsid w:val="00DF5C1F"/>
    <w:rsid w:val="00E06161"/>
    <w:rsid w:val="00E25A7F"/>
    <w:rsid w:val="00ED56ED"/>
    <w:rsid w:val="00F0572A"/>
    <w:rsid w:val="00F11D19"/>
    <w:rsid w:val="00F21EBE"/>
    <w:rsid w:val="00F86E28"/>
    <w:rsid w:val="00F92860"/>
    <w:rsid w:val="00F94E0A"/>
    <w:rsid w:val="00FA1618"/>
    <w:rsid w:val="00FB7F31"/>
    <w:rsid w:val="00FC5119"/>
    <w:rsid w:val="00FD610C"/>
    <w:rsid w:val="00FE3788"/>
    <w:rsid w:val="00FE48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8C66386"/>
  <w15:chartTrackingRefBased/>
  <w15:docId w15:val="{1CFE008E-6AEF-47C1-BE94-4E9E592C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6"/>
      </w:numPr>
      <w:ind w:left="720" w:hanging="720"/>
    </w:pPr>
  </w:style>
  <w:style w:type="character" w:styleId="CommentReference">
    <w:name w:val="annotation reference"/>
    <w:basedOn w:val="DefaultParagraphFont"/>
    <w:rsid w:val="003C4E39"/>
    <w:rPr>
      <w:sz w:val="16"/>
      <w:szCs w:val="16"/>
    </w:rPr>
  </w:style>
  <w:style w:type="paragraph" w:styleId="CommentText">
    <w:name w:val="annotation text"/>
    <w:basedOn w:val="Normal"/>
    <w:link w:val="CommentTextChar"/>
    <w:rsid w:val="003C4E39"/>
    <w:rPr>
      <w:sz w:val="20"/>
      <w:szCs w:val="20"/>
    </w:rPr>
  </w:style>
  <w:style w:type="character" w:customStyle="1" w:styleId="CommentTextChar">
    <w:name w:val="Comment Text Char"/>
    <w:basedOn w:val="DefaultParagraphFont"/>
    <w:link w:val="CommentText"/>
    <w:rsid w:val="003C4E39"/>
    <w:rPr>
      <w:rFonts w:ascii="Courier" w:hAnsi="Courier"/>
    </w:rPr>
  </w:style>
  <w:style w:type="paragraph" w:styleId="CommentSubject">
    <w:name w:val="annotation subject"/>
    <w:basedOn w:val="CommentText"/>
    <w:next w:val="CommentText"/>
    <w:link w:val="CommentSubjectChar"/>
    <w:rsid w:val="003C4E39"/>
    <w:rPr>
      <w:b/>
      <w:bCs/>
    </w:rPr>
  </w:style>
  <w:style w:type="character" w:customStyle="1" w:styleId="CommentSubjectChar">
    <w:name w:val="Comment Subject Char"/>
    <w:basedOn w:val="CommentTextChar"/>
    <w:link w:val="CommentSubject"/>
    <w:rsid w:val="003C4E39"/>
    <w:rPr>
      <w:rFonts w:ascii="Courier" w:hAnsi="Courier"/>
      <w:b/>
      <w:bCs/>
    </w:rPr>
  </w:style>
  <w:style w:type="paragraph" w:styleId="ListParagraph">
    <w:name w:val="List Paragraph"/>
    <w:basedOn w:val="Normal"/>
    <w:uiPriority w:val="1"/>
    <w:qFormat/>
    <w:rsid w:val="00DF5C1F"/>
    <w:pPr>
      <w:adjustRightInd/>
      <w:spacing w:before="22"/>
      <w:ind w:left="820" w:hanging="360"/>
    </w:pPr>
    <w:rPr>
      <w:rFonts w:ascii="Calibri" w:eastAsia="Calibri" w:hAnsi="Calibri" w:cs="Calibri"/>
      <w:sz w:val="22"/>
      <w:szCs w:val="22"/>
      <w:lang w:bidi="en-US"/>
    </w:rPr>
  </w:style>
  <w:style w:type="paragraph" w:customStyle="1" w:styleId="Default">
    <w:name w:val="Default"/>
    <w:rsid w:val="00966929"/>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937E2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912C-B3D9-498F-9046-3CF7EA23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DURBALA7</dc:creator>
  <cp:lastModifiedBy>Jon R. Callahan</cp:lastModifiedBy>
  <cp:revision>3</cp:revision>
  <dcterms:created xsi:type="dcterms:W3CDTF">2024-07-19T14:28:00Z</dcterms:created>
  <dcterms:modified xsi:type="dcterms:W3CDTF">2024-07-19T14:30:00Z</dcterms:modified>
</cp:coreProperties>
</file>