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6929" w:rsidRPr="00B62CEB" w:rsidP="00966929" w14:paraId="09DB56D0" w14:textId="24F8CE8E">
      <w:pPr>
        <w:pStyle w:val="Default"/>
        <w:jc w:val="center"/>
        <w:rPr>
          <w:rFonts w:eastAsia="Times New Roman" w:asciiTheme="minorHAnsi" w:hAnsiTheme="minorHAnsi" w:cstheme="minorHAnsi"/>
          <w:b/>
          <w:bCs/>
          <w:color w:val="auto"/>
        </w:rPr>
      </w:pPr>
      <w:r w:rsidRPr="00B62CEB">
        <w:rPr>
          <w:rFonts w:eastAsia="Times New Roman" w:asciiTheme="minorHAnsi" w:hAnsiTheme="minorHAnsi" w:cstheme="minorHAnsi"/>
          <w:b/>
          <w:bCs/>
          <w:color w:val="auto"/>
        </w:rPr>
        <w:t>SUPPORTING STATEMENT</w:t>
      </w:r>
    </w:p>
    <w:p w:rsidR="00966929" w:rsidRPr="00B62CEB" w:rsidP="00966929" w14:paraId="3E9E3012" w14:textId="77777777">
      <w:pPr>
        <w:pStyle w:val="Default"/>
        <w:jc w:val="center"/>
        <w:rPr>
          <w:rFonts w:eastAsia="Times New Roman" w:asciiTheme="minorHAnsi" w:hAnsiTheme="minorHAnsi" w:cstheme="minorHAnsi"/>
          <w:b/>
          <w:bCs/>
          <w:color w:val="auto"/>
        </w:rPr>
      </w:pPr>
      <w:r w:rsidRPr="00B62CEB">
        <w:rPr>
          <w:rFonts w:eastAsia="Times New Roman" w:asciiTheme="minorHAnsi" w:hAnsiTheme="minorHAnsi" w:cstheme="minorHAnsi"/>
          <w:b/>
          <w:bCs/>
          <w:color w:val="auto"/>
        </w:rPr>
        <w:t>Internal Revenue Service (IRS)</w:t>
      </w:r>
    </w:p>
    <w:p w:rsidR="00966929" w:rsidRPr="00B62CEB" w:rsidP="00966929" w14:paraId="62E0636D" w14:textId="71769485">
      <w:pPr>
        <w:pStyle w:val="Default"/>
        <w:jc w:val="center"/>
        <w:rPr>
          <w:rFonts w:eastAsia="Times New Roman" w:asciiTheme="minorHAnsi" w:hAnsiTheme="minorHAnsi" w:cstheme="minorHAnsi"/>
          <w:b/>
          <w:bCs/>
          <w:color w:val="auto"/>
        </w:rPr>
      </w:pPr>
      <w:r w:rsidRPr="00B62CEB">
        <w:rPr>
          <w:rFonts w:eastAsia="Times New Roman" w:asciiTheme="minorHAnsi" w:hAnsiTheme="minorHAnsi" w:cstheme="minorHAnsi"/>
          <w:b/>
          <w:bCs/>
          <w:color w:val="auto"/>
        </w:rPr>
        <w:t>OMB Control Number 1545-</w:t>
      </w:r>
      <w:r w:rsidRPr="00B62CEB" w:rsidR="007F0DCF">
        <w:rPr>
          <w:rFonts w:eastAsia="Times New Roman" w:asciiTheme="minorHAnsi" w:hAnsiTheme="minorHAnsi" w:cstheme="minorHAnsi"/>
          <w:b/>
          <w:bCs/>
          <w:color w:val="auto"/>
        </w:rPr>
        <w:t>NEW</w:t>
      </w:r>
    </w:p>
    <w:p w:rsidR="00AC64AE" w:rsidRPr="00B62CEB" w:rsidP="00966929" w14:paraId="75634450" w14:textId="187741F1">
      <w:pPr>
        <w:pStyle w:val="Default"/>
        <w:jc w:val="center"/>
        <w:rPr>
          <w:rFonts w:eastAsia="Times New Roman" w:asciiTheme="minorHAnsi" w:hAnsiTheme="minorHAnsi" w:cstheme="minorHAnsi"/>
          <w:b/>
          <w:bCs/>
          <w:color w:val="auto"/>
        </w:rPr>
      </w:pPr>
      <w:r w:rsidRPr="00B62CEB">
        <w:rPr>
          <w:rFonts w:asciiTheme="minorHAnsi" w:hAnsiTheme="minorHAnsi" w:cstheme="minorHAnsi"/>
          <w:b/>
          <w:bCs/>
        </w:rPr>
        <w:t xml:space="preserve">Proposed </w:t>
      </w:r>
      <w:r w:rsidRPr="00B62CEB" w:rsidR="00966929">
        <w:rPr>
          <w:rFonts w:asciiTheme="minorHAnsi" w:hAnsiTheme="minorHAnsi" w:cstheme="minorHAnsi"/>
          <w:b/>
          <w:bCs/>
        </w:rPr>
        <w:t>Regulation about Required Distributions from Retirement Plans</w:t>
      </w:r>
    </w:p>
    <w:p w:rsidR="00464E63" w:rsidRPr="00B62CEB" w14:paraId="654E26AE" w14:textId="77777777">
      <w:pPr>
        <w:rPr>
          <w:rFonts w:asciiTheme="minorHAnsi" w:hAnsiTheme="minorHAnsi" w:cstheme="minorHAnsi"/>
          <w:b/>
          <w:bCs/>
        </w:rPr>
      </w:pPr>
    </w:p>
    <w:p w:rsidR="00464E63" w:rsidRPr="00B62CEB" w14:paraId="022EC5FE" w14:textId="77777777">
      <w:pPr>
        <w:pStyle w:val="Quick1"/>
        <w:numPr>
          <w:ilvl w:val="0"/>
          <w:numId w:val="1"/>
        </w:numPr>
        <w:tabs>
          <w:tab w:val="left" w:pos="-1440"/>
          <w:tab w:val="num" w:pos="720"/>
        </w:tabs>
        <w:rPr>
          <w:rFonts w:asciiTheme="minorHAnsi" w:hAnsiTheme="minorHAnsi" w:cstheme="minorHAnsi"/>
        </w:rPr>
      </w:pPr>
      <w:r w:rsidRPr="00B62CEB">
        <w:rPr>
          <w:rFonts w:asciiTheme="minorHAnsi" w:hAnsiTheme="minorHAnsi" w:cstheme="minorHAnsi"/>
          <w:u w:val="single"/>
        </w:rPr>
        <w:t>CIRCUMSTANCES NECESSITATING COLLECTION OF INFORMATION</w:t>
      </w:r>
    </w:p>
    <w:p w:rsidR="006D6150" w:rsidRPr="00B62CEB" w:rsidP="0039049D" w14:paraId="60FDF968" w14:textId="77777777">
      <w:pPr>
        <w:rPr>
          <w:rFonts w:asciiTheme="minorHAnsi" w:hAnsiTheme="minorHAnsi" w:cstheme="minorHAnsi"/>
        </w:rPr>
      </w:pPr>
    </w:p>
    <w:p w:rsidR="00965A0C" w:rsidP="006D6150" w14:paraId="1CA52F55" w14:textId="2E012F39">
      <w:pPr>
        <w:ind w:left="720"/>
        <w:rPr>
          <w:rFonts w:asciiTheme="minorHAnsi" w:hAnsiTheme="minorHAnsi" w:cstheme="minorHAnsi"/>
        </w:rPr>
      </w:pPr>
      <w:r w:rsidRPr="00B62CEB">
        <w:rPr>
          <w:rFonts w:asciiTheme="minorHAnsi" w:hAnsiTheme="minorHAnsi" w:cstheme="minorHAnsi"/>
        </w:rPr>
        <w:t>The final regulations</w:t>
      </w:r>
      <w:r>
        <w:rPr>
          <w:rFonts w:asciiTheme="minorHAnsi" w:hAnsiTheme="minorHAnsi" w:cstheme="minorHAnsi"/>
        </w:rPr>
        <w:t xml:space="preserve"> in T.D. 10001</w:t>
      </w:r>
      <w:r w:rsidRPr="00B62CEB">
        <w:rPr>
          <w:rFonts w:asciiTheme="minorHAnsi" w:hAnsiTheme="minorHAnsi" w:cstheme="minorHAnsi"/>
        </w:rPr>
        <w:t xml:space="preserve"> include guidance relating to the application of </w:t>
      </w:r>
      <w:bookmarkStart w:id="0" w:name="_Hlk172273413"/>
      <w:r w:rsidRPr="00B62CEB">
        <w:rPr>
          <w:rFonts w:asciiTheme="minorHAnsi" w:hAnsiTheme="minorHAnsi" w:cstheme="minorHAnsi"/>
        </w:rPr>
        <w:t xml:space="preserve">section 401(a)(9) </w:t>
      </w:r>
      <w:bookmarkEnd w:id="0"/>
      <w:r w:rsidRPr="00B62CEB">
        <w:rPr>
          <w:rFonts w:asciiTheme="minorHAnsi" w:hAnsiTheme="minorHAnsi" w:cstheme="minorHAnsi"/>
        </w:rPr>
        <w:t xml:space="preserve">of the Internal Revenue Code (“Code”) in a situation in which an employee’s interest in a defined contribution plan is partially annuitized by using a portion of the employee’s account to purchase an annuity contract. Specifically, section 1.401(a)(9)-5(a)(5)(iv) of the final regulations provides that, in lieu of satisfying section 401(a)(9) of the Code separately with respect to an annuity contract purchased with a portion of an employee’s defined contribution plan account and the remaining account balance, a plan may permit an employee to elect to satisfy section 401(a)(9) for the annuity contract and the remaining account balance in the aggregate by adding the fair market value of the contract to the remaining account balance and treating payments under the annuity contract as distributions from the individual account. Section 1.401(a)(9)-5(a)(5)(v) of the proposed regulations provides rules of operation with respect to this aggregation option – specifically, the method and date for valuation of the annuity contract. </w:t>
      </w:r>
      <w:r>
        <w:rPr>
          <w:rFonts w:asciiTheme="minorHAnsi" w:hAnsiTheme="minorHAnsi" w:cstheme="minorHAnsi"/>
        </w:rPr>
        <w:t xml:space="preserve"> </w:t>
      </w:r>
      <w:r w:rsidRPr="00B62CEB">
        <w:rPr>
          <w:rFonts w:asciiTheme="minorHAnsi" w:hAnsiTheme="minorHAnsi" w:cstheme="minorHAnsi"/>
        </w:rPr>
        <w:t xml:space="preserve">Under these rules of operation, annuity contract issuers </w:t>
      </w:r>
      <w:r>
        <w:rPr>
          <w:rFonts w:asciiTheme="minorHAnsi" w:hAnsiTheme="minorHAnsi" w:cstheme="minorHAnsi"/>
        </w:rPr>
        <w:t>are</w:t>
      </w:r>
      <w:r w:rsidRPr="00B62CEB">
        <w:rPr>
          <w:rFonts w:asciiTheme="minorHAnsi" w:hAnsiTheme="minorHAnsi" w:cstheme="minorHAnsi"/>
        </w:rPr>
        <w:t xml:space="preserve"> expected to provide the annuity valuations as a third-party disclosure</w:t>
      </w:r>
      <w:r>
        <w:rPr>
          <w:rFonts w:asciiTheme="minorHAnsi" w:hAnsiTheme="minorHAnsi" w:cstheme="minorHAnsi"/>
        </w:rPr>
        <w:t>.</w:t>
      </w:r>
      <w:r w:rsidRPr="00B62CEB">
        <w:rPr>
          <w:rFonts w:asciiTheme="minorHAnsi" w:hAnsiTheme="minorHAnsi" w:cstheme="minorHAnsi"/>
        </w:rPr>
        <w:t xml:space="preserve"> </w:t>
      </w:r>
      <w:r w:rsidRPr="00B62CEB">
        <w:rPr>
          <w:rFonts w:asciiTheme="minorHAnsi" w:hAnsiTheme="minorHAnsi" w:cstheme="minorHAnsi"/>
        </w:rPr>
        <w:t xml:space="preserve">In addition, the </w:t>
      </w:r>
      <w:r w:rsidRPr="00B62CEB">
        <w:rPr>
          <w:rFonts w:asciiTheme="minorHAnsi" w:hAnsiTheme="minorHAnsi" w:cstheme="minorHAnsi"/>
        </w:rPr>
        <w:t>amount</w:t>
      </w:r>
      <w:r w:rsidRPr="00B62CEB">
        <w:rPr>
          <w:rFonts w:asciiTheme="minorHAnsi" w:hAnsiTheme="minorHAnsi" w:cstheme="minorHAnsi"/>
        </w:rPr>
        <w:t xml:space="preserve"> of payments made under the annuity contract and the underlying value of the annuity contract is expected to be reported to the employer as a third-party disclosure.</w:t>
      </w:r>
    </w:p>
    <w:p w:rsidR="00965A0C" w:rsidP="006D6150" w14:paraId="3C48ECA3" w14:textId="77777777">
      <w:pPr>
        <w:ind w:left="720"/>
        <w:rPr>
          <w:rFonts w:asciiTheme="minorHAnsi" w:hAnsiTheme="minorHAnsi" w:cstheme="minorHAnsi"/>
        </w:rPr>
      </w:pPr>
    </w:p>
    <w:p w:rsidR="00156D4C" w:rsidRPr="00B62CEB" w:rsidP="006D6150" w14:paraId="5765A29A" w14:textId="52583D36">
      <w:pPr>
        <w:ind w:left="720"/>
        <w:rPr>
          <w:rFonts w:asciiTheme="minorHAnsi" w:hAnsiTheme="minorHAnsi" w:cstheme="minorHAnsi"/>
        </w:rPr>
      </w:pPr>
      <w:r w:rsidRPr="00B62CEB">
        <w:rPr>
          <w:rFonts w:asciiTheme="minorHAnsi" w:hAnsiTheme="minorHAnsi" w:cstheme="minorHAnsi"/>
        </w:rPr>
        <w:t xml:space="preserve">Section 1.401(a)(9)-5(g)(3)(i) </w:t>
      </w:r>
      <w:r w:rsidR="00965A0C">
        <w:rPr>
          <w:rFonts w:asciiTheme="minorHAnsi" w:hAnsiTheme="minorHAnsi" w:cstheme="minorHAnsi"/>
        </w:rPr>
        <w:t>set forth in T.D. 10001</w:t>
      </w:r>
      <w:r>
        <w:rPr>
          <w:rStyle w:val="FootnoteReference"/>
          <w:rFonts w:asciiTheme="minorHAnsi" w:hAnsiTheme="minorHAnsi" w:cstheme="minorHAnsi"/>
          <w:vertAlign w:val="superscript"/>
        </w:rPr>
        <w:footnoteReference w:id="2"/>
      </w:r>
      <w:r w:rsidRPr="00B62CEB">
        <w:rPr>
          <w:rFonts w:asciiTheme="minorHAnsi" w:hAnsiTheme="minorHAnsi" w:cstheme="minorHAnsi"/>
        </w:rPr>
        <w:t xml:space="preserve"> </w:t>
      </w:r>
      <w:r w:rsidR="00965A0C">
        <w:rPr>
          <w:rFonts w:asciiTheme="minorHAnsi" w:hAnsiTheme="minorHAnsi" w:cstheme="minorHAnsi"/>
        </w:rPr>
        <w:t>provides that a plan may</w:t>
      </w:r>
      <w:r w:rsidRPr="00B62CEB">
        <w:rPr>
          <w:rFonts w:asciiTheme="minorHAnsi" w:hAnsiTheme="minorHAnsi" w:cstheme="minorHAnsi"/>
        </w:rPr>
        <w:t xml:space="preserve"> permit a surviving spouse who is the sole beneficiary of an employee to elect to be treated as the employee for purposes of determining the required minimum distribution </w:t>
      </w:r>
      <w:r w:rsidRPr="00B62CEB" w:rsidR="00FE448B">
        <w:rPr>
          <w:rFonts w:asciiTheme="minorHAnsi" w:hAnsiTheme="minorHAnsi" w:cstheme="minorHAnsi"/>
        </w:rPr>
        <w:t xml:space="preserve">from a defined contribution plan </w:t>
      </w:r>
      <w:r w:rsidRPr="00B62CEB">
        <w:rPr>
          <w:rFonts w:asciiTheme="minorHAnsi" w:hAnsiTheme="minorHAnsi" w:cstheme="minorHAnsi"/>
        </w:rPr>
        <w:t xml:space="preserve">for a calendar year. Section 1.401(a)(9)-5(g)(3)(ii) of </w:t>
      </w:r>
      <w:r w:rsidRPr="00B62CEB" w:rsidR="00F56CBE">
        <w:rPr>
          <w:rFonts w:asciiTheme="minorHAnsi" w:hAnsiTheme="minorHAnsi" w:cstheme="minorHAnsi"/>
        </w:rPr>
        <w:t xml:space="preserve">proposed </w:t>
      </w:r>
      <w:r w:rsidRPr="00B62CEB" w:rsidR="007079EA">
        <w:rPr>
          <w:rFonts w:asciiTheme="minorHAnsi" w:hAnsiTheme="minorHAnsi" w:cstheme="minorHAnsi"/>
        </w:rPr>
        <w:t>REG-</w:t>
      </w:r>
      <w:r w:rsidRPr="00B62CEB" w:rsidR="00CA56D0">
        <w:rPr>
          <w:rFonts w:asciiTheme="minorHAnsi" w:hAnsiTheme="minorHAnsi" w:cstheme="minorHAnsi"/>
        </w:rPr>
        <w:t>103529-23</w:t>
      </w:r>
      <w:r w:rsidRPr="00B62CEB" w:rsidR="00AC278B">
        <w:rPr>
          <w:rFonts w:asciiTheme="minorHAnsi" w:hAnsiTheme="minorHAnsi" w:cstheme="minorHAnsi"/>
        </w:rPr>
        <w:t xml:space="preserve"> </w:t>
      </w:r>
      <w:r w:rsidRPr="00B62CEB" w:rsidR="00F56CBE">
        <w:rPr>
          <w:rFonts w:asciiTheme="minorHAnsi" w:hAnsiTheme="minorHAnsi" w:cstheme="minorHAnsi"/>
        </w:rPr>
        <w:t xml:space="preserve">supplements </w:t>
      </w:r>
      <w:r w:rsidR="00965A0C">
        <w:rPr>
          <w:rFonts w:asciiTheme="minorHAnsi" w:hAnsiTheme="minorHAnsi" w:cstheme="minorHAnsi"/>
        </w:rPr>
        <w:t>that provision</w:t>
      </w:r>
      <w:r w:rsidRPr="00B62CEB" w:rsidR="00F56CBE">
        <w:rPr>
          <w:rFonts w:asciiTheme="minorHAnsi" w:hAnsiTheme="minorHAnsi" w:cstheme="minorHAnsi"/>
        </w:rPr>
        <w:t xml:space="preserve"> by providing </w:t>
      </w:r>
      <w:r w:rsidRPr="00B62CEB">
        <w:rPr>
          <w:rFonts w:asciiTheme="minorHAnsi" w:hAnsiTheme="minorHAnsi" w:cstheme="minorHAnsi"/>
        </w:rPr>
        <w:t xml:space="preserve">a series of rules that would apply with respect to the spousal election described above. </w:t>
      </w:r>
      <w:r w:rsidRPr="00B62CEB">
        <w:rPr>
          <w:rFonts w:asciiTheme="minorHAnsi" w:hAnsiTheme="minorHAnsi" w:cstheme="minorHAnsi"/>
        </w:rPr>
        <w:t>Under the proposed regulations, if the employee dies before the employee’s required beginning date and the sole beneficiary of the employee is the surviving spouse who is subject to the life expectancy rule, then the spouse w</w:t>
      </w:r>
      <w:r w:rsidRPr="00B62CEB" w:rsidR="00743C69">
        <w:rPr>
          <w:rFonts w:asciiTheme="minorHAnsi" w:hAnsiTheme="minorHAnsi" w:cstheme="minorHAnsi"/>
        </w:rPr>
        <w:t>ould</w:t>
      </w:r>
      <w:r w:rsidRPr="00B62CEB">
        <w:rPr>
          <w:rFonts w:asciiTheme="minorHAnsi" w:hAnsiTheme="minorHAnsi" w:cstheme="minorHAnsi"/>
        </w:rPr>
        <w:t xml:space="preserve"> automatically be treated as making the election. If the employee dies on or after the required beginning date, then the election </w:t>
      </w:r>
      <w:r w:rsidRPr="00B62CEB" w:rsidR="00743C69">
        <w:rPr>
          <w:rFonts w:asciiTheme="minorHAnsi" w:hAnsiTheme="minorHAnsi" w:cstheme="minorHAnsi"/>
        </w:rPr>
        <w:t>would</w:t>
      </w:r>
      <w:r w:rsidRPr="00B62CEB">
        <w:rPr>
          <w:rFonts w:asciiTheme="minorHAnsi" w:hAnsiTheme="minorHAnsi" w:cstheme="minorHAnsi"/>
        </w:rPr>
        <w:t xml:space="preserve"> not apply automatically. However, the proposed regulations provide that the election may be the default under the terms of a plan (so that the surviving spouse need not take any action to have the election apply).</w:t>
      </w:r>
      <w:r w:rsidRPr="00B62CEB" w:rsidR="001B63C2">
        <w:rPr>
          <w:rFonts w:asciiTheme="minorHAnsi" w:hAnsiTheme="minorHAnsi" w:cstheme="minorHAnsi"/>
        </w:rPr>
        <w:t xml:space="preserve"> This election is expected to be made as a third-party disclosure between the surviving spouse and the plan administrator</w:t>
      </w:r>
      <w:r w:rsidR="00705DDC">
        <w:rPr>
          <w:rFonts w:asciiTheme="minorHAnsi" w:hAnsiTheme="minorHAnsi" w:cstheme="minorHAnsi"/>
        </w:rPr>
        <w:t xml:space="preserve">, </w:t>
      </w:r>
      <w:r w:rsidR="00AC61D1">
        <w:rPr>
          <w:rFonts w:asciiTheme="minorHAnsi" w:hAnsiTheme="minorHAnsi" w:cstheme="minorHAnsi"/>
        </w:rPr>
        <w:t>who will keep records of the election</w:t>
      </w:r>
      <w:r w:rsidRPr="00B62CEB" w:rsidR="001B63C2">
        <w:rPr>
          <w:rFonts w:asciiTheme="minorHAnsi" w:hAnsiTheme="minorHAnsi" w:cstheme="minorHAnsi"/>
        </w:rPr>
        <w:t xml:space="preserve">. </w:t>
      </w:r>
    </w:p>
    <w:p w:rsidR="006D6150" w:rsidRPr="00B62CEB" w:rsidP="006D6150" w14:paraId="1EEAFA02" w14:textId="77777777">
      <w:pPr>
        <w:ind w:left="720"/>
        <w:rPr>
          <w:rFonts w:asciiTheme="minorHAnsi" w:hAnsiTheme="minorHAnsi" w:cstheme="minorHAnsi"/>
        </w:rPr>
      </w:pPr>
    </w:p>
    <w:p w:rsidR="006D6150" w:rsidRPr="00B62CEB" w:rsidP="006D6150" w14:paraId="3785F425" w14:textId="1E31107E">
      <w:pPr>
        <w:ind w:left="720"/>
        <w:rPr>
          <w:rFonts w:asciiTheme="minorHAnsi" w:hAnsiTheme="minorHAnsi" w:cstheme="minorHAnsi"/>
        </w:rPr>
      </w:pPr>
      <w:r w:rsidRPr="00B62CEB">
        <w:rPr>
          <w:rFonts w:asciiTheme="minorHAnsi" w:hAnsiTheme="minorHAnsi" w:cstheme="minorHAnsi"/>
        </w:rPr>
        <w:t xml:space="preserve">These </w:t>
      </w:r>
      <w:r w:rsidRPr="00B62CEB" w:rsidR="00DD7C6C">
        <w:rPr>
          <w:rFonts w:asciiTheme="minorHAnsi" w:hAnsiTheme="minorHAnsi" w:cstheme="minorHAnsi"/>
        </w:rPr>
        <w:t xml:space="preserve">proposed </w:t>
      </w:r>
      <w:r w:rsidRPr="00B62CEB">
        <w:rPr>
          <w:rFonts w:asciiTheme="minorHAnsi" w:hAnsiTheme="minorHAnsi" w:cstheme="minorHAnsi"/>
        </w:rPr>
        <w:t>collections of information are covered under Code Sections 401(a)(9) and 7805.</w:t>
      </w:r>
    </w:p>
    <w:p w:rsidR="00464E63" w:rsidRPr="00B62CEB" w14:paraId="0C75DF77" w14:textId="77777777">
      <w:pPr>
        <w:rPr>
          <w:rFonts w:asciiTheme="minorHAnsi" w:hAnsiTheme="minorHAnsi" w:cstheme="minorHAnsi"/>
        </w:rPr>
      </w:pPr>
    </w:p>
    <w:p w:rsidR="00464E63" w:rsidRPr="00B62CEB" w14:paraId="210A8B7C" w14:textId="77777777">
      <w:pPr>
        <w:tabs>
          <w:tab w:val="left" w:pos="-1440"/>
        </w:tabs>
        <w:ind w:left="720" w:hanging="720"/>
        <w:rPr>
          <w:rFonts w:asciiTheme="minorHAnsi" w:hAnsiTheme="minorHAnsi" w:cstheme="minorHAnsi"/>
        </w:rPr>
      </w:pPr>
      <w:r w:rsidRPr="00B62CEB">
        <w:rPr>
          <w:rFonts w:asciiTheme="minorHAnsi" w:hAnsiTheme="minorHAnsi" w:cstheme="minorHAnsi"/>
        </w:rPr>
        <w:t>2.</w:t>
      </w:r>
      <w:r w:rsidRPr="00B62CEB">
        <w:rPr>
          <w:rFonts w:asciiTheme="minorHAnsi" w:hAnsiTheme="minorHAnsi" w:cstheme="minorHAnsi"/>
        </w:rPr>
        <w:tab/>
      </w:r>
      <w:r w:rsidRPr="00B62CEB">
        <w:rPr>
          <w:rFonts w:asciiTheme="minorHAnsi" w:hAnsiTheme="minorHAnsi" w:cstheme="minorHAnsi"/>
          <w:u w:val="single"/>
        </w:rPr>
        <w:t>USE OF DATA</w:t>
      </w:r>
      <w:r w:rsidRPr="00B62CEB">
        <w:rPr>
          <w:rFonts w:asciiTheme="minorHAnsi" w:hAnsiTheme="minorHAnsi" w:cstheme="minorHAnsi"/>
        </w:rPr>
        <w:t xml:space="preserve">              </w:t>
      </w:r>
    </w:p>
    <w:p w:rsidR="00464E63" w:rsidRPr="00B62CEB" w14:paraId="2C95D0D1" w14:textId="77777777">
      <w:pPr>
        <w:rPr>
          <w:rFonts w:asciiTheme="minorHAnsi" w:hAnsiTheme="minorHAnsi" w:cstheme="minorHAnsi"/>
        </w:rPr>
      </w:pPr>
    </w:p>
    <w:p w:rsidR="00464E63" w:rsidRPr="00B62CEB" w14:paraId="0A78A152" w14:textId="261AAC83">
      <w:pPr>
        <w:ind w:left="720"/>
        <w:rPr>
          <w:rFonts w:asciiTheme="minorHAnsi" w:hAnsiTheme="minorHAnsi" w:cstheme="minorHAnsi"/>
        </w:rPr>
      </w:pPr>
      <w:r w:rsidRPr="00B62CEB">
        <w:rPr>
          <w:rFonts w:asciiTheme="minorHAnsi" w:hAnsiTheme="minorHAnsi" w:cstheme="minorHAnsi"/>
        </w:rPr>
        <w:t xml:space="preserve">The data will be used by employers that maintain qualified plans, plan administrators of qualified plans, and </w:t>
      </w:r>
      <w:r w:rsidRPr="00B62CEB" w:rsidR="00EC50E5">
        <w:rPr>
          <w:rFonts w:asciiTheme="minorHAnsi" w:hAnsiTheme="minorHAnsi" w:cstheme="minorHAnsi"/>
        </w:rPr>
        <w:t xml:space="preserve">plan </w:t>
      </w:r>
      <w:r w:rsidRPr="00B62CEB">
        <w:rPr>
          <w:rFonts w:asciiTheme="minorHAnsi" w:hAnsiTheme="minorHAnsi" w:cstheme="minorHAnsi"/>
        </w:rPr>
        <w:t>trustees</w:t>
      </w:r>
      <w:r w:rsidRPr="00B62CEB" w:rsidR="00EC50E5">
        <w:rPr>
          <w:rFonts w:asciiTheme="minorHAnsi" w:hAnsiTheme="minorHAnsi" w:cstheme="minorHAnsi"/>
        </w:rPr>
        <w:t xml:space="preserve"> or</w:t>
      </w:r>
      <w:r w:rsidRPr="00B62CEB">
        <w:rPr>
          <w:rFonts w:asciiTheme="minorHAnsi" w:hAnsiTheme="minorHAnsi" w:cstheme="minorHAnsi"/>
        </w:rPr>
        <w:t xml:space="preserve"> </w:t>
      </w:r>
      <w:r w:rsidRPr="00B62CEB" w:rsidR="006D4F74">
        <w:rPr>
          <w:rFonts w:asciiTheme="minorHAnsi" w:hAnsiTheme="minorHAnsi" w:cstheme="minorHAnsi"/>
        </w:rPr>
        <w:t>custodians</w:t>
      </w:r>
      <w:r w:rsidRPr="00B62CEB">
        <w:rPr>
          <w:rFonts w:asciiTheme="minorHAnsi" w:hAnsiTheme="minorHAnsi" w:cstheme="minorHAnsi"/>
        </w:rPr>
        <w:t xml:space="preserve"> to</w:t>
      </w:r>
      <w:r w:rsidRPr="00B62CEB" w:rsidR="00F11D19">
        <w:rPr>
          <w:rFonts w:asciiTheme="minorHAnsi" w:hAnsiTheme="minorHAnsi" w:cstheme="minorHAnsi"/>
        </w:rPr>
        <w:t xml:space="preserve"> determine </w:t>
      </w:r>
      <w:r w:rsidRPr="00B62CEB" w:rsidR="00EC50E5">
        <w:rPr>
          <w:rFonts w:asciiTheme="minorHAnsi" w:hAnsiTheme="minorHAnsi" w:cstheme="minorHAnsi"/>
        </w:rPr>
        <w:t xml:space="preserve">the required minimum distribution for </w:t>
      </w:r>
      <w:r w:rsidRPr="00B62CEB" w:rsidR="007F6DDD">
        <w:rPr>
          <w:rFonts w:asciiTheme="minorHAnsi" w:hAnsiTheme="minorHAnsi" w:cstheme="minorHAnsi"/>
        </w:rPr>
        <w:t xml:space="preserve">a calendar year for </w:t>
      </w:r>
      <w:r w:rsidRPr="00B62CEB" w:rsidR="00743C69">
        <w:rPr>
          <w:rFonts w:asciiTheme="minorHAnsi" w:hAnsiTheme="minorHAnsi" w:cstheme="minorHAnsi"/>
        </w:rPr>
        <w:t>certain</w:t>
      </w:r>
      <w:r w:rsidRPr="00B62CEB" w:rsidR="00EC50E5">
        <w:rPr>
          <w:rFonts w:asciiTheme="minorHAnsi" w:hAnsiTheme="minorHAnsi" w:cstheme="minorHAnsi"/>
        </w:rPr>
        <w:t xml:space="preserve"> </w:t>
      </w:r>
      <w:r w:rsidRPr="00B62CEB" w:rsidR="007F6DDD">
        <w:rPr>
          <w:rFonts w:asciiTheme="minorHAnsi" w:hAnsiTheme="minorHAnsi" w:cstheme="minorHAnsi"/>
        </w:rPr>
        <w:t xml:space="preserve">defined contribution plan </w:t>
      </w:r>
      <w:r w:rsidRPr="00B62CEB" w:rsidR="00743C69">
        <w:rPr>
          <w:rFonts w:asciiTheme="minorHAnsi" w:hAnsiTheme="minorHAnsi" w:cstheme="minorHAnsi"/>
        </w:rPr>
        <w:t>participants</w:t>
      </w:r>
      <w:r w:rsidRPr="00B62CEB" w:rsidR="003313E4">
        <w:rPr>
          <w:rFonts w:asciiTheme="minorHAnsi" w:hAnsiTheme="minorHAnsi" w:cstheme="minorHAnsi"/>
        </w:rPr>
        <w:t xml:space="preserve"> and beneficiaries</w:t>
      </w:r>
      <w:r w:rsidRPr="00B62CEB">
        <w:rPr>
          <w:rFonts w:asciiTheme="minorHAnsi" w:hAnsiTheme="minorHAnsi" w:cstheme="minorHAnsi"/>
        </w:rPr>
        <w:t xml:space="preserve">.                    </w:t>
      </w:r>
    </w:p>
    <w:p w:rsidR="00464E63" w:rsidRPr="00B62CEB" w14:paraId="50D16D87" w14:textId="77777777">
      <w:pPr>
        <w:rPr>
          <w:rFonts w:asciiTheme="minorHAnsi" w:hAnsiTheme="minorHAnsi" w:cstheme="minorHAnsi"/>
        </w:rPr>
      </w:pPr>
      <w:r w:rsidRPr="00B62CEB">
        <w:rPr>
          <w:rFonts w:asciiTheme="minorHAnsi" w:hAnsiTheme="minorHAnsi" w:cstheme="minorHAnsi"/>
        </w:rPr>
        <w:t xml:space="preserve">               </w:t>
      </w:r>
    </w:p>
    <w:p w:rsidR="00464E63" w:rsidRPr="00B62CEB" w14:paraId="0D63AA5D" w14:textId="77777777">
      <w:pPr>
        <w:pStyle w:val="Quick1"/>
        <w:numPr>
          <w:ilvl w:val="0"/>
          <w:numId w:val="2"/>
        </w:numPr>
        <w:tabs>
          <w:tab w:val="left" w:pos="-1440"/>
          <w:tab w:val="num" w:pos="720"/>
        </w:tabs>
        <w:rPr>
          <w:rFonts w:asciiTheme="minorHAnsi" w:hAnsiTheme="minorHAnsi" w:cstheme="minorHAnsi"/>
        </w:rPr>
      </w:pPr>
      <w:r w:rsidRPr="00B62CEB">
        <w:rPr>
          <w:rFonts w:asciiTheme="minorHAnsi" w:hAnsiTheme="minorHAnsi" w:cstheme="minorHAnsi"/>
          <w:u w:val="single"/>
        </w:rPr>
        <w:t>USE OF IMPROVED INFORMATION TECHNOLOGY TO REDUCE BURDEN</w:t>
      </w:r>
    </w:p>
    <w:p w:rsidR="00464E63" w:rsidRPr="00B62CEB" w14:paraId="438B6EDA" w14:textId="77777777">
      <w:pPr>
        <w:rPr>
          <w:rFonts w:asciiTheme="minorHAnsi" w:hAnsiTheme="minorHAnsi" w:cstheme="minorHAnsi"/>
        </w:rPr>
      </w:pPr>
    </w:p>
    <w:p w:rsidR="00464E63" w:rsidRPr="00B62CEB" w14:paraId="57287C75" w14:textId="72DE01EA">
      <w:pPr>
        <w:ind w:left="720"/>
        <w:rPr>
          <w:rFonts w:asciiTheme="minorHAnsi" w:hAnsiTheme="minorHAnsi" w:cstheme="minorHAnsi"/>
        </w:rPr>
      </w:pPr>
      <w:r w:rsidRPr="00B62CEB">
        <w:rPr>
          <w:rFonts w:asciiTheme="minorHAnsi" w:hAnsiTheme="minorHAnsi" w:cstheme="minorHAnsi"/>
        </w:rPr>
        <w:t xml:space="preserve">Electronic collection is not possible because these are third-party disclosures and recordkeeping requirements. </w:t>
      </w:r>
    </w:p>
    <w:p w:rsidR="00AF6041" w:rsidRPr="00B62CEB" w14:paraId="4F63A7DD" w14:textId="77777777">
      <w:pPr>
        <w:rPr>
          <w:rFonts w:asciiTheme="minorHAnsi" w:hAnsiTheme="minorHAnsi" w:cstheme="minorHAnsi"/>
        </w:rPr>
      </w:pPr>
    </w:p>
    <w:p w:rsidR="00464E63" w:rsidRPr="00B62CEB" w14:paraId="3D2B9EA1" w14:textId="77777777">
      <w:pPr>
        <w:pStyle w:val="Quick1"/>
        <w:numPr>
          <w:ilvl w:val="0"/>
          <w:numId w:val="2"/>
        </w:numPr>
        <w:tabs>
          <w:tab w:val="left" w:pos="-1440"/>
          <w:tab w:val="num" w:pos="720"/>
        </w:tabs>
        <w:rPr>
          <w:rFonts w:asciiTheme="minorHAnsi" w:hAnsiTheme="minorHAnsi" w:cstheme="minorHAnsi"/>
        </w:rPr>
      </w:pPr>
      <w:r w:rsidRPr="00B62CEB">
        <w:rPr>
          <w:rFonts w:asciiTheme="minorHAnsi" w:hAnsiTheme="minorHAnsi" w:cstheme="minorHAnsi"/>
          <w:u w:val="single"/>
        </w:rPr>
        <w:t>EFFORTS TO IDENTIFY DUPLICATION</w:t>
      </w:r>
    </w:p>
    <w:p w:rsidR="00464E63" w:rsidRPr="00B62CEB" w14:paraId="4D715C0E" w14:textId="77777777">
      <w:pPr>
        <w:rPr>
          <w:rFonts w:asciiTheme="minorHAnsi" w:hAnsiTheme="minorHAnsi" w:cstheme="minorHAnsi"/>
        </w:rPr>
      </w:pPr>
    </w:p>
    <w:p w:rsidR="00DF5C1F" w:rsidRPr="00B62CEB" w:rsidP="00DF5C1F" w14:paraId="0DE7D5D4" w14:textId="06BA285D">
      <w:pPr>
        <w:pStyle w:val="ListParagraph"/>
        <w:tabs>
          <w:tab w:val="left" w:pos="821"/>
        </w:tabs>
        <w:ind w:left="720" w:firstLine="0"/>
        <w:rPr>
          <w:rFonts w:eastAsia="Times New Roman" w:asciiTheme="minorHAnsi" w:hAnsiTheme="minorHAnsi" w:cstheme="minorHAnsi"/>
          <w:sz w:val="24"/>
          <w:szCs w:val="24"/>
          <w:lang w:bidi="ar-SA"/>
        </w:rPr>
      </w:pPr>
      <w:r w:rsidRPr="00B62CEB">
        <w:rPr>
          <w:rFonts w:eastAsia="Times New Roman" w:asciiTheme="minorHAnsi" w:hAnsiTheme="minorHAnsi" w:cstheme="minorHAnsi"/>
          <w:sz w:val="24"/>
          <w:szCs w:val="24"/>
          <w:lang w:bidi="ar-SA"/>
        </w:rPr>
        <w:t xml:space="preserve">The IRS is the only Agency with the authority to require this information; therefore, it is not duplicated elsewhere in the Federal government. </w:t>
      </w:r>
    </w:p>
    <w:p w:rsidR="00464E63" w:rsidRPr="00B62CEB" w14:paraId="4CF59F0F" w14:textId="77777777">
      <w:pPr>
        <w:rPr>
          <w:rFonts w:asciiTheme="minorHAnsi" w:hAnsiTheme="minorHAnsi" w:cstheme="minorHAnsi"/>
        </w:rPr>
      </w:pPr>
    </w:p>
    <w:p w:rsidR="0078472C" w:rsidRPr="00B62CEB" w14:paraId="05E3E1B0" w14:textId="77777777">
      <w:pPr>
        <w:rPr>
          <w:rFonts w:asciiTheme="minorHAnsi" w:hAnsiTheme="minorHAnsi" w:cstheme="minorHAnsi"/>
        </w:rPr>
        <w:sectPr w:rsidSect="00563C52">
          <w:headerReference w:type="default" r:id="rId6"/>
          <w:pgSz w:w="12240" w:h="15840"/>
          <w:pgMar w:top="1440" w:right="1440" w:bottom="1440" w:left="1419" w:header="1440" w:footer="1440" w:gutter="0"/>
          <w:cols w:space="720"/>
          <w:noEndnote/>
          <w:titlePg/>
          <w:docGrid w:linePitch="326"/>
        </w:sectPr>
      </w:pPr>
    </w:p>
    <w:p w:rsidR="00464E63" w:rsidRPr="00B62CEB" w14:paraId="1255CB3F" w14:textId="6186DFB9">
      <w:pPr>
        <w:tabs>
          <w:tab w:val="left" w:pos="-1440"/>
        </w:tabs>
        <w:ind w:left="720" w:hanging="720"/>
        <w:rPr>
          <w:rFonts w:asciiTheme="minorHAnsi" w:hAnsiTheme="minorHAnsi" w:cstheme="minorHAnsi"/>
        </w:rPr>
      </w:pPr>
      <w:r w:rsidRPr="00B62CEB">
        <w:rPr>
          <w:rFonts w:asciiTheme="minorHAnsi" w:hAnsiTheme="minorHAnsi" w:cstheme="minorHAnsi"/>
        </w:rPr>
        <w:t>5.</w:t>
      </w:r>
      <w:r w:rsidRPr="00B62CEB">
        <w:rPr>
          <w:rFonts w:asciiTheme="minorHAnsi" w:hAnsiTheme="minorHAnsi" w:cstheme="minorHAnsi"/>
        </w:rPr>
        <w:tab/>
      </w:r>
      <w:r w:rsidRPr="00B62CEB">
        <w:rPr>
          <w:rFonts w:asciiTheme="minorHAnsi" w:hAnsiTheme="minorHAnsi" w:cstheme="minorHAnsi"/>
          <w:u w:val="single"/>
        </w:rPr>
        <w:t>METHODS TO MINIMIZE BURDEN ON SMALL BUSINESSES OR OTHER</w:t>
      </w:r>
      <w:r w:rsidR="00D06B7E">
        <w:rPr>
          <w:rFonts w:asciiTheme="minorHAnsi" w:hAnsiTheme="minorHAnsi" w:cstheme="minorHAnsi"/>
          <w:u w:val="single"/>
        </w:rPr>
        <w:t xml:space="preserve"> </w:t>
      </w:r>
      <w:r w:rsidRPr="00B62CEB">
        <w:rPr>
          <w:rFonts w:asciiTheme="minorHAnsi" w:hAnsiTheme="minorHAnsi" w:cstheme="minorHAnsi"/>
          <w:u w:val="single"/>
        </w:rPr>
        <w:t>SMALL ENTITIES</w:t>
      </w:r>
    </w:p>
    <w:p w:rsidR="00464E63" w:rsidRPr="00B62CEB" w14:paraId="0062ED1B" w14:textId="77777777">
      <w:pPr>
        <w:rPr>
          <w:rFonts w:asciiTheme="minorHAnsi" w:hAnsiTheme="minorHAnsi" w:cstheme="minorHAnsi"/>
        </w:rPr>
      </w:pPr>
    </w:p>
    <w:p w:rsidR="00DF5C1F" w:rsidRPr="00B62CEB" w:rsidP="00DF5C1F" w14:paraId="65267777" w14:textId="77777777">
      <w:pPr>
        <w:pStyle w:val="ListParagraph"/>
        <w:spacing w:line="259" w:lineRule="auto"/>
        <w:ind w:left="720" w:right="158" w:firstLine="0"/>
        <w:rPr>
          <w:rFonts w:eastAsia="Times New Roman" w:asciiTheme="minorHAnsi" w:hAnsiTheme="minorHAnsi" w:cstheme="minorHAnsi"/>
          <w:sz w:val="24"/>
          <w:szCs w:val="24"/>
          <w:lang w:bidi="ar-SA"/>
        </w:rPr>
      </w:pPr>
      <w:r w:rsidRPr="00B62CEB">
        <w:rPr>
          <w:rFonts w:eastAsia="Times New Roman" w:asciiTheme="minorHAnsi" w:hAnsiTheme="minorHAnsi" w:cstheme="minorHAnsi"/>
          <w:sz w:val="24"/>
          <w:szCs w:val="24"/>
          <w:lang w:bidi="ar-SA"/>
        </w:rPr>
        <w:t xml:space="preserve">There is no burden on small businesses or other small entities due to the inapplicability of the authorizing statute to these entities. </w:t>
      </w:r>
    </w:p>
    <w:p w:rsidR="0078472C" w:rsidRPr="00B62CEB" w14:paraId="18797FAF" w14:textId="77777777">
      <w:pPr>
        <w:ind w:left="720"/>
        <w:rPr>
          <w:rFonts w:asciiTheme="minorHAnsi" w:hAnsiTheme="minorHAnsi" w:cstheme="minorHAnsi"/>
        </w:rPr>
      </w:pPr>
    </w:p>
    <w:p w:rsidR="00464E63" w:rsidRPr="00B62CEB" w:rsidP="00D06B7E" w14:paraId="08241D3E" w14:textId="37893A88">
      <w:pPr>
        <w:ind w:left="720" w:hanging="720"/>
        <w:rPr>
          <w:rFonts w:asciiTheme="minorHAnsi" w:hAnsiTheme="minorHAnsi" w:cstheme="minorHAnsi"/>
        </w:rPr>
      </w:pPr>
      <w:r w:rsidRPr="00B62CEB">
        <w:rPr>
          <w:rFonts w:asciiTheme="minorHAnsi" w:hAnsiTheme="minorHAnsi" w:cstheme="minorHAnsi"/>
        </w:rPr>
        <w:t>6.</w:t>
      </w:r>
      <w:r w:rsidRPr="00B62CEB">
        <w:rPr>
          <w:rFonts w:asciiTheme="minorHAnsi" w:hAnsiTheme="minorHAnsi" w:cstheme="minorHAnsi"/>
        </w:rPr>
        <w:tab/>
      </w:r>
      <w:r w:rsidRPr="00B62CEB">
        <w:rPr>
          <w:rFonts w:asciiTheme="minorHAnsi" w:hAnsiTheme="minorHAnsi" w:cstheme="minorHAnsi"/>
          <w:u w:val="single"/>
        </w:rPr>
        <w:t>CONSEQUENCES OF LESS FREQUENT COLLECTION ON FEDERAL</w:t>
      </w:r>
      <w:r w:rsidR="00D06B7E">
        <w:rPr>
          <w:rFonts w:asciiTheme="minorHAnsi" w:hAnsiTheme="minorHAnsi" w:cstheme="minorHAnsi"/>
          <w:u w:val="single"/>
        </w:rPr>
        <w:t xml:space="preserve"> </w:t>
      </w:r>
      <w:r w:rsidRPr="00B62CEB">
        <w:rPr>
          <w:rFonts w:asciiTheme="minorHAnsi" w:hAnsiTheme="minorHAnsi" w:cstheme="minorHAnsi"/>
          <w:u w:val="single"/>
        </w:rPr>
        <w:t>PROGRAMS OR POLICY ACTIVITIES</w:t>
      </w:r>
    </w:p>
    <w:p w:rsidR="00464E63" w:rsidRPr="00B62CEB" w14:paraId="6C827DA1" w14:textId="77777777">
      <w:pPr>
        <w:rPr>
          <w:rFonts w:asciiTheme="minorHAnsi" w:hAnsiTheme="minorHAnsi" w:cstheme="minorHAnsi"/>
        </w:rPr>
      </w:pPr>
    </w:p>
    <w:p w:rsidR="00DF5C1F" w:rsidRPr="00B62CEB" w:rsidP="00DF5C1F" w14:paraId="2B60A96F" w14:textId="37165FE3">
      <w:pPr>
        <w:pStyle w:val="ListParagraph"/>
        <w:spacing w:line="259" w:lineRule="auto"/>
        <w:ind w:left="720" w:right="158" w:firstLine="0"/>
        <w:rPr>
          <w:rFonts w:eastAsia="Times New Roman" w:asciiTheme="minorHAnsi" w:hAnsiTheme="minorHAnsi" w:cstheme="minorHAnsi"/>
          <w:sz w:val="24"/>
          <w:szCs w:val="24"/>
          <w:lang w:bidi="ar-SA"/>
        </w:rPr>
      </w:pPr>
      <w:r w:rsidRPr="00B62CEB">
        <w:rPr>
          <w:rFonts w:eastAsia="Times New Roman" w:asciiTheme="minorHAnsi" w:hAnsiTheme="minorHAnsi" w:cstheme="minorHAnsi"/>
          <w:sz w:val="24"/>
          <w:szCs w:val="24"/>
          <w:lang w:bidi="ar-SA"/>
        </w:rPr>
        <w:t xml:space="preserve">Consequences of less frequent collection would result in the IRS being unable to verify </w:t>
      </w:r>
      <w:r w:rsidRPr="00B62CEB" w:rsidR="008C22BD">
        <w:rPr>
          <w:rFonts w:eastAsia="Times New Roman" w:asciiTheme="minorHAnsi" w:hAnsiTheme="minorHAnsi" w:cstheme="minorHAnsi"/>
          <w:sz w:val="24"/>
          <w:szCs w:val="24"/>
          <w:lang w:bidi="ar-SA"/>
        </w:rPr>
        <w:t xml:space="preserve">that a qualified plan has satisfied the RMD requirements for a plan year, </w:t>
      </w:r>
      <w:r w:rsidRPr="00B62CEB">
        <w:rPr>
          <w:rFonts w:eastAsia="Times New Roman" w:asciiTheme="minorHAnsi" w:hAnsiTheme="minorHAnsi" w:cstheme="minorHAnsi"/>
          <w:sz w:val="24"/>
          <w:szCs w:val="24"/>
          <w:lang w:bidi="ar-SA"/>
        </w:rPr>
        <w:t>thereby jeopardizing the ability of the IRS to meet its mission.</w:t>
      </w:r>
    </w:p>
    <w:p w:rsidR="00464E63" w:rsidRPr="00B62CEB" w14:paraId="4699D79E" w14:textId="77777777">
      <w:pPr>
        <w:rPr>
          <w:rFonts w:asciiTheme="minorHAnsi" w:hAnsiTheme="minorHAnsi" w:cstheme="minorHAnsi"/>
        </w:rPr>
      </w:pPr>
    </w:p>
    <w:p w:rsidR="00464E63" w:rsidRPr="00B62CEB" w14:paraId="16F19521" w14:textId="04DE69B1">
      <w:pPr>
        <w:tabs>
          <w:tab w:val="left" w:pos="-1440"/>
        </w:tabs>
        <w:ind w:left="720" w:hanging="720"/>
        <w:rPr>
          <w:rFonts w:asciiTheme="minorHAnsi" w:hAnsiTheme="minorHAnsi" w:cstheme="minorHAnsi"/>
        </w:rPr>
      </w:pPr>
      <w:r w:rsidRPr="00B62CEB">
        <w:rPr>
          <w:rFonts w:asciiTheme="minorHAnsi" w:hAnsiTheme="minorHAnsi" w:cstheme="minorHAnsi"/>
        </w:rPr>
        <w:t>7.</w:t>
      </w:r>
      <w:r w:rsidRPr="00B62CEB">
        <w:rPr>
          <w:rFonts w:asciiTheme="minorHAnsi" w:hAnsiTheme="minorHAnsi" w:cstheme="minorHAnsi"/>
        </w:rPr>
        <w:tab/>
      </w:r>
      <w:r w:rsidRPr="00B62CEB">
        <w:rPr>
          <w:rFonts w:asciiTheme="minorHAnsi" w:hAnsiTheme="minorHAnsi" w:cstheme="minorHAnsi"/>
          <w:u w:val="single"/>
        </w:rPr>
        <w:t>SPECIAL CIRCUMSTANCES REQUIRING DATA COLLECTION TO BE</w:t>
      </w:r>
      <w:r w:rsidR="00D06B7E">
        <w:rPr>
          <w:rFonts w:asciiTheme="minorHAnsi" w:hAnsiTheme="minorHAnsi" w:cstheme="minorHAnsi"/>
          <w:u w:val="single"/>
        </w:rPr>
        <w:t xml:space="preserve"> </w:t>
      </w:r>
      <w:r w:rsidRPr="00B62CEB">
        <w:rPr>
          <w:rFonts w:asciiTheme="minorHAnsi" w:hAnsiTheme="minorHAnsi" w:cstheme="minorHAnsi"/>
          <w:u w:val="single"/>
        </w:rPr>
        <w:t>INCONSISTENT WITH GUIDELINES IN 5 CFR 1320.5(d)(2)</w:t>
      </w:r>
    </w:p>
    <w:p w:rsidR="00464E63" w:rsidRPr="00B62CEB" w14:paraId="4CF2C677" w14:textId="77777777">
      <w:pPr>
        <w:rPr>
          <w:rFonts w:asciiTheme="minorHAnsi" w:hAnsiTheme="minorHAnsi" w:cstheme="minorHAnsi"/>
        </w:rPr>
      </w:pPr>
    </w:p>
    <w:p w:rsidR="00DF5C1F" w:rsidRPr="00B62CEB" w:rsidP="00DF5C1F" w14:paraId="1B7FB789" w14:textId="77777777">
      <w:pPr>
        <w:pStyle w:val="ListParagraph"/>
        <w:spacing w:before="0" w:line="276" w:lineRule="auto"/>
        <w:ind w:left="720" w:firstLine="0"/>
        <w:contextualSpacing/>
        <w:rPr>
          <w:rFonts w:eastAsia="Times New Roman" w:asciiTheme="minorHAnsi" w:hAnsiTheme="minorHAnsi" w:cstheme="minorHAnsi"/>
          <w:sz w:val="24"/>
          <w:szCs w:val="24"/>
          <w:lang w:bidi="ar-SA"/>
        </w:rPr>
      </w:pPr>
      <w:r w:rsidRPr="00B62CEB">
        <w:rPr>
          <w:rFonts w:eastAsia="Times New Roman" w:asciiTheme="minorHAnsi" w:hAnsiTheme="minorHAnsi" w:cstheme="minorHAnsi"/>
          <w:sz w:val="24"/>
          <w:szCs w:val="24"/>
          <w:lang w:bidi="ar-SA"/>
        </w:rPr>
        <w:t>There are no special circumstances requiring data collection to be inconsistent with Guidelines in 5 CFR 1320.5(d)(2).</w:t>
      </w:r>
    </w:p>
    <w:p w:rsidR="00464E63" w:rsidRPr="00B62CEB" w14:paraId="62C13B4E" w14:textId="77777777">
      <w:pPr>
        <w:rPr>
          <w:rFonts w:asciiTheme="minorHAnsi" w:hAnsiTheme="minorHAnsi" w:cstheme="minorHAnsi"/>
        </w:rPr>
      </w:pPr>
    </w:p>
    <w:p w:rsidR="00464E63" w:rsidRPr="00B62CEB" w14:paraId="2A0D13ED" w14:textId="62891134">
      <w:pPr>
        <w:pStyle w:val="Quick1"/>
        <w:numPr>
          <w:ilvl w:val="0"/>
          <w:numId w:val="3"/>
        </w:numPr>
        <w:tabs>
          <w:tab w:val="left" w:pos="-1440"/>
          <w:tab w:val="num" w:pos="720"/>
        </w:tabs>
        <w:rPr>
          <w:rFonts w:asciiTheme="minorHAnsi" w:hAnsiTheme="minorHAnsi" w:cstheme="minorHAnsi"/>
        </w:rPr>
      </w:pPr>
      <w:r w:rsidRPr="00B62CEB">
        <w:rPr>
          <w:rFonts w:asciiTheme="minorHAnsi" w:hAnsiTheme="minorHAnsi" w:cstheme="minorHAnsi"/>
          <w:u w:val="single"/>
        </w:rPr>
        <w:t>CONSULTATION WITH INDIVIDUALS OUTSIDE OF THE AGENCY ON</w:t>
      </w:r>
      <w:r w:rsidR="00D06B7E">
        <w:rPr>
          <w:rFonts w:asciiTheme="minorHAnsi" w:hAnsiTheme="minorHAnsi" w:cstheme="minorHAnsi"/>
          <w:u w:val="single"/>
        </w:rPr>
        <w:t xml:space="preserve"> </w:t>
      </w:r>
      <w:r w:rsidRPr="00B62CEB">
        <w:rPr>
          <w:rFonts w:asciiTheme="minorHAnsi" w:hAnsiTheme="minorHAnsi" w:cstheme="minorHAnsi"/>
          <w:u w:val="single"/>
        </w:rPr>
        <w:t>AVAILABILITY OF DATA, FREQUENCY OF COLLECTION, CLARITY OF INSTRUCTIONS AND FORMS, AND DATA ELEMENTS</w:t>
      </w:r>
    </w:p>
    <w:p w:rsidR="00464E63" w:rsidP="004617CD" w14:paraId="52C236D9" w14:textId="584E04C9">
      <w:pPr>
        <w:ind w:left="720"/>
        <w:rPr>
          <w:rFonts w:asciiTheme="minorHAnsi" w:hAnsiTheme="minorHAnsi" w:cstheme="minorHAnsi"/>
        </w:rPr>
      </w:pPr>
      <w:r w:rsidRPr="004617CD">
        <w:rPr>
          <w:rFonts w:asciiTheme="minorHAnsi" w:hAnsiTheme="minorHAnsi" w:cstheme="minorHAnsi"/>
        </w:rPr>
        <w:t>Periodic meetings are held between IRS personnel and representatives of professional groups to discuss tax law and tax forms. During these meetings, there will be an opportunity for those attending to make comments regarding the proposed § 401(a)(9).</w:t>
      </w:r>
    </w:p>
    <w:p w:rsidR="004617CD" w:rsidRPr="00B62CEB" w:rsidP="004617CD" w14:paraId="25980CDE" w14:textId="77777777">
      <w:pPr>
        <w:ind w:left="720"/>
        <w:rPr>
          <w:rFonts w:asciiTheme="minorHAnsi" w:hAnsiTheme="minorHAnsi" w:cstheme="minorHAnsi"/>
        </w:rPr>
      </w:pPr>
    </w:p>
    <w:p w:rsidR="004617CD" w:rsidP="00DF5C1F" w14:paraId="4845B7F4" w14:textId="35AEE063">
      <w:pPr>
        <w:ind w:left="720"/>
        <w:rPr>
          <w:rFonts w:asciiTheme="minorHAnsi" w:hAnsiTheme="minorHAnsi" w:cstheme="minorHAnsi"/>
        </w:rPr>
      </w:pPr>
      <w:r w:rsidRPr="004617CD">
        <w:rPr>
          <w:rFonts w:asciiTheme="minorHAnsi" w:hAnsiTheme="minorHAnsi" w:cstheme="minorHAnsi"/>
        </w:rPr>
        <w:t>Additionally, proposed regulation, REG-1</w:t>
      </w:r>
      <w:r>
        <w:rPr>
          <w:rFonts w:asciiTheme="minorHAnsi" w:hAnsiTheme="minorHAnsi" w:cstheme="minorHAnsi"/>
        </w:rPr>
        <w:t>03529</w:t>
      </w:r>
      <w:r w:rsidRPr="004617CD">
        <w:rPr>
          <w:rFonts w:asciiTheme="minorHAnsi" w:hAnsiTheme="minorHAnsi" w:cstheme="minorHAnsi"/>
        </w:rPr>
        <w:t xml:space="preserve">-23, published Month </w:t>
      </w:r>
      <w:r>
        <w:rPr>
          <w:rFonts w:asciiTheme="minorHAnsi" w:hAnsiTheme="minorHAnsi" w:cstheme="minorHAnsi"/>
        </w:rPr>
        <w:t>July 19, 2024,</w:t>
      </w:r>
      <w:r w:rsidRPr="004617CD">
        <w:rPr>
          <w:rFonts w:asciiTheme="minorHAnsi" w:hAnsiTheme="minorHAnsi" w:cstheme="minorHAnsi"/>
        </w:rPr>
        <w:t xml:space="preserve"> at </w:t>
      </w:r>
      <w:r>
        <w:rPr>
          <w:rFonts w:asciiTheme="minorHAnsi" w:hAnsiTheme="minorHAnsi" w:cstheme="minorHAnsi"/>
        </w:rPr>
        <w:t>89</w:t>
      </w:r>
      <w:r w:rsidRPr="004617CD">
        <w:rPr>
          <w:rFonts w:asciiTheme="minorHAnsi" w:hAnsiTheme="minorHAnsi" w:cstheme="minorHAnsi"/>
        </w:rPr>
        <w:t xml:space="preserve"> FR </w:t>
      </w:r>
      <w:r>
        <w:rPr>
          <w:rFonts w:asciiTheme="minorHAnsi" w:hAnsiTheme="minorHAnsi" w:cstheme="minorHAnsi"/>
        </w:rPr>
        <w:t>58644</w:t>
      </w:r>
      <w:r w:rsidRPr="004617CD">
        <w:rPr>
          <w:rFonts w:asciiTheme="minorHAnsi" w:hAnsiTheme="minorHAnsi" w:cstheme="minorHAnsi"/>
        </w:rPr>
        <w:t xml:space="preserve">, requested public comments and recommendations on the information collections.  Any comments received on the information collections will be addressed within the Final Rule submission. </w:t>
      </w:r>
    </w:p>
    <w:p w:rsidR="00464E63" w:rsidRPr="00B62CEB" w:rsidP="00DF5C1F" w14:paraId="128FDD23" w14:textId="1F603108">
      <w:pPr>
        <w:ind w:left="720"/>
        <w:rPr>
          <w:rFonts w:asciiTheme="minorHAnsi" w:hAnsiTheme="minorHAnsi" w:cstheme="minorHAnsi"/>
          <w:bCs/>
        </w:rPr>
      </w:pPr>
      <w:r w:rsidRPr="00B62CEB">
        <w:rPr>
          <w:rFonts w:asciiTheme="minorHAnsi" w:hAnsiTheme="minorHAnsi" w:cstheme="minorHAnsi"/>
          <w:bCs/>
        </w:rPr>
        <w:t xml:space="preserve">  </w:t>
      </w:r>
    </w:p>
    <w:p w:rsidR="00464E63" w:rsidRPr="00B62CEB" w14:paraId="34234EAC" w14:textId="43D7BA51">
      <w:pPr>
        <w:pStyle w:val="Quick1"/>
        <w:numPr>
          <w:ilvl w:val="0"/>
          <w:numId w:val="3"/>
        </w:numPr>
        <w:tabs>
          <w:tab w:val="left" w:pos="-1440"/>
          <w:tab w:val="num" w:pos="720"/>
        </w:tabs>
        <w:rPr>
          <w:rFonts w:asciiTheme="minorHAnsi" w:hAnsiTheme="minorHAnsi" w:cstheme="minorHAnsi"/>
        </w:rPr>
      </w:pPr>
      <w:r w:rsidRPr="00B62CEB">
        <w:rPr>
          <w:rFonts w:asciiTheme="minorHAnsi" w:hAnsiTheme="minorHAnsi" w:cstheme="minorHAnsi"/>
          <w:u w:val="single"/>
        </w:rPr>
        <w:t>EXPLANATION OF DECISION TO PROVIDE ANY PAYMENT OR GIFT TO</w:t>
      </w:r>
      <w:r w:rsidR="00D06B7E">
        <w:rPr>
          <w:rFonts w:asciiTheme="minorHAnsi" w:hAnsiTheme="minorHAnsi" w:cstheme="minorHAnsi"/>
          <w:u w:val="single"/>
        </w:rPr>
        <w:t xml:space="preserve"> </w:t>
      </w:r>
      <w:r w:rsidRPr="00B62CEB">
        <w:rPr>
          <w:rFonts w:asciiTheme="minorHAnsi" w:hAnsiTheme="minorHAnsi" w:cstheme="minorHAnsi"/>
          <w:u w:val="single"/>
        </w:rPr>
        <w:t>RESPONDENTS</w:t>
      </w:r>
    </w:p>
    <w:p w:rsidR="00464E63" w:rsidRPr="00B62CEB" w14:paraId="498DF6D9" w14:textId="77777777">
      <w:pPr>
        <w:rPr>
          <w:rFonts w:asciiTheme="minorHAnsi" w:hAnsiTheme="minorHAnsi" w:cstheme="minorHAnsi"/>
        </w:rPr>
      </w:pPr>
    </w:p>
    <w:p w:rsidR="00DF5C1F" w:rsidRPr="00B62CEB" w:rsidP="00DF5C1F" w14:paraId="2D6FBBEE" w14:textId="77777777">
      <w:pPr>
        <w:pStyle w:val="ListParagraph"/>
        <w:spacing w:before="0" w:line="276" w:lineRule="auto"/>
        <w:ind w:left="720" w:firstLine="0"/>
        <w:contextualSpacing/>
        <w:rPr>
          <w:rFonts w:eastAsia="Times New Roman" w:asciiTheme="minorHAnsi" w:hAnsiTheme="minorHAnsi" w:cstheme="minorHAnsi"/>
          <w:sz w:val="24"/>
          <w:szCs w:val="24"/>
          <w:lang w:bidi="ar-SA"/>
        </w:rPr>
      </w:pPr>
      <w:r w:rsidRPr="00B62CEB">
        <w:rPr>
          <w:rFonts w:eastAsia="Times New Roman" w:asciiTheme="minorHAnsi" w:hAnsiTheme="minorHAnsi" w:cstheme="minorHAnsi"/>
          <w:sz w:val="24"/>
          <w:szCs w:val="24"/>
          <w:lang w:bidi="ar-SA"/>
        </w:rPr>
        <w:t>No payment or gift has been provided to any respondents.</w:t>
      </w:r>
    </w:p>
    <w:p w:rsidR="00464E63" w:rsidRPr="00B62CEB" w14:paraId="50002047" w14:textId="77777777">
      <w:pPr>
        <w:rPr>
          <w:rFonts w:asciiTheme="minorHAnsi" w:hAnsiTheme="minorHAnsi" w:cstheme="minorHAnsi"/>
        </w:rPr>
      </w:pPr>
    </w:p>
    <w:p w:rsidR="00464E63" w:rsidRPr="00B62CEB" w14:paraId="2FE314A4" w14:textId="77777777">
      <w:pPr>
        <w:tabs>
          <w:tab w:val="left" w:pos="-1440"/>
        </w:tabs>
        <w:ind w:left="720" w:hanging="720"/>
        <w:rPr>
          <w:rFonts w:asciiTheme="minorHAnsi" w:hAnsiTheme="minorHAnsi" w:cstheme="minorHAnsi"/>
        </w:rPr>
      </w:pPr>
      <w:r w:rsidRPr="00B62CEB">
        <w:rPr>
          <w:rFonts w:asciiTheme="minorHAnsi" w:hAnsiTheme="minorHAnsi" w:cstheme="minorHAnsi"/>
        </w:rPr>
        <w:t>10.</w:t>
      </w:r>
      <w:r w:rsidRPr="00B62CEB">
        <w:rPr>
          <w:rFonts w:asciiTheme="minorHAnsi" w:hAnsiTheme="minorHAnsi" w:cstheme="minorHAnsi"/>
        </w:rPr>
        <w:tab/>
      </w:r>
      <w:r w:rsidRPr="00B62CEB">
        <w:rPr>
          <w:rFonts w:asciiTheme="minorHAnsi" w:hAnsiTheme="minorHAnsi" w:cstheme="minorHAnsi"/>
          <w:u w:val="single"/>
        </w:rPr>
        <w:t>ASSURANCE OF CONFIDENTIALITY OF RESPONSES</w:t>
      </w:r>
    </w:p>
    <w:p w:rsidR="00464E63" w:rsidRPr="00B62CEB" w14:paraId="359BB10B" w14:textId="77777777">
      <w:pPr>
        <w:rPr>
          <w:rFonts w:asciiTheme="minorHAnsi" w:hAnsiTheme="minorHAnsi" w:cstheme="minorHAnsi"/>
        </w:rPr>
      </w:pPr>
    </w:p>
    <w:p w:rsidR="00464E63" w:rsidRPr="00B62CEB" w14:paraId="30E3C831" w14:textId="77777777">
      <w:pPr>
        <w:ind w:left="720"/>
        <w:rPr>
          <w:rFonts w:asciiTheme="minorHAnsi" w:hAnsiTheme="minorHAnsi" w:cstheme="minorHAnsi"/>
        </w:rPr>
      </w:pPr>
      <w:r w:rsidRPr="00B62CEB">
        <w:rPr>
          <w:rFonts w:asciiTheme="minorHAnsi" w:hAnsiTheme="minorHAnsi" w:cstheme="minorHAnsi"/>
        </w:rPr>
        <w:t>Generally, tax returns and tax return information are confidential as required by 26 USC 6103.</w:t>
      </w:r>
    </w:p>
    <w:p w:rsidR="00464E63" w:rsidRPr="00B62CEB" w14:paraId="2D83C76F" w14:textId="77777777">
      <w:pPr>
        <w:rPr>
          <w:rFonts w:asciiTheme="minorHAnsi" w:hAnsiTheme="minorHAnsi" w:cstheme="minorHAnsi"/>
        </w:rPr>
      </w:pPr>
    </w:p>
    <w:p w:rsidR="00464E63" w:rsidRPr="00B62CEB" w14:paraId="3386B9AD" w14:textId="77777777">
      <w:pPr>
        <w:pStyle w:val="Quick1"/>
        <w:numPr>
          <w:ilvl w:val="0"/>
          <w:numId w:val="4"/>
        </w:numPr>
        <w:tabs>
          <w:tab w:val="left" w:pos="-1440"/>
          <w:tab w:val="num" w:pos="720"/>
        </w:tabs>
        <w:rPr>
          <w:rFonts w:asciiTheme="minorHAnsi" w:hAnsiTheme="minorHAnsi" w:cstheme="minorHAnsi"/>
          <w:u w:val="single"/>
        </w:rPr>
      </w:pPr>
      <w:r w:rsidRPr="00B62CEB">
        <w:rPr>
          <w:rFonts w:asciiTheme="minorHAnsi" w:hAnsiTheme="minorHAnsi" w:cstheme="minorHAnsi"/>
          <w:u w:val="single"/>
        </w:rPr>
        <w:t>JUSTIFICATION OF SENSITIVE QUESTIONS</w:t>
      </w:r>
    </w:p>
    <w:p w:rsidR="00464E63" w:rsidRPr="00B62CEB" w14:paraId="528DFF35" w14:textId="77777777">
      <w:pPr>
        <w:rPr>
          <w:rFonts w:asciiTheme="minorHAnsi" w:hAnsiTheme="minorHAnsi" w:cstheme="minorHAnsi"/>
          <w:u w:val="single"/>
        </w:rPr>
      </w:pPr>
    </w:p>
    <w:p w:rsidR="00DF5C1F" w:rsidRPr="00B62CEB" w:rsidP="00DF5C1F" w14:paraId="6AF928E4" w14:textId="06A0B048">
      <w:pPr>
        <w:pStyle w:val="ListParagraph"/>
        <w:spacing w:before="0" w:line="276" w:lineRule="auto"/>
        <w:ind w:left="720" w:firstLine="0"/>
        <w:contextualSpacing/>
        <w:rPr>
          <w:rFonts w:eastAsia="Times New Roman" w:asciiTheme="minorHAnsi" w:hAnsiTheme="minorHAnsi" w:cstheme="minorHAnsi"/>
          <w:sz w:val="24"/>
          <w:szCs w:val="24"/>
          <w:lang w:bidi="ar-SA"/>
        </w:rPr>
      </w:pPr>
      <w:r w:rsidRPr="00B62CEB">
        <w:rPr>
          <w:rFonts w:eastAsia="Times New Roman" w:asciiTheme="minorHAnsi" w:hAnsiTheme="minorHAnsi" w:cstheme="minorHAnsi"/>
          <w:sz w:val="24"/>
          <w:szCs w:val="24"/>
          <w:lang w:bidi="ar-SA"/>
        </w:rPr>
        <w:t>There is no Personally Identifiable Information (PII) collected. Therefore, this collection is not impacted by the Privacy Act and does not require a Privacy Impact Assessment (PIA) or System of Records Notice (SORN).</w:t>
      </w:r>
    </w:p>
    <w:p w:rsidR="00464E63" w:rsidRPr="00B62CEB" w:rsidP="00DF5C1F" w14:paraId="715D8AEB" w14:textId="45CB6109">
      <w:pPr>
        <w:ind w:left="705"/>
        <w:rPr>
          <w:rFonts w:asciiTheme="minorHAnsi" w:hAnsiTheme="minorHAnsi" w:cstheme="minorHAnsi"/>
        </w:rPr>
        <w:sectPr>
          <w:headerReference w:type="default" r:id="rId7"/>
          <w:type w:val="continuous"/>
          <w:pgSz w:w="12240" w:h="15840"/>
          <w:pgMar w:top="1440" w:right="1440" w:bottom="1440" w:left="1419" w:header="1440" w:footer="1440" w:gutter="0"/>
          <w:cols w:space="720"/>
          <w:noEndnote/>
        </w:sectPr>
      </w:pPr>
    </w:p>
    <w:p w:rsidR="00464E63" w:rsidRPr="00B62CEB" w14:paraId="2CA75F92" w14:textId="77777777">
      <w:pPr>
        <w:rPr>
          <w:rFonts w:asciiTheme="minorHAnsi" w:hAnsiTheme="minorHAnsi" w:cstheme="minorHAnsi"/>
        </w:rPr>
      </w:pPr>
    </w:p>
    <w:p w:rsidR="00464E63" w:rsidRPr="00B62CEB" w14:paraId="2C0A23CE" w14:textId="77777777">
      <w:pPr>
        <w:tabs>
          <w:tab w:val="left" w:pos="-1440"/>
        </w:tabs>
        <w:ind w:left="720" w:hanging="720"/>
        <w:rPr>
          <w:rFonts w:asciiTheme="minorHAnsi" w:hAnsiTheme="minorHAnsi" w:cstheme="minorHAnsi"/>
          <w:u w:val="single"/>
        </w:rPr>
      </w:pPr>
      <w:r w:rsidRPr="00B62CEB">
        <w:rPr>
          <w:rFonts w:asciiTheme="minorHAnsi" w:hAnsiTheme="minorHAnsi" w:cstheme="minorHAnsi"/>
        </w:rPr>
        <w:t>12.</w:t>
      </w:r>
      <w:r w:rsidRPr="00B62CEB">
        <w:rPr>
          <w:rFonts w:asciiTheme="minorHAnsi" w:hAnsiTheme="minorHAnsi" w:cstheme="minorHAnsi"/>
        </w:rPr>
        <w:tab/>
      </w:r>
      <w:r w:rsidRPr="00B62CEB">
        <w:rPr>
          <w:rFonts w:asciiTheme="minorHAnsi" w:hAnsiTheme="minorHAnsi" w:cstheme="minorHAnsi"/>
          <w:u w:val="single"/>
        </w:rPr>
        <w:t>ESTIMATED BURDEN OF INFORMATION COLLECTION</w:t>
      </w:r>
    </w:p>
    <w:p w:rsidR="00464E63" w:rsidRPr="00B62CEB" w14:paraId="1C0C5F6B" w14:textId="77777777">
      <w:pPr>
        <w:rPr>
          <w:rFonts w:asciiTheme="minorHAnsi" w:hAnsiTheme="minorHAnsi" w:cstheme="minorHAnsi"/>
        </w:rPr>
      </w:pPr>
    </w:p>
    <w:p w:rsidR="00601C92" w:rsidRPr="00B62CEB" w:rsidP="00601C92" w14:paraId="3C412A66" w14:textId="73A49CC3">
      <w:pPr>
        <w:ind w:left="720"/>
        <w:rPr>
          <w:rFonts w:asciiTheme="minorHAnsi" w:hAnsiTheme="minorHAnsi" w:cstheme="minorHAnsi"/>
        </w:rPr>
      </w:pPr>
      <w:r w:rsidRPr="00B62CEB">
        <w:rPr>
          <w:rFonts w:asciiTheme="minorHAnsi" w:hAnsiTheme="minorHAnsi" w:cstheme="minorHAnsi"/>
        </w:rPr>
        <w:t xml:space="preserve">The collections of information required by this notice are in </w:t>
      </w:r>
      <w:r w:rsidR="000E2A0E">
        <w:rPr>
          <w:rFonts w:asciiTheme="minorHAnsi" w:hAnsiTheme="minorHAnsi" w:cstheme="minorHAnsi"/>
        </w:rPr>
        <w:t>sec</w:t>
      </w:r>
      <w:r w:rsidR="00150522">
        <w:rPr>
          <w:rFonts w:asciiTheme="minorHAnsi" w:hAnsiTheme="minorHAnsi" w:cstheme="minorHAnsi"/>
        </w:rPr>
        <w:t xml:space="preserve">tion </w:t>
      </w:r>
      <w:r w:rsidRPr="00B62CEB" w:rsidR="00AC61D1">
        <w:rPr>
          <w:rFonts w:asciiTheme="minorHAnsi" w:hAnsiTheme="minorHAnsi" w:cstheme="minorHAnsi"/>
        </w:rPr>
        <w:t>1.401(a)(9)-5(a)(5)(iv)</w:t>
      </w:r>
      <w:r w:rsidR="00AC61D1">
        <w:rPr>
          <w:rFonts w:asciiTheme="minorHAnsi" w:hAnsiTheme="minorHAnsi" w:cstheme="minorHAnsi"/>
        </w:rPr>
        <w:t xml:space="preserve"> and </w:t>
      </w:r>
      <w:r w:rsidRPr="00B62CEB" w:rsidR="007C5051">
        <w:rPr>
          <w:rFonts w:asciiTheme="minorHAnsi" w:hAnsiTheme="minorHAnsi" w:cstheme="minorHAnsi"/>
        </w:rPr>
        <w:t>1.401(a)(9)-5(g)(3)(ii)</w:t>
      </w:r>
      <w:r w:rsidRPr="00B62CEB" w:rsidR="008C22BD">
        <w:rPr>
          <w:rFonts w:asciiTheme="minorHAnsi" w:hAnsiTheme="minorHAnsi" w:cstheme="minorHAnsi"/>
        </w:rPr>
        <w:t xml:space="preserve">. </w:t>
      </w:r>
      <w:r w:rsidRPr="00B62CEB">
        <w:rPr>
          <w:rFonts w:asciiTheme="minorHAnsi" w:hAnsiTheme="minorHAnsi" w:cstheme="minorHAnsi"/>
        </w:rPr>
        <w:t xml:space="preserve">This information will be used to ensure compliance with RMD </w:t>
      </w:r>
      <w:r w:rsidRPr="00B62CEB" w:rsidR="008C22BD">
        <w:rPr>
          <w:rFonts w:asciiTheme="minorHAnsi" w:hAnsiTheme="minorHAnsi" w:cstheme="minorHAnsi"/>
        </w:rPr>
        <w:t>requirements</w:t>
      </w:r>
      <w:r w:rsidRPr="00B62CEB">
        <w:rPr>
          <w:rFonts w:asciiTheme="minorHAnsi" w:hAnsiTheme="minorHAnsi" w:cstheme="minorHAnsi"/>
        </w:rPr>
        <w:t>. The likely respondents are individuals</w:t>
      </w:r>
      <w:r w:rsidRPr="00B62CEB" w:rsidR="006D4F74">
        <w:rPr>
          <w:rFonts w:asciiTheme="minorHAnsi" w:hAnsiTheme="minorHAnsi" w:cstheme="minorHAnsi"/>
        </w:rPr>
        <w:t xml:space="preserve"> who are either</w:t>
      </w:r>
      <w:r w:rsidRPr="00B62CEB" w:rsidR="006A70D2">
        <w:rPr>
          <w:rFonts w:asciiTheme="minorHAnsi" w:hAnsiTheme="minorHAnsi" w:cstheme="minorHAnsi"/>
        </w:rPr>
        <w:t>:</w:t>
      </w:r>
      <w:r w:rsidRPr="00B62CEB" w:rsidR="006D4F74">
        <w:rPr>
          <w:rFonts w:asciiTheme="minorHAnsi" w:hAnsiTheme="minorHAnsi" w:cstheme="minorHAnsi"/>
        </w:rPr>
        <w:t xml:space="preserve"> </w:t>
      </w:r>
      <w:r w:rsidRPr="00B62CEB" w:rsidR="006A70D2">
        <w:rPr>
          <w:rFonts w:asciiTheme="minorHAnsi" w:hAnsiTheme="minorHAnsi" w:cstheme="minorHAnsi"/>
        </w:rPr>
        <w:t xml:space="preserve">(1) </w:t>
      </w:r>
      <w:r w:rsidRPr="00B62CEB" w:rsidR="000F027C">
        <w:rPr>
          <w:rFonts w:asciiTheme="minorHAnsi" w:hAnsiTheme="minorHAnsi" w:cstheme="minorHAnsi"/>
        </w:rPr>
        <w:t xml:space="preserve">an employee’s </w:t>
      </w:r>
      <w:r w:rsidRPr="00B62CEB" w:rsidR="0045619B">
        <w:rPr>
          <w:rFonts w:asciiTheme="minorHAnsi" w:hAnsiTheme="minorHAnsi" w:cstheme="minorHAnsi"/>
        </w:rPr>
        <w:t xml:space="preserve">surviving spouse </w:t>
      </w:r>
      <w:r w:rsidRPr="00B62CEB" w:rsidR="00E846B8">
        <w:rPr>
          <w:rFonts w:asciiTheme="minorHAnsi" w:hAnsiTheme="minorHAnsi" w:cstheme="minorHAnsi"/>
        </w:rPr>
        <w:t xml:space="preserve">who </w:t>
      </w:r>
      <w:r w:rsidRPr="00B62CEB" w:rsidR="000F027C">
        <w:rPr>
          <w:rFonts w:asciiTheme="minorHAnsi" w:hAnsiTheme="minorHAnsi" w:cstheme="minorHAnsi"/>
        </w:rPr>
        <w:t>is</w:t>
      </w:r>
      <w:r w:rsidRPr="00B62CEB" w:rsidR="00E846B8">
        <w:rPr>
          <w:rFonts w:asciiTheme="minorHAnsi" w:hAnsiTheme="minorHAnsi" w:cstheme="minorHAnsi"/>
        </w:rPr>
        <w:t xml:space="preserve"> </w:t>
      </w:r>
      <w:r w:rsidRPr="00B62CEB" w:rsidR="00970453">
        <w:rPr>
          <w:rFonts w:asciiTheme="minorHAnsi" w:hAnsiTheme="minorHAnsi" w:cstheme="minorHAnsi"/>
        </w:rPr>
        <w:t>the sole designated beneficiar</w:t>
      </w:r>
      <w:r w:rsidRPr="00B62CEB" w:rsidR="000F027C">
        <w:rPr>
          <w:rFonts w:asciiTheme="minorHAnsi" w:hAnsiTheme="minorHAnsi" w:cstheme="minorHAnsi"/>
        </w:rPr>
        <w:t>y</w:t>
      </w:r>
      <w:r w:rsidRPr="00B62CEB" w:rsidR="00970453">
        <w:rPr>
          <w:rFonts w:asciiTheme="minorHAnsi" w:hAnsiTheme="minorHAnsi" w:cstheme="minorHAnsi"/>
        </w:rPr>
        <w:t xml:space="preserve"> </w:t>
      </w:r>
      <w:r w:rsidRPr="00B62CEB" w:rsidR="006E45F3">
        <w:rPr>
          <w:rFonts w:asciiTheme="minorHAnsi" w:hAnsiTheme="minorHAnsi" w:cstheme="minorHAnsi"/>
        </w:rPr>
        <w:t>for purposes of</w:t>
      </w:r>
      <w:r w:rsidRPr="00B62CEB" w:rsidR="00643B1C">
        <w:rPr>
          <w:rFonts w:asciiTheme="minorHAnsi" w:hAnsiTheme="minorHAnsi" w:cstheme="minorHAnsi"/>
        </w:rPr>
        <w:t xml:space="preserve"> </w:t>
      </w:r>
      <w:r w:rsidRPr="00B62CEB" w:rsidR="000F027C">
        <w:rPr>
          <w:rFonts w:asciiTheme="minorHAnsi" w:hAnsiTheme="minorHAnsi" w:cstheme="minorHAnsi"/>
        </w:rPr>
        <w:t>the employee’s defined contribution plan benefits</w:t>
      </w:r>
      <w:r w:rsidRPr="00B62CEB" w:rsidR="006A70D2">
        <w:rPr>
          <w:rFonts w:asciiTheme="minorHAnsi" w:hAnsiTheme="minorHAnsi" w:cstheme="minorHAnsi"/>
        </w:rPr>
        <w:t>;</w:t>
      </w:r>
      <w:r w:rsidRPr="00B62CEB" w:rsidR="006D4F74">
        <w:rPr>
          <w:rFonts w:asciiTheme="minorHAnsi" w:hAnsiTheme="minorHAnsi" w:cstheme="minorHAnsi"/>
        </w:rPr>
        <w:t xml:space="preserve"> </w:t>
      </w:r>
      <w:r w:rsidRPr="00B62CEB" w:rsidR="005B7208">
        <w:rPr>
          <w:rFonts w:asciiTheme="minorHAnsi" w:hAnsiTheme="minorHAnsi" w:cstheme="minorHAnsi"/>
        </w:rPr>
        <w:t xml:space="preserve">or </w:t>
      </w:r>
      <w:r w:rsidRPr="00B62CEB" w:rsidR="006A70D2">
        <w:rPr>
          <w:rFonts w:asciiTheme="minorHAnsi" w:hAnsiTheme="minorHAnsi" w:cstheme="minorHAnsi"/>
        </w:rPr>
        <w:t xml:space="preserve">(2) </w:t>
      </w:r>
      <w:r w:rsidRPr="00B62CEB" w:rsidR="000F027C">
        <w:rPr>
          <w:rFonts w:asciiTheme="minorHAnsi" w:hAnsiTheme="minorHAnsi" w:cstheme="minorHAnsi"/>
        </w:rPr>
        <w:t xml:space="preserve">an </w:t>
      </w:r>
      <w:r w:rsidRPr="00B62CEB" w:rsidR="002A0954">
        <w:rPr>
          <w:rFonts w:asciiTheme="minorHAnsi" w:hAnsiTheme="minorHAnsi" w:cstheme="minorHAnsi"/>
        </w:rPr>
        <w:t xml:space="preserve">employee </w:t>
      </w:r>
      <w:r w:rsidRPr="00B62CEB" w:rsidR="00396472">
        <w:rPr>
          <w:rFonts w:asciiTheme="minorHAnsi" w:hAnsiTheme="minorHAnsi" w:cstheme="minorHAnsi"/>
        </w:rPr>
        <w:t>with a</w:t>
      </w:r>
      <w:r w:rsidRPr="00B62CEB" w:rsidR="008A0C0C">
        <w:rPr>
          <w:rFonts w:asciiTheme="minorHAnsi" w:hAnsiTheme="minorHAnsi" w:cstheme="minorHAnsi"/>
        </w:rPr>
        <w:t>n</w:t>
      </w:r>
      <w:r w:rsidRPr="00B62CEB" w:rsidR="00396472">
        <w:rPr>
          <w:rFonts w:asciiTheme="minorHAnsi" w:hAnsiTheme="minorHAnsi" w:cstheme="minorHAnsi"/>
        </w:rPr>
        <w:t xml:space="preserve"> </w:t>
      </w:r>
      <w:r w:rsidRPr="00B62CEB" w:rsidR="008A0C0C">
        <w:rPr>
          <w:rFonts w:asciiTheme="minorHAnsi" w:hAnsiTheme="minorHAnsi" w:cstheme="minorHAnsi"/>
        </w:rPr>
        <w:t>individual</w:t>
      </w:r>
      <w:r w:rsidRPr="00B62CEB" w:rsidR="00396472">
        <w:rPr>
          <w:rFonts w:asciiTheme="minorHAnsi" w:hAnsiTheme="minorHAnsi" w:cstheme="minorHAnsi"/>
        </w:rPr>
        <w:t xml:space="preserve"> account</w:t>
      </w:r>
      <w:r w:rsidRPr="00B62CEB" w:rsidR="00D5256F">
        <w:rPr>
          <w:rFonts w:asciiTheme="minorHAnsi" w:hAnsiTheme="minorHAnsi" w:cstheme="minorHAnsi"/>
        </w:rPr>
        <w:t xml:space="preserve"> in a defined contribution plan </w:t>
      </w:r>
      <w:r w:rsidRPr="00B62CEB" w:rsidR="00396472">
        <w:rPr>
          <w:rFonts w:asciiTheme="minorHAnsi" w:hAnsiTheme="minorHAnsi" w:cstheme="minorHAnsi"/>
        </w:rPr>
        <w:t>who</w:t>
      </w:r>
      <w:r w:rsidRPr="00B62CEB" w:rsidR="00D5256F">
        <w:rPr>
          <w:rFonts w:asciiTheme="minorHAnsi" w:hAnsiTheme="minorHAnsi" w:cstheme="minorHAnsi"/>
        </w:rPr>
        <w:t xml:space="preserve"> use</w:t>
      </w:r>
      <w:r w:rsidRPr="00B62CEB" w:rsidR="000F027C">
        <w:rPr>
          <w:rFonts w:asciiTheme="minorHAnsi" w:hAnsiTheme="minorHAnsi" w:cstheme="minorHAnsi"/>
        </w:rPr>
        <w:t>s</w:t>
      </w:r>
      <w:r w:rsidRPr="00B62CEB" w:rsidR="00D5256F">
        <w:rPr>
          <w:rFonts w:asciiTheme="minorHAnsi" w:hAnsiTheme="minorHAnsi" w:cstheme="minorHAnsi"/>
        </w:rPr>
        <w:t xml:space="preserve"> a portion of </w:t>
      </w:r>
      <w:r w:rsidRPr="00B62CEB" w:rsidR="003238F2">
        <w:rPr>
          <w:rFonts w:asciiTheme="minorHAnsi" w:hAnsiTheme="minorHAnsi" w:cstheme="minorHAnsi"/>
        </w:rPr>
        <w:t xml:space="preserve">the </w:t>
      </w:r>
      <w:r w:rsidRPr="00B62CEB" w:rsidR="00D5256F">
        <w:rPr>
          <w:rFonts w:asciiTheme="minorHAnsi" w:hAnsiTheme="minorHAnsi" w:cstheme="minorHAnsi"/>
        </w:rPr>
        <w:t>account to purchase an annuity</w:t>
      </w:r>
      <w:r w:rsidRPr="00B62CEB" w:rsidR="0047102F">
        <w:rPr>
          <w:rFonts w:asciiTheme="minorHAnsi" w:hAnsiTheme="minorHAnsi" w:cstheme="minorHAnsi"/>
        </w:rPr>
        <w:t xml:space="preserve">. </w:t>
      </w:r>
      <w:r w:rsidRPr="00B62CEB">
        <w:rPr>
          <w:rFonts w:asciiTheme="minorHAnsi" w:hAnsiTheme="minorHAnsi" w:cstheme="minorHAnsi"/>
        </w:rPr>
        <w:t xml:space="preserve">  </w:t>
      </w:r>
    </w:p>
    <w:p w:rsidR="00601C92" w:rsidRPr="00B62CEB" w:rsidP="00601C92" w14:paraId="2B045EC0" w14:textId="77777777">
      <w:pPr>
        <w:ind w:left="720"/>
        <w:rPr>
          <w:rFonts w:asciiTheme="minorHAnsi" w:hAnsiTheme="minorHAnsi" w:cstheme="minorHAnsi"/>
        </w:rPr>
      </w:pPr>
    </w:p>
    <w:p w:rsidR="00601C92" w:rsidRPr="00B62CEB" w:rsidP="00601C92" w14:paraId="61B3C177" w14:textId="737C9D3A">
      <w:pPr>
        <w:ind w:left="720"/>
        <w:rPr>
          <w:rFonts w:asciiTheme="minorHAnsi" w:hAnsiTheme="minorHAnsi" w:cstheme="minorHAnsi"/>
        </w:rPr>
      </w:pPr>
      <w:r w:rsidRPr="00B62CEB">
        <w:rPr>
          <w:rFonts w:asciiTheme="minorHAnsi" w:hAnsiTheme="minorHAnsi" w:cstheme="minorHAnsi"/>
        </w:rPr>
        <w:t xml:space="preserve">The estimated total annual reporting burden is </w:t>
      </w:r>
      <w:r w:rsidR="00AC61D1">
        <w:rPr>
          <w:rFonts w:asciiTheme="minorHAnsi" w:hAnsiTheme="minorHAnsi" w:cstheme="minorHAnsi"/>
        </w:rPr>
        <w:t>36,493</w:t>
      </w:r>
      <w:r w:rsidRPr="00B62CEB">
        <w:rPr>
          <w:rFonts w:asciiTheme="minorHAnsi" w:hAnsiTheme="minorHAnsi" w:cstheme="minorHAnsi"/>
        </w:rPr>
        <w:t xml:space="preserve"> hours. The estimated annual burden per respondent is </w:t>
      </w:r>
      <w:r w:rsidRPr="00B62CEB" w:rsidR="0047102F">
        <w:rPr>
          <w:rFonts w:asciiTheme="minorHAnsi" w:hAnsiTheme="minorHAnsi" w:cstheme="minorHAnsi"/>
        </w:rPr>
        <w:t>.</w:t>
      </w:r>
      <w:r w:rsidRPr="00B62CEB" w:rsidR="00A47EC1">
        <w:rPr>
          <w:rFonts w:asciiTheme="minorHAnsi" w:hAnsiTheme="minorHAnsi" w:cstheme="minorHAnsi"/>
        </w:rPr>
        <w:t>2</w:t>
      </w:r>
      <w:r w:rsidR="00AC61D1">
        <w:rPr>
          <w:rFonts w:asciiTheme="minorHAnsi" w:hAnsiTheme="minorHAnsi" w:cstheme="minorHAnsi"/>
        </w:rPr>
        <w:t>1</w:t>
      </w:r>
      <w:r w:rsidRPr="00B62CEB">
        <w:rPr>
          <w:rFonts w:asciiTheme="minorHAnsi" w:hAnsiTheme="minorHAnsi" w:cstheme="minorHAnsi"/>
        </w:rPr>
        <w:t xml:space="preserve"> hours. The estimated number of respondents is </w:t>
      </w:r>
      <w:r w:rsidRPr="00B62CEB" w:rsidR="00A47EC1">
        <w:rPr>
          <w:rFonts w:asciiTheme="minorHAnsi" w:hAnsiTheme="minorHAnsi" w:cstheme="minorHAnsi"/>
        </w:rPr>
        <w:t>176,580</w:t>
      </w:r>
      <w:r w:rsidRPr="00B62CEB">
        <w:rPr>
          <w:rFonts w:asciiTheme="minorHAnsi" w:hAnsiTheme="minorHAnsi" w:cstheme="minorHAnsi"/>
        </w:rPr>
        <w:t>.</w:t>
      </w:r>
    </w:p>
    <w:p w:rsidR="000C4D87" w:rsidRPr="00B62CEB" w:rsidP="00601C92" w14:paraId="2363FA10" w14:textId="77777777">
      <w:pPr>
        <w:ind w:left="720"/>
        <w:rPr>
          <w:rFonts w:asciiTheme="minorHAnsi" w:hAnsiTheme="minorHAnsi" w:cstheme="minorHAnsi"/>
        </w:rPr>
      </w:pPr>
    </w:p>
    <w:tbl>
      <w:tblPr>
        <w:tblW w:w="9358"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0"/>
        <w:gridCol w:w="1761"/>
        <w:gridCol w:w="1416"/>
        <w:gridCol w:w="1739"/>
        <w:gridCol w:w="1171"/>
        <w:gridCol w:w="1501"/>
      </w:tblGrid>
      <w:tr w14:paraId="58E2E0A0" w14:textId="77777777" w:rsidTr="00D06B7E">
        <w:tblPrEx>
          <w:tblW w:w="9358"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6"/>
        </w:trPr>
        <w:tc>
          <w:tcPr>
            <w:tcW w:w="1770" w:type="dxa"/>
            <w:vAlign w:val="bottom"/>
          </w:tcPr>
          <w:p w:rsidR="001D6C6E" w:rsidRPr="00B62CEB" w:rsidP="00216A73" w14:paraId="2B3F89CC" w14:textId="77777777">
            <w:pPr>
              <w:keepNext/>
              <w:keepLines/>
              <w:numPr>
                <w:ilvl w:val="12"/>
                <w:numId w:val="0"/>
              </w:numPr>
              <w:jc w:val="center"/>
              <w:rPr>
                <w:rFonts w:asciiTheme="minorHAnsi" w:hAnsiTheme="minorHAnsi" w:cstheme="minorHAnsi"/>
                <w:b/>
                <w:bCs/>
              </w:rPr>
            </w:pPr>
            <w:r w:rsidRPr="00B62CEB">
              <w:rPr>
                <w:rFonts w:asciiTheme="minorHAnsi" w:hAnsiTheme="minorHAnsi" w:cstheme="minorHAnsi"/>
                <w:b/>
                <w:bCs/>
              </w:rPr>
              <w:t>Description</w:t>
            </w:r>
          </w:p>
        </w:tc>
        <w:tc>
          <w:tcPr>
            <w:tcW w:w="1761" w:type="dxa"/>
            <w:vAlign w:val="bottom"/>
          </w:tcPr>
          <w:p w:rsidR="001D6C6E" w:rsidRPr="00B62CEB" w:rsidP="00216A73" w14:paraId="3F961932" w14:textId="77777777">
            <w:pPr>
              <w:keepNext/>
              <w:keepLines/>
              <w:numPr>
                <w:ilvl w:val="12"/>
                <w:numId w:val="0"/>
              </w:numPr>
              <w:jc w:val="center"/>
              <w:rPr>
                <w:rFonts w:asciiTheme="minorHAnsi" w:hAnsiTheme="minorHAnsi" w:cstheme="minorHAnsi"/>
                <w:b/>
                <w:bCs/>
              </w:rPr>
            </w:pPr>
            <w:r w:rsidRPr="00B62CEB">
              <w:rPr>
                <w:rFonts w:asciiTheme="minorHAnsi" w:hAnsiTheme="minorHAnsi" w:cstheme="minorHAnsi"/>
                <w:b/>
                <w:bCs/>
              </w:rPr>
              <w:t># of Respondents</w:t>
            </w:r>
          </w:p>
        </w:tc>
        <w:tc>
          <w:tcPr>
            <w:tcW w:w="1416" w:type="dxa"/>
            <w:vAlign w:val="bottom"/>
          </w:tcPr>
          <w:p w:rsidR="001D6C6E" w:rsidRPr="00B62CEB" w:rsidP="00216A73" w14:paraId="7C5174F1" w14:textId="77777777">
            <w:pPr>
              <w:keepNext/>
              <w:keepLines/>
              <w:numPr>
                <w:ilvl w:val="12"/>
                <w:numId w:val="0"/>
              </w:numPr>
              <w:jc w:val="center"/>
              <w:rPr>
                <w:rFonts w:asciiTheme="minorHAnsi" w:hAnsiTheme="minorHAnsi" w:cstheme="minorHAnsi"/>
                <w:b/>
                <w:bCs/>
              </w:rPr>
            </w:pPr>
            <w:r w:rsidRPr="00B62CEB">
              <w:rPr>
                <w:rFonts w:asciiTheme="minorHAnsi" w:hAnsiTheme="minorHAnsi" w:cstheme="minorHAnsi"/>
                <w:b/>
                <w:bCs/>
              </w:rPr>
              <w:t># Responses per Respondent</w:t>
            </w:r>
          </w:p>
        </w:tc>
        <w:tc>
          <w:tcPr>
            <w:tcW w:w="1739" w:type="dxa"/>
            <w:shd w:val="clear" w:color="auto" w:fill="auto"/>
            <w:vAlign w:val="bottom"/>
          </w:tcPr>
          <w:p w:rsidR="001D6C6E" w:rsidRPr="00B62CEB" w:rsidP="00216A73" w14:paraId="5C004353" w14:textId="77777777">
            <w:pPr>
              <w:keepNext/>
              <w:keepLines/>
              <w:numPr>
                <w:ilvl w:val="12"/>
                <w:numId w:val="0"/>
              </w:numPr>
              <w:jc w:val="center"/>
              <w:rPr>
                <w:rFonts w:asciiTheme="minorHAnsi" w:hAnsiTheme="minorHAnsi" w:cstheme="minorHAnsi"/>
                <w:b/>
                <w:bCs/>
              </w:rPr>
            </w:pPr>
            <w:r w:rsidRPr="00B62CEB">
              <w:rPr>
                <w:rFonts w:asciiTheme="minorHAnsi" w:hAnsiTheme="minorHAnsi" w:cstheme="minorHAnsi"/>
                <w:b/>
                <w:bCs/>
              </w:rPr>
              <w:t>Annual Responses</w:t>
            </w:r>
          </w:p>
        </w:tc>
        <w:tc>
          <w:tcPr>
            <w:tcW w:w="1171" w:type="dxa"/>
            <w:vAlign w:val="bottom"/>
          </w:tcPr>
          <w:p w:rsidR="001D6C6E" w:rsidRPr="00B62CEB" w:rsidP="00216A73" w14:paraId="1123B813" w14:textId="77777777">
            <w:pPr>
              <w:keepNext/>
              <w:keepLines/>
              <w:numPr>
                <w:ilvl w:val="12"/>
                <w:numId w:val="0"/>
              </w:numPr>
              <w:jc w:val="center"/>
              <w:rPr>
                <w:rFonts w:asciiTheme="minorHAnsi" w:hAnsiTheme="minorHAnsi" w:cstheme="minorHAnsi"/>
                <w:b/>
                <w:bCs/>
              </w:rPr>
            </w:pPr>
            <w:r w:rsidRPr="00B62CEB">
              <w:rPr>
                <w:rFonts w:asciiTheme="minorHAnsi" w:hAnsiTheme="minorHAnsi" w:cstheme="minorHAnsi"/>
                <w:b/>
                <w:bCs/>
              </w:rPr>
              <w:t>Hours per Response</w:t>
            </w:r>
          </w:p>
        </w:tc>
        <w:tc>
          <w:tcPr>
            <w:tcW w:w="1501" w:type="dxa"/>
            <w:shd w:val="clear" w:color="auto" w:fill="auto"/>
            <w:vAlign w:val="bottom"/>
          </w:tcPr>
          <w:p w:rsidR="001D6C6E" w:rsidRPr="00B62CEB" w:rsidP="00216A73" w14:paraId="22595A1D" w14:textId="77777777">
            <w:pPr>
              <w:keepNext/>
              <w:keepLines/>
              <w:numPr>
                <w:ilvl w:val="12"/>
                <w:numId w:val="0"/>
              </w:numPr>
              <w:jc w:val="center"/>
              <w:rPr>
                <w:rFonts w:asciiTheme="minorHAnsi" w:hAnsiTheme="minorHAnsi" w:cstheme="minorHAnsi"/>
                <w:b/>
                <w:bCs/>
              </w:rPr>
            </w:pPr>
            <w:r w:rsidRPr="00B62CEB">
              <w:rPr>
                <w:rFonts w:asciiTheme="minorHAnsi" w:hAnsiTheme="minorHAnsi" w:cstheme="minorHAnsi"/>
                <w:b/>
                <w:bCs/>
              </w:rPr>
              <w:t>Total Burden</w:t>
            </w:r>
          </w:p>
        </w:tc>
      </w:tr>
      <w:tr w14:paraId="4DA00F6D" w14:textId="77777777" w:rsidTr="00D06B7E">
        <w:tblPrEx>
          <w:tblW w:w="9358" w:type="dxa"/>
          <w:tblInd w:w="541" w:type="dxa"/>
          <w:tblLook w:val="04A0"/>
        </w:tblPrEx>
        <w:trPr>
          <w:trHeight w:val="211"/>
        </w:trPr>
        <w:tc>
          <w:tcPr>
            <w:tcW w:w="1770" w:type="dxa"/>
            <w:vAlign w:val="bottom"/>
          </w:tcPr>
          <w:p w:rsidR="001D6C6E" w:rsidRPr="00B62CEB" w:rsidP="00216A73" w14:paraId="6B3F0756" w14:textId="1AF4F5CC">
            <w:pPr>
              <w:keepNext/>
              <w:keepLines/>
              <w:numPr>
                <w:ilvl w:val="12"/>
                <w:numId w:val="0"/>
              </w:numPr>
              <w:jc w:val="center"/>
              <w:rPr>
                <w:rFonts w:asciiTheme="minorHAnsi" w:hAnsiTheme="minorHAnsi" w:cstheme="minorHAnsi"/>
              </w:rPr>
            </w:pPr>
            <w:r w:rsidRPr="00B62CEB">
              <w:rPr>
                <w:rFonts w:asciiTheme="minorHAnsi" w:hAnsiTheme="minorHAnsi" w:cstheme="minorHAnsi"/>
              </w:rPr>
              <w:t>1.401(a)(9)-</w:t>
            </w:r>
            <w:r w:rsidRPr="00B62CEB" w:rsidR="00115B58">
              <w:rPr>
                <w:rFonts w:asciiTheme="minorHAnsi" w:hAnsiTheme="minorHAnsi" w:cstheme="minorHAnsi"/>
              </w:rPr>
              <w:t>5(g)(3)(ii)</w:t>
            </w:r>
            <w:r w:rsidRPr="00B62CEB">
              <w:rPr>
                <w:rFonts w:asciiTheme="minorHAnsi" w:hAnsiTheme="minorHAnsi" w:cstheme="minorHAnsi"/>
              </w:rPr>
              <w:t xml:space="preserve"> </w:t>
            </w:r>
          </w:p>
        </w:tc>
        <w:tc>
          <w:tcPr>
            <w:tcW w:w="1761" w:type="dxa"/>
            <w:vAlign w:val="bottom"/>
          </w:tcPr>
          <w:p w:rsidR="001D6C6E" w:rsidRPr="00B62CEB" w:rsidP="00216A73" w14:paraId="6C09509F" w14:textId="7F58E40F">
            <w:pPr>
              <w:keepNext/>
              <w:keepLines/>
              <w:numPr>
                <w:ilvl w:val="12"/>
                <w:numId w:val="0"/>
              </w:numPr>
              <w:jc w:val="center"/>
              <w:rPr>
                <w:rFonts w:asciiTheme="minorHAnsi" w:hAnsiTheme="minorHAnsi" w:cstheme="minorHAnsi"/>
              </w:rPr>
            </w:pPr>
            <w:r w:rsidRPr="00B62CEB">
              <w:rPr>
                <w:rFonts w:asciiTheme="minorHAnsi" w:hAnsiTheme="minorHAnsi" w:cstheme="minorHAnsi"/>
              </w:rPr>
              <w:t>156,960</w:t>
            </w:r>
          </w:p>
        </w:tc>
        <w:tc>
          <w:tcPr>
            <w:tcW w:w="1416" w:type="dxa"/>
            <w:vAlign w:val="bottom"/>
          </w:tcPr>
          <w:p w:rsidR="001D6C6E" w:rsidRPr="00B62CEB" w:rsidP="00216A73" w14:paraId="3C66D0A2" w14:textId="1845D753">
            <w:pPr>
              <w:keepNext/>
              <w:keepLines/>
              <w:numPr>
                <w:ilvl w:val="12"/>
                <w:numId w:val="0"/>
              </w:numPr>
              <w:jc w:val="center"/>
              <w:rPr>
                <w:rFonts w:asciiTheme="minorHAnsi" w:hAnsiTheme="minorHAnsi" w:cstheme="minorHAnsi"/>
              </w:rPr>
            </w:pPr>
            <w:r w:rsidRPr="00B62CEB">
              <w:rPr>
                <w:rFonts w:asciiTheme="minorHAnsi" w:hAnsiTheme="minorHAnsi" w:cstheme="minorHAnsi"/>
              </w:rPr>
              <w:t>1</w:t>
            </w:r>
          </w:p>
        </w:tc>
        <w:tc>
          <w:tcPr>
            <w:tcW w:w="1739" w:type="dxa"/>
            <w:shd w:val="clear" w:color="auto" w:fill="auto"/>
            <w:vAlign w:val="bottom"/>
          </w:tcPr>
          <w:p w:rsidR="001D6C6E" w:rsidRPr="00B62CEB" w:rsidP="00216A73" w14:paraId="4F5EADD8" w14:textId="6108843A">
            <w:pPr>
              <w:keepNext/>
              <w:keepLines/>
              <w:numPr>
                <w:ilvl w:val="12"/>
                <w:numId w:val="0"/>
              </w:numPr>
              <w:jc w:val="center"/>
              <w:rPr>
                <w:rFonts w:asciiTheme="minorHAnsi" w:hAnsiTheme="minorHAnsi" w:cstheme="minorHAnsi"/>
              </w:rPr>
            </w:pPr>
            <w:r w:rsidRPr="00B62CEB">
              <w:rPr>
                <w:rFonts w:asciiTheme="minorHAnsi" w:hAnsiTheme="minorHAnsi" w:cstheme="minorHAnsi"/>
              </w:rPr>
              <w:t>156,960</w:t>
            </w:r>
          </w:p>
        </w:tc>
        <w:tc>
          <w:tcPr>
            <w:tcW w:w="1171" w:type="dxa"/>
            <w:vAlign w:val="bottom"/>
          </w:tcPr>
          <w:p w:rsidR="001D6C6E" w:rsidRPr="00B62CEB" w:rsidP="00216A73" w14:paraId="7E400CE2" w14:textId="6A7CCF29">
            <w:pPr>
              <w:keepNext/>
              <w:keepLines/>
              <w:numPr>
                <w:ilvl w:val="12"/>
                <w:numId w:val="0"/>
              </w:numPr>
              <w:jc w:val="center"/>
              <w:rPr>
                <w:rFonts w:asciiTheme="minorHAnsi" w:hAnsiTheme="minorHAnsi" w:cstheme="minorHAnsi"/>
              </w:rPr>
            </w:pPr>
            <w:r w:rsidRPr="00B62CEB">
              <w:rPr>
                <w:rFonts w:asciiTheme="minorHAnsi" w:hAnsiTheme="minorHAnsi" w:cstheme="minorHAnsi"/>
              </w:rPr>
              <w:t>.17</w:t>
            </w:r>
          </w:p>
        </w:tc>
        <w:tc>
          <w:tcPr>
            <w:tcW w:w="1501" w:type="dxa"/>
            <w:shd w:val="clear" w:color="auto" w:fill="auto"/>
            <w:vAlign w:val="bottom"/>
          </w:tcPr>
          <w:p w:rsidR="001D6C6E" w:rsidRPr="00B62CEB" w:rsidP="00216A73" w14:paraId="7A3B3D00" w14:textId="0EA8BCE6">
            <w:pPr>
              <w:keepNext/>
              <w:keepLines/>
              <w:numPr>
                <w:ilvl w:val="12"/>
                <w:numId w:val="0"/>
              </w:numPr>
              <w:jc w:val="center"/>
              <w:rPr>
                <w:rFonts w:asciiTheme="minorHAnsi" w:hAnsiTheme="minorHAnsi" w:cstheme="minorHAnsi"/>
              </w:rPr>
            </w:pPr>
            <w:r w:rsidRPr="00B62CEB">
              <w:rPr>
                <w:rFonts w:asciiTheme="minorHAnsi" w:hAnsiTheme="minorHAnsi" w:cstheme="minorHAnsi"/>
              </w:rPr>
              <w:t>26,</w:t>
            </w:r>
            <w:r w:rsidR="00AC61D1">
              <w:rPr>
                <w:rFonts w:asciiTheme="minorHAnsi" w:hAnsiTheme="minorHAnsi" w:cstheme="minorHAnsi"/>
              </w:rPr>
              <w:t>683</w:t>
            </w:r>
          </w:p>
        </w:tc>
      </w:tr>
      <w:tr w14:paraId="2FA3B873" w14:textId="77777777" w:rsidTr="00D06B7E">
        <w:tblPrEx>
          <w:tblW w:w="9358" w:type="dxa"/>
          <w:tblInd w:w="541" w:type="dxa"/>
          <w:tblLook w:val="04A0"/>
        </w:tblPrEx>
        <w:trPr>
          <w:trHeight w:val="211"/>
        </w:trPr>
        <w:tc>
          <w:tcPr>
            <w:tcW w:w="1770" w:type="dxa"/>
            <w:vAlign w:val="bottom"/>
          </w:tcPr>
          <w:p w:rsidR="00F92860" w:rsidRPr="00B62CEB" w:rsidP="00216A73" w14:paraId="28EADFE7" w14:textId="345034A1">
            <w:pPr>
              <w:keepNext/>
              <w:keepLines/>
              <w:numPr>
                <w:ilvl w:val="12"/>
                <w:numId w:val="0"/>
              </w:numPr>
              <w:jc w:val="center"/>
              <w:rPr>
                <w:rFonts w:asciiTheme="minorHAnsi" w:hAnsiTheme="minorHAnsi" w:cstheme="minorHAnsi"/>
              </w:rPr>
            </w:pPr>
            <w:r w:rsidRPr="00B62CEB">
              <w:rPr>
                <w:rFonts w:asciiTheme="minorHAnsi" w:hAnsiTheme="minorHAnsi" w:cstheme="minorHAnsi"/>
              </w:rPr>
              <w:t>1.401(a)(9)-</w:t>
            </w:r>
            <w:r w:rsidRPr="00B62CEB" w:rsidR="00115B58">
              <w:rPr>
                <w:rFonts w:asciiTheme="minorHAnsi" w:hAnsiTheme="minorHAnsi" w:cstheme="minorHAnsi"/>
              </w:rPr>
              <w:t>5(a)(5)(iv)</w:t>
            </w:r>
          </w:p>
        </w:tc>
        <w:tc>
          <w:tcPr>
            <w:tcW w:w="1761" w:type="dxa"/>
            <w:vAlign w:val="bottom"/>
          </w:tcPr>
          <w:p w:rsidR="00F92860" w:rsidRPr="00B62CEB" w:rsidP="00216A73" w14:paraId="559C7A15" w14:textId="0CAE6628">
            <w:pPr>
              <w:keepNext/>
              <w:keepLines/>
              <w:numPr>
                <w:ilvl w:val="12"/>
                <w:numId w:val="0"/>
              </w:numPr>
              <w:jc w:val="center"/>
              <w:rPr>
                <w:rFonts w:asciiTheme="minorHAnsi" w:hAnsiTheme="minorHAnsi" w:cstheme="minorHAnsi"/>
              </w:rPr>
            </w:pPr>
            <w:r w:rsidRPr="00B62CEB">
              <w:rPr>
                <w:rFonts w:asciiTheme="minorHAnsi" w:hAnsiTheme="minorHAnsi" w:cstheme="minorHAnsi"/>
              </w:rPr>
              <w:t>19,620</w:t>
            </w:r>
          </w:p>
        </w:tc>
        <w:tc>
          <w:tcPr>
            <w:tcW w:w="1416" w:type="dxa"/>
            <w:vAlign w:val="bottom"/>
          </w:tcPr>
          <w:p w:rsidR="00F92860" w:rsidRPr="00B62CEB" w:rsidP="00216A73" w14:paraId="6F04574F" w14:textId="434A4782">
            <w:pPr>
              <w:keepNext/>
              <w:keepLines/>
              <w:numPr>
                <w:ilvl w:val="12"/>
                <w:numId w:val="0"/>
              </w:numPr>
              <w:jc w:val="center"/>
              <w:rPr>
                <w:rFonts w:asciiTheme="minorHAnsi" w:hAnsiTheme="minorHAnsi" w:cstheme="minorHAnsi"/>
              </w:rPr>
            </w:pPr>
            <w:r w:rsidRPr="00B62CEB">
              <w:rPr>
                <w:rFonts w:asciiTheme="minorHAnsi" w:hAnsiTheme="minorHAnsi" w:cstheme="minorHAnsi"/>
              </w:rPr>
              <w:t>1</w:t>
            </w:r>
          </w:p>
        </w:tc>
        <w:tc>
          <w:tcPr>
            <w:tcW w:w="1739" w:type="dxa"/>
            <w:shd w:val="clear" w:color="auto" w:fill="auto"/>
            <w:vAlign w:val="bottom"/>
          </w:tcPr>
          <w:p w:rsidR="00F92860" w:rsidRPr="00B62CEB" w:rsidP="00216A73" w14:paraId="1496702E" w14:textId="105620AC">
            <w:pPr>
              <w:keepNext/>
              <w:keepLines/>
              <w:numPr>
                <w:ilvl w:val="12"/>
                <w:numId w:val="0"/>
              </w:numPr>
              <w:jc w:val="center"/>
              <w:rPr>
                <w:rFonts w:asciiTheme="minorHAnsi" w:hAnsiTheme="minorHAnsi" w:cstheme="minorHAnsi"/>
              </w:rPr>
            </w:pPr>
            <w:r w:rsidRPr="00B62CEB">
              <w:rPr>
                <w:rFonts w:asciiTheme="minorHAnsi" w:hAnsiTheme="minorHAnsi" w:cstheme="minorHAnsi"/>
              </w:rPr>
              <w:t>19,620</w:t>
            </w:r>
          </w:p>
        </w:tc>
        <w:tc>
          <w:tcPr>
            <w:tcW w:w="1171" w:type="dxa"/>
            <w:vAlign w:val="bottom"/>
          </w:tcPr>
          <w:p w:rsidR="00F92860" w:rsidRPr="00B62CEB" w:rsidP="00216A73" w14:paraId="6A5A5F90" w14:textId="0E1CB563">
            <w:pPr>
              <w:keepNext/>
              <w:keepLines/>
              <w:numPr>
                <w:ilvl w:val="12"/>
                <w:numId w:val="0"/>
              </w:numPr>
              <w:jc w:val="center"/>
              <w:rPr>
                <w:rFonts w:asciiTheme="minorHAnsi" w:hAnsiTheme="minorHAnsi" w:cstheme="minorHAnsi"/>
              </w:rPr>
            </w:pPr>
            <w:r w:rsidRPr="00B62CEB">
              <w:rPr>
                <w:rFonts w:asciiTheme="minorHAnsi" w:hAnsiTheme="minorHAnsi" w:cstheme="minorHAnsi"/>
              </w:rPr>
              <w:t>.</w:t>
            </w:r>
            <w:r w:rsidRPr="00B62CEB" w:rsidR="00D54BE6">
              <w:rPr>
                <w:rFonts w:asciiTheme="minorHAnsi" w:hAnsiTheme="minorHAnsi" w:cstheme="minorHAnsi"/>
              </w:rPr>
              <w:t>5</w:t>
            </w:r>
            <w:r w:rsidRPr="00B62CEB" w:rsidR="0051005F">
              <w:rPr>
                <w:rFonts w:asciiTheme="minorHAnsi" w:hAnsiTheme="minorHAnsi" w:cstheme="minorHAnsi"/>
              </w:rPr>
              <w:t>0</w:t>
            </w:r>
          </w:p>
        </w:tc>
        <w:tc>
          <w:tcPr>
            <w:tcW w:w="1501" w:type="dxa"/>
            <w:shd w:val="clear" w:color="auto" w:fill="auto"/>
            <w:vAlign w:val="bottom"/>
          </w:tcPr>
          <w:p w:rsidR="00F92860" w:rsidRPr="00B62CEB" w:rsidP="00216A73" w14:paraId="281102C3" w14:textId="0507DCFC">
            <w:pPr>
              <w:keepNext/>
              <w:keepLines/>
              <w:numPr>
                <w:ilvl w:val="12"/>
                <w:numId w:val="0"/>
              </w:numPr>
              <w:jc w:val="center"/>
              <w:rPr>
                <w:rFonts w:asciiTheme="minorHAnsi" w:hAnsiTheme="minorHAnsi" w:cstheme="minorHAnsi"/>
              </w:rPr>
            </w:pPr>
            <w:r w:rsidRPr="00B62CEB">
              <w:rPr>
                <w:rFonts w:asciiTheme="minorHAnsi" w:hAnsiTheme="minorHAnsi" w:cstheme="minorHAnsi"/>
              </w:rPr>
              <w:t>9,810</w:t>
            </w:r>
          </w:p>
        </w:tc>
      </w:tr>
      <w:tr w14:paraId="0FD7709A" w14:textId="77777777" w:rsidTr="00D06B7E">
        <w:tblPrEx>
          <w:tblW w:w="9358" w:type="dxa"/>
          <w:tblInd w:w="541" w:type="dxa"/>
          <w:tblLook w:val="04A0"/>
        </w:tblPrEx>
        <w:trPr>
          <w:trHeight w:val="201"/>
        </w:trPr>
        <w:tc>
          <w:tcPr>
            <w:tcW w:w="1770" w:type="dxa"/>
            <w:vAlign w:val="bottom"/>
          </w:tcPr>
          <w:p w:rsidR="001D6C6E" w:rsidRPr="00B62CEB" w:rsidP="001D6C6E" w14:paraId="1A30E030" w14:textId="67C70245">
            <w:pPr>
              <w:keepNext/>
              <w:keepLines/>
              <w:numPr>
                <w:ilvl w:val="12"/>
                <w:numId w:val="0"/>
              </w:numPr>
              <w:jc w:val="center"/>
              <w:rPr>
                <w:rFonts w:asciiTheme="minorHAnsi" w:hAnsiTheme="minorHAnsi" w:cstheme="minorHAnsi"/>
                <w:b/>
                <w:bCs/>
              </w:rPr>
            </w:pPr>
            <w:r w:rsidRPr="00B62CEB">
              <w:rPr>
                <w:rFonts w:asciiTheme="minorHAnsi" w:hAnsiTheme="minorHAnsi" w:cstheme="minorHAnsi"/>
                <w:b/>
                <w:bCs/>
              </w:rPr>
              <w:t>Totals</w:t>
            </w:r>
          </w:p>
        </w:tc>
        <w:tc>
          <w:tcPr>
            <w:tcW w:w="1761" w:type="dxa"/>
            <w:vAlign w:val="bottom"/>
          </w:tcPr>
          <w:p w:rsidR="001D6C6E" w:rsidRPr="00B62CEB" w:rsidP="001D6C6E" w14:paraId="60154DC1" w14:textId="20FB3AB9">
            <w:pPr>
              <w:keepNext/>
              <w:keepLines/>
              <w:numPr>
                <w:ilvl w:val="12"/>
                <w:numId w:val="0"/>
              </w:numPr>
              <w:jc w:val="center"/>
              <w:rPr>
                <w:rFonts w:asciiTheme="minorHAnsi" w:hAnsiTheme="minorHAnsi" w:cstheme="minorHAnsi"/>
                <w:b/>
                <w:bCs/>
              </w:rPr>
            </w:pPr>
            <w:r w:rsidRPr="00B62CEB">
              <w:rPr>
                <w:rFonts w:asciiTheme="minorHAnsi" w:hAnsiTheme="minorHAnsi" w:cstheme="minorHAnsi"/>
                <w:b/>
                <w:bCs/>
              </w:rPr>
              <w:t>176,580</w:t>
            </w:r>
          </w:p>
        </w:tc>
        <w:tc>
          <w:tcPr>
            <w:tcW w:w="1416" w:type="dxa"/>
            <w:vAlign w:val="bottom"/>
          </w:tcPr>
          <w:p w:rsidR="001D6C6E" w:rsidRPr="00B62CEB" w:rsidP="001D6C6E" w14:paraId="2C54C76C" w14:textId="1F5A4234">
            <w:pPr>
              <w:keepNext/>
              <w:keepLines/>
              <w:numPr>
                <w:ilvl w:val="12"/>
                <w:numId w:val="0"/>
              </w:numPr>
              <w:jc w:val="center"/>
              <w:rPr>
                <w:rFonts w:asciiTheme="minorHAnsi" w:hAnsiTheme="minorHAnsi" w:cstheme="minorHAnsi"/>
                <w:b/>
                <w:bCs/>
              </w:rPr>
            </w:pPr>
            <w:r w:rsidRPr="00B62CEB">
              <w:rPr>
                <w:rFonts w:asciiTheme="minorHAnsi" w:hAnsiTheme="minorHAnsi" w:cstheme="minorHAnsi"/>
                <w:b/>
                <w:bCs/>
              </w:rPr>
              <w:t>1</w:t>
            </w:r>
          </w:p>
        </w:tc>
        <w:tc>
          <w:tcPr>
            <w:tcW w:w="1739" w:type="dxa"/>
            <w:shd w:val="clear" w:color="auto" w:fill="auto"/>
            <w:vAlign w:val="bottom"/>
          </w:tcPr>
          <w:p w:rsidR="001D6C6E" w:rsidRPr="00B62CEB" w:rsidP="001D6C6E" w14:paraId="4B7339B3" w14:textId="6140CD9C">
            <w:pPr>
              <w:keepNext/>
              <w:keepLines/>
              <w:numPr>
                <w:ilvl w:val="12"/>
                <w:numId w:val="0"/>
              </w:numPr>
              <w:jc w:val="center"/>
              <w:rPr>
                <w:rFonts w:asciiTheme="minorHAnsi" w:hAnsiTheme="minorHAnsi" w:cstheme="minorHAnsi"/>
                <w:b/>
                <w:bCs/>
              </w:rPr>
            </w:pPr>
            <w:r w:rsidRPr="00B62CEB">
              <w:rPr>
                <w:rFonts w:asciiTheme="minorHAnsi" w:hAnsiTheme="minorHAnsi" w:cstheme="minorHAnsi"/>
                <w:b/>
                <w:bCs/>
              </w:rPr>
              <w:t>176,580</w:t>
            </w:r>
          </w:p>
        </w:tc>
        <w:tc>
          <w:tcPr>
            <w:tcW w:w="1171" w:type="dxa"/>
            <w:vAlign w:val="bottom"/>
          </w:tcPr>
          <w:p w:rsidR="001D6C6E" w:rsidRPr="00B62CEB" w:rsidP="001D6C6E" w14:paraId="1E795C19" w14:textId="7A637CB9">
            <w:pPr>
              <w:keepNext/>
              <w:keepLines/>
              <w:numPr>
                <w:ilvl w:val="12"/>
                <w:numId w:val="0"/>
              </w:numPr>
              <w:jc w:val="center"/>
              <w:rPr>
                <w:rFonts w:asciiTheme="minorHAnsi" w:hAnsiTheme="minorHAnsi" w:cstheme="minorHAnsi"/>
                <w:b/>
                <w:bCs/>
              </w:rPr>
            </w:pPr>
            <w:r w:rsidRPr="00B62CEB">
              <w:rPr>
                <w:rFonts w:asciiTheme="minorHAnsi" w:hAnsiTheme="minorHAnsi" w:cstheme="minorHAnsi"/>
                <w:b/>
                <w:bCs/>
              </w:rPr>
              <w:t>.</w:t>
            </w:r>
            <w:r w:rsidRPr="00B62CEB" w:rsidR="0051005F">
              <w:rPr>
                <w:rFonts w:asciiTheme="minorHAnsi" w:hAnsiTheme="minorHAnsi" w:cstheme="minorHAnsi"/>
                <w:b/>
                <w:bCs/>
              </w:rPr>
              <w:t>2</w:t>
            </w:r>
            <w:r w:rsidR="00AC61D1">
              <w:rPr>
                <w:rFonts w:asciiTheme="minorHAnsi" w:hAnsiTheme="minorHAnsi" w:cstheme="minorHAnsi"/>
                <w:b/>
                <w:bCs/>
              </w:rPr>
              <w:t>1</w:t>
            </w:r>
          </w:p>
        </w:tc>
        <w:tc>
          <w:tcPr>
            <w:tcW w:w="1501" w:type="dxa"/>
            <w:shd w:val="clear" w:color="auto" w:fill="auto"/>
            <w:vAlign w:val="bottom"/>
          </w:tcPr>
          <w:p w:rsidR="001D6C6E" w:rsidRPr="00B62CEB" w:rsidP="001D6C6E" w14:paraId="30CEFD48" w14:textId="55B4B5C0">
            <w:pPr>
              <w:keepNext/>
              <w:keepLines/>
              <w:numPr>
                <w:ilvl w:val="12"/>
                <w:numId w:val="0"/>
              </w:numPr>
              <w:jc w:val="center"/>
              <w:rPr>
                <w:rFonts w:asciiTheme="minorHAnsi" w:hAnsiTheme="minorHAnsi" w:cstheme="minorHAnsi"/>
                <w:b/>
                <w:bCs/>
              </w:rPr>
            </w:pPr>
            <w:r>
              <w:rPr>
                <w:rFonts w:asciiTheme="minorHAnsi" w:hAnsiTheme="minorHAnsi" w:cstheme="minorHAnsi"/>
                <w:b/>
                <w:bCs/>
              </w:rPr>
              <w:t>36,493</w:t>
            </w:r>
          </w:p>
        </w:tc>
      </w:tr>
    </w:tbl>
    <w:p w:rsidR="00601C92" w:rsidRPr="00B62CEB" w14:paraId="6F5FB4DB" w14:textId="77777777">
      <w:pPr>
        <w:ind w:left="720"/>
        <w:rPr>
          <w:rFonts w:asciiTheme="minorHAnsi" w:hAnsiTheme="minorHAnsi" w:cstheme="minorHAnsi"/>
        </w:rPr>
      </w:pPr>
    </w:p>
    <w:p w:rsidR="00464E63" w:rsidRPr="00B62CEB" w14:paraId="6D3386DD" w14:textId="77777777">
      <w:pPr>
        <w:rPr>
          <w:rFonts w:asciiTheme="minorHAnsi" w:hAnsiTheme="minorHAnsi" w:cstheme="minorHAnsi"/>
        </w:rPr>
      </w:pPr>
    </w:p>
    <w:p w:rsidR="00464E63" w:rsidRPr="00B62CEB" w14:paraId="6CC9AD9D" w14:textId="77777777">
      <w:pPr>
        <w:pStyle w:val="Quick1"/>
        <w:numPr>
          <w:ilvl w:val="0"/>
          <w:numId w:val="5"/>
        </w:numPr>
        <w:tabs>
          <w:tab w:val="left" w:pos="-1440"/>
          <w:tab w:val="num" w:pos="720"/>
        </w:tabs>
        <w:rPr>
          <w:rFonts w:asciiTheme="minorHAnsi" w:hAnsiTheme="minorHAnsi" w:cstheme="minorHAnsi"/>
        </w:rPr>
      </w:pPr>
      <w:r w:rsidRPr="00B62CEB">
        <w:rPr>
          <w:rFonts w:asciiTheme="minorHAnsi" w:hAnsiTheme="minorHAnsi" w:cstheme="minorHAnsi"/>
          <w:u w:val="single"/>
        </w:rPr>
        <w:t>ESTIMATED TOTAL ANNUAL COST BURDEN TO RESPONDENTS</w:t>
      </w:r>
    </w:p>
    <w:p w:rsidR="00464E63" w:rsidRPr="00B62CEB" w14:paraId="10165E71" w14:textId="77777777">
      <w:pPr>
        <w:rPr>
          <w:rFonts w:asciiTheme="minorHAnsi" w:hAnsiTheme="minorHAnsi" w:cstheme="minorHAnsi"/>
        </w:rPr>
      </w:pPr>
    </w:p>
    <w:p w:rsidR="00464E63" w:rsidRPr="00B62CEB" w:rsidP="00E25A7F" w14:paraId="245F1844" w14:textId="12DED700">
      <w:pPr>
        <w:ind w:left="720"/>
        <w:rPr>
          <w:rFonts w:asciiTheme="minorHAnsi" w:hAnsiTheme="minorHAnsi" w:cstheme="minorHAnsi"/>
        </w:rPr>
      </w:pPr>
      <w:r w:rsidRPr="00B62CEB">
        <w:rPr>
          <w:rFonts w:asciiTheme="minorHAnsi" w:hAnsiTheme="minorHAnsi" w:cstheme="minorHAnsi"/>
        </w:rPr>
        <w:t xml:space="preserve">IRS does not anticipate any cost to respondents outside of what is incurred as part of usual and customary business practices. </w:t>
      </w:r>
      <w:r w:rsidRPr="00B62CEB">
        <w:rPr>
          <w:rFonts w:asciiTheme="minorHAnsi" w:hAnsiTheme="minorHAnsi" w:cstheme="minorHAnsi"/>
        </w:rPr>
        <w:t xml:space="preserve">     </w:t>
      </w:r>
    </w:p>
    <w:p w:rsidR="0078472C" w:rsidRPr="00B62CEB" w14:paraId="6F32A9D0" w14:textId="5FD2F9C8">
      <w:pPr>
        <w:rPr>
          <w:rFonts w:asciiTheme="minorHAnsi" w:hAnsiTheme="minorHAnsi" w:cstheme="minorHAnsi"/>
        </w:rPr>
      </w:pPr>
    </w:p>
    <w:p w:rsidR="00464E63" w:rsidRPr="00B62CEB" w14:paraId="05A98AD9" w14:textId="77777777">
      <w:pPr>
        <w:pStyle w:val="Quick1"/>
        <w:numPr>
          <w:ilvl w:val="0"/>
          <w:numId w:val="5"/>
        </w:numPr>
        <w:tabs>
          <w:tab w:val="left" w:pos="-1440"/>
          <w:tab w:val="num" w:pos="720"/>
        </w:tabs>
        <w:rPr>
          <w:rFonts w:asciiTheme="minorHAnsi" w:hAnsiTheme="minorHAnsi" w:cstheme="minorHAnsi"/>
        </w:rPr>
      </w:pPr>
      <w:r w:rsidRPr="00B62CEB">
        <w:rPr>
          <w:rFonts w:asciiTheme="minorHAnsi" w:hAnsiTheme="minorHAnsi" w:cstheme="minorHAnsi"/>
          <w:u w:val="single"/>
        </w:rPr>
        <w:t>ESTIMATED ANNUALIZED COST TO THE FEDERAL GOVERNMENT</w:t>
      </w:r>
    </w:p>
    <w:p w:rsidR="00464E63" w:rsidRPr="00B62CEB" w14:paraId="54406B17" w14:textId="77777777">
      <w:pPr>
        <w:rPr>
          <w:rFonts w:asciiTheme="minorHAnsi" w:hAnsiTheme="minorHAnsi" w:cstheme="minorHAnsi"/>
        </w:rPr>
      </w:pPr>
    </w:p>
    <w:p w:rsidR="003253CA" w:rsidRPr="00B62CEB" w:rsidP="0078472C" w14:paraId="46593D67" w14:textId="7ADC800E">
      <w:pPr>
        <w:ind w:left="720"/>
        <w:rPr>
          <w:rFonts w:asciiTheme="minorHAnsi" w:hAnsiTheme="minorHAnsi" w:cstheme="minorHAnsi"/>
        </w:rPr>
      </w:pPr>
      <w:r w:rsidRPr="00B62CEB">
        <w:rPr>
          <w:rFonts w:asciiTheme="minorHAnsi" w:hAnsiTheme="minorHAnsi" w:cstheme="minorHAnsi"/>
        </w:rPr>
        <w:t xml:space="preserve">There is no cost to the Federal government as these are recordkeeping and third-party disclosures. </w:t>
      </w:r>
    </w:p>
    <w:p w:rsidR="00464E63" w:rsidRPr="00B62CEB" w14:paraId="68956F68" w14:textId="77777777">
      <w:pPr>
        <w:rPr>
          <w:rFonts w:asciiTheme="minorHAnsi" w:hAnsiTheme="minorHAnsi" w:cstheme="minorHAnsi"/>
        </w:rPr>
      </w:pPr>
    </w:p>
    <w:p w:rsidR="00464E63" w:rsidRPr="00B62CEB" w14:paraId="47DFE490" w14:textId="77777777">
      <w:pPr>
        <w:rPr>
          <w:rFonts w:asciiTheme="minorHAnsi" w:hAnsiTheme="minorHAnsi" w:cstheme="minorHAnsi"/>
        </w:rPr>
        <w:sectPr>
          <w:type w:val="continuous"/>
          <w:pgSz w:w="12240" w:h="15840"/>
          <w:pgMar w:top="1440" w:right="1440" w:bottom="1440" w:left="1404" w:header="1440" w:footer="1440" w:gutter="0"/>
          <w:cols w:space="720"/>
          <w:noEndnote/>
        </w:sectPr>
      </w:pPr>
    </w:p>
    <w:p w:rsidR="00464E63" w:rsidRPr="00B62CEB" w14:paraId="735044D9" w14:textId="77777777">
      <w:pPr>
        <w:tabs>
          <w:tab w:val="left" w:pos="-1440"/>
        </w:tabs>
        <w:ind w:left="720" w:hanging="720"/>
        <w:rPr>
          <w:rFonts w:asciiTheme="minorHAnsi" w:hAnsiTheme="minorHAnsi" w:cstheme="minorHAnsi"/>
        </w:rPr>
      </w:pPr>
      <w:r w:rsidRPr="00B62CEB">
        <w:rPr>
          <w:rFonts w:asciiTheme="minorHAnsi" w:hAnsiTheme="minorHAnsi" w:cstheme="minorHAnsi"/>
        </w:rPr>
        <w:t>15.</w:t>
      </w:r>
      <w:r w:rsidRPr="00B62CEB">
        <w:rPr>
          <w:rFonts w:asciiTheme="minorHAnsi" w:hAnsiTheme="minorHAnsi" w:cstheme="minorHAnsi"/>
        </w:rPr>
        <w:tab/>
      </w:r>
      <w:r w:rsidRPr="00B62CEB">
        <w:rPr>
          <w:rFonts w:asciiTheme="minorHAnsi" w:hAnsiTheme="minorHAnsi" w:cstheme="minorHAnsi"/>
          <w:u w:val="single"/>
        </w:rPr>
        <w:t>REASONS FOR CHANGE IN BURDEN</w:t>
      </w:r>
    </w:p>
    <w:p w:rsidR="00464E63" w:rsidRPr="00B62CEB" w14:paraId="696E1F2F" w14:textId="77777777">
      <w:pPr>
        <w:rPr>
          <w:rFonts w:asciiTheme="minorHAnsi" w:hAnsiTheme="minorHAnsi" w:cstheme="minorHAnsi"/>
        </w:rPr>
      </w:pPr>
    </w:p>
    <w:p w:rsidR="00464E63" w:rsidRPr="00B62CEB" w14:paraId="40AF2CB5" w14:textId="0EBF3CA7">
      <w:pPr>
        <w:ind w:left="720"/>
        <w:rPr>
          <w:rFonts w:asciiTheme="minorHAnsi" w:hAnsiTheme="minorHAnsi" w:cstheme="minorHAnsi"/>
        </w:rPr>
      </w:pPr>
      <w:r w:rsidRPr="00B62CEB">
        <w:rPr>
          <w:rFonts w:asciiTheme="minorHAnsi" w:hAnsiTheme="minorHAnsi" w:cstheme="minorHAnsi"/>
        </w:rPr>
        <w:t xml:space="preserve">These regulations </w:t>
      </w:r>
      <w:r w:rsidRPr="00B62CEB" w:rsidR="00E25A7F">
        <w:rPr>
          <w:rFonts w:asciiTheme="minorHAnsi" w:hAnsiTheme="minorHAnsi" w:cstheme="minorHAnsi"/>
        </w:rPr>
        <w:t>are</w:t>
      </w:r>
      <w:r w:rsidRPr="00B62CEB" w:rsidR="000064E3">
        <w:rPr>
          <w:rFonts w:asciiTheme="minorHAnsi" w:hAnsiTheme="minorHAnsi" w:cstheme="minorHAnsi"/>
        </w:rPr>
        <w:t xml:space="preserve"> </w:t>
      </w:r>
      <w:r w:rsidRPr="00B62CEB" w:rsidR="008C22BD">
        <w:rPr>
          <w:rFonts w:asciiTheme="minorHAnsi" w:hAnsiTheme="minorHAnsi" w:cstheme="minorHAnsi"/>
        </w:rPr>
        <w:t xml:space="preserve">modifying the existing RMD election requirements and adding additional </w:t>
      </w:r>
      <w:r w:rsidRPr="00B62CEB" w:rsidR="008A0C0C">
        <w:rPr>
          <w:rFonts w:asciiTheme="minorHAnsi" w:hAnsiTheme="minorHAnsi" w:cstheme="minorHAnsi"/>
        </w:rPr>
        <w:t>election requirements</w:t>
      </w:r>
      <w:r w:rsidRPr="00B62CEB" w:rsidR="008C22BD">
        <w:rPr>
          <w:rFonts w:asciiTheme="minorHAnsi" w:hAnsiTheme="minorHAnsi" w:cstheme="minorHAnsi"/>
        </w:rPr>
        <w:t xml:space="preserve"> for certain </w:t>
      </w:r>
      <w:r w:rsidRPr="00B62CEB" w:rsidR="007F6DDD">
        <w:rPr>
          <w:rFonts w:asciiTheme="minorHAnsi" w:hAnsiTheme="minorHAnsi" w:cstheme="minorHAnsi"/>
        </w:rPr>
        <w:t xml:space="preserve">defined contribution plan </w:t>
      </w:r>
      <w:r w:rsidRPr="00B62CEB" w:rsidR="00EC50E5">
        <w:rPr>
          <w:rFonts w:asciiTheme="minorHAnsi" w:hAnsiTheme="minorHAnsi" w:cstheme="minorHAnsi"/>
        </w:rPr>
        <w:t xml:space="preserve">participants </w:t>
      </w:r>
      <w:r w:rsidRPr="00B62CEB" w:rsidR="003313E4">
        <w:rPr>
          <w:rFonts w:asciiTheme="minorHAnsi" w:hAnsiTheme="minorHAnsi" w:cstheme="minorHAnsi"/>
        </w:rPr>
        <w:t>and beneficiaries</w:t>
      </w:r>
      <w:r w:rsidRPr="00B62CEB" w:rsidR="000064E3">
        <w:rPr>
          <w:rFonts w:asciiTheme="minorHAnsi" w:hAnsiTheme="minorHAnsi" w:cstheme="minorHAnsi"/>
        </w:rPr>
        <w:t xml:space="preserve">. </w:t>
      </w:r>
    </w:p>
    <w:p w:rsidR="00464E63" w:rsidRPr="00B62CEB" w14:paraId="1B530568" w14:textId="77777777">
      <w:pPr>
        <w:rPr>
          <w:rFonts w:asciiTheme="minorHAnsi" w:hAnsiTheme="minorHAnsi" w:cstheme="minorHAnsi"/>
        </w:rPr>
      </w:pPr>
    </w:p>
    <w:p w:rsidR="00464E63" w:rsidRPr="00B62CEB" w14:paraId="5B031E9A" w14:textId="77777777">
      <w:pPr>
        <w:pStyle w:val="Quick1"/>
        <w:tabs>
          <w:tab w:val="left" w:pos="-1440"/>
          <w:tab w:val="num" w:pos="720"/>
        </w:tabs>
        <w:rPr>
          <w:rFonts w:asciiTheme="minorHAnsi" w:hAnsiTheme="minorHAnsi" w:cstheme="minorHAnsi"/>
        </w:rPr>
      </w:pPr>
      <w:r w:rsidRPr="00B62CEB">
        <w:rPr>
          <w:rFonts w:asciiTheme="minorHAnsi" w:hAnsiTheme="minorHAnsi" w:cstheme="minorHAnsi"/>
          <w:u w:val="single"/>
        </w:rPr>
        <w:t>PLANS FOR TABULATION, STATISTICAL ANALYSIS AND PUBLICATION</w:t>
      </w:r>
    </w:p>
    <w:p w:rsidR="00464E63" w:rsidRPr="00B62CEB" w14:paraId="21B9E026" w14:textId="77777777">
      <w:pPr>
        <w:rPr>
          <w:rFonts w:asciiTheme="minorHAnsi" w:hAnsiTheme="minorHAnsi" w:cstheme="minorHAnsi"/>
        </w:rPr>
      </w:pPr>
    </w:p>
    <w:p w:rsidR="00464E63" w:rsidRPr="00B62CEB" w14:paraId="72D8E25A" w14:textId="3BF5D515">
      <w:pPr>
        <w:ind w:left="720"/>
        <w:rPr>
          <w:rFonts w:asciiTheme="minorHAnsi" w:hAnsiTheme="minorHAnsi" w:cstheme="minorHAnsi"/>
        </w:rPr>
      </w:pPr>
      <w:r w:rsidRPr="00B62CEB">
        <w:rPr>
          <w:rFonts w:asciiTheme="minorHAnsi" w:hAnsiTheme="minorHAnsi" w:cstheme="minorHAnsi"/>
        </w:rPr>
        <w:t>There are no plans for tabulation, statistical analysis, and publication</w:t>
      </w:r>
      <w:r w:rsidRPr="00B62CEB">
        <w:rPr>
          <w:rFonts w:asciiTheme="minorHAnsi" w:hAnsiTheme="minorHAnsi" w:cstheme="minorHAnsi"/>
        </w:rPr>
        <w:t>.</w:t>
      </w:r>
    </w:p>
    <w:p w:rsidR="00464E63" w:rsidRPr="00B62CEB" w14:paraId="05707AA7" w14:textId="77777777">
      <w:pPr>
        <w:rPr>
          <w:rFonts w:asciiTheme="minorHAnsi" w:hAnsiTheme="minorHAnsi" w:cstheme="minorHAnsi"/>
        </w:rPr>
      </w:pPr>
    </w:p>
    <w:p w:rsidR="00464E63" w:rsidRPr="00B62CEB" w14:paraId="471E1822" w14:textId="58950537">
      <w:pPr>
        <w:pStyle w:val="Quick1"/>
        <w:tabs>
          <w:tab w:val="left" w:pos="-1440"/>
          <w:tab w:val="num" w:pos="720"/>
        </w:tabs>
        <w:rPr>
          <w:rFonts w:asciiTheme="minorHAnsi" w:hAnsiTheme="minorHAnsi" w:cstheme="minorHAnsi"/>
        </w:rPr>
      </w:pPr>
      <w:r w:rsidRPr="00B62CEB">
        <w:rPr>
          <w:rFonts w:asciiTheme="minorHAnsi" w:hAnsiTheme="minorHAnsi" w:cstheme="minorHAnsi"/>
          <w:u w:val="single"/>
        </w:rPr>
        <w:t>REASONS WHY DISPLAYING THE OMB EXPIRATION DATE IS</w:t>
      </w:r>
      <w:r w:rsidR="00D06B7E">
        <w:rPr>
          <w:rFonts w:asciiTheme="minorHAnsi" w:hAnsiTheme="minorHAnsi" w:cstheme="minorHAnsi"/>
          <w:u w:val="single"/>
        </w:rPr>
        <w:t xml:space="preserve"> </w:t>
      </w:r>
      <w:r w:rsidRPr="00B62CEB">
        <w:rPr>
          <w:rFonts w:asciiTheme="minorHAnsi" w:hAnsiTheme="minorHAnsi" w:cstheme="minorHAnsi"/>
          <w:u w:val="single"/>
        </w:rPr>
        <w:t>INAPPROPRIATE</w:t>
      </w:r>
    </w:p>
    <w:p w:rsidR="00464E63" w:rsidRPr="00B62CEB" w14:paraId="6890A46B" w14:textId="77777777">
      <w:pPr>
        <w:rPr>
          <w:rFonts w:asciiTheme="minorHAnsi" w:hAnsiTheme="minorHAnsi" w:cstheme="minorHAnsi"/>
        </w:rPr>
      </w:pPr>
    </w:p>
    <w:p w:rsidR="00464E63" w:rsidRPr="00B62CEB" w14:paraId="1000956F" w14:textId="10AD5A00">
      <w:pPr>
        <w:ind w:left="720"/>
        <w:rPr>
          <w:rFonts w:asciiTheme="minorHAnsi" w:hAnsiTheme="minorHAnsi" w:cstheme="minorHAnsi"/>
        </w:rPr>
      </w:pPr>
      <w:r w:rsidRPr="00B62CEB">
        <w:rPr>
          <w:rFonts w:asciiTheme="minorHAnsi" w:hAnsiTheme="minorHAnsi" w:cstheme="minorHAnsi"/>
        </w:rPr>
        <w:t>IRS</w:t>
      </w:r>
      <w:r w:rsidRPr="00B62CEB">
        <w:rPr>
          <w:rFonts w:asciiTheme="minorHAnsi" w:hAnsiTheme="minorHAnsi" w:cstheme="minorHAnsi"/>
        </w:rPr>
        <w:t xml:space="preserve"> believe</w:t>
      </w:r>
      <w:r w:rsidRPr="00B62CEB">
        <w:rPr>
          <w:rFonts w:asciiTheme="minorHAnsi" w:hAnsiTheme="minorHAnsi" w:cstheme="minorHAnsi"/>
        </w:rPr>
        <w:t>s</w:t>
      </w:r>
      <w:r w:rsidRPr="00B62CEB">
        <w:rPr>
          <w:rFonts w:asciiTheme="minorHAnsi" w:hAnsiTheme="minorHAnsi" w:cstheme="minorHAnsi"/>
        </w:rPr>
        <w:t xml:space="preserve"> that displaying the OMB expiration date is inappropriate because it could cause confusion by leading taxpayers to believe that the regulation sunsets as of the expiration date. Taxpayers are not likely to be aware that the </w:t>
      </w:r>
      <w:r w:rsidRPr="00B62CEB">
        <w:rPr>
          <w:rFonts w:asciiTheme="minorHAnsi" w:hAnsiTheme="minorHAnsi" w:cstheme="minorHAnsi"/>
        </w:rPr>
        <w:t>IRS</w:t>
      </w:r>
      <w:r w:rsidRPr="00B62CEB">
        <w:rPr>
          <w:rFonts w:asciiTheme="minorHAnsi" w:hAnsiTheme="minorHAnsi" w:cstheme="minorHAnsi"/>
        </w:rPr>
        <w:t xml:space="preserve"> intends to request renewal of the OMB approval and obtain a new expiration date before the old one expires.</w:t>
      </w:r>
    </w:p>
    <w:p w:rsidR="00464E63" w:rsidRPr="00B62CEB" w14:paraId="017180C5" w14:textId="77777777">
      <w:pPr>
        <w:rPr>
          <w:rFonts w:asciiTheme="minorHAnsi" w:hAnsiTheme="minorHAnsi" w:cstheme="minorHAnsi"/>
        </w:rPr>
      </w:pPr>
    </w:p>
    <w:p w:rsidR="00464E63" w:rsidRPr="00B62CEB" w14:paraId="7A65B6F1" w14:textId="77777777">
      <w:pPr>
        <w:tabs>
          <w:tab w:val="left" w:pos="-1440"/>
        </w:tabs>
        <w:ind w:left="720" w:hanging="720"/>
        <w:rPr>
          <w:rFonts w:asciiTheme="minorHAnsi" w:hAnsiTheme="minorHAnsi" w:cstheme="minorHAnsi"/>
        </w:rPr>
      </w:pPr>
      <w:r w:rsidRPr="00B62CEB">
        <w:rPr>
          <w:rFonts w:asciiTheme="minorHAnsi" w:hAnsiTheme="minorHAnsi" w:cstheme="minorHAnsi"/>
        </w:rPr>
        <w:t>18.</w:t>
      </w:r>
      <w:r w:rsidRPr="00B62CEB">
        <w:rPr>
          <w:rFonts w:asciiTheme="minorHAnsi" w:hAnsiTheme="minorHAnsi" w:cstheme="minorHAnsi"/>
        </w:rPr>
        <w:tab/>
      </w:r>
      <w:r w:rsidRPr="00B62CEB">
        <w:rPr>
          <w:rFonts w:asciiTheme="minorHAnsi" w:hAnsiTheme="minorHAnsi" w:cstheme="minorHAnsi"/>
          <w:u w:val="single"/>
        </w:rPr>
        <w:t>EXCEPTIONS TO THE CERTIFICATION STATEMENT ON OMB FORM 83-I</w:t>
      </w:r>
    </w:p>
    <w:p w:rsidR="00464E63" w:rsidRPr="00B62CEB" w14:paraId="2B28304B" w14:textId="77777777">
      <w:pPr>
        <w:rPr>
          <w:rFonts w:asciiTheme="minorHAnsi" w:hAnsiTheme="minorHAnsi" w:cstheme="minorHAnsi"/>
        </w:rPr>
      </w:pPr>
    </w:p>
    <w:p w:rsidR="00464E63" w:rsidRPr="00B62CEB" w:rsidP="000064E3" w14:paraId="602D5738" w14:textId="43722B8D">
      <w:pPr>
        <w:ind w:firstLine="720"/>
        <w:rPr>
          <w:rFonts w:asciiTheme="minorHAnsi" w:hAnsiTheme="minorHAnsi" w:cstheme="minorHAnsi"/>
          <w:iCs/>
        </w:rPr>
      </w:pPr>
      <w:r w:rsidRPr="00B62CEB">
        <w:rPr>
          <w:rFonts w:asciiTheme="minorHAnsi" w:hAnsiTheme="minorHAnsi" w:cstheme="minorHAnsi"/>
          <w:iCs/>
        </w:rPr>
        <w:t>There are no exceptions to the certification statement.</w:t>
      </w:r>
    </w:p>
    <w:p w:rsidR="00116DC4" w:rsidRPr="00B62CEB" w:rsidP="000064E3" w14:paraId="0DFD9711" w14:textId="77777777">
      <w:pPr>
        <w:ind w:firstLine="720"/>
        <w:rPr>
          <w:rFonts w:asciiTheme="minorHAnsi" w:hAnsiTheme="minorHAnsi" w:cstheme="minorHAnsi"/>
          <w:iCs/>
        </w:rPr>
      </w:pPr>
    </w:p>
    <w:p w:rsidR="00464E63" w:rsidRPr="00B62CEB" w:rsidP="000064E3" w14:paraId="4677F282" w14:textId="2EEFAE08">
      <w:pPr>
        <w:ind w:left="720"/>
        <w:rPr>
          <w:rFonts w:asciiTheme="minorHAnsi" w:hAnsiTheme="minorHAnsi" w:cstheme="minorHAnsi"/>
        </w:rPr>
      </w:pPr>
      <w:r w:rsidRPr="00B62CEB">
        <w:rPr>
          <w:rFonts w:asciiTheme="minorHAnsi" w:hAnsiTheme="minorHAnsi" w:cstheme="minorHAnsi"/>
          <w:u w:val="single"/>
        </w:rPr>
        <w:t>Note:</w:t>
      </w:r>
      <w:r w:rsidRPr="00B62CEB">
        <w:rPr>
          <w:rFonts w:asciiTheme="minorHAnsi" w:hAnsiTheme="minorHAnsi" w:cstheme="minorHAnsi"/>
        </w:rPr>
        <w:t xml:space="preserve"> The following paragraph applies to </w:t>
      </w:r>
      <w:r w:rsidRPr="00B62CEB">
        <w:rPr>
          <w:rFonts w:asciiTheme="minorHAnsi" w:hAnsiTheme="minorHAnsi" w:cstheme="minorHAnsi"/>
        </w:rPr>
        <w:t>all of</w:t>
      </w:r>
      <w:r w:rsidRPr="00B62CEB">
        <w:rPr>
          <w:rFonts w:asciiTheme="minorHAnsi" w:hAnsiTheme="minorHAnsi" w:cstheme="minorHAnsi"/>
        </w:rPr>
        <w:t xml:space="preserve"> the collections of information in this submission:</w:t>
      </w:r>
    </w:p>
    <w:p w:rsidR="00464E63" w:rsidRPr="00B62CEB" w14:paraId="029F460A" w14:textId="77777777">
      <w:pPr>
        <w:rPr>
          <w:rFonts w:asciiTheme="minorHAnsi" w:hAnsiTheme="minorHAnsi" w:cstheme="minorHAnsi"/>
        </w:rPr>
      </w:pPr>
    </w:p>
    <w:p w:rsidR="00464E63" w:rsidRPr="00B62CEB" w:rsidP="000C4D87" w14:paraId="464AF8CB" w14:textId="09B9780F">
      <w:pPr>
        <w:ind w:left="720"/>
        <w:rPr>
          <w:rFonts w:asciiTheme="minorHAnsi" w:hAnsiTheme="minorHAnsi" w:cstheme="minorHAnsi"/>
        </w:rPr>
      </w:pPr>
      <w:r w:rsidRPr="00B62CEB">
        <w:rPr>
          <w:rFonts w:asciiTheme="minorHAnsi" w:hAnsiTheme="minorHAnsi" w:cstheme="minorHAnsi"/>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B62CEB">
        <w:rPr>
          <w:rFonts w:asciiTheme="minorHAnsi" w:hAnsiTheme="minorHAnsi" w:cstheme="minorHAnsi"/>
        </w:rPr>
        <w:t>as long as</w:t>
      </w:r>
      <w:r w:rsidRPr="00B62CEB">
        <w:rPr>
          <w:rFonts w:asciiTheme="minorHAnsi" w:hAnsiTheme="minorHAnsi" w:cstheme="minorHAnsi"/>
        </w:rPr>
        <w:t xml:space="preserve"> their contents may become material in the administration of any internal revenue law. Generally, tax returns and tax return information are confidential, as required by 26 U.S.C. 6103.</w:t>
      </w:r>
    </w:p>
    <w:sectPr w:rsidSect="00464E63">
      <w:type w:val="continuous"/>
      <w:pgSz w:w="12240" w:h="15840"/>
      <w:pgMar w:top="1440" w:right="1440" w:bottom="1440" w:left="140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1D6C" w14:paraId="662DCE62" w14:textId="77777777">
      <w:r>
        <w:separator/>
      </w:r>
    </w:p>
  </w:footnote>
  <w:footnote w:type="continuationSeparator" w:id="1">
    <w:p w:rsidR="002A1D6C" w14:paraId="49D16915" w14:textId="77777777">
      <w:r>
        <w:continuationSeparator/>
      </w:r>
    </w:p>
  </w:footnote>
  <w:footnote w:id="2">
    <w:p w:rsidR="00AC278B" w:rsidRPr="001C2898" w14:paraId="1D95678C" w14:textId="2EBD6BBC">
      <w:pPr>
        <w:pStyle w:val="FootnoteText"/>
        <w:rPr>
          <w:rFonts w:asciiTheme="minorHAnsi" w:hAnsiTheme="minorHAnsi" w:cstheme="minorHAnsi"/>
        </w:rPr>
      </w:pPr>
      <w:r w:rsidRPr="001C2898">
        <w:rPr>
          <w:rStyle w:val="FootnoteReference"/>
          <w:rFonts w:asciiTheme="minorHAnsi" w:hAnsiTheme="minorHAnsi" w:cstheme="minorHAnsi"/>
        </w:rPr>
        <w:footnoteRef/>
      </w:r>
      <w:r w:rsidRPr="001C2898">
        <w:rPr>
          <w:rFonts w:asciiTheme="minorHAnsi" w:hAnsiTheme="minorHAnsi" w:cstheme="minorHAnsi"/>
        </w:rPr>
        <w:t xml:space="preserve"> </w:t>
      </w:r>
      <w:r w:rsidR="00965A0C">
        <w:rPr>
          <w:rFonts w:asciiTheme="minorHAnsi" w:hAnsiTheme="minorHAnsi" w:cstheme="minorHAnsi"/>
        </w:rPr>
        <w:t>T.D. 10001</w:t>
      </w:r>
      <w:r w:rsidRPr="001C2898">
        <w:rPr>
          <w:rFonts w:asciiTheme="minorHAnsi" w:hAnsiTheme="minorHAnsi" w:cstheme="minorHAnsi"/>
        </w:rPr>
        <w:t xml:space="preserve"> is scheduled to be finalized and published alongside the newly proposed REG-103529-23.  The collection requirements for </w:t>
      </w:r>
      <w:r w:rsidR="00965A0C">
        <w:rPr>
          <w:rFonts w:asciiTheme="minorHAnsi" w:hAnsiTheme="minorHAnsi" w:cstheme="minorHAnsi"/>
        </w:rPr>
        <w:t>T.D. 10001</w:t>
      </w:r>
      <w:r w:rsidRPr="001C2898">
        <w:rPr>
          <w:rFonts w:asciiTheme="minorHAnsi" w:hAnsiTheme="minorHAnsi" w:cstheme="minorHAnsi"/>
        </w:rPr>
        <w:t xml:space="preserve"> are approved under 1545-1573.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5235773"/>
      <w:docPartObj>
        <w:docPartGallery w:val="Page Numbers (Top of Page)"/>
        <w:docPartUnique/>
      </w:docPartObj>
    </w:sdtPr>
    <w:sdtEndPr>
      <w:rPr>
        <w:noProof/>
      </w:rPr>
    </w:sdtEndPr>
    <w:sdtContent>
      <w:p w:rsidR="00563C52" w14:paraId="79C392C2" w14:textId="6955BB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D2D45" w14:paraId="1DCB1B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E63" w14:paraId="4E3ED14C" w14:textId="77777777">
    <w:pPr>
      <w:framePr w:w="9382"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AF6041">
      <w:rPr>
        <w:rFonts w:cs="Courier"/>
        <w:noProof/>
      </w:rPr>
      <w:t>3</w:t>
    </w:r>
    <w:r>
      <w:rPr>
        <w:rFonts w:cs="Courier"/>
      </w:rPr>
      <w:fldChar w:fldCharType="end"/>
    </w:r>
  </w:p>
  <w:p w:rsidR="00464E63" w14:paraId="5AF034B6" w14:textId="77777777">
    <w:pPr>
      <w:ind w:left="21"/>
    </w:pPr>
  </w:p>
  <w:p w:rsidR="00464E63" w14:paraId="4C231DB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Shruti" w:hAnsi="Shruti" w:cs="Shruti"/>
        <w:b/>
        <w:bCs/>
        <w:sz w:val="24"/>
        <w:szCs w:val="24"/>
      </w:rPr>
    </w:lvl>
  </w:abstractNum>
  <w:abstractNum w:abstractNumId="1">
    <w:nsid w:val="1DE921C0"/>
    <w:multiLevelType w:val="hybridMultilevel"/>
    <w:tmpl w:val="05AAA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8B2532"/>
    <w:multiLevelType w:val="hybridMultilevel"/>
    <w:tmpl w:val="2FEA7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4">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42788708">
    <w:abstractNumId w:val="0"/>
    <w:lvlOverride w:ilvl="0">
      <w:startOverride w:val="1"/>
      <w:lvl w:ilvl="0">
        <w:start w:val="1"/>
        <w:numFmt w:val="decimal"/>
        <w:pStyle w:val="Quick1"/>
        <w:lvlText w:val="%1."/>
        <w:lvlJc w:val="left"/>
      </w:lvl>
    </w:lvlOverride>
  </w:num>
  <w:num w:numId="2" w16cid:durableId="575238342">
    <w:abstractNumId w:val="0"/>
    <w:lvlOverride w:ilvl="0">
      <w:startOverride w:val="3"/>
      <w:lvl w:ilvl="0">
        <w:start w:val="3"/>
        <w:numFmt w:val="decimal"/>
        <w:pStyle w:val="Quick1"/>
        <w:lvlText w:val="%1."/>
        <w:lvlJc w:val="left"/>
      </w:lvl>
    </w:lvlOverride>
  </w:num>
  <w:num w:numId="3" w16cid:durableId="521356919">
    <w:abstractNumId w:val="0"/>
    <w:lvlOverride w:ilvl="0">
      <w:startOverride w:val="8"/>
      <w:lvl w:ilvl="0">
        <w:start w:val="8"/>
        <w:numFmt w:val="decimal"/>
        <w:pStyle w:val="Quick1"/>
        <w:lvlText w:val="%1."/>
        <w:lvlJc w:val="left"/>
      </w:lvl>
    </w:lvlOverride>
  </w:num>
  <w:num w:numId="4" w16cid:durableId="2015523485">
    <w:abstractNumId w:val="0"/>
    <w:lvlOverride w:ilvl="0">
      <w:startOverride w:val="11"/>
      <w:lvl w:ilvl="0">
        <w:start w:val="11"/>
        <w:numFmt w:val="decimal"/>
        <w:pStyle w:val="Quick1"/>
        <w:lvlText w:val="%1."/>
        <w:lvlJc w:val="left"/>
      </w:lvl>
    </w:lvlOverride>
  </w:num>
  <w:num w:numId="5" w16cid:durableId="1062946831">
    <w:abstractNumId w:val="0"/>
    <w:lvlOverride w:ilvl="0">
      <w:startOverride w:val="13"/>
      <w:lvl w:ilvl="0">
        <w:start w:val="13"/>
        <w:numFmt w:val="decimal"/>
        <w:pStyle w:val="Quick1"/>
        <w:lvlText w:val="%1."/>
        <w:lvlJc w:val="left"/>
      </w:lvl>
    </w:lvlOverride>
  </w:num>
  <w:num w:numId="6" w16cid:durableId="635448241">
    <w:abstractNumId w:val="0"/>
    <w:lvlOverride w:ilvl="0">
      <w:startOverride w:val="16"/>
      <w:lvl w:ilvl="0">
        <w:start w:val="16"/>
        <w:numFmt w:val="decimal"/>
        <w:pStyle w:val="Quick1"/>
        <w:lvlText w:val="%1."/>
        <w:lvlJc w:val="left"/>
      </w:lvl>
    </w:lvlOverride>
  </w:num>
  <w:num w:numId="7" w16cid:durableId="929658927">
    <w:abstractNumId w:val="4"/>
  </w:num>
  <w:num w:numId="8" w16cid:durableId="539703175">
    <w:abstractNumId w:val="3"/>
  </w:num>
  <w:num w:numId="9" w16cid:durableId="2102296233">
    <w:abstractNumId w:val="1"/>
  </w:num>
  <w:num w:numId="10" w16cid:durableId="1080983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63"/>
    <w:rsid w:val="000064E3"/>
    <w:rsid w:val="00016BE5"/>
    <w:rsid w:val="00072775"/>
    <w:rsid w:val="000958F7"/>
    <w:rsid w:val="00097524"/>
    <w:rsid w:val="000B7538"/>
    <w:rsid w:val="000C4D87"/>
    <w:rsid w:val="000C4E01"/>
    <w:rsid w:val="000E2A0E"/>
    <w:rsid w:val="000F027C"/>
    <w:rsid w:val="00115B58"/>
    <w:rsid w:val="00116DC4"/>
    <w:rsid w:val="00150522"/>
    <w:rsid w:val="00156D4C"/>
    <w:rsid w:val="00185AAE"/>
    <w:rsid w:val="0019562D"/>
    <w:rsid w:val="001A35FA"/>
    <w:rsid w:val="001B63C2"/>
    <w:rsid w:val="001C2898"/>
    <w:rsid w:val="001C5412"/>
    <w:rsid w:val="001C6554"/>
    <w:rsid w:val="001D254E"/>
    <w:rsid w:val="001D46D3"/>
    <w:rsid w:val="001D6C6E"/>
    <w:rsid w:val="001F62A5"/>
    <w:rsid w:val="002122B9"/>
    <w:rsid w:val="00216A73"/>
    <w:rsid w:val="00227180"/>
    <w:rsid w:val="00272F8D"/>
    <w:rsid w:val="002848AA"/>
    <w:rsid w:val="002906E5"/>
    <w:rsid w:val="002915C6"/>
    <w:rsid w:val="002A0954"/>
    <w:rsid w:val="002A1D6C"/>
    <w:rsid w:val="002D2D45"/>
    <w:rsid w:val="00301409"/>
    <w:rsid w:val="003238F2"/>
    <w:rsid w:val="003253CA"/>
    <w:rsid w:val="003313E4"/>
    <w:rsid w:val="00335333"/>
    <w:rsid w:val="003375E8"/>
    <w:rsid w:val="00355C12"/>
    <w:rsid w:val="00360ED3"/>
    <w:rsid w:val="00381179"/>
    <w:rsid w:val="00383495"/>
    <w:rsid w:val="00383FF9"/>
    <w:rsid w:val="0039049D"/>
    <w:rsid w:val="00396472"/>
    <w:rsid w:val="003A35C8"/>
    <w:rsid w:val="003C0AC3"/>
    <w:rsid w:val="003C0FC7"/>
    <w:rsid w:val="003C4E39"/>
    <w:rsid w:val="003C557E"/>
    <w:rsid w:val="0042017E"/>
    <w:rsid w:val="0042717D"/>
    <w:rsid w:val="0045619B"/>
    <w:rsid w:val="004617CD"/>
    <w:rsid w:val="00464E63"/>
    <w:rsid w:val="0047102F"/>
    <w:rsid w:val="00486E58"/>
    <w:rsid w:val="00487EEF"/>
    <w:rsid w:val="004C1299"/>
    <w:rsid w:val="004C5E99"/>
    <w:rsid w:val="004C6083"/>
    <w:rsid w:val="004F2006"/>
    <w:rsid w:val="004F38D7"/>
    <w:rsid w:val="0051005F"/>
    <w:rsid w:val="00521811"/>
    <w:rsid w:val="005253A5"/>
    <w:rsid w:val="0052644C"/>
    <w:rsid w:val="0053709A"/>
    <w:rsid w:val="00540BFF"/>
    <w:rsid w:val="005548C7"/>
    <w:rsid w:val="00563C52"/>
    <w:rsid w:val="00563CE0"/>
    <w:rsid w:val="00564666"/>
    <w:rsid w:val="0056493F"/>
    <w:rsid w:val="00576965"/>
    <w:rsid w:val="005B0580"/>
    <w:rsid w:val="005B7208"/>
    <w:rsid w:val="005C29D9"/>
    <w:rsid w:val="00601C92"/>
    <w:rsid w:val="00617BEA"/>
    <w:rsid w:val="0063407B"/>
    <w:rsid w:val="00643B1C"/>
    <w:rsid w:val="00661FB9"/>
    <w:rsid w:val="006A70D2"/>
    <w:rsid w:val="006C51B9"/>
    <w:rsid w:val="006D4F74"/>
    <w:rsid w:val="006D6150"/>
    <w:rsid w:val="006E45F3"/>
    <w:rsid w:val="00705DDC"/>
    <w:rsid w:val="007079EA"/>
    <w:rsid w:val="00743C69"/>
    <w:rsid w:val="00772260"/>
    <w:rsid w:val="0078472C"/>
    <w:rsid w:val="00785B49"/>
    <w:rsid w:val="007B7CF5"/>
    <w:rsid w:val="007C5051"/>
    <w:rsid w:val="007D198F"/>
    <w:rsid w:val="007F0DCF"/>
    <w:rsid w:val="007F271E"/>
    <w:rsid w:val="007F6DDD"/>
    <w:rsid w:val="0080311C"/>
    <w:rsid w:val="00810AC3"/>
    <w:rsid w:val="00850CDA"/>
    <w:rsid w:val="00852908"/>
    <w:rsid w:val="00877459"/>
    <w:rsid w:val="008950A6"/>
    <w:rsid w:val="008952FA"/>
    <w:rsid w:val="008A0C0C"/>
    <w:rsid w:val="008C22BD"/>
    <w:rsid w:val="00911E75"/>
    <w:rsid w:val="009122FE"/>
    <w:rsid w:val="00931DB9"/>
    <w:rsid w:val="00937E2E"/>
    <w:rsid w:val="00965A0C"/>
    <w:rsid w:val="00966929"/>
    <w:rsid w:val="00967D68"/>
    <w:rsid w:val="00970453"/>
    <w:rsid w:val="0099125B"/>
    <w:rsid w:val="009B28A8"/>
    <w:rsid w:val="009D64BA"/>
    <w:rsid w:val="009F6DF8"/>
    <w:rsid w:val="00A430AF"/>
    <w:rsid w:val="00A479FC"/>
    <w:rsid w:val="00A47EC1"/>
    <w:rsid w:val="00A53AC0"/>
    <w:rsid w:val="00A75CE8"/>
    <w:rsid w:val="00A9406C"/>
    <w:rsid w:val="00AC278B"/>
    <w:rsid w:val="00AC61D1"/>
    <w:rsid w:val="00AC64AE"/>
    <w:rsid w:val="00AD4A3F"/>
    <w:rsid w:val="00AF1EA2"/>
    <w:rsid w:val="00AF6041"/>
    <w:rsid w:val="00B4503D"/>
    <w:rsid w:val="00B4684C"/>
    <w:rsid w:val="00B4762E"/>
    <w:rsid w:val="00B62CEB"/>
    <w:rsid w:val="00B66984"/>
    <w:rsid w:val="00B84B2F"/>
    <w:rsid w:val="00BB0E2D"/>
    <w:rsid w:val="00BD64D6"/>
    <w:rsid w:val="00BF5DC5"/>
    <w:rsid w:val="00C37BA0"/>
    <w:rsid w:val="00C402FF"/>
    <w:rsid w:val="00C676F2"/>
    <w:rsid w:val="00C90CFD"/>
    <w:rsid w:val="00CA56D0"/>
    <w:rsid w:val="00CC4BEA"/>
    <w:rsid w:val="00CE2400"/>
    <w:rsid w:val="00CF3AFF"/>
    <w:rsid w:val="00D06B7E"/>
    <w:rsid w:val="00D15DE4"/>
    <w:rsid w:val="00D3082B"/>
    <w:rsid w:val="00D50297"/>
    <w:rsid w:val="00D5256F"/>
    <w:rsid w:val="00D52B7A"/>
    <w:rsid w:val="00D54BE6"/>
    <w:rsid w:val="00D972C9"/>
    <w:rsid w:val="00DC239E"/>
    <w:rsid w:val="00DD7C6C"/>
    <w:rsid w:val="00DE350F"/>
    <w:rsid w:val="00DF1FC7"/>
    <w:rsid w:val="00DF5C1F"/>
    <w:rsid w:val="00E25A7F"/>
    <w:rsid w:val="00E32116"/>
    <w:rsid w:val="00E80BB3"/>
    <w:rsid w:val="00E846B8"/>
    <w:rsid w:val="00E91C80"/>
    <w:rsid w:val="00E95449"/>
    <w:rsid w:val="00EB4054"/>
    <w:rsid w:val="00EC50E5"/>
    <w:rsid w:val="00ED3098"/>
    <w:rsid w:val="00F0572A"/>
    <w:rsid w:val="00F11D19"/>
    <w:rsid w:val="00F21EBE"/>
    <w:rsid w:val="00F24300"/>
    <w:rsid w:val="00F36B73"/>
    <w:rsid w:val="00F56CBE"/>
    <w:rsid w:val="00F92860"/>
    <w:rsid w:val="00F94E0A"/>
    <w:rsid w:val="00FA1618"/>
    <w:rsid w:val="00FC5119"/>
    <w:rsid w:val="00FD610C"/>
    <w:rsid w:val="00FD76FB"/>
    <w:rsid w:val="00FE3788"/>
    <w:rsid w:val="00FE448B"/>
    <w:rsid w:val="00FE48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8C66386"/>
  <w15:chartTrackingRefBased/>
  <w15:docId w15:val="{1CFE008E-6AEF-47C1-BE94-4E9E592C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6"/>
      </w:numPr>
      <w:ind w:left="720" w:hanging="720"/>
    </w:pPr>
  </w:style>
  <w:style w:type="character" w:styleId="CommentReference">
    <w:name w:val="annotation reference"/>
    <w:basedOn w:val="DefaultParagraphFont"/>
    <w:rsid w:val="003C4E39"/>
    <w:rPr>
      <w:sz w:val="16"/>
      <w:szCs w:val="16"/>
    </w:rPr>
  </w:style>
  <w:style w:type="paragraph" w:styleId="CommentText">
    <w:name w:val="annotation text"/>
    <w:basedOn w:val="Normal"/>
    <w:link w:val="CommentTextChar"/>
    <w:rsid w:val="003C4E39"/>
    <w:rPr>
      <w:sz w:val="20"/>
      <w:szCs w:val="20"/>
    </w:rPr>
  </w:style>
  <w:style w:type="character" w:customStyle="1" w:styleId="CommentTextChar">
    <w:name w:val="Comment Text Char"/>
    <w:basedOn w:val="DefaultParagraphFont"/>
    <w:link w:val="CommentText"/>
    <w:rsid w:val="003C4E39"/>
    <w:rPr>
      <w:rFonts w:ascii="Courier" w:hAnsi="Courier"/>
    </w:rPr>
  </w:style>
  <w:style w:type="paragraph" w:styleId="CommentSubject">
    <w:name w:val="annotation subject"/>
    <w:basedOn w:val="CommentText"/>
    <w:next w:val="CommentText"/>
    <w:link w:val="CommentSubjectChar"/>
    <w:rsid w:val="003C4E39"/>
    <w:rPr>
      <w:b/>
      <w:bCs/>
    </w:rPr>
  </w:style>
  <w:style w:type="character" w:customStyle="1" w:styleId="CommentSubjectChar">
    <w:name w:val="Comment Subject Char"/>
    <w:basedOn w:val="CommentTextChar"/>
    <w:link w:val="CommentSubject"/>
    <w:rsid w:val="003C4E39"/>
    <w:rPr>
      <w:rFonts w:ascii="Courier" w:hAnsi="Courier"/>
      <w:b/>
      <w:bCs/>
    </w:rPr>
  </w:style>
  <w:style w:type="paragraph" w:styleId="ListParagraph">
    <w:name w:val="List Paragraph"/>
    <w:basedOn w:val="Normal"/>
    <w:uiPriority w:val="1"/>
    <w:qFormat/>
    <w:rsid w:val="00DF5C1F"/>
    <w:pPr>
      <w:adjustRightInd/>
      <w:spacing w:before="22"/>
      <w:ind w:left="820" w:hanging="360"/>
    </w:pPr>
    <w:rPr>
      <w:rFonts w:ascii="Calibri" w:eastAsia="Calibri" w:hAnsi="Calibri" w:cs="Calibri"/>
      <w:sz w:val="22"/>
      <w:szCs w:val="22"/>
      <w:lang w:bidi="en-US"/>
    </w:rPr>
  </w:style>
  <w:style w:type="paragraph" w:customStyle="1" w:styleId="Default">
    <w:name w:val="Default"/>
    <w:rsid w:val="00966929"/>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937E2E"/>
    <w:rPr>
      <w:rFonts w:ascii="Courier" w:hAnsi="Courier"/>
      <w:sz w:val="24"/>
      <w:szCs w:val="24"/>
    </w:rPr>
  </w:style>
  <w:style w:type="paragraph" w:styleId="Header">
    <w:name w:val="header"/>
    <w:basedOn w:val="Normal"/>
    <w:link w:val="HeaderChar"/>
    <w:uiPriority w:val="99"/>
    <w:rsid w:val="002D2D45"/>
    <w:pPr>
      <w:tabs>
        <w:tab w:val="center" w:pos="4680"/>
        <w:tab w:val="right" w:pos="9360"/>
      </w:tabs>
    </w:pPr>
  </w:style>
  <w:style w:type="character" w:customStyle="1" w:styleId="HeaderChar">
    <w:name w:val="Header Char"/>
    <w:basedOn w:val="DefaultParagraphFont"/>
    <w:link w:val="Header"/>
    <w:uiPriority w:val="99"/>
    <w:rsid w:val="002D2D45"/>
    <w:rPr>
      <w:rFonts w:ascii="Courier" w:hAnsi="Courier"/>
      <w:sz w:val="24"/>
      <w:szCs w:val="24"/>
    </w:rPr>
  </w:style>
  <w:style w:type="paragraph" w:styleId="Footer">
    <w:name w:val="footer"/>
    <w:basedOn w:val="Normal"/>
    <w:link w:val="FooterChar"/>
    <w:rsid w:val="002D2D45"/>
    <w:pPr>
      <w:tabs>
        <w:tab w:val="center" w:pos="4680"/>
        <w:tab w:val="right" w:pos="9360"/>
      </w:tabs>
    </w:pPr>
  </w:style>
  <w:style w:type="character" w:customStyle="1" w:styleId="FooterChar">
    <w:name w:val="Footer Char"/>
    <w:basedOn w:val="DefaultParagraphFont"/>
    <w:link w:val="Footer"/>
    <w:rsid w:val="002D2D45"/>
    <w:rPr>
      <w:rFonts w:ascii="Courier" w:hAnsi="Courier"/>
      <w:sz w:val="24"/>
      <w:szCs w:val="24"/>
    </w:rPr>
  </w:style>
  <w:style w:type="paragraph" w:styleId="FootnoteText">
    <w:name w:val="footnote text"/>
    <w:basedOn w:val="Normal"/>
    <w:link w:val="FootnoteTextChar"/>
    <w:rsid w:val="00AC278B"/>
    <w:rPr>
      <w:sz w:val="20"/>
      <w:szCs w:val="20"/>
    </w:rPr>
  </w:style>
  <w:style w:type="character" w:customStyle="1" w:styleId="FootnoteTextChar">
    <w:name w:val="Footnote Text Char"/>
    <w:basedOn w:val="DefaultParagraphFont"/>
    <w:link w:val="FootnoteText"/>
    <w:rsid w:val="00AC278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912C-B3D9-498F-9046-3CF7EA23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1253</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DURBALA7</dc:creator>
  <cp:lastModifiedBy>Van Dyke Lanita</cp:lastModifiedBy>
  <cp:revision>3</cp:revision>
  <dcterms:created xsi:type="dcterms:W3CDTF">2024-07-10T15:23:00Z</dcterms:created>
  <dcterms:modified xsi:type="dcterms:W3CDTF">2024-07-19T13:27:00Z</dcterms:modified>
</cp:coreProperties>
</file>