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0426" w:rsidRPr="004363A3" w:rsidP="00CC0426" w14:paraId="1EB56393" w14:textId="4D063E43">
      <w:pPr>
        <w:tabs>
          <w:tab w:val="center" w:pos="4680"/>
        </w:tabs>
        <w:jc w:val="center"/>
        <w:rPr>
          <w:rFonts w:asciiTheme="minorHAnsi" w:hAnsiTheme="minorHAnsi" w:cstheme="minorHAnsi"/>
          <w:sz w:val="22"/>
          <w:szCs w:val="22"/>
        </w:rPr>
      </w:pPr>
      <w:r w:rsidRPr="004363A3">
        <w:rPr>
          <w:rFonts w:asciiTheme="minorHAnsi" w:hAnsiTheme="minorHAnsi" w:cstheme="minorHAnsi"/>
          <w:sz w:val="22"/>
          <w:szCs w:val="22"/>
        </w:rPr>
        <w:t>SUPPORTING STATEMENT</w:t>
      </w:r>
    </w:p>
    <w:p w:rsidR="005F40B6" w:rsidRPr="004363A3" w:rsidP="005F40B6" w14:paraId="2FD2396B" w14:textId="77777777">
      <w:pPr>
        <w:tabs>
          <w:tab w:val="center" w:pos="4680"/>
        </w:tabs>
        <w:jc w:val="center"/>
        <w:rPr>
          <w:rFonts w:asciiTheme="minorHAnsi" w:hAnsiTheme="minorHAnsi" w:cstheme="minorHAnsi"/>
          <w:sz w:val="22"/>
          <w:szCs w:val="22"/>
        </w:rPr>
      </w:pPr>
      <w:r w:rsidRPr="004363A3">
        <w:rPr>
          <w:rFonts w:asciiTheme="minorHAnsi" w:hAnsiTheme="minorHAnsi" w:cstheme="minorHAnsi"/>
          <w:sz w:val="22"/>
          <w:szCs w:val="22"/>
        </w:rPr>
        <w:t>Internal Revenue Service (IRS)</w:t>
      </w:r>
    </w:p>
    <w:p w:rsidR="00A665A7" w:rsidRPr="00A665A7" w:rsidP="00A665A7" w14:paraId="2D47D9A6" w14:textId="0531CC09">
      <w:pPr>
        <w:jc w:val="center"/>
        <w:rPr>
          <w:rFonts w:ascii="Calibri" w:hAnsi="Calibri" w:cs="Calibri"/>
          <w:sz w:val="22"/>
          <w:szCs w:val="22"/>
        </w:rPr>
      </w:pPr>
      <w:r>
        <w:rPr>
          <w:rFonts w:ascii="Calibri" w:hAnsi="Calibri" w:cs="Calibri"/>
          <w:sz w:val="22"/>
          <w:szCs w:val="22"/>
        </w:rPr>
        <w:t xml:space="preserve">Section </w:t>
      </w:r>
      <w:r w:rsidR="00147A4C">
        <w:rPr>
          <w:rFonts w:ascii="Calibri" w:hAnsi="Calibri" w:cs="Calibri"/>
          <w:sz w:val="22"/>
          <w:szCs w:val="22"/>
        </w:rPr>
        <w:t xml:space="preserve">25C </w:t>
      </w:r>
      <w:r w:rsidR="009A51D1">
        <w:rPr>
          <w:rFonts w:ascii="Calibri" w:hAnsi="Calibri" w:cs="Calibri"/>
          <w:sz w:val="22"/>
          <w:szCs w:val="22"/>
        </w:rPr>
        <w:t>Energy Efficient Home Improvements</w:t>
      </w:r>
      <w:r w:rsidR="00147A4C">
        <w:rPr>
          <w:rFonts w:ascii="Calibri" w:hAnsi="Calibri" w:cs="Calibri"/>
          <w:sz w:val="22"/>
          <w:szCs w:val="22"/>
        </w:rPr>
        <w:t xml:space="preserve"> Credit</w:t>
      </w:r>
      <w:r w:rsidR="00473FED">
        <w:rPr>
          <w:rFonts w:ascii="Calibri" w:hAnsi="Calibri" w:cs="Calibri"/>
          <w:sz w:val="22"/>
          <w:szCs w:val="22"/>
        </w:rPr>
        <w:t xml:space="preserve"> Qualified Manufacturer Requirements</w:t>
      </w:r>
    </w:p>
    <w:p w:rsidR="00CC0426" w:rsidRPr="004363A3" w:rsidP="00CC0426" w14:paraId="05EC083F" w14:textId="58A6880C">
      <w:pPr>
        <w:tabs>
          <w:tab w:val="center" w:pos="4680"/>
        </w:tabs>
        <w:jc w:val="center"/>
        <w:rPr>
          <w:rFonts w:asciiTheme="minorHAnsi" w:hAnsiTheme="minorHAnsi" w:cstheme="minorHAnsi"/>
          <w:b/>
          <w:bCs/>
          <w:sz w:val="22"/>
          <w:szCs w:val="22"/>
        </w:rPr>
      </w:pPr>
      <w:r w:rsidRPr="004363A3">
        <w:rPr>
          <w:rFonts w:asciiTheme="minorHAnsi" w:hAnsiTheme="minorHAnsi" w:cstheme="minorHAnsi"/>
          <w:sz w:val="22"/>
          <w:szCs w:val="22"/>
        </w:rPr>
        <w:t xml:space="preserve">OMB </w:t>
      </w:r>
      <w:r w:rsidR="004363A3">
        <w:rPr>
          <w:rFonts w:asciiTheme="minorHAnsi" w:hAnsiTheme="minorHAnsi" w:cstheme="minorHAnsi"/>
          <w:sz w:val="22"/>
          <w:szCs w:val="22"/>
        </w:rPr>
        <w:t>Control Number</w:t>
      </w:r>
      <w:r w:rsidRPr="004363A3">
        <w:rPr>
          <w:rFonts w:asciiTheme="minorHAnsi" w:hAnsiTheme="minorHAnsi" w:cstheme="minorHAnsi"/>
          <w:sz w:val="22"/>
          <w:szCs w:val="22"/>
        </w:rPr>
        <w:t xml:space="preserve"> </w:t>
      </w:r>
      <w:r w:rsidRPr="00400904">
        <w:rPr>
          <w:rFonts w:asciiTheme="minorHAnsi" w:hAnsiTheme="minorHAnsi" w:cstheme="minorHAnsi"/>
          <w:sz w:val="22"/>
          <w:szCs w:val="22"/>
        </w:rPr>
        <w:t>1545-</w:t>
      </w:r>
      <w:r w:rsidRPr="00400904" w:rsidR="00BE3B6F">
        <w:rPr>
          <w:rFonts w:asciiTheme="minorHAnsi" w:hAnsiTheme="minorHAnsi" w:cstheme="minorHAnsi"/>
          <w:sz w:val="22"/>
          <w:szCs w:val="22"/>
        </w:rPr>
        <w:t>NEW</w:t>
      </w:r>
    </w:p>
    <w:p w:rsidR="00CC0426" w:rsidRPr="004363A3" w:rsidP="00CC0426" w14:paraId="4B04FE80" w14:textId="77777777">
      <w:pPr>
        <w:tabs>
          <w:tab w:val="center" w:pos="4680"/>
        </w:tabs>
        <w:jc w:val="center"/>
        <w:rPr>
          <w:rFonts w:asciiTheme="minorHAnsi" w:hAnsiTheme="minorHAnsi" w:cstheme="minorHAnsi"/>
          <w:b/>
          <w:bCs/>
          <w:sz w:val="22"/>
          <w:szCs w:val="22"/>
        </w:rPr>
      </w:pPr>
    </w:p>
    <w:p w:rsidR="00CC0426" w:rsidRPr="004363A3" w:rsidP="00CC0426" w14:paraId="19A45563" w14:textId="77777777">
      <w:pPr>
        <w:tabs>
          <w:tab w:val="center" w:pos="4680"/>
        </w:tabs>
        <w:jc w:val="center"/>
        <w:rPr>
          <w:rFonts w:asciiTheme="minorHAnsi" w:hAnsiTheme="minorHAnsi" w:cstheme="minorHAnsi"/>
          <w:b/>
          <w:bCs/>
          <w:sz w:val="22"/>
          <w:szCs w:val="22"/>
        </w:rPr>
      </w:pPr>
    </w:p>
    <w:p w:rsidR="00CC0426" w:rsidRPr="00AB28C4" w:rsidP="00AB28C4" w14:paraId="506C651F"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AB28C4">
        <w:rPr>
          <w:rFonts w:asciiTheme="minorHAnsi" w:hAnsiTheme="minorHAnsi"/>
          <w:sz w:val="22"/>
          <w:szCs w:val="22"/>
          <w:u w:val="single"/>
        </w:rPr>
        <w:t>CIRCUMSTANCES NECESSITATING COLLECTION OF INFORMATION</w:t>
      </w:r>
    </w:p>
    <w:p w:rsidR="00CC0426" w:rsidRPr="004363A3" w:rsidP="00CC0426" w14:paraId="69702BE7" w14:textId="77777777">
      <w:pPr>
        <w:tabs>
          <w:tab w:val="num" w:pos="540"/>
        </w:tabs>
        <w:ind w:left="540" w:hanging="540"/>
        <w:rPr>
          <w:rFonts w:asciiTheme="minorHAnsi" w:hAnsiTheme="minorHAnsi" w:cstheme="minorHAnsi"/>
          <w:sz w:val="22"/>
          <w:szCs w:val="22"/>
        </w:rPr>
      </w:pPr>
    </w:p>
    <w:p w:rsidR="00042B7D" w:rsidP="00042B7D" w14:paraId="4A1BDD63" w14:textId="77777777">
      <w:pPr>
        <w:ind w:left="720"/>
        <w:rPr>
          <w:rFonts w:asciiTheme="minorHAnsi" w:hAnsiTheme="minorHAnsi" w:cstheme="minorHAnsi"/>
          <w:sz w:val="22"/>
          <w:szCs w:val="22"/>
        </w:rPr>
      </w:pPr>
      <w:r w:rsidRPr="009A51D1">
        <w:rPr>
          <w:rFonts w:asciiTheme="minorHAnsi" w:hAnsiTheme="minorHAnsi" w:cstheme="minorHAnsi"/>
          <w:sz w:val="22"/>
          <w:szCs w:val="22"/>
        </w:rPr>
        <w:t xml:space="preserve">Congress originally enacted section 25C in section 1333(a) of the Energy Policy Act of 2005, Public Law 109-58, 119 Stat. 594, 1026 (August 8, 2005) to provide a credit for “nonbusiness energy property” for the purchase and installation of certain energy efficient improvements in taxpayers’ principal residences.  Congress has amended section 25C several times, most recently by section 13301 of Public Law 117-169, 136 Stat. 1818, 1941 (August 16, 2022), commonly known as the Inflation Reduction Act of 2022 (IRA), which renamed this provision the “energy efficient home improvement credit.” </w:t>
      </w:r>
      <w:r>
        <w:rPr>
          <w:rFonts w:asciiTheme="minorHAnsi" w:hAnsiTheme="minorHAnsi" w:cstheme="minorHAnsi"/>
          <w:sz w:val="22"/>
          <w:szCs w:val="22"/>
        </w:rPr>
        <w:t xml:space="preserve"> B</w:t>
      </w:r>
      <w:r w:rsidRPr="009A51D1">
        <w:rPr>
          <w:rFonts w:asciiTheme="minorHAnsi" w:hAnsiTheme="minorHAnsi" w:cstheme="minorHAnsi"/>
          <w:sz w:val="22"/>
          <w:szCs w:val="22"/>
        </w:rPr>
        <w:t xml:space="preserve">efore Congress enacted the IRA, section 25C had expired on December 31, 2021.  </w:t>
      </w:r>
    </w:p>
    <w:p w:rsidR="00042B7D" w:rsidP="00042B7D" w14:paraId="3834A65E" w14:textId="77777777">
      <w:pPr>
        <w:ind w:left="720"/>
        <w:rPr>
          <w:rFonts w:asciiTheme="minorHAnsi" w:hAnsiTheme="minorHAnsi" w:cstheme="minorHAnsi"/>
          <w:sz w:val="22"/>
          <w:szCs w:val="22"/>
        </w:rPr>
      </w:pPr>
    </w:p>
    <w:p w:rsidR="009A51D1" w:rsidP="00042B7D" w14:paraId="615283D4" w14:textId="2A090C96">
      <w:pPr>
        <w:ind w:left="720"/>
        <w:rPr>
          <w:rFonts w:asciiTheme="minorHAnsi" w:hAnsiTheme="minorHAnsi" w:cstheme="minorHAnsi"/>
          <w:sz w:val="22"/>
          <w:szCs w:val="22"/>
        </w:rPr>
      </w:pPr>
      <w:r w:rsidRPr="009A51D1">
        <w:rPr>
          <w:rFonts w:asciiTheme="minorHAnsi" w:hAnsiTheme="minorHAnsi" w:cstheme="minorHAnsi"/>
          <w:sz w:val="22"/>
          <w:szCs w:val="22"/>
        </w:rPr>
        <w:t xml:space="preserve">Section 13301(a) of the IRA amended section 25C(g) to make the section 25C credit available from January 1, 2022, through December 31, 2032. </w:t>
      </w:r>
      <w:r>
        <w:rPr>
          <w:rFonts w:asciiTheme="minorHAnsi" w:hAnsiTheme="minorHAnsi" w:cstheme="minorHAnsi"/>
          <w:sz w:val="22"/>
          <w:szCs w:val="22"/>
        </w:rPr>
        <w:t xml:space="preserve"> </w:t>
      </w:r>
      <w:r w:rsidRPr="009A51D1">
        <w:rPr>
          <w:rFonts w:asciiTheme="minorHAnsi" w:hAnsiTheme="minorHAnsi" w:cstheme="minorHAnsi"/>
          <w:sz w:val="22"/>
          <w:szCs w:val="22"/>
        </w:rPr>
        <w:t>Section 13301(b) of the IRA amended section 25C(a) generally to allow a credit for 30 percent of amounts that individual taxpayers pay or incur during a taxable year for qualified energy efficiency improvements installed during such taxable year, residential energy property expenditures, and home energy audits.  Section 13301(i)(3) of the IRA provides that amendments made by section 13301(g) of the IRA relating to the requirement to include a PIN on a return, and the requirements that qualified manufacturers agree to assign PINs to individual items of specified property, to label each such items with a PIN, and to make periodic reports to the IRS regarding such specified property apply to property placed in service after December 31, 2024.</w:t>
      </w:r>
    </w:p>
    <w:p w:rsidR="00CC0426" w:rsidP="00AB28C4" w14:paraId="698A061C" w14:textId="77777777">
      <w:pPr>
        <w:ind w:left="720"/>
        <w:rPr>
          <w:rFonts w:asciiTheme="minorHAnsi" w:hAnsiTheme="minorHAnsi" w:cstheme="minorHAnsi"/>
          <w:sz w:val="22"/>
          <w:szCs w:val="22"/>
        </w:rPr>
      </w:pPr>
    </w:p>
    <w:p w:rsidR="00042B7D" w:rsidP="00BB08F0" w14:paraId="431B1B8C" w14:textId="649D1525">
      <w:pPr>
        <w:ind w:left="720"/>
        <w:rPr>
          <w:rFonts w:asciiTheme="minorHAnsi" w:hAnsiTheme="minorHAnsi" w:cstheme="minorHAnsi"/>
          <w:sz w:val="22"/>
          <w:szCs w:val="22"/>
        </w:rPr>
      </w:pPr>
      <w:r>
        <w:rPr>
          <w:rFonts w:asciiTheme="minorHAnsi" w:hAnsiTheme="minorHAnsi" w:cstheme="minorHAnsi"/>
          <w:sz w:val="22"/>
          <w:szCs w:val="22"/>
        </w:rPr>
        <w:t>These proposed regulations describe the procedures for</w:t>
      </w:r>
      <w:r w:rsidRPr="009A51D1" w:rsidR="009A51D1">
        <w:rPr>
          <w:rFonts w:asciiTheme="minorHAnsi" w:hAnsiTheme="minorHAnsi" w:cstheme="minorHAnsi"/>
          <w:sz w:val="22"/>
          <w:szCs w:val="22"/>
        </w:rPr>
        <w:t xml:space="preserve"> a manufacturer of certain home energy efficiency products be treated as a “qualified manufacturer” (QM) under section 25C(h) of the Internal Revenue Code, to satisfy the product identification number (PIN) assignment and labeling requirements in section 25C(h)(3)(A) and (B), and to </w:t>
      </w:r>
      <w:r w:rsidR="003E6F6C">
        <w:rPr>
          <w:rFonts w:asciiTheme="minorHAnsi" w:hAnsiTheme="minorHAnsi" w:cstheme="minorHAnsi"/>
          <w:sz w:val="22"/>
          <w:szCs w:val="22"/>
        </w:rPr>
        <w:t>s</w:t>
      </w:r>
      <w:r w:rsidRPr="009A51D1" w:rsidR="003E6F6C">
        <w:rPr>
          <w:rFonts w:asciiTheme="minorHAnsi" w:hAnsiTheme="minorHAnsi" w:cstheme="minorHAnsi"/>
          <w:sz w:val="22"/>
          <w:szCs w:val="22"/>
        </w:rPr>
        <w:t xml:space="preserve">atisfy </w:t>
      </w:r>
      <w:r w:rsidRPr="009A51D1" w:rsidR="009A51D1">
        <w:rPr>
          <w:rFonts w:asciiTheme="minorHAnsi" w:hAnsiTheme="minorHAnsi" w:cstheme="minorHAnsi"/>
          <w:sz w:val="22"/>
          <w:szCs w:val="22"/>
        </w:rPr>
        <w:t xml:space="preserve">the requirement to provide periodic written reports under section 25C(h)(3)(C).  </w:t>
      </w:r>
    </w:p>
    <w:p w:rsidR="00042B7D" w:rsidP="00BB08F0" w14:paraId="2F3CF4A0" w14:textId="77777777">
      <w:pPr>
        <w:ind w:left="720"/>
        <w:rPr>
          <w:rFonts w:asciiTheme="minorHAnsi" w:hAnsiTheme="minorHAnsi" w:cstheme="minorHAnsi"/>
          <w:sz w:val="22"/>
          <w:szCs w:val="22"/>
        </w:rPr>
      </w:pPr>
    </w:p>
    <w:p w:rsidR="001F6A78" w:rsidP="001F6A78" w14:paraId="739F9E07" w14:textId="57A52D2D">
      <w:pPr>
        <w:ind w:left="720"/>
        <w:rPr>
          <w:rFonts w:asciiTheme="minorHAnsi" w:hAnsiTheme="minorHAnsi" w:cstheme="minorHAnsi"/>
          <w:sz w:val="22"/>
          <w:szCs w:val="22"/>
        </w:rPr>
      </w:pPr>
      <w:r>
        <w:rPr>
          <w:rFonts w:asciiTheme="minorHAnsi" w:hAnsiTheme="minorHAnsi" w:cstheme="minorHAnsi"/>
          <w:sz w:val="22"/>
          <w:szCs w:val="22"/>
        </w:rPr>
        <w:t>F</w:t>
      </w:r>
      <w:r w:rsidRPr="009A51D1">
        <w:rPr>
          <w:rFonts w:asciiTheme="minorHAnsi" w:hAnsiTheme="minorHAnsi" w:cstheme="minorHAnsi"/>
          <w:sz w:val="22"/>
          <w:szCs w:val="22"/>
        </w:rPr>
        <w:t xml:space="preserve">or </w:t>
      </w:r>
      <w:r w:rsidRPr="009A51D1" w:rsidR="009A51D1">
        <w:rPr>
          <w:rFonts w:asciiTheme="minorHAnsi" w:hAnsiTheme="minorHAnsi" w:cstheme="minorHAnsi"/>
          <w:sz w:val="22"/>
          <w:szCs w:val="22"/>
        </w:rPr>
        <w:t xml:space="preserve">a credit </w:t>
      </w:r>
      <w:r w:rsidRPr="009A51D1" w:rsidR="003E6F6C">
        <w:rPr>
          <w:rFonts w:asciiTheme="minorHAnsi" w:hAnsiTheme="minorHAnsi" w:cstheme="minorHAnsi"/>
          <w:sz w:val="22"/>
          <w:szCs w:val="22"/>
        </w:rPr>
        <w:t xml:space="preserve">for specified property </w:t>
      </w:r>
      <w:r w:rsidRPr="009A51D1" w:rsidR="009A51D1">
        <w:rPr>
          <w:rFonts w:asciiTheme="minorHAnsi" w:hAnsiTheme="minorHAnsi" w:cstheme="minorHAnsi"/>
          <w:sz w:val="22"/>
          <w:szCs w:val="22"/>
        </w:rPr>
        <w:t>to be allowed under section 25C , section 25C(h)(3)</w:t>
      </w:r>
      <w:r w:rsidR="00A60D28">
        <w:rPr>
          <w:rFonts w:asciiTheme="minorHAnsi" w:hAnsiTheme="minorHAnsi" w:cstheme="minorHAnsi"/>
          <w:sz w:val="22"/>
          <w:szCs w:val="22"/>
        </w:rPr>
        <w:t xml:space="preserve"> and </w:t>
      </w:r>
      <w:r w:rsidR="00E84A59">
        <w:rPr>
          <w:rFonts w:asciiTheme="minorHAnsi" w:hAnsiTheme="minorHAnsi" w:cstheme="minorHAnsi"/>
          <w:sz w:val="22"/>
          <w:szCs w:val="22"/>
        </w:rPr>
        <w:t xml:space="preserve">its </w:t>
      </w:r>
      <w:r w:rsidR="00A60D28">
        <w:rPr>
          <w:rFonts w:asciiTheme="minorHAnsi" w:hAnsiTheme="minorHAnsi" w:cstheme="minorHAnsi"/>
          <w:sz w:val="22"/>
          <w:szCs w:val="22"/>
        </w:rPr>
        <w:t>associated regulations</w:t>
      </w:r>
      <w:r w:rsidRPr="009A51D1" w:rsidR="009A51D1">
        <w:rPr>
          <w:rFonts w:asciiTheme="minorHAnsi" w:hAnsiTheme="minorHAnsi" w:cstheme="minorHAnsi"/>
          <w:sz w:val="22"/>
          <w:szCs w:val="22"/>
        </w:rPr>
        <w:t xml:space="preserve"> require manufacturers to enter into a written agreement with the Internal Revenue Service (IRS) under which the manufacturer agrees to assign PINs to specified property, to label each item of specified property, and to make periodic reports to the IRS of the PINs and other information as the Secretary may require with respect to each item of specified property.</w:t>
      </w:r>
      <w:r w:rsidR="00C05AB1">
        <w:rPr>
          <w:rFonts w:asciiTheme="minorHAnsi" w:hAnsiTheme="minorHAnsi" w:cstheme="minorHAnsi"/>
          <w:sz w:val="22"/>
          <w:szCs w:val="22"/>
        </w:rPr>
        <w:t xml:space="preserve"> </w:t>
      </w:r>
      <w:r w:rsidR="00554DC1">
        <w:rPr>
          <w:rFonts w:asciiTheme="minorHAnsi" w:hAnsiTheme="minorHAnsi" w:cstheme="minorHAnsi"/>
          <w:sz w:val="22"/>
          <w:szCs w:val="22"/>
        </w:rPr>
        <w:t>Additionally, in the event a manufacturer</w:t>
      </w:r>
      <w:r w:rsidR="0084479B">
        <w:rPr>
          <w:rFonts w:asciiTheme="minorHAnsi" w:hAnsiTheme="minorHAnsi" w:cstheme="minorHAnsi"/>
          <w:sz w:val="22"/>
          <w:szCs w:val="22"/>
        </w:rPr>
        <w:t>’s registration</w:t>
      </w:r>
      <w:r w:rsidR="00E84A59">
        <w:rPr>
          <w:rFonts w:asciiTheme="minorHAnsi" w:hAnsiTheme="minorHAnsi" w:cstheme="minorHAnsi"/>
          <w:sz w:val="22"/>
          <w:szCs w:val="22"/>
        </w:rPr>
        <w:t xml:space="preserve"> i</w:t>
      </w:r>
      <w:r w:rsidR="0084479B">
        <w:rPr>
          <w:rFonts w:asciiTheme="minorHAnsi" w:hAnsiTheme="minorHAnsi" w:cstheme="minorHAnsi"/>
          <w:sz w:val="22"/>
          <w:szCs w:val="22"/>
        </w:rPr>
        <w:t>s revoked</w:t>
      </w:r>
      <w:r w:rsidR="00E84A59">
        <w:rPr>
          <w:rFonts w:asciiTheme="minorHAnsi" w:hAnsiTheme="minorHAnsi" w:cstheme="minorHAnsi"/>
          <w:sz w:val="22"/>
          <w:szCs w:val="22"/>
        </w:rPr>
        <w:t>,</w:t>
      </w:r>
      <w:r w:rsidR="0084479B">
        <w:rPr>
          <w:rFonts w:asciiTheme="minorHAnsi" w:hAnsiTheme="minorHAnsi" w:cstheme="minorHAnsi"/>
          <w:sz w:val="22"/>
          <w:szCs w:val="22"/>
        </w:rPr>
        <w:t xml:space="preserve"> </w:t>
      </w:r>
      <w:r w:rsidR="0084479B">
        <w:rPr>
          <w:rFonts w:asciiTheme="minorHAnsi" w:hAnsiTheme="minorHAnsi" w:cstheme="minorHAnsi"/>
          <w:sz w:val="22"/>
          <w:szCs w:val="22"/>
        </w:rPr>
        <w:t>suspended</w:t>
      </w:r>
      <w:r w:rsidR="0084479B">
        <w:rPr>
          <w:rFonts w:asciiTheme="minorHAnsi" w:hAnsiTheme="minorHAnsi" w:cstheme="minorHAnsi"/>
          <w:sz w:val="22"/>
          <w:szCs w:val="22"/>
        </w:rPr>
        <w:t xml:space="preserve"> or</w:t>
      </w:r>
      <w:r w:rsidR="00B509DC">
        <w:rPr>
          <w:rFonts w:asciiTheme="minorHAnsi" w:hAnsiTheme="minorHAnsi" w:cstheme="minorHAnsi"/>
          <w:sz w:val="22"/>
          <w:szCs w:val="22"/>
        </w:rPr>
        <w:t xml:space="preserve"> denied</w:t>
      </w:r>
      <w:r w:rsidR="00554DC1">
        <w:rPr>
          <w:rFonts w:asciiTheme="minorHAnsi" w:hAnsiTheme="minorHAnsi" w:cstheme="minorHAnsi"/>
          <w:sz w:val="22"/>
          <w:szCs w:val="22"/>
        </w:rPr>
        <w:t xml:space="preserve">, manufacturers will have the opportunity to </w:t>
      </w:r>
      <w:r w:rsidR="00FD6A43">
        <w:rPr>
          <w:rFonts w:asciiTheme="minorHAnsi" w:hAnsiTheme="minorHAnsi" w:cstheme="minorHAnsi"/>
          <w:sz w:val="22"/>
          <w:szCs w:val="22"/>
        </w:rPr>
        <w:t>appeal</w:t>
      </w:r>
      <w:r w:rsidR="00554DC1">
        <w:rPr>
          <w:rFonts w:asciiTheme="minorHAnsi" w:hAnsiTheme="minorHAnsi" w:cstheme="minorHAnsi"/>
          <w:sz w:val="22"/>
          <w:szCs w:val="22"/>
        </w:rPr>
        <w:t xml:space="preserve"> the IRS determination</w:t>
      </w:r>
      <w:r w:rsidR="00FD6A43">
        <w:rPr>
          <w:rFonts w:asciiTheme="minorHAnsi" w:hAnsiTheme="minorHAnsi" w:cstheme="minorHAnsi"/>
          <w:sz w:val="22"/>
          <w:szCs w:val="22"/>
        </w:rPr>
        <w:t xml:space="preserve"> by requesting an administrative review</w:t>
      </w:r>
      <w:r w:rsidR="00554DC1">
        <w:rPr>
          <w:rFonts w:asciiTheme="minorHAnsi" w:hAnsiTheme="minorHAnsi" w:cstheme="minorHAnsi"/>
          <w:sz w:val="22"/>
          <w:szCs w:val="22"/>
        </w:rPr>
        <w:t xml:space="preserve">. </w:t>
      </w:r>
      <w:r w:rsidR="00F019D6">
        <w:rPr>
          <w:rFonts w:asciiTheme="minorHAnsi" w:hAnsiTheme="minorHAnsi" w:cstheme="minorHAnsi"/>
          <w:sz w:val="22"/>
          <w:szCs w:val="22"/>
        </w:rPr>
        <w:t xml:space="preserve">  IRS is </w:t>
      </w:r>
      <w:r w:rsidR="0049332E">
        <w:rPr>
          <w:rFonts w:asciiTheme="minorHAnsi" w:hAnsiTheme="minorHAnsi" w:cstheme="minorHAnsi"/>
          <w:sz w:val="22"/>
          <w:szCs w:val="22"/>
        </w:rPr>
        <w:t>obtaining</w:t>
      </w:r>
      <w:r w:rsidR="00F019D6">
        <w:rPr>
          <w:rFonts w:asciiTheme="minorHAnsi" w:hAnsiTheme="minorHAnsi" w:cstheme="minorHAnsi"/>
          <w:sz w:val="22"/>
          <w:szCs w:val="22"/>
        </w:rPr>
        <w:t xml:space="preserve"> OMB approval for these reporting and third-party disclosure requirements. </w:t>
      </w:r>
      <w:r w:rsidRPr="00BB08F0">
        <w:rPr>
          <w:rFonts w:asciiTheme="minorHAnsi" w:hAnsiTheme="minorHAnsi" w:cstheme="minorHAnsi"/>
          <w:sz w:val="22"/>
          <w:szCs w:val="22"/>
        </w:rPr>
        <w:t>The likely respondents are businesses and other for-profit entities.</w:t>
      </w:r>
    </w:p>
    <w:p w:rsidR="00042B7D" w:rsidP="00BB08F0" w14:paraId="1560618E" w14:textId="77777777">
      <w:pPr>
        <w:ind w:left="720"/>
        <w:rPr>
          <w:rFonts w:asciiTheme="minorHAnsi" w:hAnsiTheme="minorHAnsi" w:cstheme="minorHAnsi"/>
          <w:sz w:val="22"/>
          <w:szCs w:val="22"/>
        </w:rPr>
      </w:pPr>
    </w:p>
    <w:p w:rsidR="009A51D1" w:rsidP="009A51D1" w14:paraId="04A611EE" w14:textId="77777777">
      <w:pPr>
        <w:ind w:left="720"/>
        <w:rPr>
          <w:rFonts w:asciiTheme="minorHAnsi" w:hAnsiTheme="minorHAnsi" w:cstheme="minorHAnsi"/>
          <w:sz w:val="22"/>
          <w:szCs w:val="22"/>
          <w:highlight w:val="yellow"/>
        </w:rPr>
      </w:pPr>
    </w:p>
    <w:p w:rsidR="009A51D1" w:rsidP="009A51D1" w14:paraId="11625717" w14:textId="34558FF5">
      <w:pPr>
        <w:ind w:left="720"/>
        <w:rPr>
          <w:rFonts w:asciiTheme="minorHAnsi" w:hAnsiTheme="minorHAnsi" w:cstheme="minorHAnsi"/>
          <w:sz w:val="22"/>
          <w:szCs w:val="22"/>
        </w:rPr>
      </w:pPr>
    </w:p>
    <w:p w:rsidR="009A51D1" w:rsidP="00AB28C4" w14:paraId="0A6E5B8D" w14:textId="77777777">
      <w:pPr>
        <w:ind w:left="720"/>
        <w:rPr>
          <w:rFonts w:asciiTheme="minorHAnsi" w:hAnsiTheme="minorHAnsi" w:cstheme="minorHAnsi"/>
          <w:sz w:val="22"/>
          <w:szCs w:val="22"/>
        </w:rPr>
      </w:pPr>
    </w:p>
    <w:p w:rsidR="009A51D1" w:rsidRPr="004363A3" w:rsidP="00AB28C4" w14:paraId="0DC638C9" w14:textId="77777777">
      <w:pPr>
        <w:ind w:left="720"/>
        <w:rPr>
          <w:rFonts w:asciiTheme="minorHAnsi" w:hAnsiTheme="minorHAnsi" w:cstheme="minorHAnsi"/>
          <w:sz w:val="22"/>
          <w:szCs w:val="22"/>
        </w:rPr>
      </w:pPr>
    </w:p>
    <w:p w:rsidR="00CC0426" w:rsidRPr="00AB28C4" w:rsidP="00AB28C4" w14:paraId="6F194612"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AB28C4">
        <w:rPr>
          <w:rFonts w:asciiTheme="minorHAnsi" w:hAnsiTheme="minorHAnsi"/>
          <w:sz w:val="22"/>
          <w:szCs w:val="22"/>
          <w:u w:val="single"/>
        </w:rPr>
        <w:t xml:space="preserve">USE OF DATA </w:t>
      </w:r>
    </w:p>
    <w:p w:rsidR="00CC0426" w:rsidRPr="004363A3" w:rsidP="00AB28C4" w14:paraId="37A221F1" w14:textId="77777777">
      <w:pPr>
        <w:ind w:left="720"/>
        <w:rPr>
          <w:rFonts w:asciiTheme="minorHAnsi" w:hAnsiTheme="minorHAnsi" w:cstheme="minorHAnsi"/>
          <w:sz w:val="22"/>
          <w:szCs w:val="22"/>
        </w:rPr>
      </w:pPr>
    </w:p>
    <w:p w:rsidR="00CC0426" w:rsidRPr="004363A3" w:rsidP="00A665A7" w14:paraId="1D91BC73" w14:textId="7895BFCC">
      <w:pPr>
        <w:ind w:left="720"/>
        <w:rPr>
          <w:rFonts w:asciiTheme="minorHAnsi" w:hAnsiTheme="minorHAnsi" w:cstheme="minorHAnsi"/>
          <w:sz w:val="22"/>
          <w:szCs w:val="22"/>
        </w:rPr>
      </w:pPr>
      <w:r w:rsidRPr="004363A3">
        <w:rPr>
          <w:rFonts w:asciiTheme="minorHAnsi" w:hAnsiTheme="minorHAnsi" w:cstheme="minorHAnsi"/>
          <w:sz w:val="22"/>
          <w:szCs w:val="22"/>
        </w:rPr>
        <w:t xml:space="preserve">The data will be used by </w:t>
      </w:r>
      <w:r w:rsidR="00A665A7">
        <w:rPr>
          <w:rFonts w:asciiTheme="minorHAnsi" w:hAnsiTheme="minorHAnsi" w:cstheme="minorHAnsi"/>
          <w:sz w:val="22"/>
          <w:szCs w:val="22"/>
        </w:rPr>
        <w:t>manufacturers</w:t>
      </w:r>
      <w:r w:rsidRPr="004363A3" w:rsidR="00677D2B">
        <w:rPr>
          <w:rFonts w:asciiTheme="minorHAnsi" w:hAnsiTheme="minorHAnsi" w:cstheme="minorHAnsi"/>
          <w:sz w:val="22"/>
          <w:szCs w:val="22"/>
        </w:rPr>
        <w:t xml:space="preserve"> of </w:t>
      </w:r>
      <w:r w:rsidR="001A44C6">
        <w:rPr>
          <w:rFonts w:asciiTheme="minorHAnsi" w:hAnsiTheme="minorHAnsi" w:cstheme="minorHAnsi"/>
          <w:sz w:val="22"/>
          <w:szCs w:val="22"/>
        </w:rPr>
        <w:t xml:space="preserve">specified property under section 25C(h)(4) </w:t>
      </w:r>
      <w:r w:rsidR="00A665A7">
        <w:rPr>
          <w:rFonts w:asciiTheme="minorHAnsi" w:hAnsiTheme="minorHAnsi" w:cstheme="minorHAnsi"/>
          <w:sz w:val="22"/>
          <w:szCs w:val="22"/>
        </w:rPr>
        <w:t xml:space="preserve">to </w:t>
      </w:r>
      <w:r w:rsidR="001A44C6">
        <w:rPr>
          <w:rFonts w:asciiTheme="minorHAnsi" w:hAnsiTheme="minorHAnsi" w:cstheme="minorHAnsi"/>
          <w:sz w:val="22"/>
          <w:szCs w:val="22"/>
        </w:rPr>
        <w:t>register with the IRS as qualified manufacturers able to assign product identification numbers for section 25C purposes.</w:t>
      </w:r>
      <w:r w:rsidR="00A665A7">
        <w:rPr>
          <w:rFonts w:asciiTheme="minorHAnsi" w:hAnsiTheme="minorHAnsi" w:cstheme="minorHAnsi"/>
          <w:sz w:val="22"/>
          <w:szCs w:val="22"/>
        </w:rPr>
        <w:t xml:space="preserve"> </w:t>
      </w:r>
      <w:r w:rsidRPr="00A665A7" w:rsidR="00A665A7">
        <w:rPr>
          <w:rFonts w:asciiTheme="minorHAnsi" w:hAnsiTheme="minorHAnsi" w:cstheme="minorHAnsi"/>
          <w:sz w:val="22"/>
          <w:szCs w:val="22"/>
        </w:rPr>
        <w:t xml:space="preserve">  </w:t>
      </w:r>
      <w:r w:rsidRPr="004363A3">
        <w:rPr>
          <w:rFonts w:asciiTheme="minorHAnsi" w:hAnsiTheme="minorHAnsi" w:cstheme="minorHAnsi"/>
          <w:sz w:val="22"/>
          <w:szCs w:val="22"/>
        </w:rPr>
        <w:t xml:space="preserve">The IRS will </w:t>
      </w:r>
      <w:r w:rsidR="001A44C6">
        <w:rPr>
          <w:rFonts w:asciiTheme="minorHAnsi" w:hAnsiTheme="minorHAnsi" w:cstheme="minorHAnsi"/>
          <w:sz w:val="22"/>
          <w:szCs w:val="22"/>
        </w:rPr>
        <w:t>further u</w:t>
      </w:r>
      <w:r w:rsidRPr="004363A3">
        <w:rPr>
          <w:rFonts w:asciiTheme="minorHAnsi" w:hAnsiTheme="minorHAnsi" w:cstheme="minorHAnsi"/>
          <w:sz w:val="22"/>
          <w:szCs w:val="22"/>
        </w:rPr>
        <w:t xml:space="preserve">se the information to monitor and validate </w:t>
      </w:r>
      <w:r w:rsidR="001A44C6">
        <w:rPr>
          <w:rFonts w:asciiTheme="minorHAnsi" w:hAnsiTheme="minorHAnsi" w:cstheme="minorHAnsi"/>
          <w:sz w:val="22"/>
          <w:szCs w:val="22"/>
        </w:rPr>
        <w:t>product</w:t>
      </w:r>
      <w:r w:rsidR="00A665A7">
        <w:rPr>
          <w:rFonts w:asciiTheme="minorHAnsi" w:hAnsiTheme="minorHAnsi" w:cstheme="minorHAnsi"/>
          <w:sz w:val="22"/>
          <w:szCs w:val="22"/>
        </w:rPr>
        <w:t xml:space="preserve"> identification numbers submitted by the qualified manufacturer through the </w:t>
      </w:r>
      <w:r w:rsidRPr="00A665A7" w:rsidR="00A665A7">
        <w:rPr>
          <w:rFonts w:asciiTheme="minorHAnsi" w:hAnsiTheme="minorHAnsi" w:cstheme="minorHAnsi"/>
          <w:sz w:val="22"/>
          <w:szCs w:val="22"/>
        </w:rPr>
        <w:t xml:space="preserve">IRS </w:t>
      </w:r>
      <w:r w:rsidRPr="00A665A7" w:rsidR="00A665A7">
        <w:rPr>
          <w:rFonts w:asciiTheme="minorHAnsi" w:eastAsiaTheme="minorHAnsi" w:hAnsiTheme="minorHAnsi" w:cstheme="minorHAnsi"/>
          <w:color w:val="000000"/>
          <w:sz w:val="22"/>
          <w:szCs w:val="22"/>
        </w:rPr>
        <w:t>Energy Credits Online Portal</w:t>
      </w:r>
      <w:r w:rsidR="00A665A7">
        <w:rPr>
          <w:rFonts w:asciiTheme="minorHAnsi" w:eastAsiaTheme="minorHAnsi" w:hAnsiTheme="minorHAnsi" w:cstheme="minorHAnsi"/>
          <w:color w:val="000000"/>
          <w:sz w:val="22"/>
          <w:szCs w:val="22"/>
        </w:rPr>
        <w:t xml:space="preserve"> </w:t>
      </w:r>
      <w:r w:rsidR="001F6A78">
        <w:rPr>
          <w:rFonts w:asciiTheme="minorHAnsi" w:eastAsiaTheme="minorHAnsi" w:hAnsiTheme="minorHAnsi" w:cstheme="minorHAnsi"/>
          <w:color w:val="000000"/>
          <w:sz w:val="22"/>
          <w:szCs w:val="22"/>
        </w:rPr>
        <w:t>to confirm taxpayer</w:t>
      </w:r>
      <w:r w:rsidR="00AB7E2F">
        <w:rPr>
          <w:rFonts w:asciiTheme="minorHAnsi" w:eastAsiaTheme="minorHAnsi" w:hAnsiTheme="minorHAnsi" w:cstheme="minorHAnsi"/>
          <w:color w:val="000000"/>
          <w:sz w:val="22"/>
          <w:szCs w:val="22"/>
        </w:rPr>
        <w:t xml:space="preserve"> </w:t>
      </w:r>
      <w:r w:rsidR="00A665A7">
        <w:rPr>
          <w:rFonts w:asciiTheme="minorHAnsi" w:eastAsiaTheme="minorHAnsi" w:hAnsiTheme="minorHAnsi" w:cstheme="minorHAnsi"/>
          <w:color w:val="000000"/>
          <w:sz w:val="22"/>
          <w:szCs w:val="22"/>
        </w:rPr>
        <w:t xml:space="preserve">eligibility for the </w:t>
      </w:r>
      <w:r w:rsidR="001A44C6">
        <w:rPr>
          <w:rFonts w:asciiTheme="minorHAnsi" w:eastAsiaTheme="minorHAnsi" w:hAnsiTheme="minorHAnsi" w:cstheme="minorHAnsi"/>
          <w:color w:val="000000"/>
          <w:sz w:val="22"/>
          <w:szCs w:val="22"/>
        </w:rPr>
        <w:t>Energy Efficient Home Improvement Credit</w:t>
      </w:r>
      <w:r w:rsidR="00A665A7">
        <w:rPr>
          <w:rFonts w:asciiTheme="minorHAnsi" w:eastAsiaTheme="minorHAnsi" w:hAnsiTheme="minorHAnsi" w:cstheme="minorHAnsi"/>
          <w:color w:val="000000"/>
          <w:sz w:val="22"/>
          <w:szCs w:val="22"/>
        </w:rPr>
        <w:t>.</w:t>
      </w:r>
    </w:p>
    <w:p w:rsidR="00CC0426" w:rsidRPr="004363A3" w:rsidP="00AB28C4" w14:paraId="7AF741EB" w14:textId="77777777">
      <w:pPr>
        <w:ind w:left="720"/>
        <w:rPr>
          <w:rFonts w:asciiTheme="minorHAnsi" w:hAnsiTheme="minorHAnsi" w:cstheme="minorHAnsi"/>
          <w:sz w:val="22"/>
          <w:szCs w:val="22"/>
        </w:rPr>
      </w:pPr>
    </w:p>
    <w:p w:rsidR="00CC0426" w:rsidRPr="00AB28C4" w:rsidP="00AB28C4" w14:paraId="7AA8D2C6"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AB28C4">
        <w:rPr>
          <w:rFonts w:asciiTheme="minorHAnsi" w:hAnsiTheme="minorHAnsi"/>
          <w:sz w:val="22"/>
          <w:szCs w:val="22"/>
          <w:u w:val="single"/>
        </w:rPr>
        <w:t>USE OF IMPROVED INFORMATION TECHNOLOGY TO REDUCE BURDEN</w:t>
      </w:r>
    </w:p>
    <w:p w:rsidR="00493FB2" w:rsidRPr="004363A3" w:rsidP="00554EBE" w14:paraId="77A932EC" w14:textId="77777777">
      <w:pPr>
        <w:rPr>
          <w:rFonts w:asciiTheme="minorHAnsi" w:hAnsiTheme="minorHAnsi" w:cstheme="minorHAnsi"/>
          <w:sz w:val="22"/>
          <w:szCs w:val="22"/>
        </w:rPr>
      </w:pPr>
    </w:p>
    <w:p w:rsidR="00CC0426" w:rsidRPr="004363A3" w:rsidP="00AB28C4" w14:paraId="6B69EDDC" w14:textId="08178F84">
      <w:pPr>
        <w:ind w:left="720"/>
        <w:rPr>
          <w:rFonts w:asciiTheme="minorHAnsi" w:hAnsiTheme="minorHAnsi" w:cstheme="minorHAnsi"/>
          <w:sz w:val="22"/>
          <w:szCs w:val="22"/>
        </w:rPr>
      </w:pPr>
      <w:r w:rsidRPr="00BB08F0">
        <w:rPr>
          <w:rFonts w:asciiTheme="minorHAnsi" w:hAnsiTheme="minorHAnsi" w:cstheme="minorHAnsi"/>
          <w:sz w:val="22"/>
          <w:szCs w:val="22"/>
        </w:rPr>
        <w:t xml:space="preserve">The IRS created the IRS </w:t>
      </w:r>
      <w:r w:rsidRPr="00BB08F0">
        <w:rPr>
          <w:rFonts w:asciiTheme="minorHAnsi" w:eastAsiaTheme="minorHAnsi" w:hAnsiTheme="minorHAnsi" w:cstheme="minorHAnsi"/>
          <w:color w:val="000000"/>
          <w:sz w:val="22"/>
          <w:szCs w:val="22"/>
        </w:rPr>
        <w:t>Energy Credits Online Portal</w:t>
      </w:r>
      <w:r w:rsidRPr="00BB08F0">
        <w:rPr>
          <w:rFonts w:asciiTheme="minorHAnsi" w:hAnsiTheme="minorHAnsi" w:cstheme="minorHAnsi"/>
          <w:sz w:val="22"/>
          <w:szCs w:val="22"/>
        </w:rPr>
        <w:t xml:space="preserve"> </w:t>
      </w:r>
      <w:r w:rsidRPr="00BB08F0">
        <w:rPr>
          <w:rFonts w:asciiTheme="minorHAnsi" w:hAnsiTheme="minorHAnsi" w:cstheme="minorHAnsi"/>
          <w:sz w:val="22"/>
          <w:szCs w:val="22"/>
        </w:rPr>
        <w:t>for qualified manufacturers to register and provide the requisite information</w:t>
      </w:r>
      <w:r>
        <w:rPr>
          <w:rFonts w:asciiTheme="minorHAnsi" w:hAnsiTheme="minorHAnsi" w:cstheme="minorHAnsi"/>
          <w:sz w:val="22"/>
          <w:szCs w:val="22"/>
        </w:rPr>
        <w:t>, such as the periodic reporting</w:t>
      </w:r>
      <w:r w:rsidRPr="00BB08F0">
        <w:rPr>
          <w:rFonts w:asciiTheme="minorHAnsi" w:hAnsiTheme="minorHAnsi" w:cstheme="minorHAnsi"/>
          <w:sz w:val="22"/>
          <w:szCs w:val="22"/>
        </w:rPr>
        <w:t xml:space="preserve">. </w:t>
      </w:r>
    </w:p>
    <w:p w:rsidR="00CC0426" w:rsidRPr="004363A3" w:rsidP="00AB28C4" w14:paraId="280F8919" w14:textId="77777777">
      <w:pPr>
        <w:ind w:left="720"/>
        <w:rPr>
          <w:rFonts w:asciiTheme="minorHAnsi" w:hAnsiTheme="minorHAnsi" w:cstheme="minorHAnsi"/>
          <w:sz w:val="22"/>
          <w:szCs w:val="22"/>
        </w:rPr>
      </w:pPr>
    </w:p>
    <w:p w:rsidR="00CC0426" w:rsidRPr="00AB28C4" w:rsidP="00AB28C4" w14:paraId="770B56A6" w14:textId="37C25160">
      <w:pPr>
        <w:pStyle w:val="Level1"/>
        <w:numPr>
          <w:ilvl w:val="0"/>
          <w:numId w:val="1"/>
        </w:numPr>
        <w:tabs>
          <w:tab w:val="left" w:pos="-1440"/>
          <w:tab w:val="num" w:pos="720"/>
        </w:tabs>
        <w:ind w:left="720" w:hanging="720"/>
        <w:rPr>
          <w:rFonts w:asciiTheme="minorHAnsi" w:hAnsiTheme="minorHAnsi"/>
          <w:sz w:val="22"/>
          <w:szCs w:val="22"/>
          <w:u w:val="single"/>
        </w:rPr>
      </w:pPr>
      <w:r w:rsidRPr="00AB28C4">
        <w:rPr>
          <w:rFonts w:asciiTheme="minorHAnsi" w:hAnsiTheme="minorHAnsi"/>
          <w:sz w:val="22"/>
          <w:szCs w:val="22"/>
          <w:u w:val="single"/>
        </w:rPr>
        <w:t>EFFORTS TO IDENTIFY DUPLICATION</w:t>
      </w:r>
    </w:p>
    <w:p w:rsidR="00CC0426" w:rsidRPr="004363A3" w:rsidP="00AB28C4" w14:paraId="090824F4" w14:textId="77777777">
      <w:pPr>
        <w:ind w:left="720"/>
        <w:rPr>
          <w:rFonts w:asciiTheme="minorHAnsi" w:hAnsiTheme="minorHAnsi" w:cstheme="minorHAnsi"/>
          <w:sz w:val="22"/>
          <w:szCs w:val="22"/>
        </w:rPr>
      </w:pPr>
    </w:p>
    <w:p w:rsidR="00A665A7" w:rsidRPr="00A665A7" w:rsidP="00A665A7" w14:paraId="5348068E" w14:textId="77777777">
      <w:pPr>
        <w:ind w:left="720"/>
        <w:rPr>
          <w:rFonts w:ascii="Calibri" w:hAnsi="Calibri" w:cs="Calibri"/>
          <w:color w:val="000000"/>
          <w:sz w:val="22"/>
          <w:szCs w:val="22"/>
        </w:rPr>
      </w:pPr>
      <w:r w:rsidRPr="00A665A7">
        <w:rPr>
          <w:rFonts w:ascii="Calibri" w:hAnsi="Calibri" w:cs="Calibri"/>
          <w:color w:val="000000"/>
          <w:sz w:val="22"/>
          <w:szCs w:val="22"/>
        </w:rPr>
        <w:t xml:space="preserve">There is no burden on small businesses or entities by this collection due to the inapplicability of the authorizing statute to this type of entity.  </w:t>
      </w:r>
    </w:p>
    <w:p w:rsidR="00A665A7" w:rsidRPr="00A665A7" w:rsidP="00A665A7" w14:paraId="0D305D71" w14:textId="77777777">
      <w:pPr>
        <w:ind w:left="540"/>
        <w:rPr>
          <w:rFonts w:ascii="Calibri" w:hAnsi="Calibri" w:cs="Calibri"/>
          <w:color w:val="000000"/>
          <w:sz w:val="22"/>
          <w:szCs w:val="22"/>
        </w:rPr>
      </w:pPr>
    </w:p>
    <w:p w:rsidR="00CC0426" w:rsidRPr="00AB28C4" w:rsidP="00AB28C4" w14:paraId="223ABF78" w14:textId="7AF8255B">
      <w:pPr>
        <w:pStyle w:val="Level1"/>
        <w:numPr>
          <w:ilvl w:val="0"/>
          <w:numId w:val="1"/>
        </w:numPr>
        <w:tabs>
          <w:tab w:val="left" w:pos="-1440"/>
          <w:tab w:val="num" w:pos="720"/>
        </w:tabs>
        <w:ind w:left="720" w:hanging="720"/>
        <w:rPr>
          <w:rFonts w:asciiTheme="minorHAnsi" w:hAnsiTheme="minorHAnsi"/>
          <w:sz w:val="22"/>
          <w:szCs w:val="22"/>
          <w:u w:val="single"/>
        </w:rPr>
      </w:pPr>
      <w:r w:rsidRPr="00AB28C4">
        <w:rPr>
          <w:rFonts w:asciiTheme="minorHAnsi" w:hAnsiTheme="minorHAnsi"/>
          <w:sz w:val="22"/>
          <w:szCs w:val="22"/>
          <w:u w:val="single"/>
        </w:rPr>
        <w:t>METHODS TO MINIMIZE BURDEN ON SMALL BUSINESSES OR OTHER SMALL ENTITIES</w:t>
      </w:r>
    </w:p>
    <w:p w:rsidR="00CC0426" w:rsidRPr="004363A3" w:rsidP="00AB28C4" w14:paraId="42D02EC4" w14:textId="77777777">
      <w:pPr>
        <w:ind w:left="720"/>
        <w:rPr>
          <w:rFonts w:asciiTheme="minorHAnsi" w:hAnsiTheme="minorHAnsi" w:cstheme="minorHAnsi"/>
          <w:sz w:val="22"/>
          <w:szCs w:val="22"/>
        </w:rPr>
      </w:pPr>
    </w:p>
    <w:p w:rsidR="00CC0426" w:rsidRPr="004363A3" w:rsidP="00AB28C4" w14:paraId="5E5DA39C" w14:textId="49511F11">
      <w:pPr>
        <w:ind w:left="720"/>
        <w:rPr>
          <w:rFonts w:asciiTheme="minorHAnsi" w:hAnsiTheme="minorHAnsi" w:cstheme="minorHAnsi"/>
          <w:sz w:val="22"/>
          <w:szCs w:val="22"/>
        </w:rPr>
      </w:pPr>
      <w:r w:rsidRPr="00AB28C4">
        <w:rPr>
          <w:rFonts w:asciiTheme="minorHAnsi" w:hAnsiTheme="minorHAnsi" w:cstheme="minorHAnsi"/>
          <w:sz w:val="22"/>
          <w:szCs w:val="22"/>
        </w:rPr>
        <w:t>T</w:t>
      </w:r>
      <w:r w:rsidRPr="00AB28C4">
        <w:rPr>
          <w:rFonts w:asciiTheme="minorHAnsi" w:hAnsiTheme="minorHAnsi" w:cstheme="minorHAnsi"/>
          <w:sz w:val="22"/>
          <w:szCs w:val="22"/>
        </w:rPr>
        <w:t xml:space="preserve">he collection of information </w:t>
      </w:r>
      <w:r w:rsidRPr="00AB28C4">
        <w:rPr>
          <w:rFonts w:asciiTheme="minorHAnsi" w:hAnsiTheme="minorHAnsi" w:cstheme="minorHAnsi"/>
          <w:sz w:val="22"/>
          <w:szCs w:val="22"/>
        </w:rPr>
        <w:t xml:space="preserve">is </w:t>
      </w:r>
      <w:r w:rsidR="003B2DC0">
        <w:rPr>
          <w:rFonts w:asciiTheme="minorHAnsi" w:hAnsiTheme="minorHAnsi" w:cstheme="minorHAnsi"/>
          <w:sz w:val="22"/>
          <w:szCs w:val="22"/>
        </w:rPr>
        <w:t xml:space="preserve">not </w:t>
      </w:r>
      <w:r w:rsidRPr="00AB28C4">
        <w:rPr>
          <w:rFonts w:asciiTheme="minorHAnsi" w:hAnsiTheme="minorHAnsi" w:cstheme="minorHAnsi"/>
          <w:sz w:val="22"/>
          <w:szCs w:val="22"/>
        </w:rPr>
        <w:t>expected to have a</w:t>
      </w:r>
      <w:r w:rsidRPr="00AB28C4">
        <w:rPr>
          <w:rFonts w:asciiTheme="minorHAnsi" w:hAnsiTheme="minorHAnsi" w:cstheme="minorHAnsi"/>
          <w:sz w:val="22"/>
          <w:szCs w:val="22"/>
        </w:rPr>
        <w:t xml:space="preserve"> </w:t>
      </w:r>
      <w:r w:rsidRPr="00AB28C4">
        <w:rPr>
          <w:rFonts w:asciiTheme="minorHAnsi" w:hAnsiTheme="minorHAnsi" w:cstheme="minorHAnsi"/>
          <w:sz w:val="22"/>
          <w:szCs w:val="22"/>
        </w:rPr>
        <w:t>burden on small businesses</w:t>
      </w:r>
      <w:r w:rsidRPr="00AB28C4" w:rsidR="006055F1">
        <w:rPr>
          <w:rFonts w:asciiTheme="minorHAnsi" w:hAnsiTheme="minorHAnsi" w:cstheme="minorHAnsi"/>
          <w:sz w:val="22"/>
          <w:szCs w:val="22"/>
        </w:rPr>
        <w:t xml:space="preserve">. </w:t>
      </w:r>
      <w:r w:rsidRPr="00AB28C4">
        <w:rPr>
          <w:rFonts w:asciiTheme="minorHAnsi" w:hAnsiTheme="minorHAnsi" w:cstheme="minorHAnsi"/>
          <w:sz w:val="22"/>
          <w:szCs w:val="22"/>
        </w:rPr>
        <w:t xml:space="preserve"> </w:t>
      </w:r>
    </w:p>
    <w:p w:rsidR="00CC0426" w:rsidRPr="004363A3" w:rsidP="00AB28C4" w14:paraId="495A83B8" w14:textId="77777777">
      <w:pPr>
        <w:ind w:left="720"/>
        <w:rPr>
          <w:rFonts w:asciiTheme="minorHAnsi" w:hAnsiTheme="minorHAnsi" w:cstheme="minorHAnsi"/>
          <w:sz w:val="22"/>
          <w:szCs w:val="22"/>
        </w:rPr>
      </w:pPr>
    </w:p>
    <w:p w:rsidR="00CC0426" w:rsidRPr="00AB28C4" w:rsidP="00AB28C4" w14:paraId="307C00D6" w14:textId="73AD3278">
      <w:pPr>
        <w:pStyle w:val="Level1"/>
        <w:numPr>
          <w:ilvl w:val="0"/>
          <w:numId w:val="1"/>
        </w:numPr>
        <w:tabs>
          <w:tab w:val="left" w:pos="-1440"/>
          <w:tab w:val="num" w:pos="720"/>
        </w:tabs>
        <w:ind w:left="720" w:hanging="720"/>
        <w:rPr>
          <w:rFonts w:asciiTheme="minorHAnsi" w:hAnsiTheme="minorHAnsi"/>
          <w:sz w:val="22"/>
          <w:szCs w:val="22"/>
          <w:u w:val="single"/>
        </w:rPr>
      </w:pPr>
      <w:r w:rsidRPr="00AB28C4">
        <w:rPr>
          <w:rFonts w:asciiTheme="minorHAnsi" w:hAnsiTheme="minorHAnsi"/>
          <w:sz w:val="22"/>
          <w:szCs w:val="22"/>
          <w:u w:val="single"/>
        </w:rPr>
        <w:t>CONSEQUENCES OF LESS FREQUENT COLLECTION ON FEDERAL PROGRAMS OR POLICY ACTIVITIES</w:t>
      </w:r>
    </w:p>
    <w:p w:rsidR="00CC0426" w:rsidRPr="00AB28C4" w:rsidP="00AB28C4" w14:paraId="2038E72A" w14:textId="77777777">
      <w:pPr>
        <w:ind w:left="720"/>
        <w:rPr>
          <w:rFonts w:asciiTheme="minorHAnsi" w:hAnsiTheme="minorHAnsi" w:cstheme="minorHAnsi"/>
          <w:sz w:val="22"/>
          <w:szCs w:val="22"/>
        </w:rPr>
      </w:pPr>
    </w:p>
    <w:p w:rsidR="00CC0426" w:rsidRPr="004363A3" w:rsidP="00AB28C4" w14:paraId="4208EC6E" w14:textId="1B0E900F">
      <w:pPr>
        <w:ind w:left="720"/>
        <w:rPr>
          <w:rFonts w:asciiTheme="minorHAnsi" w:hAnsiTheme="minorHAnsi" w:cstheme="minorHAnsi"/>
          <w:sz w:val="22"/>
          <w:szCs w:val="22"/>
        </w:rPr>
      </w:pPr>
      <w:r w:rsidRPr="004363A3">
        <w:rPr>
          <w:rFonts w:asciiTheme="minorHAnsi" w:hAnsiTheme="minorHAnsi" w:cstheme="minorHAnsi"/>
          <w:sz w:val="22"/>
          <w:szCs w:val="22"/>
        </w:rPr>
        <w:t xml:space="preserve">The information required is needed to verify compliance with the </w:t>
      </w:r>
      <w:r w:rsidR="00AB28C4">
        <w:rPr>
          <w:rFonts w:asciiTheme="minorHAnsi" w:hAnsiTheme="minorHAnsi" w:cstheme="minorHAnsi"/>
          <w:sz w:val="22"/>
          <w:szCs w:val="22"/>
        </w:rPr>
        <w:t>IRC</w:t>
      </w:r>
      <w:r w:rsidRPr="004363A3">
        <w:rPr>
          <w:rFonts w:asciiTheme="minorHAnsi" w:hAnsiTheme="minorHAnsi" w:cstheme="minorHAnsi"/>
          <w:sz w:val="22"/>
          <w:szCs w:val="22"/>
        </w:rPr>
        <w:t xml:space="preserve"> and </w:t>
      </w:r>
      <w:r w:rsidR="00E84A59">
        <w:rPr>
          <w:rFonts w:asciiTheme="minorHAnsi" w:hAnsiTheme="minorHAnsi" w:cstheme="minorHAnsi"/>
          <w:sz w:val="22"/>
          <w:szCs w:val="22"/>
        </w:rPr>
        <w:t xml:space="preserve">Treasury </w:t>
      </w:r>
      <w:r w:rsidR="00FF330D">
        <w:rPr>
          <w:rFonts w:asciiTheme="minorHAnsi" w:hAnsiTheme="minorHAnsi" w:cstheme="minorHAnsi"/>
          <w:sz w:val="22"/>
          <w:szCs w:val="22"/>
        </w:rPr>
        <w:t>regulation</w:t>
      </w:r>
      <w:r w:rsidRPr="004363A3">
        <w:rPr>
          <w:rFonts w:asciiTheme="minorHAnsi" w:hAnsiTheme="minorHAnsi" w:cstheme="minorHAnsi"/>
          <w:sz w:val="22"/>
          <w:szCs w:val="22"/>
        </w:rPr>
        <w:t xml:space="preserve">s. A less frequent collection of taxes and tax information could adversely affect the government’s effectiveness and would reduce the oversight of the public in ensuring compliance with the </w:t>
      </w:r>
      <w:r w:rsidR="00AB28C4">
        <w:rPr>
          <w:rFonts w:asciiTheme="minorHAnsi" w:hAnsiTheme="minorHAnsi" w:cstheme="minorHAnsi"/>
          <w:sz w:val="22"/>
          <w:szCs w:val="22"/>
        </w:rPr>
        <w:t>IRC</w:t>
      </w:r>
      <w:r w:rsidRPr="004363A3" w:rsidR="004431F7">
        <w:rPr>
          <w:rFonts w:asciiTheme="minorHAnsi" w:hAnsiTheme="minorHAnsi" w:cstheme="minorHAnsi"/>
          <w:sz w:val="22"/>
          <w:szCs w:val="22"/>
        </w:rPr>
        <w:t xml:space="preserve"> </w:t>
      </w:r>
      <w:r w:rsidRPr="004363A3">
        <w:rPr>
          <w:rFonts w:asciiTheme="minorHAnsi" w:hAnsiTheme="minorHAnsi" w:cstheme="minorHAnsi"/>
          <w:sz w:val="22"/>
          <w:szCs w:val="22"/>
        </w:rPr>
        <w:t xml:space="preserve">and hinder the IRS from meeting its mission. </w:t>
      </w:r>
    </w:p>
    <w:p w:rsidR="00CC0426" w:rsidRPr="004363A3" w:rsidP="00AB28C4" w14:paraId="6B631E50" w14:textId="77777777">
      <w:pPr>
        <w:ind w:left="720"/>
        <w:rPr>
          <w:rFonts w:asciiTheme="minorHAnsi" w:hAnsiTheme="minorHAnsi" w:cstheme="minorHAnsi"/>
          <w:sz w:val="22"/>
          <w:szCs w:val="22"/>
        </w:rPr>
      </w:pPr>
      <w:r w:rsidRPr="004363A3">
        <w:rPr>
          <w:rFonts w:asciiTheme="minorHAnsi" w:hAnsiTheme="minorHAnsi" w:cstheme="minorHAnsi"/>
          <w:sz w:val="22"/>
          <w:szCs w:val="22"/>
        </w:rPr>
        <w:t xml:space="preserve">          </w:t>
      </w:r>
    </w:p>
    <w:p w:rsidR="00CC0426" w:rsidRPr="00AB28C4" w:rsidP="00AB28C4" w14:paraId="548EC18C" w14:textId="278A768D">
      <w:pPr>
        <w:pStyle w:val="Level1"/>
        <w:numPr>
          <w:ilvl w:val="0"/>
          <w:numId w:val="1"/>
        </w:numPr>
        <w:tabs>
          <w:tab w:val="left" w:pos="-1440"/>
          <w:tab w:val="num" w:pos="720"/>
        </w:tabs>
        <w:ind w:left="720" w:hanging="720"/>
        <w:rPr>
          <w:rFonts w:asciiTheme="minorHAnsi" w:hAnsiTheme="minorHAnsi"/>
          <w:sz w:val="22"/>
          <w:szCs w:val="22"/>
          <w:u w:val="single"/>
        </w:rPr>
      </w:pPr>
      <w:r w:rsidRPr="00AB28C4">
        <w:rPr>
          <w:rFonts w:asciiTheme="minorHAnsi" w:hAnsiTheme="minorHAnsi"/>
          <w:sz w:val="22"/>
          <w:szCs w:val="22"/>
          <w:u w:val="single"/>
        </w:rPr>
        <w:t>SPECIAL CIRCUMSTANCES REQUIRING DATA COLLECTION TO BE INCONSISTENT WITH GUIDELINES IN 5 CFR 1320.5(d)(2)</w:t>
      </w:r>
    </w:p>
    <w:p w:rsidR="00CC0426" w:rsidRPr="004363A3" w:rsidP="00AB28C4" w14:paraId="03A3F3A7" w14:textId="77777777">
      <w:pPr>
        <w:ind w:left="720"/>
        <w:rPr>
          <w:rFonts w:asciiTheme="minorHAnsi" w:hAnsiTheme="minorHAnsi" w:cstheme="minorHAnsi"/>
          <w:sz w:val="22"/>
          <w:szCs w:val="22"/>
        </w:rPr>
      </w:pPr>
    </w:p>
    <w:p w:rsidR="00CC0426" w:rsidRPr="004363A3" w:rsidP="00AB28C4" w14:paraId="43C6EE56" w14:textId="4A70996B">
      <w:pPr>
        <w:ind w:left="720"/>
        <w:rPr>
          <w:rFonts w:asciiTheme="minorHAnsi" w:hAnsiTheme="minorHAnsi" w:cstheme="minorHAnsi"/>
          <w:sz w:val="22"/>
          <w:szCs w:val="22"/>
        </w:rPr>
      </w:pPr>
      <w:r w:rsidRPr="004363A3">
        <w:rPr>
          <w:rFonts w:asciiTheme="minorHAnsi" w:hAnsiTheme="minorHAnsi" w:cstheme="minorHAnsi"/>
          <w:sz w:val="22"/>
          <w:szCs w:val="22"/>
        </w:rPr>
        <w:t xml:space="preserve">There are no special circumstances requiring data collection to be inconsistent with </w:t>
      </w:r>
      <w:r w:rsidR="00F33C32">
        <w:rPr>
          <w:rFonts w:asciiTheme="minorHAnsi" w:hAnsiTheme="minorHAnsi" w:cstheme="minorHAnsi"/>
          <w:sz w:val="22"/>
          <w:szCs w:val="22"/>
        </w:rPr>
        <w:t>g</w:t>
      </w:r>
      <w:r w:rsidRPr="004363A3">
        <w:rPr>
          <w:rFonts w:asciiTheme="minorHAnsi" w:hAnsiTheme="minorHAnsi" w:cstheme="minorHAnsi"/>
          <w:sz w:val="22"/>
          <w:szCs w:val="22"/>
        </w:rPr>
        <w:t>uidelines in 5 CFR 1320.5(d)(2).</w:t>
      </w:r>
    </w:p>
    <w:p w:rsidR="00CC0426" w:rsidRPr="004363A3" w:rsidP="00AB28C4" w14:paraId="41B23A93" w14:textId="77777777">
      <w:pPr>
        <w:ind w:left="720"/>
        <w:rPr>
          <w:rFonts w:asciiTheme="minorHAnsi" w:hAnsiTheme="minorHAnsi" w:cstheme="minorHAnsi"/>
          <w:sz w:val="22"/>
          <w:szCs w:val="22"/>
        </w:rPr>
      </w:pPr>
    </w:p>
    <w:p w:rsidR="00CC0426" w:rsidRPr="00AB28C4" w:rsidP="00AB28C4" w14:paraId="6D7DF15E" w14:textId="72D8A7EE">
      <w:pPr>
        <w:pStyle w:val="Level1"/>
        <w:numPr>
          <w:ilvl w:val="0"/>
          <w:numId w:val="1"/>
        </w:numPr>
        <w:tabs>
          <w:tab w:val="left" w:pos="-1440"/>
          <w:tab w:val="num" w:pos="720"/>
        </w:tabs>
        <w:ind w:left="720" w:hanging="720"/>
        <w:rPr>
          <w:rFonts w:asciiTheme="minorHAnsi" w:hAnsiTheme="minorHAnsi"/>
          <w:sz w:val="22"/>
          <w:szCs w:val="22"/>
          <w:u w:val="single"/>
        </w:rPr>
      </w:pPr>
      <w:r w:rsidRPr="00AB28C4">
        <w:rPr>
          <w:rFonts w:asciiTheme="minorHAnsi" w:hAnsiTheme="minorHAnsi"/>
          <w:sz w:val="22"/>
          <w:szCs w:val="22"/>
          <w:u w:val="single"/>
        </w:rPr>
        <w:t>CONSULTATION WITH INDIVIDUALS OUTSIDE OF THE AGENCY ON AVAILABILITY OF DATA, FREQUENCY OF COLLECTION, CLARITY OF INSTRUCTIONS AND FORMS, AND DATA ELEMENTS</w:t>
      </w:r>
    </w:p>
    <w:p w:rsidR="00CC0426" w:rsidRPr="004363A3" w:rsidP="00F33C32" w14:paraId="13A1866E" w14:textId="77777777">
      <w:pPr>
        <w:ind w:left="720"/>
        <w:rPr>
          <w:rFonts w:asciiTheme="minorHAnsi" w:hAnsiTheme="minorHAnsi" w:cstheme="minorHAnsi"/>
          <w:sz w:val="22"/>
          <w:szCs w:val="22"/>
        </w:rPr>
      </w:pPr>
    </w:p>
    <w:p w:rsidR="00195CD7" w:rsidRPr="00195CD7" w:rsidP="00195CD7" w14:paraId="6A1652EB" w14:textId="6AA2DCE9">
      <w:pPr>
        <w:adjustRightInd/>
        <w:spacing w:line="276" w:lineRule="auto"/>
        <w:ind w:left="720"/>
        <w:rPr>
          <w:rFonts w:asciiTheme="minorHAnsi" w:hAnsiTheme="minorHAnsi" w:cstheme="minorHAnsi"/>
          <w:sz w:val="22"/>
          <w:szCs w:val="22"/>
        </w:rPr>
      </w:pPr>
      <w:r w:rsidRPr="00195CD7">
        <w:rPr>
          <w:rFonts w:asciiTheme="minorHAnsi" w:hAnsiTheme="minorHAnsi" w:cstheme="minorHAnsi"/>
          <w:sz w:val="22"/>
          <w:szCs w:val="22"/>
        </w:rPr>
        <w:t>Proposed regulations (REG</w:t>
      </w:r>
      <w:r w:rsidRPr="00195CD7" w:rsidR="00C36F14">
        <w:rPr>
          <w:rFonts w:asciiTheme="minorHAnsi" w:hAnsiTheme="minorHAnsi" w:cstheme="minorHAnsi"/>
          <w:sz w:val="22"/>
          <w:szCs w:val="22"/>
        </w:rPr>
        <w:t>-</w:t>
      </w:r>
      <w:r w:rsidR="00C36F14">
        <w:rPr>
          <w:rFonts w:asciiTheme="minorHAnsi" w:hAnsiTheme="minorHAnsi" w:cstheme="minorHAnsi"/>
          <w:sz w:val="22"/>
          <w:szCs w:val="22"/>
        </w:rPr>
        <w:t>118264-23</w:t>
      </w:r>
      <w:r w:rsidRPr="00195CD7" w:rsidR="00C36F14">
        <w:rPr>
          <w:rFonts w:asciiTheme="minorHAnsi" w:hAnsiTheme="minorHAnsi" w:cstheme="minorHAnsi"/>
          <w:sz w:val="22"/>
          <w:szCs w:val="22"/>
        </w:rPr>
        <w:t xml:space="preserve">) </w:t>
      </w:r>
      <w:r w:rsidRPr="00195CD7">
        <w:rPr>
          <w:rFonts w:asciiTheme="minorHAnsi" w:hAnsiTheme="minorHAnsi" w:cstheme="minorHAnsi"/>
          <w:sz w:val="22"/>
          <w:szCs w:val="22"/>
        </w:rPr>
        <w:t xml:space="preserve">published </w:t>
      </w:r>
      <w:r w:rsidR="001B03B8">
        <w:rPr>
          <w:rFonts w:asciiTheme="minorHAnsi" w:hAnsiTheme="minorHAnsi" w:cstheme="minorHAnsi"/>
          <w:sz w:val="22"/>
          <w:szCs w:val="22"/>
        </w:rPr>
        <w:t xml:space="preserve">October 25, </w:t>
      </w:r>
      <w:r w:rsidR="00745AC1">
        <w:rPr>
          <w:rFonts w:asciiTheme="minorHAnsi" w:hAnsiTheme="minorHAnsi" w:cstheme="minorHAnsi"/>
          <w:sz w:val="22"/>
          <w:szCs w:val="22"/>
        </w:rPr>
        <w:t>2024,</w:t>
      </w:r>
      <w:r>
        <w:rPr>
          <w:rFonts w:asciiTheme="minorHAnsi" w:hAnsiTheme="minorHAnsi" w:cstheme="minorHAnsi"/>
          <w:sz w:val="22"/>
          <w:szCs w:val="22"/>
        </w:rPr>
        <w:t xml:space="preserve"> </w:t>
      </w:r>
      <w:r w:rsidRPr="00195CD7">
        <w:rPr>
          <w:rFonts w:asciiTheme="minorHAnsi" w:hAnsiTheme="minorHAnsi" w:cstheme="minorHAnsi"/>
          <w:sz w:val="22"/>
          <w:szCs w:val="22"/>
        </w:rPr>
        <w:t xml:space="preserve">at </w:t>
      </w:r>
      <w:r w:rsidR="001B03B8">
        <w:rPr>
          <w:rFonts w:asciiTheme="minorHAnsi" w:hAnsiTheme="minorHAnsi" w:cstheme="minorHAnsi"/>
          <w:sz w:val="22"/>
          <w:szCs w:val="22"/>
        </w:rPr>
        <w:t>89</w:t>
      </w:r>
      <w:r w:rsidRPr="00195CD7">
        <w:rPr>
          <w:rFonts w:asciiTheme="minorHAnsi" w:hAnsiTheme="minorHAnsi" w:cstheme="minorHAnsi"/>
          <w:sz w:val="22"/>
          <w:szCs w:val="22"/>
        </w:rPr>
        <w:t xml:space="preserve"> FR </w:t>
      </w:r>
      <w:r w:rsidR="001B03B8">
        <w:rPr>
          <w:rFonts w:asciiTheme="minorHAnsi" w:hAnsiTheme="minorHAnsi" w:cstheme="minorHAnsi"/>
          <w:sz w:val="22"/>
          <w:szCs w:val="22"/>
        </w:rPr>
        <w:t>85099,</w:t>
      </w:r>
      <w:r w:rsidRPr="00195CD7">
        <w:rPr>
          <w:rFonts w:asciiTheme="minorHAnsi" w:hAnsiTheme="minorHAnsi" w:cstheme="minorHAnsi"/>
          <w:sz w:val="22"/>
          <w:szCs w:val="22"/>
        </w:rPr>
        <w:t xml:space="preserve"> requested public comments and recommendations on the information collections.  Any comments received on the information collections will be addressed within the Final Rule submission. </w:t>
      </w:r>
    </w:p>
    <w:p w:rsidR="00CC0426" w:rsidRPr="004363A3" w:rsidP="00F33C32" w14:paraId="7154769C" w14:textId="77777777">
      <w:pPr>
        <w:ind w:left="720"/>
        <w:rPr>
          <w:rFonts w:asciiTheme="minorHAnsi" w:hAnsiTheme="minorHAnsi" w:cstheme="minorHAnsi"/>
          <w:sz w:val="22"/>
          <w:szCs w:val="22"/>
        </w:rPr>
      </w:pPr>
    </w:p>
    <w:p w:rsidR="00CC0426" w:rsidRPr="00AB28C4" w:rsidP="00AB28C4" w14:paraId="505737FB" w14:textId="43219ADF">
      <w:pPr>
        <w:pStyle w:val="Level1"/>
        <w:numPr>
          <w:ilvl w:val="0"/>
          <w:numId w:val="1"/>
        </w:numPr>
        <w:tabs>
          <w:tab w:val="left" w:pos="-1440"/>
          <w:tab w:val="num" w:pos="720"/>
        </w:tabs>
        <w:ind w:left="720" w:hanging="720"/>
        <w:rPr>
          <w:rFonts w:asciiTheme="minorHAnsi" w:hAnsiTheme="minorHAnsi"/>
          <w:sz w:val="22"/>
          <w:szCs w:val="22"/>
          <w:u w:val="single"/>
        </w:rPr>
      </w:pPr>
      <w:r w:rsidRPr="00AB28C4">
        <w:rPr>
          <w:rFonts w:asciiTheme="minorHAnsi" w:hAnsiTheme="minorHAnsi"/>
          <w:sz w:val="22"/>
          <w:szCs w:val="22"/>
          <w:u w:val="single"/>
        </w:rPr>
        <w:t>EXPLANATION OF DECISION TO PROVIDE ANY PAYMENT OR GIFT TO RESPONDENTS</w:t>
      </w:r>
    </w:p>
    <w:p w:rsidR="00CC0426" w:rsidRPr="004363A3" w:rsidP="00AA0A37" w14:paraId="3D0B7505" w14:textId="77777777">
      <w:pPr>
        <w:ind w:left="720"/>
        <w:rPr>
          <w:rFonts w:asciiTheme="minorHAnsi" w:hAnsiTheme="minorHAnsi" w:cstheme="minorHAnsi"/>
          <w:sz w:val="22"/>
          <w:szCs w:val="22"/>
        </w:rPr>
      </w:pPr>
    </w:p>
    <w:p w:rsidR="00CC0426" w:rsidRPr="004363A3" w:rsidP="00AA0A37" w14:paraId="7B951CAD" w14:textId="05AF6F8D">
      <w:pPr>
        <w:ind w:left="720"/>
        <w:rPr>
          <w:rFonts w:asciiTheme="minorHAnsi" w:hAnsiTheme="minorHAnsi" w:cstheme="minorHAnsi"/>
          <w:sz w:val="22"/>
          <w:szCs w:val="22"/>
        </w:rPr>
      </w:pPr>
      <w:r w:rsidRPr="004363A3">
        <w:rPr>
          <w:rFonts w:asciiTheme="minorHAnsi" w:hAnsiTheme="minorHAnsi" w:cstheme="minorHAnsi"/>
          <w:sz w:val="22"/>
          <w:szCs w:val="22"/>
        </w:rPr>
        <w:t>No payment or gift has been provided to any respondents.</w:t>
      </w:r>
    </w:p>
    <w:p w:rsidR="00CC0426" w:rsidRPr="004363A3" w:rsidP="00AA0A37" w14:paraId="227A0D37" w14:textId="77777777">
      <w:pPr>
        <w:ind w:left="720"/>
        <w:rPr>
          <w:rFonts w:asciiTheme="minorHAnsi" w:hAnsiTheme="minorHAnsi" w:cstheme="minorHAnsi"/>
          <w:sz w:val="22"/>
          <w:szCs w:val="22"/>
        </w:rPr>
      </w:pPr>
    </w:p>
    <w:p w:rsidR="00CC0426" w:rsidRPr="00AB28C4" w:rsidP="00AB28C4" w14:paraId="3F59ADE7" w14:textId="42022BC8">
      <w:pPr>
        <w:pStyle w:val="Level1"/>
        <w:numPr>
          <w:ilvl w:val="0"/>
          <w:numId w:val="1"/>
        </w:numPr>
        <w:tabs>
          <w:tab w:val="left" w:pos="-1440"/>
          <w:tab w:val="num" w:pos="720"/>
        </w:tabs>
        <w:ind w:left="720" w:hanging="720"/>
        <w:rPr>
          <w:rFonts w:asciiTheme="minorHAnsi" w:hAnsiTheme="minorHAnsi"/>
          <w:sz w:val="22"/>
          <w:szCs w:val="22"/>
          <w:u w:val="single"/>
        </w:rPr>
      </w:pPr>
      <w:r w:rsidRPr="00AB28C4">
        <w:rPr>
          <w:rFonts w:asciiTheme="minorHAnsi" w:hAnsiTheme="minorHAnsi"/>
          <w:sz w:val="22"/>
          <w:szCs w:val="22"/>
          <w:u w:val="single"/>
        </w:rPr>
        <w:t>ASSURANCE OF CONFIDENTIALITY OF RESPONSES</w:t>
      </w:r>
    </w:p>
    <w:p w:rsidR="00CC0426" w:rsidRPr="004363A3" w:rsidP="00AA0A37" w14:paraId="6E715639" w14:textId="77777777">
      <w:pPr>
        <w:ind w:left="720"/>
        <w:rPr>
          <w:rFonts w:asciiTheme="minorHAnsi" w:hAnsiTheme="minorHAnsi" w:cstheme="minorHAnsi"/>
          <w:sz w:val="22"/>
          <w:szCs w:val="22"/>
        </w:rPr>
      </w:pPr>
    </w:p>
    <w:p w:rsidR="00CC0426" w:rsidRPr="004363A3" w:rsidP="00AA0A37" w14:paraId="0D05CAB6" w14:textId="7506FB80">
      <w:pPr>
        <w:ind w:left="720"/>
        <w:rPr>
          <w:rFonts w:asciiTheme="minorHAnsi" w:hAnsiTheme="minorHAnsi" w:cstheme="minorHAnsi"/>
          <w:sz w:val="22"/>
          <w:szCs w:val="22"/>
        </w:rPr>
      </w:pPr>
      <w:r w:rsidRPr="004363A3">
        <w:rPr>
          <w:rFonts w:asciiTheme="minorHAnsi" w:hAnsiTheme="minorHAnsi" w:cstheme="minorHAnsi"/>
          <w:sz w:val="22"/>
          <w:szCs w:val="22"/>
        </w:rPr>
        <w:t>Generally, tax returns and tax return information are confidential as required by 26 U</w:t>
      </w:r>
      <w:r w:rsidR="00AA0A37">
        <w:rPr>
          <w:rFonts w:asciiTheme="minorHAnsi" w:hAnsiTheme="minorHAnsi" w:cstheme="minorHAnsi"/>
          <w:sz w:val="22"/>
          <w:szCs w:val="22"/>
        </w:rPr>
        <w:t>.</w:t>
      </w:r>
      <w:r w:rsidRPr="004363A3">
        <w:rPr>
          <w:rFonts w:asciiTheme="minorHAnsi" w:hAnsiTheme="minorHAnsi" w:cstheme="minorHAnsi"/>
          <w:sz w:val="22"/>
          <w:szCs w:val="22"/>
        </w:rPr>
        <w:t>S</w:t>
      </w:r>
      <w:r w:rsidR="00AA0A37">
        <w:rPr>
          <w:rFonts w:asciiTheme="minorHAnsi" w:hAnsiTheme="minorHAnsi" w:cstheme="minorHAnsi"/>
          <w:sz w:val="22"/>
          <w:szCs w:val="22"/>
        </w:rPr>
        <w:t>.</w:t>
      </w:r>
      <w:r w:rsidRPr="004363A3">
        <w:rPr>
          <w:rFonts w:asciiTheme="minorHAnsi" w:hAnsiTheme="minorHAnsi" w:cstheme="minorHAnsi"/>
          <w:sz w:val="22"/>
          <w:szCs w:val="22"/>
        </w:rPr>
        <w:t>C</w:t>
      </w:r>
      <w:r w:rsidR="00AA0A37">
        <w:rPr>
          <w:rFonts w:asciiTheme="minorHAnsi" w:hAnsiTheme="minorHAnsi" w:cstheme="minorHAnsi"/>
          <w:sz w:val="22"/>
          <w:szCs w:val="22"/>
        </w:rPr>
        <w:t>.</w:t>
      </w:r>
      <w:r w:rsidRPr="004363A3">
        <w:rPr>
          <w:rFonts w:asciiTheme="minorHAnsi" w:hAnsiTheme="minorHAnsi" w:cstheme="minorHAnsi"/>
          <w:sz w:val="22"/>
          <w:szCs w:val="22"/>
        </w:rPr>
        <w:t xml:space="preserve"> 6103.</w:t>
      </w:r>
    </w:p>
    <w:p w:rsidR="00CC0426" w:rsidRPr="004363A3" w:rsidP="00AA0A37" w14:paraId="323E614A" w14:textId="77777777">
      <w:pPr>
        <w:ind w:left="720"/>
        <w:rPr>
          <w:rFonts w:asciiTheme="minorHAnsi" w:hAnsiTheme="minorHAnsi" w:cstheme="minorHAnsi"/>
          <w:sz w:val="22"/>
          <w:szCs w:val="22"/>
        </w:rPr>
      </w:pPr>
    </w:p>
    <w:p w:rsidR="00CC0426" w:rsidRPr="00AB28C4" w:rsidP="00AB28C4" w14:paraId="1E271E10" w14:textId="0B55BA83">
      <w:pPr>
        <w:pStyle w:val="Level1"/>
        <w:numPr>
          <w:ilvl w:val="0"/>
          <w:numId w:val="1"/>
        </w:numPr>
        <w:tabs>
          <w:tab w:val="left" w:pos="-1440"/>
          <w:tab w:val="num" w:pos="720"/>
        </w:tabs>
        <w:ind w:left="720" w:hanging="720"/>
        <w:rPr>
          <w:rFonts w:asciiTheme="minorHAnsi" w:hAnsiTheme="minorHAnsi"/>
          <w:sz w:val="22"/>
          <w:szCs w:val="22"/>
          <w:u w:val="single"/>
        </w:rPr>
      </w:pPr>
      <w:r w:rsidRPr="00AB28C4">
        <w:rPr>
          <w:rFonts w:asciiTheme="minorHAnsi" w:hAnsiTheme="minorHAnsi"/>
          <w:sz w:val="22"/>
          <w:szCs w:val="22"/>
          <w:u w:val="single"/>
        </w:rPr>
        <w:t>JUSTIFICATION OF SENSITIVE QUESTIONS</w:t>
      </w:r>
    </w:p>
    <w:p w:rsidR="00CC0426" w:rsidRPr="00AA0A37" w:rsidP="00AA0A37" w14:paraId="5DB91EE8" w14:textId="77777777">
      <w:pPr>
        <w:ind w:left="720"/>
        <w:rPr>
          <w:rFonts w:asciiTheme="minorHAnsi" w:hAnsiTheme="minorHAnsi" w:cstheme="minorHAnsi"/>
          <w:sz w:val="22"/>
          <w:szCs w:val="22"/>
        </w:rPr>
      </w:pPr>
    </w:p>
    <w:p w:rsidR="00AA0A37" w:rsidRPr="001B03B8" w:rsidP="00AA0A37" w14:paraId="72728B6C" w14:textId="77777777">
      <w:pPr>
        <w:numPr>
          <w:ilvl w:val="12"/>
          <w:numId w:val="0"/>
        </w:numPr>
        <w:ind w:left="720"/>
        <w:rPr>
          <w:rFonts w:asciiTheme="minorHAnsi" w:hAnsiTheme="minorHAnsi" w:cs="Calibri"/>
          <w:bCs/>
          <w:sz w:val="22"/>
          <w:szCs w:val="22"/>
        </w:rPr>
      </w:pPr>
      <w:bookmarkStart w:id="0" w:name="_Hlk125524792"/>
      <w:bookmarkStart w:id="1" w:name="_Hlk129670057"/>
      <w:r w:rsidRPr="001B03B8">
        <w:rPr>
          <w:rFonts w:asciiTheme="minorHAnsi" w:hAnsiTheme="minorHAnsi" w:cs="Calibri"/>
          <w:bCs/>
          <w:sz w:val="22"/>
          <w:szCs w:val="22"/>
        </w:rPr>
        <w:t xml:space="preserve">A privacy impact assessment (PIA) has been conducted for information collected under this request, and a Privacy Act System of Records notice (SORN) has been issued for </w:t>
      </w:r>
      <w:bookmarkStart w:id="2" w:name="_Hlk94249110"/>
      <w:r w:rsidRPr="001B03B8">
        <w:rPr>
          <w:rFonts w:asciiTheme="minorHAnsi" w:hAnsiTheme="minorHAnsi" w:cs="Calibri"/>
          <w:bCs/>
          <w:sz w:val="22"/>
          <w:szCs w:val="22"/>
        </w:rPr>
        <w:t xml:space="preserve">these systems under Treasury/IRS 22.062 - Electronic Filing Records; </w:t>
      </w:r>
      <w:bookmarkStart w:id="3" w:name="_Hlk95474527"/>
      <w:r w:rsidRPr="001B03B8">
        <w:rPr>
          <w:rFonts w:asciiTheme="minorHAnsi" w:hAnsiTheme="minorHAnsi" w:cs="Calibri"/>
          <w:bCs/>
          <w:sz w:val="22"/>
          <w:szCs w:val="22"/>
        </w:rPr>
        <w:t xml:space="preserve">Treasury/IRS 24.030 - Customer Account Data Engine (CADE) Individual Master File; Treasury/IRS 24.046 - CADE Business Master File (BMF); Treasury/IRS 34.037 - Audit Trail and Security Records. </w:t>
      </w:r>
      <w:bookmarkStart w:id="4" w:name="_Hlk90540730"/>
      <w:r w:rsidRPr="001B03B8">
        <w:rPr>
          <w:rFonts w:asciiTheme="minorHAnsi" w:hAnsiTheme="minorHAnsi" w:cs="Calibri"/>
          <w:bCs/>
          <w:sz w:val="22"/>
          <w:szCs w:val="22"/>
        </w:rPr>
        <w:t xml:space="preserve">The Internal Revenue Service PIAs can be found </w:t>
      </w:r>
      <w:bookmarkStart w:id="5" w:name="_Hlk96425022"/>
      <w:r w:rsidRPr="001B03B8">
        <w:rPr>
          <w:rFonts w:asciiTheme="minorHAnsi" w:hAnsiTheme="minorHAnsi" w:cs="Calibri"/>
          <w:bCs/>
          <w:sz w:val="22"/>
          <w:szCs w:val="22"/>
        </w:rPr>
        <w:t xml:space="preserve">at </w:t>
      </w:r>
      <w:bookmarkStart w:id="6" w:name="_Hlk90530558"/>
      <w:hyperlink r:id="rId7" w:history="1">
        <w:r w:rsidRPr="001B03B8">
          <w:rPr>
            <w:rStyle w:val="Hyperlink"/>
            <w:rFonts w:asciiTheme="minorHAnsi" w:hAnsiTheme="minorHAnsi" w:cs="Calibri"/>
            <w:bCs/>
            <w:sz w:val="22"/>
            <w:szCs w:val="22"/>
          </w:rPr>
          <w:t>https://www.irs.gov/privacy-disclosure/privacy-impact-assessments-pia</w:t>
        </w:r>
      </w:hyperlink>
      <w:bookmarkEnd w:id="6"/>
      <w:r w:rsidRPr="001B03B8">
        <w:rPr>
          <w:rFonts w:asciiTheme="minorHAnsi" w:hAnsiTheme="minorHAnsi" w:cs="Calibri"/>
          <w:bCs/>
          <w:sz w:val="22"/>
          <w:szCs w:val="22"/>
        </w:rPr>
        <w:t>.</w:t>
      </w:r>
      <w:bookmarkEnd w:id="0"/>
      <w:bookmarkEnd w:id="2"/>
      <w:bookmarkEnd w:id="3"/>
      <w:bookmarkEnd w:id="4"/>
      <w:bookmarkEnd w:id="5"/>
    </w:p>
    <w:p w:rsidR="00AA0A37" w:rsidRPr="001B03B8" w:rsidP="00AA0A37" w14:paraId="2F5B9437" w14:textId="77777777">
      <w:pPr>
        <w:numPr>
          <w:ilvl w:val="12"/>
          <w:numId w:val="0"/>
        </w:numPr>
        <w:ind w:left="720"/>
        <w:rPr>
          <w:rFonts w:asciiTheme="minorHAnsi" w:hAnsiTheme="minorHAnsi" w:cs="Calibri"/>
          <w:bCs/>
          <w:sz w:val="22"/>
          <w:szCs w:val="22"/>
        </w:rPr>
      </w:pPr>
    </w:p>
    <w:p w:rsidR="00CC0426" w:rsidRPr="004363A3" w:rsidP="00AA0A37" w14:paraId="04063D9E" w14:textId="3B059E82">
      <w:pPr>
        <w:ind w:left="720"/>
        <w:rPr>
          <w:rFonts w:asciiTheme="minorHAnsi" w:hAnsiTheme="minorHAnsi" w:cstheme="minorHAnsi"/>
          <w:sz w:val="22"/>
          <w:szCs w:val="22"/>
        </w:rPr>
      </w:pPr>
      <w:r w:rsidRPr="001B03B8">
        <w:rPr>
          <w:rFonts w:asciiTheme="minorHAnsi" w:hAnsiTheme="minorHAnsi" w:cs="Calibri"/>
          <w:bCs/>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bookmarkEnd w:id="1"/>
    </w:p>
    <w:p w:rsidR="00CC0426" w:rsidRPr="004363A3" w:rsidP="00AA0A37" w14:paraId="7E7685D3" w14:textId="77777777">
      <w:pPr>
        <w:ind w:left="720"/>
        <w:rPr>
          <w:rFonts w:asciiTheme="minorHAnsi" w:hAnsiTheme="minorHAnsi" w:cstheme="minorHAnsi"/>
          <w:sz w:val="22"/>
          <w:szCs w:val="22"/>
        </w:rPr>
      </w:pPr>
    </w:p>
    <w:p w:rsidR="00CC0426" w:rsidRPr="00AA0A37" w:rsidP="00AA0A37" w14:paraId="23F8EF08" w14:textId="563DEDC6">
      <w:pPr>
        <w:pStyle w:val="Level1"/>
        <w:numPr>
          <w:ilvl w:val="0"/>
          <w:numId w:val="1"/>
        </w:numPr>
        <w:tabs>
          <w:tab w:val="left" w:pos="-1440"/>
          <w:tab w:val="num" w:pos="720"/>
        </w:tabs>
        <w:ind w:left="720" w:hanging="720"/>
        <w:rPr>
          <w:rFonts w:asciiTheme="minorHAnsi" w:hAnsiTheme="minorHAnsi"/>
          <w:sz w:val="22"/>
          <w:szCs w:val="22"/>
          <w:u w:val="single"/>
        </w:rPr>
      </w:pPr>
      <w:r w:rsidRPr="00AA0A37">
        <w:rPr>
          <w:rFonts w:asciiTheme="minorHAnsi" w:hAnsiTheme="minorHAnsi"/>
          <w:sz w:val="22"/>
          <w:szCs w:val="22"/>
          <w:u w:val="single"/>
        </w:rPr>
        <w:t>ESTIMATED BURDEN OF INFORMATION COLLECTION</w:t>
      </w:r>
    </w:p>
    <w:p w:rsidR="00CC0426" w:rsidRPr="00AA0A37" w:rsidP="00AA0A37" w14:paraId="1FF6D7A8" w14:textId="77777777">
      <w:pPr>
        <w:ind w:left="720"/>
        <w:rPr>
          <w:rFonts w:asciiTheme="minorHAnsi" w:hAnsiTheme="minorHAnsi" w:cs="Calibri"/>
          <w:bCs/>
          <w:sz w:val="22"/>
          <w:szCs w:val="22"/>
        </w:rPr>
      </w:pPr>
    </w:p>
    <w:p w:rsidR="00D62521" w:rsidP="00AA0A37" w14:paraId="0A9236EC" w14:textId="5C6D2E1C">
      <w:pPr>
        <w:ind w:left="720"/>
        <w:rPr>
          <w:rFonts w:asciiTheme="minorHAnsi" w:hAnsiTheme="minorHAnsi" w:cs="Calibri"/>
          <w:bCs/>
          <w:sz w:val="22"/>
          <w:szCs w:val="22"/>
        </w:rPr>
      </w:pPr>
      <w:r>
        <w:rPr>
          <w:rFonts w:asciiTheme="minorHAnsi" w:hAnsiTheme="minorHAnsi" w:cs="Calibri"/>
          <w:bCs/>
          <w:sz w:val="22"/>
          <w:szCs w:val="22"/>
        </w:rPr>
        <w:t xml:space="preserve">IRC section </w:t>
      </w:r>
      <w:r w:rsidR="00A37443">
        <w:rPr>
          <w:rFonts w:asciiTheme="minorHAnsi" w:hAnsiTheme="minorHAnsi" w:cs="Calibri"/>
          <w:bCs/>
          <w:sz w:val="22"/>
          <w:szCs w:val="22"/>
        </w:rPr>
        <w:t>25C</w:t>
      </w:r>
      <w:r>
        <w:rPr>
          <w:rFonts w:asciiTheme="minorHAnsi" w:hAnsiTheme="minorHAnsi" w:cs="Calibri"/>
          <w:bCs/>
          <w:sz w:val="22"/>
          <w:szCs w:val="22"/>
        </w:rPr>
        <w:t>(</w:t>
      </w:r>
      <w:r w:rsidR="00A37443">
        <w:rPr>
          <w:rFonts w:asciiTheme="minorHAnsi" w:hAnsiTheme="minorHAnsi" w:cs="Calibri"/>
          <w:bCs/>
          <w:sz w:val="22"/>
          <w:szCs w:val="22"/>
        </w:rPr>
        <w:t>h</w:t>
      </w:r>
      <w:r>
        <w:rPr>
          <w:rFonts w:asciiTheme="minorHAnsi" w:hAnsiTheme="minorHAnsi" w:cs="Calibri"/>
          <w:bCs/>
          <w:sz w:val="22"/>
          <w:szCs w:val="22"/>
        </w:rPr>
        <w:t>) require</w:t>
      </w:r>
      <w:r w:rsidR="00A665A7">
        <w:rPr>
          <w:rFonts w:asciiTheme="minorHAnsi" w:hAnsiTheme="minorHAnsi" w:cs="Calibri"/>
          <w:bCs/>
          <w:sz w:val="22"/>
          <w:szCs w:val="22"/>
        </w:rPr>
        <w:t xml:space="preserve">s manufacturers of </w:t>
      </w:r>
      <w:r w:rsidR="00A37443">
        <w:rPr>
          <w:rFonts w:asciiTheme="minorHAnsi" w:hAnsiTheme="minorHAnsi" w:cs="Calibri"/>
          <w:bCs/>
          <w:sz w:val="22"/>
          <w:szCs w:val="22"/>
        </w:rPr>
        <w:t xml:space="preserve">specified property </w:t>
      </w:r>
      <w:r>
        <w:rPr>
          <w:rFonts w:asciiTheme="minorHAnsi" w:hAnsiTheme="minorHAnsi" w:cs="Calibri"/>
          <w:bCs/>
          <w:sz w:val="22"/>
          <w:szCs w:val="22"/>
        </w:rPr>
        <w:t>to disclose information</w:t>
      </w:r>
      <w:r w:rsidR="00104532">
        <w:rPr>
          <w:rFonts w:asciiTheme="minorHAnsi" w:hAnsiTheme="minorHAnsi" w:cs="Calibri"/>
          <w:bCs/>
          <w:sz w:val="22"/>
          <w:szCs w:val="22"/>
        </w:rPr>
        <w:t xml:space="preserve"> and authorizes the IRS to develop a program </w:t>
      </w:r>
      <w:r w:rsidR="00E84A59">
        <w:rPr>
          <w:rFonts w:asciiTheme="minorHAnsi" w:hAnsiTheme="minorHAnsi" w:cs="Calibri"/>
          <w:bCs/>
          <w:sz w:val="22"/>
          <w:szCs w:val="22"/>
        </w:rPr>
        <w:t xml:space="preserve">for manufacturers </w:t>
      </w:r>
      <w:r w:rsidR="00104532">
        <w:rPr>
          <w:rFonts w:asciiTheme="minorHAnsi" w:hAnsiTheme="minorHAnsi" w:cs="Calibri"/>
          <w:bCs/>
          <w:sz w:val="22"/>
          <w:szCs w:val="22"/>
        </w:rPr>
        <w:t xml:space="preserve">to </w:t>
      </w:r>
      <w:r w:rsidR="00A37443">
        <w:rPr>
          <w:rFonts w:asciiTheme="minorHAnsi" w:hAnsiTheme="minorHAnsi" w:cs="Calibri"/>
          <w:bCs/>
          <w:sz w:val="22"/>
          <w:szCs w:val="22"/>
        </w:rPr>
        <w:t>register as qualified manufacturers</w:t>
      </w:r>
      <w:r w:rsidR="00E84A59">
        <w:rPr>
          <w:rFonts w:asciiTheme="minorHAnsi" w:hAnsiTheme="minorHAnsi" w:cs="Calibri"/>
          <w:bCs/>
          <w:sz w:val="22"/>
          <w:szCs w:val="22"/>
        </w:rPr>
        <w:t xml:space="preserve">.  Qualified </w:t>
      </w:r>
      <w:r w:rsidR="00E84A59">
        <w:rPr>
          <w:rFonts w:asciiTheme="minorHAnsi" w:hAnsiTheme="minorHAnsi" w:cs="Calibri"/>
          <w:bCs/>
          <w:sz w:val="22"/>
          <w:szCs w:val="22"/>
        </w:rPr>
        <w:t xml:space="preserve">manufacturers </w:t>
      </w:r>
      <w:r w:rsidR="00A37443">
        <w:rPr>
          <w:rFonts w:asciiTheme="minorHAnsi" w:hAnsiTheme="minorHAnsi" w:cs="Calibri"/>
          <w:bCs/>
          <w:sz w:val="22"/>
          <w:szCs w:val="22"/>
        </w:rPr>
        <w:t xml:space="preserve"> can</w:t>
      </w:r>
      <w:r w:rsidR="00A37443">
        <w:rPr>
          <w:rFonts w:asciiTheme="minorHAnsi" w:hAnsiTheme="minorHAnsi" w:cs="Calibri"/>
          <w:bCs/>
          <w:sz w:val="22"/>
          <w:szCs w:val="22"/>
        </w:rPr>
        <w:t xml:space="preserve"> issue product identification numbers for specified property </w:t>
      </w:r>
      <w:r w:rsidR="00E84A59">
        <w:rPr>
          <w:rFonts w:asciiTheme="minorHAnsi" w:hAnsiTheme="minorHAnsi" w:cs="Calibri"/>
          <w:bCs/>
          <w:sz w:val="22"/>
          <w:szCs w:val="22"/>
        </w:rPr>
        <w:t xml:space="preserve">for taxpayers to report on their returns when claiming a section </w:t>
      </w:r>
      <w:r w:rsidR="00A37443">
        <w:rPr>
          <w:rFonts w:asciiTheme="minorHAnsi" w:hAnsiTheme="minorHAnsi" w:cs="Calibri"/>
          <w:bCs/>
          <w:sz w:val="22"/>
          <w:szCs w:val="22"/>
        </w:rPr>
        <w:t>25C credit.</w:t>
      </w:r>
      <w:r w:rsidR="00104532">
        <w:rPr>
          <w:rFonts w:asciiTheme="minorHAnsi" w:hAnsiTheme="minorHAnsi" w:cs="Calibri"/>
          <w:bCs/>
          <w:sz w:val="22"/>
          <w:szCs w:val="22"/>
        </w:rPr>
        <w:t xml:space="preserve"> </w:t>
      </w:r>
      <w:r w:rsidRPr="00104532" w:rsidR="00104532">
        <w:rPr>
          <w:rFonts w:asciiTheme="minorHAnsi" w:hAnsiTheme="minorHAnsi" w:cs="Calibri"/>
          <w:bCs/>
          <w:sz w:val="22"/>
          <w:szCs w:val="22"/>
        </w:rPr>
        <w:t xml:space="preserve">The IRS anticipates that there </w:t>
      </w:r>
      <w:r w:rsidR="00A52C48">
        <w:rPr>
          <w:rFonts w:asciiTheme="minorHAnsi" w:hAnsiTheme="minorHAnsi" w:cs="Calibri"/>
          <w:bCs/>
          <w:sz w:val="22"/>
          <w:szCs w:val="22"/>
        </w:rPr>
        <w:t>could</w:t>
      </w:r>
      <w:r w:rsidRPr="00104532" w:rsidR="00A52C48">
        <w:rPr>
          <w:rFonts w:asciiTheme="minorHAnsi" w:hAnsiTheme="minorHAnsi" w:cs="Calibri"/>
          <w:bCs/>
          <w:sz w:val="22"/>
          <w:szCs w:val="22"/>
        </w:rPr>
        <w:t xml:space="preserve"> </w:t>
      </w:r>
      <w:r w:rsidRPr="00104532" w:rsidR="00104532">
        <w:rPr>
          <w:rFonts w:asciiTheme="minorHAnsi" w:hAnsiTheme="minorHAnsi" w:cs="Calibri"/>
          <w:bCs/>
          <w:sz w:val="22"/>
          <w:szCs w:val="22"/>
        </w:rPr>
        <w:t xml:space="preserve">be approximately </w:t>
      </w:r>
      <w:r w:rsidR="00A37443">
        <w:rPr>
          <w:rFonts w:asciiTheme="minorHAnsi" w:hAnsiTheme="minorHAnsi" w:cs="Calibri"/>
          <w:bCs/>
          <w:sz w:val="22"/>
          <w:szCs w:val="22"/>
        </w:rPr>
        <w:t>2</w:t>
      </w:r>
      <w:r w:rsidR="00DB266B">
        <w:rPr>
          <w:rFonts w:asciiTheme="minorHAnsi" w:hAnsiTheme="minorHAnsi" w:cs="Calibri"/>
          <w:bCs/>
          <w:sz w:val="22"/>
          <w:szCs w:val="22"/>
        </w:rPr>
        <w:t>,</w:t>
      </w:r>
      <w:r w:rsidR="00A37443">
        <w:rPr>
          <w:rFonts w:asciiTheme="minorHAnsi" w:hAnsiTheme="minorHAnsi" w:cs="Calibri"/>
          <w:bCs/>
          <w:sz w:val="22"/>
          <w:szCs w:val="22"/>
        </w:rPr>
        <w:t>100</w:t>
      </w:r>
      <w:r w:rsidRPr="00104532" w:rsidR="00104532">
        <w:rPr>
          <w:rFonts w:asciiTheme="minorHAnsi" w:hAnsiTheme="minorHAnsi" w:cs="Calibri"/>
          <w:bCs/>
          <w:sz w:val="22"/>
          <w:szCs w:val="22"/>
        </w:rPr>
        <w:t xml:space="preserve"> </w:t>
      </w:r>
      <w:r w:rsidR="00A37443">
        <w:rPr>
          <w:rFonts w:asciiTheme="minorHAnsi" w:hAnsiTheme="minorHAnsi" w:cs="Calibri"/>
          <w:bCs/>
          <w:sz w:val="22"/>
          <w:szCs w:val="22"/>
        </w:rPr>
        <w:t>initial registrants</w:t>
      </w:r>
      <w:r w:rsidR="00807458">
        <w:rPr>
          <w:rFonts w:asciiTheme="minorHAnsi" w:hAnsiTheme="minorHAnsi" w:cs="Calibri"/>
          <w:bCs/>
          <w:sz w:val="22"/>
          <w:szCs w:val="22"/>
        </w:rPr>
        <w:t xml:space="preserve">. </w:t>
      </w:r>
      <w:r w:rsidRPr="00104532" w:rsidR="00104532">
        <w:rPr>
          <w:rFonts w:asciiTheme="minorHAnsi" w:hAnsiTheme="minorHAnsi" w:cs="Calibri"/>
          <w:bCs/>
          <w:sz w:val="22"/>
          <w:szCs w:val="22"/>
        </w:rPr>
        <w:t xml:space="preserve"> </w:t>
      </w:r>
      <w:r w:rsidR="00A52C48">
        <w:rPr>
          <w:rFonts w:asciiTheme="minorHAnsi" w:hAnsiTheme="minorHAnsi" w:cs="Calibri"/>
          <w:bCs/>
          <w:sz w:val="22"/>
          <w:szCs w:val="22"/>
        </w:rPr>
        <w:t xml:space="preserve">Additionally, </w:t>
      </w:r>
      <w:r w:rsidR="00E84A59">
        <w:rPr>
          <w:rFonts w:asciiTheme="minorHAnsi" w:hAnsiTheme="minorHAnsi" w:cs="Calibri"/>
          <w:bCs/>
          <w:sz w:val="22"/>
          <w:szCs w:val="22"/>
        </w:rPr>
        <w:t xml:space="preserve">while </w:t>
      </w:r>
      <w:r w:rsidR="00A52C48">
        <w:rPr>
          <w:rFonts w:asciiTheme="minorHAnsi" w:hAnsiTheme="minorHAnsi" w:cs="Calibri"/>
          <w:bCs/>
          <w:sz w:val="22"/>
          <w:szCs w:val="22"/>
        </w:rPr>
        <w:t>IRS is pr</w:t>
      </w:r>
      <w:r w:rsidR="00A315C8">
        <w:rPr>
          <w:rFonts w:asciiTheme="minorHAnsi" w:hAnsiTheme="minorHAnsi" w:cs="Calibri"/>
          <w:bCs/>
          <w:sz w:val="22"/>
          <w:szCs w:val="22"/>
        </w:rPr>
        <w:t xml:space="preserve">oviding a process by which disqualified manufacturers can appeal the IRS determination, IRS anticipates that less than 1% of registrants would use the appeals process. </w:t>
      </w:r>
      <w:r w:rsidRPr="00104532" w:rsidR="00104532">
        <w:rPr>
          <w:rFonts w:asciiTheme="minorHAnsi" w:hAnsiTheme="minorHAnsi" w:cs="Calibri"/>
          <w:bCs/>
          <w:sz w:val="22"/>
          <w:szCs w:val="22"/>
        </w:rPr>
        <w:t>The estimated burden</w:t>
      </w:r>
      <w:r w:rsidR="00195CD7">
        <w:rPr>
          <w:rFonts w:asciiTheme="minorHAnsi" w:hAnsiTheme="minorHAnsi" w:cs="Calibri"/>
          <w:bCs/>
          <w:sz w:val="22"/>
          <w:szCs w:val="22"/>
        </w:rPr>
        <w:t xml:space="preserve"> for these reporting and third-party disclosures is</w:t>
      </w:r>
      <w:r w:rsidRPr="00104532" w:rsidR="00104532">
        <w:rPr>
          <w:rFonts w:asciiTheme="minorHAnsi" w:hAnsiTheme="minorHAnsi" w:cs="Calibri"/>
          <w:bCs/>
          <w:sz w:val="22"/>
          <w:szCs w:val="22"/>
        </w:rPr>
        <w:t xml:space="preserve"> shown below.</w:t>
      </w:r>
    </w:p>
    <w:p w:rsidR="00104532" w:rsidP="00AA0A37" w14:paraId="31C456F1" w14:textId="12A1C157">
      <w:pPr>
        <w:ind w:left="720"/>
        <w:rPr>
          <w:rFonts w:asciiTheme="minorHAnsi" w:hAnsiTheme="minorHAnsi" w:cs="Calibri"/>
          <w:bCs/>
          <w:sz w:val="22"/>
          <w:szCs w:val="22"/>
        </w:rPr>
      </w:pPr>
    </w:p>
    <w:tbl>
      <w:tblPr>
        <w:tblW w:w="91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260"/>
        <w:gridCol w:w="1800"/>
        <w:gridCol w:w="1170"/>
        <w:gridCol w:w="1567"/>
        <w:gridCol w:w="1080"/>
        <w:gridCol w:w="1313"/>
      </w:tblGrid>
      <w:tr w14:paraId="36E807A8" w14:textId="77777777" w:rsidTr="00942407">
        <w:tblPrEx>
          <w:tblW w:w="91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90" w:type="dxa"/>
            <w:shd w:val="clear" w:color="auto" w:fill="auto"/>
          </w:tcPr>
          <w:p w:rsidR="001816EC" w:rsidRPr="001222FC" w:rsidP="009D6229" w14:paraId="01763333" w14:textId="77777777">
            <w:pPr>
              <w:keepNext/>
              <w:keepLines/>
              <w:numPr>
                <w:ilvl w:val="12"/>
                <w:numId w:val="0"/>
              </w:numPr>
              <w:jc w:val="center"/>
              <w:rPr>
                <w:rFonts w:ascii="Arial Narrow" w:hAnsi="Arial Narrow"/>
                <w:b/>
                <w:sz w:val="20"/>
                <w:szCs w:val="20"/>
              </w:rPr>
            </w:pPr>
            <w:bookmarkStart w:id="7" w:name="_Hlk103748992"/>
            <w:r w:rsidRPr="001222FC">
              <w:rPr>
                <w:rFonts w:ascii="Arial Narrow" w:hAnsi="Arial Narrow"/>
                <w:b/>
                <w:sz w:val="20"/>
                <w:szCs w:val="20"/>
              </w:rPr>
              <w:t>Authority</w:t>
            </w:r>
          </w:p>
        </w:tc>
        <w:tc>
          <w:tcPr>
            <w:tcW w:w="1260" w:type="dxa"/>
          </w:tcPr>
          <w:p w:rsidR="001816EC" w:rsidRPr="001222FC" w:rsidP="009D6229" w14:paraId="2E96D8C9"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Description</w:t>
            </w:r>
          </w:p>
        </w:tc>
        <w:tc>
          <w:tcPr>
            <w:tcW w:w="1800" w:type="dxa"/>
          </w:tcPr>
          <w:p w:rsidR="001816EC" w:rsidRPr="001222FC" w:rsidP="009D6229" w14:paraId="6C0765C5"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of Respondents</w:t>
            </w:r>
          </w:p>
        </w:tc>
        <w:tc>
          <w:tcPr>
            <w:tcW w:w="1170" w:type="dxa"/>
          </w:tcPr>
          <w:p w:rsidR="001816EC" w:rsidRPr="001222FC" w:rsidP="009D6229" w14:paraId="72D8183C"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Responses per Respondent</w:t>
            </w:r>
          </w:p>
        </w:tc>
        <w:tc>
          <w:tcPr>
            <w:tcW w:w="1567" w:type="dxa"/>
          </w:tcPr>
          <w:p w:rsidR="001816EC" w:rsidRPr="001222FC" w:rsidP="009D6229" w14:paraId="49AB7C9D" w14:textId="14E0F7A4">
            <w:pPr>
              <w:keepNext/>
              <w:keepLines/>
              <w:numPr>
                <w:ilvl w:val="12"/>
                <w:numId w:val="0"/>
              </w:numPr>
              <w:jc w:val="center"/>
              <w:rPr>
                <w:rFonts w:ascii="Arial Narrow" w:hAnsi="Arial Narrow"/>
                <w:b/>
                <w:sz w:val="20"/>
                <w:szCs w:val="20"/>
              </w:rPr>
            </w:pPr>
            <w:r>
              <w:rPr>
                <w:rFonts w:ascii="Arial Narrow" w:hAnsi="Arial Narrow"/>
                <w:b/>
                <w:sz w:val="20"/>
                <w:szCs w:val="20"/>
              </w:rPr>
              <w:t># of Reponses per Year</w:t>
            </w:r>
          </w:p>
        </w:tc>
        <w:tc>
          <w:tcPr>
            <w:tcW w:w="1080" w:type="dxa"/>
          </w:tcPr>
          <w:p w:rsidR="001816EC" w:rsidRPr="001222FC" w:rsidP="009D6229" w14:paraId="4EEDE01D" w14:textId="225C4ABA">
            <w:pPr>
              <w:keepNext/>
              <w:keepLines/>
              <w:numPr>
                <w:ilvl w:val="12"/>
                <w:numId w:val="0"/>
              </w:numPr>
              <w:jc w:val="center"/>
              <w:rPr>
                <w:rFonts w:ascii="Arial Narrow" w:hAnsi="Arial Narrow"/>
                <w:b/>
                <w:sz w:val="20"/>
                <w:szCs w:val="20"/>
              </w:rPr>
            </w:pPr>
            <w:r w:rsidRPr="001222FC">
              <w:rPr>
                <w:rFonts w:ascii="Arial Narrow" w:hAnsi="Arial Narrow"/>
                <w:b/>
                <w:sz w:val="20"/>
                <w:szCs w:val="20"/>
              </w:rPr>
              <w:t>Hours per Response</w:t>
            </w:r>
          </w:p>
        </w:tc>
        <w:tc>
          <w:tcPr>
            <w:tcW w:w="1313" w:type="dxa"/>
            <w:shd w:val="clear" w:color="auto" w:fill="auto"/>
          </w:tcPr>
          <w:p w:rsidR="001816EC" w:rsidRPr="001222FC" w:rsidP="009D6229" w14:paraId="16BB9FA4"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Total Burden Hours</w:t>
            </w:r>
          </w:p>
        </w:tc>
      </w:tr>
      <w:tr w14:paraId="2C1C709B" w14:textId="77777777" w:rsidTr="00942407">
        <w:tblPrEx>
          <w:tblW w:w="9180" w:type="dxa"/>
          <w:tblInd w:w="715" w:type="dxa"/>
          <w:tblLayout w:type="fixed"/>
          <w:tblLook w:val="04A0"/>
        </w:tblPrEx>
        <w:tc>
          <w:tcPr>
            <w:tcW w:w="990" w:type="dxa"/>
            <w:shd w:val="clear" w:color="auto" w:fill="auto"/>
          </w:tcPr>
          <w:p w:rsidR="001816EC" w:rsidRPr="001222FC" w:rsidP="009D6229" w14:paraId="7E7A90E5" w14:textId="3B3FF5CF">
            <w:pPr>
              <w:keepNext/>
              <w:keepLines/>
              <w:numPr>
                <w:ilvl w:val="12"/>
                <w:numId w:val="0"/>
              </w:numPr>
              <w:jc w:val="center"/>
              <w:rPr>
                <w:rFonts w:ascii="Arial Narrow" w:hAnsi="Arial Narrow"/>
                <w:sz w:val="20"/>
                <w:szCs w:val="20"/>
              </w:rPr>
            </w:pPr>
            <w:r>
              <w:rPr>
                <w:rFonts w:ascii="Arial Narrow" w:hAnsi="Arial Narrow"/>
                <w:sz w:val="20"/>
                <w:szCs w:val="20"/>
              </w:rPr>
              <w:t>IRC 25C</w:t>
            </w:r>
          </w:p>
        </w:tc>
        <w:tc>
          <w:tcPr>
            <w:tcW w:w="1260" w:type="dxa"/>
          </w:tcPr>
          <w:p w:rsidR="001816EC" w:rsidRPr="001222FC" w:rsidP="009D6229" w14:paraId="3F158B5D" w14:textId="2F99583A">
            <w:pPr>
              <w:keepNext/>
              <w:keepLines/>
              <w:numPr>
                <w:ilvl w:val="12"/>
                <w:numId w:val="0"/>
              </w:numPr>
              <w:jc w:val="center"/>
              <w:rPr>
                <w:rFonts w:ascii="Arial Narrow" w:hAnsi="Arial Narrow"/>
                <w:sz w:val="20"/>
                <w:szCs w:val="20"/>
              </w:rPr>
            </w:pPr>
            <w:r>
              <w:rPr>
                <w:rFonts w:ascii="Arial Narrow" w:hAnsi="Arial Narrow"/>
                <w:sz w:val="20"/>
                <w:szCs w:val="20"/>
              </w:rPr>
              <w:t>Qualified Manufacturer Registration</w:t>
            </w:r>
          </w:p>
        </w:tc>
        <w:tc>
          <w:tcPr>
            <w:tcW w:w="1800" w:type="dxa"/>
          </w:tcPr>
          <w:p w:rsidR="001816EC" w:rsidRPr="001222FC" w:rsidP="009D6229" w14:paraId="38905776" w14:textId="379A0F02">
            <w:pPr>
              <w:keepNext/>
              <w:keepLines/>
              <w:numPr>
                <w:ilvl w:val="12"/>
                <w:numId w:val="0"/>
              </w:numPr>
              <w:jc w:val="center"/>
              <w:rPr>
                <w:rFonts w:ascii="Arial Narrow" w:hAnsi="Arial Narrow"/>
                <w:sz w:val="20"/>
                <w:szCs w:val="20"/>
              </w:rPr>
            </w:pPr>
            <w:r>
              <w:rPr>
                <w:rFonts w:ascii="Arial Narrow" w:hAnsi="Arial Narrow"/>
                <w:sz w:val="20"/>
                <w:szCs w:val="20"/>
              </w:rPr>
              <w:t>2</w:t>
            </w:r>
            <w:r w:rsidR="0044751A">
              <w:rPr>
                <w:rFonts w:ascii="Arial Narrow" w:hAnsi="Arial Narrow"/>
                <w:sz w:val="20"/>
                <w:szCs w:val="20"/>
              </w:rPr>
              <w:t>,</w:t>
            </w:r>
            <w:r>
              <w:rPr>
                <w:rFonts w:ascii="Arial Narrow" w:hAnsi="Arial Narrow"/>
                <w:sz w:val="20"/>
                <w:szCs w:val="20"/>
              </w:rPr>
              <w:t>100</w:t>
            </w:r>
          </w:p>
        </w:tc>
        <w:tc>
          <w:tcPr>
            <w:tcW w:w="1170" w:type="dxa"/>
          </w:tcPr>
          <w:p w:rsidR="001816EC" w:rsidRPr="001222FC" w:rsidP="009D6229" w14:paraId="14781A31" w14:textId="3D20E1F4">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567" w:type="dxa"/>
          </w:tcPr>
          <w:p w:rsidR="001816EC" w:rsidP="009D6229" w14:paraId="54991640" w14:textId="08CBDD0B">
            <w:pPr>
              <w:keepNext/>
              <w:keepLines/>
              <w:numPr>
                <w:ilvl w:val="12"/>
                <w:numId w:val="0"/>
              </w:numPr>
              <w:jc w:val="center"/>
              <w:rPr>
                <w:rFonts w:ascii="Arial Narrow" w:hAnsi="Arial Narrow"/>
                <w:sz w:val="20"/>
                <w:szCs w:val="20"/>
              </w:rPr>
            </w:pPr>
            <w:r>
              <w:rPr>
                <w:rFonts w:ascii="Arial Narrow" w:hAnsi="Arial Narrow"/>
                <w:sz w:val="20"/>
                <w:szCs w:val="20"/>
              </w:rPr>
              <w:t>2,100</w:t>
            </w:r>
          </w:p>
        </w:tc>
        <w:tc>
          <w:tcPr>
            <w:tcW w:w="1080" w:type="dxa"/>
          </w:tcPr>
          <w:p w:rsidR="001816EC" w:rsidRPr="001222FC" w:rsidP="009D6229" w14:paraId="12A1AEE0" w14:textId="00197F7C">
            <w:pPr>
              <w:keepNext/>
              <w:keepLines/>
              <w:numPr>
                <w:ilvl w:val="12"/>
                <w:numId w:val="0"/>
              </w:numPr>
              <w:jc w:val="center"/>
              <w:rPr>
                <w:rFonts w:ascii="Arial Narrow" w:hAnsi="Arial Narrow"/>
                <w:sz w:val="20"/>
                <w:szCs w:val="20"/>
              </w:rPr>
            </w:pPr>
            <w:r>
              <w:rPr>
                <w:rFonts w:ascii="Arial Narrow" w:hAnsi="Arial Narrow"/>
                <w:sz w:val="20"/>
                <w:szCs w:val="20"/>
              </w:rPr>
              <w:t>2</w:t>
            </w:r>
          </w:p>
        </w:tc>
        <w:tc>
          <w:tcPr>
            <w:tcW w:w="1313" w:type="dxa"/>
            <w:shd w:val="clear" w:color="auto" w:fill="auto"/>
          </w:tcPr>
          <w:p w:rsidR="001816EC" w:rsidRPr="001222FC" w:rsidP="00960958" w14:paraId="5FBE8C62" w14:textId="7D0C7CF6">
            <w:pPr>
              <w:keepNext/>
              <w:keepLines/>
              <w:numPr>
                <w:ilvl w:val="12"/>
                <w:numId w:val="0"/>
              </w:numPr>
              <w:jc w:val="center"/>
              <w:rPr>
                <w:rFonts w:ascii="Arial Narrow" w:hAnsi="Arial Narrow"/>
                <w:sz w:val="20"/>
                <w:szCs w:val="20"/>
              </w:rPr>
            </w:pPr>
            <w:r>
              <w:rPr>
                <w:rFonts w:ascii="Arial Narrow" w:hAnsi="Arial Narrow"/>
                <w:sz w:val="20"/>
                <w:szCs w:val="20"/>
              </w:rPr>
              <w:t>4</w:t>
            </w:r>
            <w:r w:rsidR="00AD3637">
              <w:rPr>
                <w:rFonts w:ascii="Arial Narrow" w:hAnsi="Arial Narrow"/>
                <w:sz w:val="20"/>
                <w:szCs w:val="20"/>
              </w:rPr>
              <w:t>,</w:t>
            </w:r>
            <w:r>
              <w:rPr>
                <w:rFonts w:ascii="Arial Narrow" w:hAnsi="Arial Narrow"/>
                <w:sz w:val="20"/>
                <w:szCs w:val="20"/>
              </w:rPr>
              <w:t>200</w:t>
            </w:r>
          </w:p>
        </w:tc>
      </w:tr>
      <w:tr w14:paraId="591C03BD" w14:textId="77777777" w:rsidTr="00942407">
        <w:tblPrEx>
          <w:tblW w:w="9180" w:type="dxa"/>
          <w:tblInd w:w="715" w:type="dxa"/>
          <w:tblLayout w:type="fixed"/>
          <w:tblLook w:val="04A0"/>
        </w:tblPrEx>
        <w:tc>
          <w:tcPr>
            <w:tcW w:w="990" w:type="dxa"/>
            <w:shd w:val="clear" w:color="auto" w:fill="auto"/>
          </w:tcPr>
          <w:p w:rsidR="001816EC" w:rsidP="009D6229" w14:paraId="61B2BB10" w14:textId="532A55DF">
            <w:pPr>
              <w:keepNext/>
              <w:keepLines/>
              <w:numPr>
                <w:ilvl w:val="12"/>
                <w:numId w:val="0"/>
              </w:numPr>
              <w:jc w:val="center"/>
              <w:rPr>
                <w:rFonts w:ascii="Arial Narrow" w:hAnsi="Arial Narrow"/>
                <w:sz w:val="20"/>
                <w:szCs w:val="20"/>
              </w:rPr>
            </w:pPr>
            <w:r>
              <w:rPr>
                <w:rFonts w:ascii="Arial Narrow" w:hAnsi="Arial Narrow"/>
                <w:sz w:val="20"/>
                <w:szCs w:val="20"/>
              </w:rPr>
              <w:t xml:space="preserve">IRC 25C </w:t>
            </w:r>
          </w:p>
        </w:tc>
        <w:tc>
          <w:tcPr>
            <w:tcW w:w="1260" w:type="dxa"/>
          </w:tcPr>
          <w:p w:rsidR="001816EC" w:rsidP="009D6229" w14:paraId="20BF3027" w14:textId="01793534">
            <w:pPr>
              <w:keepNext/>
              <w:keepLines/>
              <w:numPr>
                <w:ilvl w:val="12"/>
                <w:numId w:val="0"/>
              </w:numPr>
              <w:jc w:val="center"/>
              <w:rPr>
                <w:rFonts w:ascii="Arial Narrow" w:hAnsi="Arial Narrow"/>
                <w:sz w:val="20"/>
                <w:szCs w:val="20"/>
              </w:rPr>
            </w:pPr>
            <w:r>
              <w:rPr>
                <w:rFonts w:ascii="Arial Narrow" w:hAnsi="Arial Narrow"/>
                <w:sz w:val="20"/>
                <w:szCs w:val="20"/>
              </w:rPr>
              <w:t>Manufacturer Periodic</w:t>
            </w:r>
            <w:r w:rsidR="00685DB6">
              <w:rPr>
                <w:rFonts w:ascii="Arial Narrow" w:hAnsi="Arial Narrow"/>
                <w:sz w:val="20"/>
                <w:szCs w:val="20"/>
              </w:rPr>
              <w:t xml:space="preserve"> </w:t>
            </w:r>
            <w:r>
              <w:rPr>
                <w:rFonts w:ascii="Arial Narrow" w:hAnsi="Arial Narrow"/>
                <w:sz w:val="20"/>
                <w:szCs w:val="20"/>
              </w:rPr>
              <w:t>Report</w:t>
            </w:r>
            <w:r w:rsidR="00672A7B">
              <w:rPr>
                <w:rFonts w:ascii="Arial Narrow" w:hAnsi="Arial Narrow"/>
                <w:sz w:val="20"/>
                <w:szCs w:val="20"/>
              </w:rPr>
              <w:t>ing</w:t>
            </w:r>
          </w:p>
        </w:tc>
        <w:tc>
          <w:tcPr>
            <w:tcW w:w="1800" w:type="dxa"/>
          </w:tcPr>
          <w:p w:rsidR="001816EC" w:rsidP="009D6229" w14:paraId="61A70BC0" w14:textId="2C3EA029">
            <w:pPr>
              <w:keepNext/>
              <w:keepLines/>
              <w:numPr>
                <w:ilvl w:val="12"/>
                <w:numId w:val="0"/>
              </w:numPr>
              <w:jc w:val="center"/>
              <w:rPr>
                <w:rFonts w:ascii="Arial Narrow" w:hAnsi="Arial Narrow"/>
                <w:sz w:val="20"/>
                <w:szCs w:val="20"/>
              </w:rPr>
            </w:pPr>
            <w:r>
              <w:rPr>
                <w:rFonts w:ascii="Arial Narrow" w:hAnsi="Arial Narrow"/>
                <w:sz w:val="20"/>
                <w:szCs w:val="20"/>
              </w:rPr>
              <w:t>2</w:t>
            </w:r>
            <w:r w:rsidR="0044751A">
              <w:rPr>
                <w:rFonts w:ascii="Arial Narrow" w:hAnsi="Arial Narrow"/>
                <w:sz w:val="20"/>
                <w:szCs w:val="20"/>
              </w:rPr>
              <w:t>,</w:t>
            </w:r>
            <w:r>
              <w:rPr>
                <w:rFonts w:ascii="Arial Narrow" w:hAnsi="Arial Narrow"/>
                <w:sz w:val="20"/>
                <w:szCs w:val="20"/>
              </w:rPr>
              <w:t>100</w:t>
            </w:r>
          </w:p>
        </w:tc>
        <w:tc>
          <w:tcPr>
            <w:tcW w:w="1170" w:type="dxa"/>
          </w:tcPr>
          <w:p w:rsidR="001816EC" w:rsidP="009D6229" w14:paraId="607ABECE" w14:textId="5B1FA863">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567" w:type="dxa"/>
          </w:tcPr>
          <w:p w:rsidR="001816EC" w:rsidP="009D6229" w14:paraId="265BA9C4" w14:textId="3A4D9FC9">
            <w:pPr>
              <w:keepNext/>
              <w:keepLines/>
              <w:numPr>
                <w:ilvl w:val="12"/>
                <w:numId w:val="0"/>
              </w:numPr>
              <w:jc w:val="center"/>
              <w:rPr>
                <w:rFonts w:ascii="Arial Narrow" w:hAnsi="Arial Narrow"/>
                <w:sz w:val="20"/>
                <w:szCs w:val="20"/>
              </w:rPr>
            </w:pPr>
            <w:r>
              <w:rPr>
                <w:rFonts w:ascii="Arial Narrow" w:hAnsi="Arial Narrow"/>
                <w:sz w:val="20"/>
                <w:szCs w:val="20"/>
              </w:rPr>
              <w:t>2,100</w:t>
            </w:r>
          </w:p>
        </w:tc>
        <w:tc>
          <w:tcPr>
            <w:tcW w:w="1080" w:type="dxa"/>
          </w:tcPr>
          <w:p w:rsidR="001816EC" w:rsidP="009D6229" w14:paraId="5FF6E0EA" w14:textId="1ABE931A">
            <w:pPr>
              <w:keepNext/>
              <w:keepLines/>
              <w:numPr>
                <w:ilvl w:val="12"/>
                <w:numId w:val="0"/>
              </w:numPr>
              <w:jc w:val="center"/>
              <w:rPr>
                <w:rFonts w:ascii="Arial Narrow" w:hAnsi="Arial Narrow"/>
                <w:sz w:val="20"/>
                <w:szCs w:val="20"/>
              </w:rPr>
            </w:pPr>
            <w:r>
              <w:rPr>
                <w:rFonts w:ascii="Arial Narrow" w:hAnsi="Arial Narrow"/>
                <w:sz w:val="20"/>
                <w:szCs w:val="20"/>
              </w:rPr>
              <w:t>0</w:t>
            </w:r>
            <w:r>
              <w:rPr>
                <w:rFonts w:ascii="Arial Narrow" w:hAnsi="Arial Narrow"/>
                <w:sz w:val="20"/>
                <w:szCs w:val="20"/>
              </w:rPr>
              <w:t>.25</w:t>
            </w:r>
          </w:p>
        </w:tc>
        <w:tc>
          <w:tcPr>
            <w:tcW w:w="1313" w:type="dxa"/>
            <w:shd w:val="clear" w:color="auto" w:fill="auto"/>
          </w:tcPr>
          <w:p w:rsidR="001816EC" w:rsidP="00960958" w14:paraId="1D1F696C" w14:textId="1FBAD6B9">
            <w:pPr>
              <w:keepNext/>
              <w:keepLines/>
              <w:numPr>
                <w:ilvl w:val="12"/>
                <w:numId w:val="0"/>
              </w:numPr>
              <w:jc w:val="center"/>
              <w:rPr>
                <w:rFonts w:ascii="Arial Narrow" w:hAnsi="Arial Narrow"/>
                <w:sz w:val="20"/>
                <w:szCs w:val="20"/>
              </w:rPr>
            </w:pPr>
            <w:r>
              <w:rPr>
                <w:rFonts w:ascii="Arial Narrow" w:hAnsi="Arial Narrow"/>
                <w:sz w:val="20"/>
                <w:szCs w:val="20"/>
              </w:rPr>
              <w:t>525</w:t>
            </w:r>
          </w:p>
        </w:tc>
      </w:tr>
      <w:tr w14:paraId="643B95A0" w14:textId="77777777" w:rsidTr="00942407">
        <w:tblPrEx>
          <w:tblW w:w="9180" w:type="dxa"/>
          <w:tblInd w:w="715" w:type="dxa"/>
          <w:tblLayout w:type="fixed"/>
          <w:tblLook w:val="04A0"/>
        </w:tblPrEx>
        <w:tc>
          <w:tcPr>
            <w:tcW w:w="990" w:type="dxa"/>
            <w:shd w:val="clear" w:color="auto" w:fill="auto"/>
          </w:tcPr>
          <w:p w:rsidR="00195CD7" w:rsidP="009D6229" w14:paraId="0311039E" w14:textId="172C05B0">
            <w:pPr>
              <w:keepNext/>
              <w:keepLines/>
              <w:numPr>
                <w:ilvl w:val="12"/>
                <w:numId w:val="0"/>
              </w:numPr>
              <w:jc w:val="center"/>
              <w:rPr>
                <w:rFonts w:ascii="Arial Narrow" w:hAnsi="Arial Narrow"/>
                <w:sz w:val="20"/>
                <w:szCs w:val="20"/>
              </w:rPr>
            </w:pPr>
            <w:r>
              <w:rPr>
                <w:rFonts w:ascii="Arial Narrow" w:hAnsi="Arial Narrow"/>
                <w:sz w:val="20"/>
                <w:szCs w:val="20"/>
              </w:rPr>
              <w:t>IRC 25C</w:t>
            </w:r>
          </w:p>
        </w:tc>
        <w:tc>
          <w:tcPr>
            <w:tcW w:w="1260" w:type="dxa"/>
          </w:tcPr>
          <w:p w:rsidR="00195CD7" w:rsidP="009D6229" w14:paraId="3EC480B7" w14:textId="10CB2FC6">
            <w:pPr>
              <w:keepNext/>
              <w:keepLines/>
              <w:numPr>
                <w:ilvl w:val="12"/>
                <w:numId w:val="0"/>
              </w:numPr>
              <w:jc w:val="center"/>
              <w:rPr>
                <w:rFonts w:ascii="Arial Narrow" w:hAnsi="Arial Narrow"/>
                <w:sz w:val="20"/>
                <w:szCs w:val="20"/>
              </w:rPr>
            </w:pPr>
            <w:r>
              <w:rPr>
                <w:rFonts w:ascii="Arial Narrow" w:hAnsi="Arial Narrow"/>
                <w:sz w:val="20"/>
                <w:szCs w:val="20"/>
              </w:rPr>
              <w:t>PIN Labelling</w:t>
            </w:r>
          </w:p>
        </w:tc>
        <w:tc>
          <w:tcPr>
            <w:tcW w:w="1800" w:type="dxa"/>
          </w:tcPr>
          <w:p w:rsidR="00195CD7" w:rsidP="009D6229" w14:paraId="138ACECB" w14:textId="799315F7">
            <w:pPr>
              <w:keepNext/>
              <w:keepLines/>
              <w:numPr>
                <w:ilvl w:val="12"/>
                <w:numId w:val="0"/>
              </w:numPr>
              <w:jc w:val="center"/>
              <w:rPr>
                <w:rFonts w:ascii="Arial Narrow" w:hAnsi="Arial Narrow"/>
                <w:sz w:val="20"/>
                <w:szCs w:val="20"/>
              </w:rPr>
            </w:pPr>
            <w:r>
              <w:rPr>
                <w:rFonts w:ascii="Arial Narrow" w:hAnsi="Arial Narrow"/>
                <w:sz w:val="20"/>
                <w:szCs w:val="20"/>
              </w:rPr>
              <w:t>2</w:t>
            </w:r>
            <w:r w:rsidR="0044751A">
              <w:rPr>
                <w:rFonts w:ascii="Arial Narrow" w:hAnsi="Arial Narrow"/>
                <w:sz w:val="20"/>
                <w:szCs w:val="20"/>
              </w:rPr>
              <w:t>,</w:t>
            </w:r>
            <w:r>
              <w:rPr>
                <w:rFonts w:ascii="Arial Narrow" w:hAnsi="Arial Narrow"/>
                <w:sz w:val="20"/>
                <w:szCs w:val="20"/>
              </w:rPr>
              <w:t>100</w:t>
            </w:r>
          </w:p>
        </w:tc>
        <w:tc>
          <w:tcPr>
            <w:tcW w:w="1170" w:type="dxa"/>
          </w:tcPr>
          <w:p w:rsidR="00195CD7" w:rsidP="009D6229" w14:paraId="4F2BF1D9" w14:textId="0D7D4F0E">
            <w:pPr>
              <w:keepNext/>
              <w:keepLines/>
              <w:numPr>
                <w:ilvl w:val="12"/>
                <w:numId w:val="0"/>
              </w:numPr>
              <w:jc w:val="center"/>
              <w:rPr>
                <w:rFonts w:ascii="Arial Narrow" w:hAnsi="Arial Narrow"/>
                <w:sz w:val="20"/>
                <w:szCs w:val="20"/>
              </w:rPr>
            </w:pPr>
            <w:r>
              <w:rPr>
                <w:rFonts w:ascii="Arial Narrow" w:hAnsi="Arial Narrow"/>
                <w:sz w:val="20"/>
                <w:szCs w:val="20"/>
              </w:rPr>
              <w:t xml:space="preserve">varies* </w:t>
            </w:r>
          </w:p>
        </w:tc>
        <w:tc>
          <w:tcPr>
            <w:tcW w:w="1567" w:type="dxa"/>
          </w:tcPr>
          <w:p w:rsidR="00195CD7" w:rsidP="009D6229" w14:paraId="63EA0332" w14:textId="02C04470">
            <w:pPr>
              <w:keepNext/>
              <w:keepLines/>
              <w:numPr>
                <w:ilvl w:val="12"/>
                <w:numId w:val="0"/>
              </w:numPr>
              <w:jc w:val="center"/>
              <w:rPr>
                <w:rFonts w:ascii="Arial Narrow" w:hAnsi="Arial Narrow"/>
                <w:sz w:val="20"/>
                <w:szCs w:val="20"/>
              </w:rPr>
            </w:pPr>
            <w:r>
              <w:rPr>
                <w:rFonts w:ascii="Arial Narrow" w:hAnsi="Arial Narrow"/>
                <w:sz w:val="20"/>
                <w:szCs w:val="20"/>
              </w:rPr>
              <w:t>4,200,000</w:t>
            </w:r>
          </w:p>
        </w:tc>
        <w:tc>
          <w:tcPr>
            <w:tcW w:w="1080" w:type="dxa"/>
          </w:tcPr>
          <w:p w:rsidR="00195CD7" w:rsidP="009D6229" w14:paraId="23898E8D" w14:textId="56883FF2">
            <w:pPr>
              <w:keepNext/>
              <w:keepLines/>
              <w:numPr>
                <w:ilvl w:val="12"/>
                <w:numId w:val="0"/>
              </w:numPr>
              <w:jc w:val="center"/>
              <w:rPr>
                <w:rFonts w:ascii="Arial Narrow" w:hAnsi="Arial Narrow"/>
                <w:sz w:val="20"/>
                <w:szCs w:val="20"/>
              </w:rPr>
            </w:pPr>
            <w:r>
              <w:rPr>
                <w:rFonts w:ascii="Arial Narrow" w:hAnsi="Arial Narrow"/>
                <w:sz w:val="20"/>
                <w:szCs w:val="20"/>
              </w:rPr>
              <w:t>0.25</w:t>
            </w:r>
          </w:p>
        </w:tc>
        <w:tc>
          <w:tcPr>
            <w:tcW w:w="1313" w:type="dxa"/>
            <w:shd w:val="clear" w:color="auto" w:fill="auto"/>
          </w:tcPr>
          <w:p w:rsidR="00195CD7" w:rsidP="00960958" w14:paraId="6F2E7496" w14:textId="59386223">
            <w:pPr>
              <w:keepNext/>
              <w:keepLines/>
              <w:numPr>
                <w:ilvl w:val="12"/>
                <w:numId w:val="0"/>
              </w:numPr>
              <w:jc w:val="center"/>
              <w:rPr>
                <w:rFonts w:ascii="Arial Narrow" w:hAnsi="Arial Narrow"/>
                <w:sz w:val="20"/>
                <w:szCs w:val="20"/>
              </w:rPr>
            </w:pPr>
            <w:r>
              <w:rPr>
                <w:rFonts w:ascii="Arial Narrow" w:hAnsi="Arial Narrow"/>
                <w:sz w:val="20"/>
                <w:szCs w:val="20"/>
              </w:rPr>
              <w:t>1,050,000</w:t>
            </w:r>
          </w:p>
        </w:tc>
      </w:tr>
      <w:tr w14:paraId="28F3A3DC" w14:textId="77777777" w:rsidTr="00942407">
        <w:tblPrEx>
          <w:tblW w:w="9180" w:type="dxa"/>
          <w:tblInd w:w="715" w:type="dxa"/>
          <w:tblLayout w:type="fixed"/>
          <w:tblLook w:val="04A0"/>
        </w:tblPrEx>
        <w:tc>
          <w:tcPr>
            <w:tcW w:w="990" w:type="dxa"/>
            <w:shd w:val="clear" w:color="auto" w:fill="auto"/>
          </w:tcPr>
          <w:p w:rsidR="00A315C8" w:rsidP="009D6229" w14:paraId="6C9E6FFB" w14:textId="33AB935C">
            <w:pPr>
              <w:keepNext/>
              <w:keepLines/>
              <w:numPr>
                <w:ilvl w:val="12"/>
                <w:numId w:val="0"/>
              </w:numPr>
              <w:jc w:val="center"/>
              <w:rPr>
                <w:rFonts w:ascii="Arial Narrow" w:hAnsi="Arial Narrow"/>
                <w:sz w:val="20"/>
                <w:szCs w:val="20"/>
              </w:rPr>
            </w:pPr>
            <w:r>
              <w:rPr>
                <w:rFonts w:ascii="Arial Narrow" w:hAnsi="Arial Narrow"/>
                <w:sz w:val="20"/>
                <w:szCs w:val="20"/>
              </w:rPr>
              <w:t>IRC 25C</w:t>
            </w:r>
          </w:p>
        </w:tc>
        <w:tc>
          <w:tcPr>
            <w:tcW w:w="1260" w:type="dxa"/>
          </w:tcPr>
          <w:p w:rsidR="00A315C8" w:rsidP="009D6229" w14:paraId="153AE992" w14:textId="5CA543E2">
            <w:pPr>
              <w:keepNext/>
              <w:keepLines/>
              <w:numPr>
                <w:ilvl w:val="12"/>
                <w:numId w:val="0"/>
              </w:numPr>
              <w:jc w:val="center"/>
              <w:rPr>
                <w:rFonts w:ascii="Arial Narrow" w:hAnsi="Arial Narrow"/>
                <w:sz w:val="20"/>
                <w:szCs w:val="20"/>
              </w:rPr>
            </w:pPr>
            <w:r>
              <w:rPr>
                <w:rFonts w:ascii="Arial Narrow" w:hAnsi="Arial Narrow"/>
                <w:sz w:val="20"/>
                <w:szCs w:val="20"/>
              </w:rPr>
              <w:t>Appeal</w:t>
            </w:r>
            <w:r w:rsidR="00672A7B">
              <w:rPr>
                <w:rFonts w:ascii="Arial Narrow" w:hAnsi="Arial Narrow"/>
                <w:sz w:val="20"/>
                <w:szCs w:val="20"/>
              </w:rPr>
              <w:t>s</w:t>
            </w:r>
          </w:p>
        </w:tc>
        <w:tc>
          <w:tcPr>
            <w:tcW w:w="1800" w:type="dxa"/>
          </w:tcPr>
          <w:p w:rsidR="00A315C8" w:rsidP="009D6229" w14:paraId="101F4369" w14:textId="3F4A6E33">
            <w:pPr>
              <w:keepNext/>
              <w:keepLines/>
              <w:numPr>
                <w:ilvl w:val="12"/>
                <w:numId w:val="0"/>
              </w:numPr>
              <w:jc w:val="center"/>
              <w:rPr>
                <w:rFonts w:ascii="Arial Narrow" w:hAnsi="Arial Narrow"/>
                <w:sz w:val="20"/>
                <w:szCs w:val="20"/>
              </w:rPr>
            </w:pPr>
            <w:r>
              <w:rPr>
                <w:rFonts w:ascii="Arial Narrow" w:hAnsi="Arial Narrow"/>
                <w:sz w:val="20"/>
                <w:szCs w:val="20"/>
              </w:rPr>
              <w:t>21</w:t>
            </w:r>
          </w:p>
        </w:tc>
        <w:tc>
          <w:tcPr>
            <w:tcW w:w="1170" w:type="dxa"/>
          </w:tcPr>
          <w:p w:rsidR="00A315C8" w:rsidP="009D6229" w14:paraId="1A69BD8E" w14:textId="10D19E14">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567" w:type="dxa"/>
          </w:tcPr>
          <w:p w:rsidR="00A315C8" w:rsidP="009D6229" w14:paraId="6599C314" w14:textId="089D04D9">
            <w:pPr>
              <w:keepNext/>
              <w:keepLines/>
              <w:numPr>
                <w:ilvl w:val="12"/>
                <w:numId w:val="0"/>
              </w:numPr>
              <w:jc w:val="center"/>
              <w:rPr>
                <w:rFonts w:ascii="Arial Narrow" w:hAnsi="Arial Narrow"/>
                <w:sz w:val="20"/>
                <w:szCs w:val="20"/>
              </w:rPr>
            </w:pPr>
            <w:r>
              <w:rPr>
                <w:rFonts w:ascii="Arial Narrow" w:hAnsi="Arial Narrow"/>
                <w:sz w:val="20"/>
                <w:szCs w:val="20"/>
              </w:rPr>
              <w:t>21</w:t>
            </w:r>
          </w:p>
        </w:tc>
        <w:tc>
          <w:tcPr>
            <w:tcW w:w="1080" w:type="dxa"/>
          </w:tcPr>
          <w:p w:rsidR="00A315C8" w:rsidP="009D6229" w14:paraId="56DDD5F1" w14:textId="20D07663">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313" w:type="dxa"/>
            <w:shd w:val="clear" w:color="auto" w:fill="auto"/>
          </w:tcPr>
          <w:p w:rsidR="00A315C8" w:rsidP="00960958" w14:paraId="17656C2C" w14:textId="6E77A77D">
            <w:pPr>
              <w:keepNext/>
              <w:keepLines/>
              <w:numPr>
                <w:ilvl w:val="12"/>
                <w:numId w:val="0"/>
              </w:numPr>
              <w:jc w:val="center"/>
              <w:rPr>
                <w:rFonts w:ascii="Arial Narrow" w:hAnsi="Arial Narrow"/>
                <w:sz w:val="20"/>
                <w:szCs w:val="20"/>
              </w:rPr>
            </w:pPr>
            <w:r>
              <w:rPr>
                <w:rFonts w:ascii="Arial Narrow" w:hAnsi="Arial Narrow"/>
                <w:sz w:val="20"/>
                <w:szCs w:val="20"/>
              </w:rPr>
              <w:t>21</w:t>
            </w:r>
          </w:p>
        </w:tc>
      </w:tr>
      <w:tr w14:paraId="375CD69E" w14:textId="77777777" w:rsidTr="00942407">
        <w:tblPrEx>
          <w:tblW w:w="9180" w:type="dxa"/>
          <w:tblInd w:w="715" w:type="dxa"/>
          <w:tblLayout w:type="fixed"/>
          <w:tblLook w:val="04A0"/>
        </w:tblPrEx>
        <w:tc>
          <w:tcPr>
            <w:tcW w:w="990" w:type="dxa"/>
            <w:shd w:val="clear" w:color="auto" w:fill="auto"/>
          </w:tcPr>
          <w:p w:rsidR="001816EC" w:rsidRPr="001222FC" w:rsidP="009D6229" w14:paraId="5A18BE74" w14:textId="77777777">
            <w:pPr>
              <w:keepNext/>
              <w:keepLines/>
              <w:numPr>
                <w:ilvl w:val="12"/>
                <w:numId w:val="0"/>
              </w:numPr>
              <w:jc w:val="center"/>
              <w:rPr>
                <w:rFonts w:ascii="Arial Narrow" w:hAnsi="Arial Narrow"/>
                <w:b/>
                <w:bCs/>
                <w:sz w:val="20"/>
                <w:szCs w:val="20"/>
              </w:rPr>
            </w:pPr>
            <w:r w:rsidRPr="001222FC">
              <w:rPr>
                <w:rFonts w:ascii="Arial Narrow" w:hAnsi="Arial Narrow"/>
                <w:b/>
                <w:bCs/>
                <w:sz w:val="20"/>
                <w:szCs w:val="20"/>
              </w:rPr>
              <w:t>Totals</w:t>
            </w:r>
          </w:p>
        </w:tc>
        <w:tc>
          <w:tcPr>
            <w:tcW w:w="1260" w:type="dxa"/>
          </w:tcPr>
          <w:p w:rsidR="001816EC" w:rsidRPr="001222FC" w:rsidP="009D6229" w14:paraId="024F414F" w14:textId="77777777">
            <w:pPr>
              <w:keepNext/>
              <w:keepLines/>
              <w:numPr>
                <w:ilvl w:val="12"/>
                <w:numId w:val="0"/>
              </w:numPr>
              <w:jc w:val="center"/>
              <w:rPr>
                <w:rFonts w:ascii="Arial Narrow" w:hAnsi="Arial Narrow"/>
                <w:b/>
                <w:bCs/>
                <w:sz w:val="20"/>
                <w:szCs w:val="20"/>
              </w:rPr>
            </w:pPr>
          </w:p>
        </w:tc>
        <w:tc>
          <w:tcPr>
            <w:tcW w:w="1800" w:type="dxa"/>
          </w:tcPr>
          <w:p w:rsidR="001816EC" w:rsidRPr="001222FC" w:rsidP="009D6229" w14:paraId="35892D05" w14:textId="6F8490E2">
            <w:pPr>
              <w:keepNext/>
              <w:keepLines/>
              <w:numPr>
                <w:ilvl w:val="12"/>
                <w:numId w:val="0"/>
              </w:numPr>
              <w:jc w:val="center"/>
              <w:rPr>
                <w:rFonts w:ascii="Arial Narrow" w:hAnsi="Arial Narrow"/>
                <w:b/>
                <w:bCs/>
                <w:sz w:val="20"/>
                <w:szCs w:val="20"/>
              </w:rPr>
            </w:pPr>
            <w:r>
              <w:rPr>
                <w:rFonts w:ascii="Arial Narrow" w:hAnsi="Arial Narrow"/>
                <w:b/>
                <w:bCs/>
                <w:sz w:val="20"/>
                <w:szCs w:val="20"/>
              </w:rPr>
              <w:t>2100</w:t>
            </w:r>
          </w:p>
        </w:tc>
        <w:tc>
          <w:tcPr>
            <w:tcW w:w="1170" w:type="dxa"/>
          </w:tcPr>
          <w:p w:rsidR="001816EC" w:rsidRPr="001222FC" w:rsidP="009D6229" w14:paraId="6A90F0EF" w14:textId="4EF7B7F6">
            <w:pPr>
              <w:keepNext/>
              <w:keepLines/>
              <w:numPr>
                <w:ilvl w:val="12"/>
                <w:numId w:val="0"/>
              </w:numPr>
              <w:jc w:val="center"/>
              <w:rPr>
                <w:rFonts w:ascii="Arial Narrow" w:hAnsi="Arial Narrow"/>
                <w:b/>
                <w:bCs/>
                <w:sz w:val="20"/>
                <w:szCs w:val="20"/>
              </w:rPr>
            </w:pPr>
          </w:p>
        </w:tc>
        <w:tc>
          <w:tcPr>
            <w:tcW w:w="1567" w:type="dxa"/>
          </w:tcPr>
          <w:p w:rsidR="001816EC" w:rsidP="009D6229" w14:paraId="1B170605" w14:textId="286CB20F">
            <w:pPr>
              <w:keepNext/>
              <w:keepLines/>
              <w:numPr>
                <w:ilvl w:val="12"/>
                <w:numId w:val="0"/>
              </w:numPr>
              <w:jc w:val="center"/>
              <w:rPr>
                <w:rFonts w:ascii="Arial Narrow" w:hAnsi="Arial Narrow"/>
                <w:b/>
                <w:bCs/>
                <w:sz w:val="20"/>
                <w:szCs w:val="20"/>
              </w:rPr>
            </w:pPr>
            <w:r>
              <w:rPr>
                <w:rFonts w:ascii="Arial Narrow" w:hAnsi="Arial Narrow"/>
                <w:b/>
                <w:bCs/>
                <w:sz w:val="20"/>
                <w:szCs w:val="20"/>
              </w:rPr>
              <w:t>4,204,221</w:t>
            </w:r>
          </w:p>
        </w:tc>
        <w:tc>
          <w:tcPr>
            <w:tcW w:w="1080" w:type="dxa"/>
          </w:tcPr>
          <w:p w:rsidR="001816EC" w:rsidRPr="001222FC" w:rsidP="009D6229" w14:paraId="73400F97" w14:textId="10593F52">
            <w:pPr>
              <w:keepNext/>
              <w:keepLines/>
              <w:numPr>
                <w:ilvl w:val="12"/>
                <w:numId w:val="0"/>
              </w:numPr>
              <w:jc w:val="center"/>
              <w:rPr>
                <w:rFonts w:ascii="Arial Narrow" w:hAnsi="Arial Narrow"/>
                <w:b/>
                <w:bCs/>
                <w:sz w:val="20"/>
                <w:szCs w:val="20"/>
              </w:rPr>
            </w:pPr>
          </w:p>
        </w:tc>
        <w:tc>
          <w:tcPr>
            <w:tcW w:w="1313" w:type="dxa"/>
            <w:shd w:val="clear" w:color="auto" w:fill="auto"/>
          </w:tcPr>
          <w:p w:rsidR="001816EC" w:rsidP="009D6229" w14:paraId="6386E291" w14:textId="75FE721E">
            <w:pPr>
              <w:keepNext/>
              <w:keepLines/>
              <w:numPr>
                <w:ilvl w:val="12"/>
                <w:numId w:val="0"/>
              </w:numPr>
              <w:jc w:val="center"/>
              <w:rPr>
                <w:rFonts w:ascii="Arial Narrow" w:hAnsi="Arial Narrow"/>
                <w:b/>
                <w:bCs/>
                <w:sz w:val="20"/>
                <w:szCs w:val="20"/>
              </w:rPr>
            </w:pPr>
            <w:r>
              <w:rPr>
                <w:rFonts w:ascii="Arial Narrow" w:hAnsi="Arial Narrow"/>
                <w:b/>
                <w:bCs/>
                <w:sz w:val="20"/>
                <w:szCs w:val="20"/>
              </w:rPr>
              <w:t>1,054,746</w:t>
            </w:r>
          </w:p>
          <w:p w:rsidR="001816EC" w:rsidRPr="001222FC" w:rsidP="009D6229" w14:paraId="7BA300A6" w14:textId="55D460C1">
            <w:pPr>
              <w:keepNext/>
              <w:keepLines/>
              <w:numPr>
                <w:ilvl w:val="12"/>
                <w:numId w:val="0"/>
              </w:numPr>
              <w:jc w:val="center"/>
              <w:rPr>
                <w:rFonts w:ascii="Arial Narrow" w:hAnsi="Arial Narrow"/>
                <w:b/>
                <w:bCs/>
                <w:sz w:val="20"/>
                <w:szCs w:val="20"/>
              </w:rPr>
            </w:pPr>
          </w:p>
        </w:tc>
      </w:tr>
    </w:tbl>
    <w:bookmarkEnd w:id="7"/>
    <w:p w:rsidR="00104532" w:rsidRPr="00DE38BD" w:rsidP="00AA0A37" w14:paraId="6282E65E" w14:textId="638EBD5D">
      <w:pPr>
        <w:ind w:left="720"/>
        <w:rPr>
          <w:rFonts w:asciiTheme="minorHAnsi" w:hAnsiTheme="minorHAnsi" w:cs="Calibri"/>
          <w:bCs/>
          <w:i/>
          <w:iCs/>
          <w:sz w:val="20"/>
          <w:szCs w:val="20"/>
        </w:rPr>
      </w:pPr>
      <w:r w:rsidRPr="00DE38BD">
        <w:rPr>
          <w:rFonts w:asciiTheme="minorHAnsi" w:hAnsiTheme="minorHAnsi" w:cs="Calibri"/>
          <w:bCs/>
          <w:i/>
          <w:iCs/>
          <w:sz w:val="20"/>
          <w:szCs w:val="20"/>
        </w:rPr>
        <w:t>*varies based on manufacturer</w:t>
      </w:r>
      <w:r w:rsidR="00E84A59">
        <w:rPr>
          <w:rFonts w:asciiTheme="minorHAnsi" w:hAnsiTheme="minorHAnsi" w:cs="Calibri"/>
          <w:bCs/>
          <w:i/>
          <w:iCs/>
          <w:sz w:val="20"/>
          <w:szCs w:val="20"/>
        </w:rPr>
        <w:t>:</w:t>
      </w:r>
      <w:r w:rsidRPr="00DE38BD">
        <w:rPr>
          <w:rFonts w:asciiTheme="minorHAnsi" w:hAnsiTheme="minorHAnsi" w:cs="Calibri"/>
          <w:bCs/>
          <w:i/>
          <w:iCs/>
          <w:sz w:val="20"/>
          <w:szCs w:val="20"/>
        </w:rPr>
        <w:t xml:space="preserve"> IRS anticipates that 1 manufacturer may have multiple products that qualify for the 25C credit.  For calculation purposes, IRS is estimating that 1 manufacturer could have 2,000 products that qualify. </w:t>
      </w:r>
    </w:p>
    <w:p w:rsidR="00807458" w:rsidP="00AA0A37" w14:paraId="14933F7C" w14:textId="77777777">
      <w:pPr>
        <w:ind w:left="720"/>
        <w:rPr>
          <w:rFonts w:asciiTheme="minorHAnsi" w:hAnsiTheme="minorHAnsi" w:cs="Calibri"/>
          <w:bCs/>
          <w:sz w:val="22"/>
          <w:szCs w:val="22"/>
        </w:rPr>
      </w:pPr>
    </w:p>
    <w:p w:rsidR="00CC0426" w:rsidRPr="00FC1DFE" w:rsidP="004578D8" w14:paraId="4C6D2EEB" w14:textId="5CA22E4C">
      <w:pPr>
        <w:pStyle w:val="Level1"/>
        <w:numPr>
          <w:ilvl w:val="0"/>
          <w:numId w:val="1"/>
        </w:numPr>
        <w:tabs>
          <w:tab w:val="left" w:pos="-1440"/>
          <w:tab w:val="num" w:pos="720"/>
        </w:tabs>
        <w:ind w:left="720" w:hanging="720"/>
        <w:rPr>
          <w:rFonts w:asciiTheme="minorHAnsi" w:hAnsiTheme="minorHAnsi"/>
          <w:sz w:val="22"/>
          <w:szCs w:val="22"/>
          <w:u w:val="single"/>
        </w:rPr>
      </w:pPr>
      <w:r w:rsidRPr="00FC1DFE">
        <w:rPr>
          <w:rFonts w:asciiTheme="minorHAnsi" w:hAnsiTheme="minorHAnsi"/>
          <w:sz w:val="22"/>
          <w:szCs w:val="22"/>
          <w:u w:val="single"/>
        </w:rPr>
        <w:t>ESTIMATED TOTAL ANNUAL COST BURDEN TO RESPONDENTS</w:t>
      </w:r>
    </w:p>
    <w:p w:rsidR="00CC0426" w:rsidRPr="00FC1DFE" w:rsidP="00FC1DFE" w14:paraId="13ADCE08" w14:textId="77777777">
      <w:pPr>
        <w:ind w:left="720"/>
        <w:rPr>
          <w:rFonts w:asciiTheme="minorHAnsi" w:hAnsiTheme="minorHAnsi" w:cs="Calibri"/>
          <w:bCs/>
          <w:sz w:val="22"/>
          <w:szCs w:val="22"/>
        </w:rPr>
      </w:pPr>
    </w:p>
    <w:p w:rsidR="00CC0426" w:rsidRPr="00FC1DFE" w:rsidP="00FC1DFE" w14:paraId="0DC5C886" w14:textId="115E69F8">
      <w:pPr>
        <w:ind w:left="720"/>
        <w:rPr>
          <w:rFonts w:asciiTheme="minorHAnsi" w:hAnsiTheme="minorHAnsi" w:cs="Calibri"/>
          <w:bCs/>
          <w:sz w:val="22"/>
          <w:szCs w:val="22"/>
        </w:rPr>
      </w:pPr>
      <w:r w:rsidRPr="00FC1DFE">
        <w:rPr>
          <w:rFonts w:asciiTheme="minorHAnsi" w:hAnsiTheme="minorHAnsi" w:cs="Calibri"/>
          <w:bCs/>
          <w:sz w:val="22"/>
          <w:szCs w:val="22"/>
        </w:rPr>
        <w:t>There are no start-up or maintenance costs for this collection. The collection does not require respondents to obtain specialized equipment or professional services.</w:t>
      </w:r>
    </w:p>
    <w:p w:rsidR="00CC0426" w:rsidRPr="00FC1DFE" w:rsidP="00FC1DFE" w14:paraId="77AA7852" w14:textId="77777777">
      <w:pPr>
        <w:ind w:left="720"/>
        <w:rPr>
          <w:rFonts w:asciiTheme="minorHAnsi" w:hAnsiTheme="minorHAnsi" w:cs="Calibri"/>
          <w:bCs/>
          <w:sz w:val="22"/>
          <w:szCs w:val="22"/>
        </w:rPr>
      </w:pPr>
    </w:p>
    <w:p w:rsidR="00CC0426" w:rsidRPr="00FC1DFE" w:rsidP="00FC1DFE" w14:paraId="61D6D21B" w14:textId="78668B95">
      <w:pPr>
        <w:pStyle w:val="Level1"/>
        <w:numPr>
          <w:ilvl w:val="0"/>
          <w:numId w:val="1"/>
        </w:numPr>
        <w:tabs>
          <w:tab w:val="left" w:pos="-1440"/>
          <w:tab w:val="num" w:pos="720"/>
        </w:tabs>
        <w:ind w:left="720" w:hanging="720"/>
        <w:rPr>
          <w:rFonts w:asciiTheme="minorHAnsi" w:hAnsiTheme="minorHAnsi"/>
          <w:sz w:val="22"/>
          <w:szCs w:val="22"/>
          <w:u w:val="single"/>
        </w:rPr>
      </w:pPr>
      <w:r w:rsidRPr="00FC1DFE">
        <w:rPr>
          <w:rFonts w:asciiTheme="minorHAnsi" w:hAnsiTheme="minorHAnsi"/>
          <w:sz w:val="22"/>
          <w:szCs w:val="22"/>
          <w:u w:val="single"/>
        </w:rPr>
        <w:t>ESTIMATED ANNUALIZED COST TO THE FEDERAL GOVERNMENT</w:t>
      </w:r>
    </w:p>
    <w:p w:rsidR="00CC0426" w:rsidRPr="00B13DB7" w:rsidP="00B13DB7" w14:paraId="09473A71" w14:textId="77777777">
      <w:pPr>
        <w:ind w:left="720"/>
        <w:rPr>
          <w:rFonts w:asciiTheme="minorHAnsi" w:hAnsiTheme="minorHAnsi" w:cs="Calibri"/>
          <w:bCs/>
          <w:sz w:val="22"/>
          <w:szCs w:val="22"/>
        </w:rPr>
      </w:pPr>
    </w:p>
    <w:p w:rsidR="00B13DB7" w:rsidRPr="00B13DB7" w:rsidP="00B13DB7" w14:paraId="35802CC2" w14:textId="2471991B">
      <w:pPr>
        <w:ind w:left="720"/>
        <w:rPr>
          <w:rFonts w:asciiTheme="minorHAnsi" w:hAnsiTheme="minorHAnsi" w:cs="Calibri"/>
          <w:bCs/>
          <w:sz w:val="22"/>
          <w:szCs w:val="22"/>
        </w:rPr>
      </w:pPr>
      <w:r>
        <w:rPr>
          <w:rFonts w:asciiTheme="minorHAnsi" w:hAnsiTheme="minorHAnsi" w:cstheme="minorHAnsi"/>
          <w:sz w:val="22"/>
          <w:szCs w:val="22"/>
        </w:rPr>
        <w:t xml:space="preserve">There is no cost to the government for the third-party disclosure requirements. </w:t>
      </w:r>
    </w:p>
    <w:p w:rsidR="00B13DB7" w:rsidRPr="00B13DB7" w:rsidP="00B13DB7" w14:paraId="2359477B" w14:textId="77777777">
      <w:pPr>
        <w:ind w:left="720"/>
        <w:rPr>
          <w:rFonts w:asciiTheme="minorHAnsi" w:hAnsiTheme="minorHAnsi" w:cs="Calibri"/>
          <w:bCs/>
          <w:sz w:val="22"/>
          <w:szCs w:val="22"/>
        </w:rPr>
      </w:pPr>
    </w:p>
    <w:p w:rsidR="00CC0426" w:rsidRPr="005D61F5" w:rsidP="005D61F5" w14:paraId="7E7D40E3" w14:textId="7EBC49FD">
      <w:pPr>
        <w:pStyle w:val="Level1"/>
        <w:numPr>
          <w:ilvl w:val="0"/>
          <w:numId w:val="1"/>
        </w:numPr>
        <w:tabs>
          <w:tab w:val="left" w:pos="-1440"/>
          <w:tab w:val="num" w:pos="720"/>
        </w:tabs>
        <w:ind w:left="720" w:hanging="720"/>
        <w:rPr>
          <w:rFonts w:asciiTheme="minorHAnsi" w:hAnsiTheme="minorHAnsi"/>
          <w:sz w:val="22"/>
          <w:szCs w:val="22"/>
          <w:u w:val="single"/>
        </w:rPr>
      </w:pPr>
      <w:r w:rsidRPr="005D61F5">
        <w:rPr>
          <w:rFonts w:asciiTheme="minorHAnsi" w:hAnsiTheme="minorHAnsi"/>
          <w:sz w:val="22"/>
          <w:szCs w:val="22"/>
          <w:u w:val="single"/>
        </w:rPr>
        <w:t>REASONS FOR CHANGE IN BURDEN</w:t>
      </w:r>
    </w:p>
    <w:p w:rsidR="00CC0426" w:rsidP="00CC0426" w14:paraId="262F36BB" w14:textId="3AE14384">
      <w:pPr>
        <w:tabs>
          <w:tab w:val="num" w:pos="540"/>
        </w:tabs>
        <w:ind w:left="540" w:hanging="540"/>
        <w:rPr>
          <w:rFonts w:asciiTheme="minorHAnsi" w:hAnsiTheme="minorHAnsi" w:cstheme="minorHAnsi"/>
          <w:sz w:val="22"/>
          <w:szCs w:val="22"/>
        </w:rPr>
      </w:pPr>
    </w:p>
    <w:p w:rsidR="005D61F5" w:rsidRPr="005D61F5" w:rsidP="002F0559" w14:paraId="6EE7EB01" w14:textId="6F8548EE">
      <w:pPr>
        <w:ind w:left="720"/>
        <w:rPr>
          <w:rFonts w:asciiTheme="minorHAnsi" w:hAnsiTheme="minorHAnsi" w:cs="Calibri"/>
          <w:bCs/>
          <w:sz w:val="22"/>
          <w:szCs w:val="22"/>
        </w:rPr>
      </w:pPr>
      <w:r>
        <w:rPr>
          <w:rFonts w:asciiTheme="minorHAnsi" w:eastAsiaTheme="minorHAnsi" w:hAnsiTheme="minorHAnsi" w:cstheme="minorHAnsi"/>
          <w:color w:val="000000"/>
          <w:sz w:val="22"/>
          <w:szCs w:val="22"/>
        </w:rPr>
        <w:t xml:space="preserve">There are no changes in burden. </w:t>
      </w:r>
      <w:r w:rsidR="004E6AE1">
        <w:rPr>
          <w:rFonts w:asciiTheme="minorHAnsi" w:eastAsiaTheme="minorHAnsi" w:hAnsiTheme="minorHAnsi" w:cstheme="minorHAnsi"/>
          <w:color w:val="000000"/>
          <w:sz w:val="22"/>
          <w:szCs w:val="22"/>
        </w:rPr>
        <w:t xml:space="preserve"> This is a new collection requirement. </w:t>
      </w:r>
    </w:p>
    <w:p w:rsidR="00CC0426" w:rsidRPr="002E2C0B" w:rsidP="00CC0426" w14:paraId="3AFA4693" w14:textId="77777777">
      <w:pPr>
        <w:widowControl/>
        <w:tabs>
          <w:tab w:val="left" w:pos="540"/>
        </w:tabs>
        <w:spacing w:line="242" w:lineRule="auto"/>
        <w:rPr>
          <w:rFonts w:asciiTheme="minorHAnsi" w:hAnsiTheme="minorHAnsi" w:cstheme="minorHAnsi"/>
          <w:sz w:val="22"/>
          <w:szCs w:val="22"/>
        </w:rPr>
      </w:pPr>
    </w:p>
    <w:p w:rsidR="00CC0426" w:rsidRPr="002E2C0B" w:rsidP="002E2C0B" w14:paraId="2E723A43" w14:textId="261545A1">
      <w:pPr>
        <w:pStyle w:val="Level1"/>
        <w:numPr>
          <w:ilvl w:val="0"/>
          <w:numId w:val="1"/>
        </w:numPr>
        <w:tabs>
          <w:tab w:val="left" w:pos="-1440"/>
          <w:tab w:val="num" w:pos="720"/>
        </w:tabs>
        <w:ind w:left="720" w:hanging="720"/>
        <w:rPr>
          <w:rFonts w:asciiTheme="minorHAnsi" w:hAnsiTheme="minorHAnsi"/>
          <w:sz w:val="22"/>
          <w:szCs w:val="22"/>
          <w:u w:val="single"/>
        </w:rPr>
      </w:pPr>
      <w:r w:rsidRPr="002E2C0B">
        <w:rPr>
          <w:rFonts w:asciiTheme="minorHAnsi" w:hAnsiTheme="minorHAnsi"/>
          <w:sz w:val="22"/>
          <w:szCs w:val="22"/>
          <w:u w:val="single"/>
        </w:rPr>
        <w:t>PLANS FOR TABULATION, STATISTICAL ANALYSIS AND PUBLICATION</w:t>
      </w:r>
    </w:p>
    <w:p w:rsidR="00CC0426" w:rsidRPr="002E2C0B" w:rsidP="002E2C0B" w14:paraId="6F31F367" w14:textId="77777777">
      <w:pPr>
        <w:ind w:left="720"/>
        <w:rPr>
          <w:rFonts w:asciiTheme="minorHAnsi" w:hAnsiTheme="minorHAnsi" w:cs="Calibri"/>
          <w:bCs/>
          <w:sz w:val="22"/>
          <w:szCs w:val="22"/>
        </w:rPr>
      </w:pPr>
    </w:p>
    <w:p w:rsidR="00CC0426" w:rsidRPr="002E2C0B" w:rsidP="002E2C0B" w14:paraId="6A53B92A" w14:textId="650AA9F4">
      <w:pPr>
        <w:ind w:left="720"/>
        <w:rPr>
          <w:rFonts w:asciiTheme="minorHAnsi" w:hAnsiTheme="minorHAnsi" w:cs="Calibri"/>
          <w:bCs/>
          <w:sz w:val="22"/>
          <w:szCs w:val="22"/>
        </w:rPr>
      </w:pPr>
      <w:r w:rsidRPr="002E2C0B">
        <w:rPr>
          <w:rFonts w:asciiTheme="minorHAnsi" w:hAnsiTheme="minorHAnsi" w:cs="Calibri"/>
          <w:bCs/>
          <w:sz w:val="22"/>
          <w:szCs w:val="22"/>
        </w:rPr>
        <w:t>There are no plans for tabulation, statistical analysis, and publication.</w:t>
      </w:r>
    </w:p>
    <w:p w:rsidR="00CC0426" w:rsidRPr="002E2C0B" w:rsidP="002E2C0B" w14:paraId="28F37F1D" w14:textId="77777777">
      <w:pPr>
        <w:ind w:left="720"/>
        <w:rPr>
          <w:rFonts w:asciiTheme="minorHAnsi" w:hAnsiTheme="minorHAnsi" w:cs="Calibri"/>
          <w:bCs/>
          <w:sz w:val="22"/>
          <w:szCs w:val="22"/>
        </w:rPr>
      </w:pPr>
    </w:p>
    <w:p w:rsidR="00CC0426" w:rsidRPr="002E2C0B" w:rsidP="002E2C0B" w14:paraId="206042DF" w14:textId="213BDAD4">
      <w:pPr>
        <w:pStyle w:val="Level1"/>
        <w:numPr>
          <w:ilvl w:val="0"/>
          <w:numId w:val="1"/>
        </w:numPr>
        <w:tabs>
          <w:tab w:val="left" w:pos="-1440"/>
          <w:tab w:val="num" w:pos="720"/>
        </w:tabs>
        <w:ind w:left="720" w:hanging="720"/>
        <w:rPr>
          <w:rFonts w:asciiTheme="minorHAnsi" w:hAnsiTheme="minorHAnsi"/>
          <w:sz w:val="22"/>
          <w:szCs w:val="22"/>
          <w:u w:val="single"/>
        </w:rPr>
      </w:pPr>
      <w:r w:rsidRPr="002E2C0B">
        <w:rPr>
          <w:rFonts w:asciiTheme="minorHAnsi" w:hAnsiTheme="minorHAnsi"/>
          <w:sz w:val="22"/>
          <w:szCs w:val="22"/>
          <w:u w:val="single"/>
        </w:rPr>
        <w:t>REASONS WHY DISPLAYING THE OMB EXPIRATION DATE IS INAPPROPRIATE</w:t>
      </w:r>
    </w:p>
    <w:p w:rsidR="00CC0426" w:rsidRPr="002E2C0B" w:rsidP="00CC0426" w14:paraId="27F2157E" w14:textId="77777777">
      <w:pPr>
        <w:tabs>
          <w:tab w:val="num" w:pos="540"/>
        </w:tabs>
        <w:ind w:left="540" w:hanging="540"/>
        <w:rPr>
          <w:rFonts w:asciiTheme="minorHAnsi" w:hAnsiTheme="minorHAnsi" w:cstheme="minorHAnsi"/>
          <w:sz w:val="22"/>
          <w:szCs w:val="22"/>
        </w:rPr>
      </w:pPr>
    </w:p>
    <w:p w:rsidR="00CC0426" w:rsidRPr="00D376EE" w:rsidP="00D376EE" w14:paraId="0D2F4A42" w14:textId="170CB79E">
      <w:pPr>
        <w:ind w:left="720"/>
        <w:rPr>
          <w:rFonts w:asciiTheme="minorHAnsi" w:hAnsiTheme="minorHAnsi" w:cs="Calibri"/>
          <w:bCs/>
          <w:sz w:val="22"/>
          <w:szCs w:val="22"/>
        </w:rPr>
      </w:pPr>
      <w:bookmarkStart w:id="8" w:name="_Hlk91075794"/>
      <w:r w:rsidRPr="004E6AE1">
        <w:rPr>
          <w:rFonts w:asciiTheme="minorHAnsi" w:hAnsiTheme="minorHAnsi" w:cs="Calibri"/>
          <w:bCs/>
          <w:sz w:val="22"/>
          <w:szCs w:val="22"/>
        </w:rPr>
        <w:t>The IRS believes that displaying the OMB expiration date is inappropriate because it could cause confusion by leading taxpayers to believe that the collection expires as of the expiration date. Taxpayers are not likely to be aware that the IRS intends to request renewal of the OMB approval and obtain a new expiration date before the old one expires.</w:t>
      </w:r>
      <w:bookmarkEnd w:id="8"/>
    </w:p>
    <w:p w:rsidR="00CC0426" w:rsidRPr="00D376EE" w:rsidP="00D376EE" w14:paraId="6A408464" w14:textId="77777777">
      <w:pPr>
        <w:ind w:left="720"/>
        <w:rPr>
          <w:rFonts w:asciiTheme="minorHAnsi" w:hAnsiTheme="minorHAnsi" w:cs="Calibri"/>
          <w:bCs/>
          <w:sz w:val="22"/>
          <w:szCs w:val="22"/>
        </w:rPr>
      </w:pPr>
    </w:p>
    <w:p w:rsidR="00CC0426" w:rsidRPr="002E2C0B" w:rsidP="002E2C0B" w14:paraId="4823D5EE" w14:textId="5555A3EC">
      <w:pPr>
        <w:pStyle w:val="Level1"/>
        <w:numPr>
          <w:ilvl w:val="0"/>
          <w:numId w:val="1"/>
        </w:numPr>
        <w:tabs>
          <w:tab w:val="left" w:pos="-1440"/>
          <w:tab w:val="num" w:pos="720"/>
        </w:tabs>
        <w:ind w:left="720" w:hanging="720"/>
        <w:rPr>
          <w:rFonts w:asciiTheme="minorHAnsi" w:hAnsiTheme="minorHAnsi"/>
          <w:sz w:val="22"/>
          <w:szCs w:val="22"/>
          <w:u w:val="single"/>
        </w:rPr>
      </w:pPr>
      <w:r w:rsidRPr="002E2C0B">
        <w:rPr>
          <w:rFonts w:asciiTheme="minorHAnsi" w:hAnsiTheme="minorHAnsi"/>
          <w:sz w:val="22"/>
          <w:szCs w:val="22"/>
          <w:u w:val="single"/>
        </w:rPr>
        <w:t>EXCEPTIONS TO THE CERTIFICATION STATEMENT</w:t>
      </w:r>
    </w:p>
    <w:p w:rsidR="00CC0426" w:rsidRPr="00D376EE" w:rsidP="00D376EE" w14:paraId="21D2F0FE" w14:textId="77777777">
      <w:pPr>
        <w:ind w:left="720"/>
        <w:rPr>
          <w:rFonts w:asciiTheme="minorHAnsi" w:hAnsiTheme="minorHAnsi" w:cs="Calibri"/>
          <w:bCs/>
          <w:sz w:val="22"/>
          <w:szCs w:val="22"/>
        </w:rPr>
      </w:pPr>
    </w:p>
    <w:p w:rsidR="00D376EE" w:rsidRPr="00D376EE" w:rsidP="00D376EE" w14:paraId="42014F2F" w14:textId="2183AEB0">
      <w:pPr>
        <w:ind w:left="720"/>
        <w:rPr>
          <w:rFonts w:asciiTheme="minorHAnsi" w:hAnsiTheme="minorHAnsi" w:cs="Calibri"/>
          <w:bCs/>
          <w:sz w:val="22"/>
          <w:szCs w:val="22"/>
        </w:rPr>
      </w:pPr>
      <w:bookmarkStart w:id="9" w:name="_Hlk95714878"/>
      <w:r w:rsidRPr="00D376EE">
        <w:rPr>
          <w:rFonts w:asciiTheme="minorHAnsi" w:hAnsiTheme="minorHAnsi" w:cs="Calibri"/>
          <w:bCs/>
          <w:sz w:val="22"/>
          <w:szCs w:val="22"/>
        </w:rPr>
        <w:t>There are no exceptions to the certification statement.</w:t>
      </w:r>
    </w:p>
    <w:p w:rsidR="00D376EE" w:rsidRPr="00D376EE" w:rsidP="00D376EE" w14:paraId="4747A793" w14:textId="77777777">
      <w:pPr>
        <w:ind w:left="720"/>
        <w:rPr>
          <w:rFonts w:asciiTheme="minorHAnsi" w:hAnsiTheme="minorHAnsi" w:cs="Calibri"/>
          <w:bCs/>
          <w:sz w:val="22"/>
          <w:szCs w:val="22"/>
        </w:rPr>
      </w:pPr>
    </w:p>
    <w:bookmarkEnd w:id="9"/>
    <w:p w:rsidR="0090062A" w:rsidRPr="002E2C0B" w14:paraId="144144B3" w14:textId="77777777">
      <w:pPr>
        <w:rPr>
          <w:rFonts w:asciiTheme="minorHAnsi" w:hAnsiTheme="minorHAnsi" w:cstheme="minorHAnsi"/>
          <w:sz w:val="22"/>
          <w:szCs w:val="22"/>
        </w:rPr>
      </w:pPr>
    </w:p>
    <w:sectPr w:rsidSect="00D376EE">
      <w:headerReference w:type="default" r:id="rId8"/>
      <w:footerReference w:type="default" r:id="rId9"/>
      <w:pgSz w:w="12240" w:h="15840"/>
      <w:pgMar w:top="1350" w:right="135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77F1" w:rsidRPr="0015572D" w14:paraId="516014DC" w14:textId="51A6139D">
    <w:pPr>
      <w:pStyle w:val="Footer"/>
      <w:jc w:val="right"/>
      <w:rPr>
        <w:rFonts w:ascii="Times New Roman" w:hAnsi="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524670"/>
      <w:docPartObj>
        <w:docPartGallery w:val="Page Numbers (Top of Page)"/>
        <w:docPartUnique/>
      </w:docPartObj>
    </w:sdtPr>
    <w:sdtEndPr>
      <w:rPr>
        <w:noProof/>
      </w:rPr>
    </w:sdtEndPr>
    <w:sdtContent>
      <w:p w:rsidR="00D376EE" w14:paraId="1ADAE2A3" w14:textId="7C28921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D376EE" w14:paraId="0785B3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2">
    <w:nsid w:val="60974A4F"/>
    <w:multiLevelType w:val="hybridMultilevel"/>
    <w:tmpl w:val="F484345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143015229">
    <w:abstractNumId w:val="0"/>
  </w:num>
  <w:num w:numId="2" w16cid:durableId="115804395">
    <w:abstractNumId w:val="2"/>
  </w:num>
  <w:num w:numId="3" w16cid:durableId="90202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26"/>
    <w:rsid w:val="00014F11"/>
    <w:rsid w:val="00040FC8"/>
    <w:rsid w:val="00042B7D"/>
    <w:rsid w:val="00062C51"/>
    <w:rsid w:val="00093D00"/>
    <w:rsid w:val="00093EFC"/>
    <w:rsid w:val="000D1844"/>
    <w:rsid w:val="000D78B8"/>
    <w:rsid w:val="00100C2A"/>
    <w:rsid w:val="00104532"/>
    <w:rsid w:val="00104571"/>
    <w:rsid w:val="00112986"/>
    <w:rsid w:val="001222FC"/>
    <w:rsid w:val="00147A4C"/>
    <w:rsid w:val="0015572D"/>
    <w:rsid w:val="00172257"/>
    <w:rsid w:val="001816EC"/>
    <w:rsid w:val="00182533"/>
    <w:rsid w:val="00195CD7"/>
    <w:rsid w:val="001A44C6"/>
    <w:rsid w:val="001B03B8"/>
    <w:rsid w:val="001B2329"/>
    <w:rsid w:val="001C61B7"/>
    <w:rsid w:val="001D3B7F"/>
    <w:rsid w:val="001F6A78"/>
    <w:rsid w:val="002041A6"/>
    <w:rsid w:val="00211988"/>
    <w:rsid w:val="00214CE2"/>
    <w:rsid w:val="00216D45"/>
    <w:rsid w:val="00224CDF"/>
    <w:rsid w:val="00231075"/>
    <w:rsid w:val="00270353"/>
    <w:rsid w:val="00287A66"/>
    <w:rsid w:val="002E2C0B"/>
    <w:rsid w:val="002E55FB"/>
    <w:rsid w:val="002F0559"/>
    <w:rsid w:val="002F1FAA"/>
    <w:rsid w:val="00312806"/>
    <w:rsid w:val="00337817"/>
    <w:rsid w:val="003B2DC0"/>
    <w:rsid w:val="003C2CE9"/>
    <w:rsid w:val="003E38D7"/>
    <w:rsid w:val="003E6F6C"/>
    <w:rsid w:val="00400904"/>
    <w:rsid w:val="004218E3"/>
    <w:rsid w:val="004363A3"/>
    <w:rsid w:val="004431F7"/>
    <w:rsid w:val="0044751A"/>
    <w:rsid w:val="0045625A"/>
    <w:rsid w:val="004578D8"/>
    <w:rsid w:val="00473FED"/>
    <w:rsid w:val="0049332E"/>
    <w:rsid w:val="00493FB2"/>
    <w:rsid w:val="00497253"/>
    <w:rsid w:val="004D05EB"/>
    <w:rsid w:val="004E6AE1"/>
    <w:rsid w:val="00537F03"/>
    <w:rsid w:val="00554DC1"/>
    <w:rsid w:val="00554EBE"/>
    <w:rsid w:val="005730AD"/>
    <w:rsid w:val="00581984"/>
    <w:rsid w:val="00581FE0"/>
    <w:rsid w:val="0058673C"/>
    <w:rsid w:val="005B183E"/>
    <w:rsid w:val="005D61F5"/>
    <w:rsid w:val="005E1E59"/>
    <w:rsid w:val="005F131A"/>
    <w:rsid w:val="005F40B6"/>
    <w:rsid w:val="006055F1"/>
    <w:rsid w:val="00644A77"/>
    <w:rsid w:val="00650789"/>
    <w:rsid w:val="0065308A"/>
    <w:rsid w:val="00672A7B"/>
    <w:rsid w:val="00677D2B"/>
    <w:rsid w:val="0068235B"/>
    <w:rsid w:val="00685DB6"/>
    <w:rsid w:val="00694106"/>
    <w:rsid w:val="006B12D0"/>
    <w:rsid w:val="006B3467"/>
    <w:rsid w:val="006D0F0B"/>
    <w:rsid w:val="006E0B09"/>
    <w:rsid w:val="007228A8"/>
    <w:rsid w:val="0073685A"/>
    <w:rsid w:val="00745AC1"/>
    <w:rsid w:val="007505C4"/>
    <w:rsid w:val="00751871"/>
    <w:rsid w:val="0076217B"/>
    <w:rsid w:val="00765B12"/>
    <w:rsid w:val="00766369"/>
    <w:rsid w:val="00767A40"/>
    <w:rsid w:val="00783E0D"/>
    <w:rsid w:val="007A04F5"/>
    <w:rsid w:val="007A099C"/>
    <w:rsid w:val="007A2A66"/>
    <w:rsid w:val="007A3315"/>
    <w:rsid w:val="007C73F2"/>
    <w:rsid w:val="007E0D9D"/>
    <w:rsid w:val="007E0EB5"/>
    <w:rsid w:val="00807458"/>
    <w:rsid w:val="0084479B"/>
    <w:rsid w:val="00846E5E"/>
    <w:rsid w:val="008C2373"/>
    <w:rsid w:val="008C6EE9"/>
    <w:rsid w:val="008D6F14"/>
    <w:rsid w:val="008F77F1"/>
    <w:rsid w:val="0090062A"/>
    <w:rsid w:val="009075FB"/>
    <w:rsid w:val="00942407"/>
    <w:rsid w:val="00946786"/>
    <w:rsid w:val="00950973"/>
    <w:rsid w:val="00960958"/>
    <w:rsid w:val="009A51D1"/>
    <w:rsid w:val="009B3BDB"/>
    <w:rsid w:val="009D47DA"/>
    <w:rsid w:val="009D6229"/>
    <w:rsid w:val="009E1706"/>
    <w:rsid w:val="00A13B4F"/>
    <w:rsid w:val="00A315C8"/>
    <w:rsid w:val="00A37443"/>
    <w:rsid w:val="00A37710"/>
    <w:rsid w:val="00A52C48"/>
    <w:rsid w:val="00A60D28"/>
    <w:rsid w:val="00A665A7"/>
    <w:rsid w:val="00A91F6B"/>
    <w:rsid w:val="00AA0A37"/>
    <w:rsid w:val="00AB28C4"/>
    <w:rsid w:val="00AB7E2F"/>
    <w:rsid w:val="00AC0F71"/>
    <w:rsid w:val="00AC5273"/>
    <w:rsid w:val="00AD3637"/>
    <w:rsid w:val="00AF1F98"/>
    <w:rsid w:val="00B02FDF"/>
    <w:rsid w:val="00B10682"/>
    <w:rsid w:val="00B10693"/>
    <w:rsid w:val="00B11124"/>
    <w:rsid w:val="00B12A8C"/>
    <w:rsid w:val="00B13DB7"/>
    <w:rsid w:val="00B509DC"/>
    <w:rsid w:val="00B667F1"/>
    <w:rsid w:val="00B76018"/>
    <w:rsid w:val="00B92BFD"/>
    <w:rsid w:val="00BA3298"/>
    <w:rsid w:val="00BA5ABF"/>
    <w:rsid w:val="00BB08F0"/>
    <w:rsid w:val="00BD2300"/>
    <w:rsid w:val="00BE3B6F"/>
    <w:rsid w:val="00BF025C"/>
    <w:rsid w:val="00BF10D6"/>
    <w:rsid w:val="00C05AB1"/>
    <w:rsid w:val="00C2206F"/>
    <w:rsid w:val="00C36F14"/>
    <w:rsid w:val="00C41112"/>
    <w:rsid w:val="00C76E17"/>
    <w:rsid w:val="00C9319B"/>
    <w:rsid w:val="00C95B3A"/>
    <w:rsid w:val="00CA0617"/>
    <w:rsid w:val="00CC0426"/>
    <w:rsid w:val="00CC68C5"/>
    <w:rsid w:val="00D0169F"/>
    <w:rsid w:val="00D124D1"/>
    <w:rsid w:val="00D2444B"/>
    <w:rsid w:val="00D317A3"/>
    <w:rsid w:val="00D338B2"/>
    <w:rsid w:val="00D3721B"/>
    <w:rsid w:val="00D376EE"/>
    <w:rsid w:val="00D62521"/>
    <w:rsid w:val="00D84993"/>
    <w:rsid w:val="00D905A6"/>
    <w:rsid w:val="00DB266B"/>
    <w:rsid w:val="00DE38BD"/>
    <w:rsid w:val="00DF20EE"/>
    <w:rsid w:val="00DF3ABE"/>
    <w:rsid w:val="00E26F86"/>
    <w:rsid w:val="00E323DB"/>
    <w:rsid w:val="00E36D69"/>
    <w:rsid w:val="00E51066"/>
    <w:rsid w:val="00E67122"/>
    <w:rsid w:val="00E703E5"/>
    <w:rsid w:val="00E84A59"/>
    <w:rsid w:val="00EA6967"/>
    <w:rsid w:val="00EB49F8"/>
    <w:rsid w:val="00ED3542"/>
    <w:rsid w:val="00F019D6"/>
    <w:rsid w:val="00F33C32"/>
    <w:rsid w:val="00F63B0F"/>
    <w:rsid w:val="00F751B3"/>
    <w:rsid w:val="00FA3EBE"/>
    <w:rsid w:val="00FB06EF"/>
    <w:rsid w:val="00FB07E1"/>
    <w:rsid w:val="00FC1DFE"/>
    <w:rsid w:val="00FC1EB1"/>
    <w:rsid w:val="00FD1D9D"/>
    <w:rsid w:val="00FD5CEA"/>
    <w:rsid w:val="00FD6A43"/>
    <w:rsid w:val="00FF330D"/>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B0B5EEE"/>
  <w15:chartTrackingRefBased/>
  <w15:docId w15:val="{CC88E746-30D7-45D2-AC0D-D1FCCAEF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0426"/>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C0426"/>
    <w:pPr>
      <w:outlineLvl w:val="0"/>
    </w:pPr>
  </w:style>
  <w:style w:type="character" w:styleId="Hyperlink">
    <w:name w:val="Hyperlink"/>
    <w:rsid w:val="00CC0426"/>
    <w:rPr>
      <w:color w:val="0000FF"/>
      <w:u w:val="single"/>
    </w:rPr>
  </w:style>
  <w:style w:type="paragraph" w:styleId="Footer">
    <w:name w:val="footer"/>
    <w:basedOn w:val="Normal"/>
    <w:link w:val="FooterChar"/>
    <w:uiPriority w:val="99"/>
    <w:rsid w:val="00CC0426"/>
    <w:pPr>
      <w:tabs>
        <w:tab w:val="center" w:pos="4320"/>
        <w:tab w:val="right" w:pos="8640"/>
      </w:tabs>
    </w:pPr>
  </w:style>
  <w:style w:type="character" w:customStyle="1" w:styleId="FooterChar">
    <w:name w:val="Footer Char"/>
    <w:basedOn w:val="DefaultParagraphFont"/>
    <w:link w:val="Footer"/>
    <w:uiPriority w:val="99"/>
    <w:rsid w:val="00CC0426"/>
    <w:rPr>
      <w:rFonts w:ascii="Courier" w:eastAsia="Times New Roman" w:hAnsi="Courier" w:cs="Times New Roman"/>
      <w:sz w:val="24"/>
      <w:szCs w:val="24"/>
    </w:rPr>
  </w:style>
  <w:style w:type="character" w:styleId="CommentReference">
    <w:name w:val="annotation reference"/>
    <w:basedOn w:val="DefaultParagraphFont"/>
    <w:unhideWhenUsed/>
    <w:rsid w:val="00CC0426"/>
    <w:rPr>
      <w:sz w:val="16"/>
      <w:szCs w:val="16"/>
    </w:rPr>
  </w:style>
  <w:style w:type="paragraph" w:styleId="CommentText">
    <w:name w:val="annotation text"/>
    <w:basedOn w:val="Normal"/>
    <w:link w:val="CommentTextChar"/>
    <w:unhideWhenUsed/>
    <w:rsid w:val="00CC0426"/>
    <w:rPr>
      <w:sz w:val="20"/>
      <w:szCs w:val="20"/>
    </w:rPr>
  </w:style>
  <w:style w:type="character" w:customStyle="1" w:styleId="CommentTextChar">
    <w:name w:val="Comment Text Char"/>
    <w:basedOn w:val="DefaultParagraphFont"/>
    <w:link w:val="CommentText"/>
    <w:rsid w:val="00CC0426"/>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CC0426"/>
    <w:rPr>
      <w:b/>
      <w:bCs/>
    </w:rPr>
  </w:style>
  <w:style w:type="character" w:customStyle="1" w:styleId="CommentSubjectChar">
    <w:name w:val="Comment Subject Char"/>
    <w:basedOn w:val="CommentTextChar"/>
    <w:link w:val="CommentSubject"/>
    <w:uiPriority w:val="99"/>
    <w:semiHidden/>
    <w:rsid w:val="00CC0426"/>
    <w:rPr>
      <w:rFonts w:ascii="Courier" w:eastAsia="Times New Roman" w:hAnsi="Courier" w:cs="Times New Roman"/>
      <w:b/>
      <w:bCs/>
      <w:sz w:val="20"/>
      <w:szCs w:val="20"/>
    </w:rPr>
  </w:style>
  <w:style w:type="paragraph" w:styleId="ListParagraph">
    <w:name w:val="List Paragraph"/>
    <w:basedOn w:val="Normal"/>
    <w:uiPriority w:val="1"/>
    <w:qFormat/>
    <w:rsid w:val="005F40B6"/>
    <w:pPr>
      <w:ind w:left="720"/>
      <w:contextualSpacing/>
    </w:pPr>
  </w:style>
  <w:style w:type="paragraph" w:styleId="Revision">
    <w:name w:val="Revision"/>
    <w:hidden/>
    <w:uiPriority w:val="99"/>
    <w:semiHidden/>
    <w:rsid w:val="00EA6967"/>
    <w:pPr>
      <w:spacing w:after="0" w:line="240" w:lineRule="auto"/>
    </w:pPr>
    <w:rPr>
      <w:rFonts w:ascii="Courier" w:eastAsia="Times New Roman" w:hAnsi="Courier" w:cs="Times New Roman"/>
      <w:sz w:val="24"/>
      <w:szCs w:val="24"/>
    </w:rPr>
  </w:style>
  <w:style w:type="paragraph" w:styleId="Header">
    <w:name w:val="header"/>
    <w:basedOn w:val="Normal"/>
    <w:link w:val="HeaderChar"/>
    <w:uiPriority w:val="99"/>
    <w:unhideWhenUsed/>
    <w:rsid w:val="00D376EE"/>
    <w:pPr>
      <w:tabs>
        <w:tab w:val="center" w:pos="4680"/>
        <w:tab w:val="right" w:pos="9360"/>
      </w:tabs>
    </w:pPr>
  </w:style>
  <w:style w:type="character" w:customStyle="1" w:styleId="HeaderChar">
    <w:name w:val="Header Char"/>
    <w:basedOn w:val="DefaultParagraphFont"/>
    <w:link w:val="Header"/>
    <w:uiPriority w:val="99"/>
    <w:rsid w:val="00D376EE"/>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irs.gov/privacy-disclosure/privacy-impact-assessments-pia"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3DC34FA9F043438AB30B220C89565D" ma:contentTypeVersion="1" ma:contentTypeDescription="Create a new document." ma:contentTypeScope="" ma:versionID="27747c0d54dfc9e85e7598f3e897647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E417E-AEFA-43A1-AA07-3228E2C1030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5ED5832-1657-4281-BB90-F7812EC39C0F}">
  <ds:schemaRefs>
    <ds:schemaRef ds:uri="http://schemas.microsoft.com/sharepoint/v3/contenttype/forms"/>
  </ds:schemaRefs>
</ds:datastoreItem>
</file>

<file path=customXml/itemProps3.xml><?xml version="1.0" encoding="utf-8"?>
<ds:datastoreItem xmlns:ds="http://schemas.openxmlformats.org/officeDocument/2006/customXml" ds:itemID="{6D615555-DED2-47EE-8A7D-9D66C571E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Valdman Rika</dc:creator>
  <cp:lastModifiedBy>Stasko Molly J</cp:lastModifiedBy>
  <cp:revision>5</cp:revision>
  <dcterms:created xsi:type="dcterms:W3CDTF">2024-10-28T17:12:00Z</dcterms:created>
  <dcterms:modified xsi:type="dcterms:W3CDTF">2024-10-28T17:22:00Z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0x0101007F3DC34FA9F043438AB30B220C89565D</vt:lpwstr>
  </property>
</Properties>
</file>