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1C5A" w:rsidRPr="00B44C7E" w:rsidP="00BF7DAE" w14:paraId="188555A7" w14:textId="172BC657">
      <w:pPr>
        <w:jc w:val="center"/>
        <w:rPr>
          <w:rFonts w:ascii="Times New Roman" w:hAnsi="Times New Roman"/>
          <w:b/>
          <w:bCs/>
          <w:szCs w:val="24"/>
        </w:rPr>
      </w:pPr>
      <w:r>
        <w:rPr>
          <w:rFonts w:ascii="Times New Roman" w:hAnsi="Times New Roman"/>
          <w:b/>
          <w:bCs/>
          <w:szCs w:val="24"/>
        </w:rPr>
        <w:t xml:space="preserve"> </w:t>
      </w:r>
      <w:r w:rsidRPr="00B44C7E">
        <w:rPr>
          <w:rFonts w:ascii="Times New Roman" w:hAnsi="Times New Roman"/>
          <w:b/>
          <w:bCs/>
          <w:szCs w:val="24"/>
        </w:rPr>
        <w:t>Office of the Comptroller of the Currency</w:t>
      </w:r>
    </w:p>
    <w:p w:rsidR="00851C5A" w:rsidRPr="00B44C7E" w:rsidP="00BF7DAE" w14:paraId="4E3393BA" w14:textId="77777777">
      <w:pPr>
        <w:jc w:val="center"/>
        <w:rPr>
          <w:rFonts w:ascii="Times New Roman" w:hAnsi="Times New Roman"/>
          <w:b/>
          <w:bCs/>
          <w:szCs w:val="24"/>
        </w:rPr>
      </w:pPr>
      <w:r w:rsidRPr="00B44C7E">
        <w:rPr>
          <w:rFonts w:ascii="Times New Roman" w:hAnsi="Times New Roman"/>
          <w:b/>
          <w:bCs/>
          <w:szCs w:val="24"/>
        </w:rPr>
        <w:t>Supporting Statement</w:t>
      </w:r>
    </w:p>
    <w:p w:rsidR="00050D3B" w:rsidRPr="00050D3B" w:rsidP="00050D3B" w14:paraId="0F540722" w14:textId="77777777">
      <w:pPr>
        <w:jc w:val="center"/>
        <w:outlineLvl w:val="0"/>
        <w:rPr>
          <w:rFonts w:ascii="Times New Roman" w:hAnsi="Times New Roman"/>
          <w:b/>
          <w:szCs w:val="24"/>
        </w:rPr>
      </w:pPr>
      <w:bookmarkStart w:id="0" w:name="_Hlk160089957"/>
      <w:r w:rsidRPr="00050D3B">
        <w:rPr>
          <w:rFonts w:ascii="Times New Roman" w:hAnsi="Times New Roman"/>
          <w:b/>
          <w:szCs w:val="24"/>
        </w:rPr>
        <w:t xml:space="preserve">Reporting and Recordkeeping Requirements Associated with </w:t>
      </w:r>
    </w:p>
    <w:p w:rsidR="00050D3B" w:rsidRPr="00050D3B" w:rsidP="00050D3B" w14:paraId="25A25BC6" w14:textId="77777777">
      <w:pPr>
        <w:jc w:val="center"/>
        <w:outlineLvl w:val="0"/>
        <w:rPr>
          <w:rFonts w:ascii="Times New Roman" w:hAnsi="Times New Roman"/>
          <w:b/>
          <w:szCs w:val="24"/>
        </w:rPr>
      </w:pPr>
      <w:r w:rsidRPr="00050D3B">
        <w:rPr>
          <w:rFonts w:ascii="Times New Roman" w:hAnsi="Times New Roman"/>
          <w:b/>
          <w:szCs w:val="24"/>
        </w:rPr>
        <w:t>Liquidity Coverage Ratio: Liquidity Risk Measurement, Standards, and Monitoring</w:t>
      </w:r>
      <w:r w:rsidRPr="00050D3B">
        <w:rPr>
          <w:rFonts w:ascii="Times New Roman" w:hAnsi="Times New Roman"/>
          <w:b/>
          <w:bCs/>
          <w:szCs w:val="24"/>
        </w:rPr>
        <w:t xml:space="preserve"> </w:t>
      </w:r>
    </w:p>
    <w:p w:rsidR="00851C5A" w:rsidRPr="00050D3B" w:rsidP="00050D3B" w14:paraId="03602741" w14:textId="34726555">
      <w:pPr>
        <w:jc w:val="center"/>
        <w:outlineLvl w:val="0"/>
        <w:rPr>
          <w:rFonts w:ascii="Times New Roman" w:hAnsi="Times New Roman"/>
          <w:b/>
          <w:szCs w:val="24"/>
        </w:rPr>
      </w:pPr>
      <w:r>
        <w:rPr>
          <w:rFonts w:ascii="Times New Roman" w:hAnsi="Times New Roman"/>
          <w:b/>
          <w:szCs w:val="24"/>
        </w:rPr>
        <w:t xml:space="preserve"> </w:t>
      </w:r>
      <w:bookmarkEnd w:id="0"/>
      <w:r w:rsidRPr="00B44C7E" w:rsidR="008D0670">
        <w:rPr>
          <w:rFonts w:ascii="Times New Roman" w:hAnsi="Times New Roman"/>
          <w:b/>
          <w:bCs/>
          <w:szCs w:val="24"/>
        </w:rPr>
        <w:t>OMB Control No. 1557-</w:t>
      </w:r>
      <w:r w:rsidRPr="00B44C7E" w:rsidR="00114301">
        <w:rPr>
          <w:rFonts w:ascii="Times New Roman" w:hAnsi="Times New Roman"/>
          <w:b/>
          <w:bCs/>
          <w:szCs w:val="24"/>
        </w:rPr>
        <w:t>0323</w:t>
      </w:r>
    </w:p>
    <w:p w:rsidR="00851C5A" w:rsidRPr="00B44C7E" w:rsidP="00BF7DAE" w14:paraId="1ACE9160" w14:textId="77777777">
      <w:pPr>
        <w:jc w:val="center"/>
        <w:outlineLvl w:val="0"/>
        <w:rPr>
          <w:rFonts w:ascii="Times New Roman" w:hAnsi="Times New Roman"/>
          <w:b/>
          <w:bCs/>
          <w:szCs w:val="24"/>
        </w:rPr>
      </w:pPr>
    </w:p>
    <w:p w:rsidR="00811EF2" w:rsidRPr="00B44C7E" w:rsidP="00BF7DAE" w14:paraId="01ABE286" w14:textId="77777777">
      <w:pPr>
        <w:rPr>
          <w:rFonts w:ascii="Times New Roman" w:hAnsi="Times New Roman"/>
          <w:szCs w:val="24"/>
        </w:rPr>
      </w:pPr>
    </w:p>
    <w:p w:rsidR="005E2B1A" w:rsidRPr="00B44C7E" w:rsidP="00CC3CED" w14:paraId="6A3872F9" w14:textId="48BB593C">
      <w:pPr>
        <w:tabs>
          <w:tab w:val="left" w:pos="-1440"/>
        </w:tabs>
        <w:outlineLvl w:val="0"/>
        <w:rPr>
          <w:rFonts w:ascii="Times New Roman" w:hAnsi="Times New Roman"/>
          <w:szCs w:val="24"/>
        </w:rPr>
      </w:pPr>
      <w:r w:rsidRPr="00B44C7E">
        <w:rPr>
          <w:rFonts w:ascii="Times New Roman" w:hAnsi="Times New Roman"/>
          <w:b/>
          <w:szCs w:val="24"/>
        </w:rPr>
        <w:t>A. Justification.</w:t>
      </w:r>
      <w:r w:rsidRPr="00B44C7E" w:rsidR="004A32B0">
        <w:rPr>
          <w:rFonts w:ascii="Times New Roman" w:hAnsi="Times New Roman"/>
          <w:szCs w:val="24"/>
        </w:rPr>
        <w:t xml:space="preserve">       </w:t>
      </w:r>
    </w:p>
    <w:p w:rsidR="00811EF2" w:rsidRPr="00B44C7E" w:rsidP="00BF7DAE" w14:paraId="1D36C94F" w14:textId="507836D5">
      <w:pPr>
        <w:rPr>
          <w:rFonts w:ascii="Times New Roman" w:hAnsi="Times New Roman"/>
          <w:b/>
          <w:szCs w:val="24"/>
        </w:rPr>
      </w:pPr>
      <w:r w:rsidRPr="00B44C7E">
        <w:rPr>
          <w:rFonts w:ascii="Times New Roman" w:hAnsi="Times New Roman"/>
          <w:szCs w:val="24"/>
        </w:rPr>
        <w:tab/>
      </w:r>
    </w:p>
    <w:p w:rsidR="00811EF2" w:rsidRPr="00B44C7E" w:rsidP="00BF7DAE" w14:paraId="59D5AB6C" w14:textId="77777777">
      <w:pPr>
        <w:tabs>
          <w:tab w:val="left" w:pos="-1440"/>
        </w:tabs>
        <w:outlineLvl w:val="0"/>
        <w:rPr>
          <w:rFonts w:ascii="Times New Roman" w:hAnsi="Times New Roman"/>
          <w:b/>
          <w:i/>
          <w:szCs w:val="24"/>
        </w:rPr>
      </w:pPr>
      <w:r w:rsidRPr="00B44C7E">
        <w:rPr>
          <w:rFonts w:ascii="Times New Roman" w:hAnsi="Times New Roman"/>
          <w:b/>
          <w:i/>
          <w:szCs w:val="24"/>
        </w:rPr>
        <w:t>1. Circumstances that make the collection necessary:</w:t>
      </w:r>
    </w:p>
    <w:p w:rsidR="00115206" w:rsidP="00115206" w14:paraId="751E3243" w14:textId="77777777">
      <w:pPr>
        <w:rPr>
          <w:rFonts w:ascii="Times New Roman" w:hAnsi="Times New Roman"/>
          <w:b/>
          <w:szCs w:val="24"/>
        </w:rPr>
      </w:pPr>
    </w:p>
    <w:p w:rsidR="00A333B1" w:rsidP="00B7392F" w14:paraId="4E5F4967" w14:textId="46701C3D">
      <w:pPr>
        <w:ind w:firstLine="720"/>
        <w:rPr>
          <w:rFonts w:ascii="Times New Roman" w:hAnsi="Times New Roman"/>
          <w:szCs w:val="24"/>
        </w:rPr>
      </w:pPr>
      <w:bookmarkStart w:id="1" w:name="_Hlk160100299"/>
      <w:r w:rsidRPr="00B44C7E">
        <w:rPr>
          <w:rFonts w:ascii="Times New Roman" w:hAnsi="Times New Roman"/>
          <w:szCs w:val="24"/>
        </w:rPr>
        <w:t xml:space="preserve">The </w:t>
      </w:r>
      <w:r>
        <w:rPr>
          <w:rFonts w:ascii="Times New Roman" w:hAnsi="Times New Roman"/>
          <w:szCs w:val="24"/>
        </w:rPr>
        <w:t>Office of the Comptroller of the Currency (</w:t>
      </w:r>
      <w:r w:rsidRPr="00B44C7E">
        <w:rPr>
          <w:rFonts w:ascii="Times New Roman" w:hAnsi="Times New Roman"/>
          <w:szCs w:val="24"/>
        </w:rPr>
        <w:t>OCC</w:t>
      </w:r>
      <w:r>
        <w:rPr>
          <w:rFonts w:ascii="Times New Roman" w:hAnsi="Times New Roman"/>
          <w:szCs w:val="24"/>
        </w:rPr>
        <w:t>)</w:t>
      </w:r>
      <w:r w:rsidRPr="00B44C7E">
        <w:rPr>
          <w:rFonts w:ascii="Times New Roman" w:hAnsi="Times New Roman"/>
          <w:szCs w:val="24"/>
        </w:rPr>
        <w:t>, the Board</w:t>
      </w:r>
      <w:r>
        <w:rPr>
          <w:rFonts w:ascii="Times New Roman" w:hAnsi="Times New Roman"/>
          <w:szCs w:val="24"/>
        </w:rPr>
        <w:t xml:space="preserve"> of Governors of the Federal Reserve System (the Board)</w:t>
      </w:r>
      <w:r w:rsidRPr="00B44C7E">
        <w:rPr>
          <w:rFonts w:ascii="Times New Roman" w:hAnsi="Times New Roman"/>
          <w:szCs w:val="24"/>
        </w:rPr>
        <w:t xml:space="preserve">, and the </w:t>
      </w:r>
      <w:r>
        <w:rPr>
          <w:rFonts w:ascii="Times New Roman" w:hAnsi="Times New Roman"/>
          <w:szCs w:val="24"/>
        </w:rPr>
        <w:t>Federal Deposit Insurance Corporation (</w:t>
      </w:r>
      <w:r w:rsidRPr="00B44C7E">
        <w:rPr>
          <w:rFonts w:ascii="Times New Roman" w:hAnsi="Times New Roman"/>
          <w:szCs w:val="24"/>
        </w:rPr>
        <w:t>FDIC</w:t>
      </w:r>
      <w:r>
        <w:rPr>
          <w:rFonts w:ascii="Times New Roman" w:hAnsi="Times New Roman"/>
          <w:szCs w:val="24"/>
        </w:rPr>
        <w:t>)</w:t>
      </w:r>
      <w:r w:rsidRPr="00B44C7E">
        <w:rPr>
          <w:rFonts w:ascii="Times New Roman" w:hAnsi="Times New Roman"/>
          <w:szCs w:val="24"/>
        </w:rPr>
        <w:t xml:space="preserve"> </w:t>
      </w:r>
      <w:r>
        <w:rPr>
          <w:rFonts w:ascii="Times New Roman" w:hAnsi="Times New Roman"/>
          <w:szCs w:val="24"/>
        </w:rPr>
        <w:t>(collectively, the agencies)</w:t>
      </w:r>
      <w:bookmarkEnd w:id="1"/>
      <w:r>
        <w:rPr>
          <w:rFonts w:ascii="Times New Roman" w:hAnsi="Times New Roman"/>
          <w:szCs w:val="24"/>
        </w:rPr>
        <w:t xml:space="preserve"> propose to extend for three years</w:t>
      </w:r>
      <w:r w:rsidR="00B7392F">
        <w:rPr>
          <w:rFonts w:ascii="Times New Roman" w:hAnsi="Times New Roman"/>
          <w:szCs w:val="24"/>
        </w:rPr>
        <w:t>,</w:t>
      </w:r>
      <w:r>
        <w:rPr>
          <w:rFonts w:ascii="Times New Roman" w:hAnsi="Times New Roman"/>
          <w:szCs w:val="24"/>
        </w:rPr>
        <w:t xml:space="preserve"> with revision, the </w:t>
      </w:r>
      <w:r w:rsidR="00B7392F">
        <w:rPr>
          <w:rFonts w:ascii="Times New Roman" w:hAnsi="Times New Roman"/>
          <w:szCs w:val="24"/>
        </w:rPr>
        <w:t>“</w:t>
      </w:r>
      <w:r>
        <w:rPr>
          <w:rFonts w:ascii="Times New Roman" w:hAnsi="Times New Roman"/>
          <w:szCs w:val="24"/>
        </w:rPr>
        <w:t>Reporting and Recordkeeping Requirements Associated with Liquidity Coverage Ratio: Liquidity Risk Measurement, Standards, and Monitoring</w:t>
      </w:r>
      <w:r w:rsidR="00B7392F">
        <w:rPr>
          <w:rFonts w:ascii="Times New Roman" w:hAnsi="Times New Roman"/>
          <w:szCs w:val="24"/>
        </w:rPr>
        <w:t>”</w:t>
      </w:r>
      <w:r>
        <w:rPr>
          <w:rFonts w:ascii="Times New Roman" w:hAnsi="Times New Roman"/>
          <w:szCs w:val="24"/>
        </w:rPr>
        <w:t xml:space="preserve"> (OMB No. 1557-0323)</w:t>
      </w:r>
      <w:r w:rsidR="00DA162E">
        <w:rPr>
          <w:rFonts w:ascii="Times New Roman" w:hAnsi="Times New Roman"/>
          <w:szCs w:val="24"/>
        </w:rPr>
        <w:t xml:space="preserve"> information collection</w:t>
      </w:r>
      <w:r>
        <w:rPr>
          <w:rFonts w:ascii="Times New Roman" w:hAnsi="Times New Roman"/>
          <w:szCs w:val="24"/>
        </w:rPr>
        <w:t xml:space="preserve">.  </w:t>
      </w:r>
      <w:r w:rsidRPr="00B7392F" w:rsidR="00B7392F">
        <w:rPr>
          <w:rFonts w:ascii="Times New Roman" w:hAnsi="Times New Roman"/>
          <w:szCs w:val="24"/>
        </w:rPr>
        <w:t xml:space="preserve">The </w:t>
      </w:r>
      <w:r w:rsidR="00B7392F">
        <w:rPr>
          <w:rFonts w:ascii="Times New Roman" w:hAnsi="Times New Roman"/>
          <w:szCs w:val="24"/>
        </w:rPr>
        <w:t>agencies</w:t>
      </w:r>
      <w:r w:rsidRPr="00B7392F" w:rsidR="00B7392F">
        <w:rPr>
          <w:rFonts w:ascii="Times New Roman" w:hAnsi="Times New Roman"/>
          <w:szCs w:val="24"/>
        </w:rPr>
        <w:t xml:space="preserve"> implemented a quantitative liquidity requirement, known as the liquidity coverage ratio (LCR), and a stable funding requirement, known as the net stable funding ratio (NSFR), </w:t>
      </w:r>
      <w:r w:rsidR="00F817C9">
        <w:rPr>
          <w:rFonts w:ascii="Times New Roman" w:hAnsi="Times New Roman"/>
          <w:szCs w:val="24"/>
        </w:rPr>
        <w:t>that apply to</w:t>
      </w:r>
      <w:r w:rsidRPr="00B7392F" w:rsidR="00B7392F">
        <w:rPr>
          <w:rFonts w:ascii="Times New Roman" w:hAnsi="Times New Roman"/>
          <w:szCs w:val="24"/>
        </w:rPr>
        <w:t xml:space="preserve"> certain large banking organizations.  For the OCC, these standards are implemented through 12 CFR part 50, Liquidity Risk Measurement Standards.  The LCR is designed to promote the short-term resilience of the liquidity risk profile of covered banking organizations and promote improvements in the measurement and management of liquidity risk.  The NSFR is designed to reduce the likelihood that disruptions to a banking organization’s regular sources of funding will compromise its liquidity position, promote effective liquidity risk management, and support the ability of banking organizations to provide financial intermediation to businesses and households across a range of market conditions.</w:t>
      </w:r>
      <w:bookmarkStart w:id="2" w:name="_Hlk160100385"/>
    </w:p>
    <w:bookmarkEnd w:id="2"/>
    <w:p w:rsidR="00A333B1" w:rsidP="00115206" w14:paraId="60043C3D" w14:textId="77777777">
      <w:pPr>
        <w:rPr>
          <w:rFonts w:ascii="Times New Roman" w:hAnsi="Times New Roman"/>
          <w:szCs w:val="24"/>
        </w:rPr>
      </w:pPr>
    </w:p>
    <w:p w:rsidR="00A92DAF" w:rsidP="00115206" w14:paraId="5978445F" w14:textId="7B606EDD">
      <w:pPr>
        <w:rPr>
          <w:rFonts w:ascii="Times New Roman" w:hAnsi="Times New Roman"/>
          <w:szCs w:val="24"/>
        </w:rPr>
      </w:pPr>
      <w:bookmarkStart w:id="3" w:name="_Hlk160100453"/>
      <w:r w:rsidRPr="00B7392F">
        <w:rPr>
          <w:rFonts w:ascii="Times New Roman" w:hAnsi="Times New Roman"/>
          <w:szCs w:val="24"/>
        </w:rPr>
        <w:t xml:space="preserve">        Twelve CFR part 50 applies to large national banks and Federal savings associations. Banks that must comply with part 50 (covered banks) generally include GSIB depository institutions </w:t>
      </w:r>
      <w:r w:rsidRPr="00A64E13" w:rsidR="00A64E13">
        <w:rPr>
          <w:rFonts w:ascii="Times New Roman" w:hAnsi="Times New Roman"/>
          <w:szCs w:val="24"/>
        </w:rPr>
        <w:t xml:space="preserve"> (</w:t>
      </w:r>
      <w:r w:rsidRPr="00D70629" w:rsidR="00A64E13">
        <w:rPr>
          <w:rFonts w:ascii="Times New Roman" w:hAnsi="Times New Roman"/>
          <w:i/>
          <w:iCs/>
          <w:szCs w:val="24"/>
        </w:rPr>
        <w:t>i.e.</w:t>
      </w:r>
      <w:r w:rsidRPr="00A64E13" w:rsidR="00A64E13">
        <w:rPr>
          <w:rFonts w:ascii="Times New Roman" w:hAnsi="Times New Roman"/>
          <w:szCs w:val="24"/>
        </w:rPr>
        <w:t xml:space="preserve">, depository institutions of global systemically important bank holding companies) </w:t>
      </w:r>
      <w:r w:rsidRPr="00B7392F">
        <w:rPr>
          <w:rFonts w:ascii="Times New Roman" w:hAnsi="Times New Roman"/>
          <w:szCs w:val="24"/>
        </w:rPr>
        <w:t>supervised by the OCC; Category II national banks and Federal savings associations; Category III national banks and Federal savings associations; and any national bank or Federal savings association for which the OCC has determined that application of part 50 is appropriate in light of certain risk factors. The reporting and recordkeeping requirements contained in this collection are used to monitor covered banks’ compliance with the LCR and NSFR.</w:t>
      </w:r>
      <w:bookmarkEnd w:id="3"/>
    </w:p>
    <w:p w:rsidR="00930E7D" w:rsidRPr="00B44C7E" w:rsidP="00115206" w14:paraId="1D83FBE9" w14:textId="77777777">
      <w:pPr>
        <w:rPr>
          <w:rFonts w:ascii="Times New Roman" w:hAnsi="Times New Roman"/>
          <w:snapToGrid/>
          <w:szCs w:val="24"/>
        </w:rPr>
      </w:pPr>
    </w:p>
    <w:p w:rsidR="00E90579" w:rsidP="00115206" w14:paraId="15F1E92D" w14:textId="78565FD9">
      <w:pPr>
        <w:rPr>
          <w:rFonts w:ascii="Times New Roman" w:hAnsi="Times New Roman"/>
          <w:szCs w:val="24"/>
        </w:rPr>
      </w:pPr>
      <w:r>
        <w:rPr>
          <w:rFonts w:ascii="Times New Roman" w:hAnsi="Times New Roman"/>
          <w:szCs w:val="24"/>
        </w:rPr>
        <w:tab/>
      </w:r>
      <w:bookmarkStart w:id="4" w:name="_Hlk160100493"/>
      <w:r>
        <w:rPr>
          <w:rFonts w:ascii="Times New Roman" w:hAnsi="Times New Roman"/>
          <w:szCs w:val="24"/>
        </w:rPr>
        <w:t>T</w:t>
      </w:r>
      <w:r w:rsidR="00F51922">
        <w:rPr>
          <w:rFonts w:ascii="Times New Roman" w:hAnsi="Times New Roman"/>
          <w:szCs w:val="24"/>
        </w:rPr>
        <w:t xml:space="preserve">he OCC </w:t>
      </w:r>
      <w:r w:rsidR="00A333B1">
        <w:rPr>
          <w:rFonts w:ascii="Times New Roman" w:hAnsi="Times New Roman"/>
          <w:szCs w:val="24"/>
        </w:rPr>
        <w:t xml:space="preserve">is proposing </w:t>
      </w:r>
      <w:r w:rsidR="00F51922">
        <w:rPr>
          <w:rFonts w:ascii="Times New Roman" w:hAnsi="Times New Roman"/>
          <w:szCs w:val="24"/>
        </w:rPr>
        <w:t>revis</w:t>
      </w:r>
      <w:r w:rsidR="00A333B1">
        <w:rPr>
          <w:rFonts w:ascii="Times New Roman" w:hAnsi="Times New Roman"/>
          <w:szCs w:val="24"/>
        </w:rPr>
        <w:t>ions in conn</w:t>
      </w:r>
      <w:r w:rsidR="00F51922">
        <w:rPr>
          <w:rFonts w:ascii="Times New Roman" w:hAnsi="Times New Roman"/>
          <w:szCs w:val="24"/>
        </w:rPr>
        <w:t>e</w:t>
      </w:r>
      <w:r w:rsidR="00A333B1">
        <w:rPr>
          <w:rFonts w:ascii="Times New Roman" w:hAnsi="Times New Roman"/>
          <w:szCs w:val="24"/>
        </w:rPr>
        <w:t xml:space="preserve">ction with this extension </w:t>
      </w:r>
      <w:r w:rsidR="00DB5A90">
        <w:rPr>
          <w:rFonts w:ascii="Times New Roman" w:hAnsi="Times New Roman"/>
          <w:szCs w:val="24"/>
        </w:rPr>
        <w:t>to account for three recordkeeping requirements in part 50, contained in section</w:t>
      </w:r>
      <w:r w:rsidR="00DA162E">
        <w:rPr>
          <w:rFonts w:ascii="Times New Roman" w:hAnsi="Times New Roman"/>
          <w:szCs w:val="24"/>
        </w:rPr>
        <w:t>s</w:t>
      </w:r>
      <w:r w:rsidR="00F51922">
        <w:rPr>
          <w:rFonts w:ascii="Times New Roman" w:hAnsi="Times New Roman"/>
          <w:szCs w:val="24"/>
        </w:rPr>
        <w:t xml:space="preserve"> </w:t>
      </w:r>
      <w:r w:rsidR="009D1220">
        <w:rPr>
          <w:rFonts w:ascii="Times New Roman" w:hAnsi="Times New Roman"/>
          <w:szCs w:val="24"/>
        </w:rPr>
        <w:t>50.4(a)</w:t>
      </w:r>
      <w:r w:rsidR="00DA162E">
        <w:rPr>
          <w:rFonts w:ascii="Times New Roman" w:hAnsi="Times New Roman"/>
          <w:szCs w:val="24"/>
        </w:rPr>
        <w:t>,</w:t>
      </w:r>
      <w:r w:rsidR="009D1220">
        <w:rPr>
          <w:rFonts w:ascii="Times New Roman" w:hAnsi="Times New Roman"/>
          <w:szCs w:val="24"/>
        </w:rPr>
        <w:t xml:space="preserve"> 50.22(a)(1)</w:t>
      </w:r>
      <w:r w:rsidR="000D481A">
        <w:rPr>
          <w:rFonts w:ascii="Times New Roman" w:hAnsi="Times New Roman"/>
          <w:szCs w:val="24"/>
        </w:rPr>
        <w:t xml:space="preserve"> </w:t>
      </w:r>
      <w:r w:rsidR="009D1220">
        <w:rPr>
          <w:rFonts w:ascii="Times New Roman" w:hAnsi="Times New Roman"/>
          <w:szCs w:val="24"/>
        </w:rPr>
        <w:t xml:space="preserve">and (a)(4), </w:t>
      </w:r>
      <w:r w:rsidR="00B7392F">
        <w:rPr>
          <w:rFonts w:ascii="Times New Roman" w:hAnsi="Times New Roman"/>
          <w:szCs w:val="24"/>
        </w:rPr>
        <w:t xml:space="preserve">that </w:t>
      </w:r>
      <w:r w:rsidR="009D1220">
        <w:rPr>
          <w:rFonts w:ascii="Times New Roman" w:hAnsi="Times New Roman"/>
          <w:szCs w:val="24"/>
        </w:rPr>
        <w:t>had not been previously cleared by the OCC under the Paperwork Reduction Act (PRA).</w:t>
      </w:r>
    </w:p>
    <w:bookmarkEnd w:id="4"/>
    <w:p w:rsidR="009D1220" w:rsidRPr="00B44C7E" w:rsidP="00115206" w14:paraId="766ADD63" w14:textId="77777777">
      <w:pPr>
        <w:rPr>
          <w:rFonts w:ascii="Times New Roman" w:hAnsi="Times New Roman"/>
          <w:szCs w:val="24"/>
        </w:rPr>
      </w:pPr>
    </w:p>
    <w:p w:rsidR="00811EF2" w:rsidRPr="00B44C7E" w:rsidP="00BF7DAE" w14:paraId="7C8B2E46" w14:textId="77777777">
      <w:pPr>
        <w:tabs>
          <w:tab w:val="left" w:pos="-1440"/>
        </w:tabs>
        <w:outlineLvl w:val="0"/>
        <w:rPr>
          <w:rFonts w:ascii="Times New Roman" w:hAnsi="Times New Roman"/>
          <w:b/>
          <w:i/>
          <w:szCs w:val="24"/>
        </w:rPr>
      </w:pPr>
      <w:r w:rsidRPr="00B44C7E">
        <w:rPr>
          <w:rFonts w:ascii="Times New Roman" w:hAnsi="Times New Roman"/>
          <w:b/>
          <w:i/>
          <w:szCs w:val="24"/>
        </w:rPr>
        <w:t>2. Use of the information:</w:t>
      </w:r>
      <w:r w:rsidRPr="00B44C7E">
        <w:rPr>
          <w:rFonts w:ascii="Times New Roman" w:hAnsi="Times New Roman"/>
          <w:b/>
          <w:i/>
          <w:szCs w:val="24"/>
        </w:rPr>
        <w:tab/>
      </w:r>
      <w:r w:rsidRPr="00B44C7E">
        <w:rPr>
          <w:rFonts w:ascii="Times New Roman" w:hAnsi="Times New Roman"/>
          <w:b/>
          <w:i/>
          <w:szCs w:val="24"/>
        </w:rPr>
        <w:tab/>
      </w:r>
    </w:p>
    <w:p w:rsidR="00966745" w:rsidP="005F7CF0" w14:paraId="027B25D9" w14:textId="77777777">
      <w:pPr>
        <w:rPr>
          <w:rFonts w:ascii="Times New Roman" w:hAnsi="Times New Roman"/>
          <w:szCs w:val="24"/>
        </w:rPr>
      </w:pPr>
    </w:p>
    <w:p w:rsidR="00694098" w:rsidP="005F7CF0" w14:paraId="75F15886" w14:textId="54D80FBA">
      <w:pPr>
        <w:rPr>
          <w:rFonts w:ascii="Times New Roman" w:hAnsi="Times New Roman"/>
          <w:b/>
          <w:bCs/>
          <w:szCs w:val="24"/>
        </w:rPr>
      </w:pPr>
      <w:r>
        <w:rPr>
          <w:rFonts w:ascii="Times New Roman" w:hAnsi="Times New Roman"/>
          <w:b/>
          <w:bCs/>
          <w:szCs w:val="24"/>
        </w:rPr>
        <w:t>Section-by-Section Analysis</w:t>
      </w:r>
    </w:p>
    <w:p w:rsidR="00694098" w:rsidRPr="00694098" w:rsidP="005F7CF0" w14:paraId="54A49A5F" w14:textId="77777777">
      <w:pPr>
        <w:rPr>
          <w:rFonts w:ascii="Times New Roman" w:hAnsi="Times New Roman"/>
          <w:b/>
          <w:bCs/>
          <w:szCs w:val="24"/>
        </w:rPr>
      </w:pPr>
    </w:p>
    <w:p w:rsidR="00985C2D" w:rsidP="00D15527" w14:paraId="36833E9C" w14:textId="36D554BA">
      <w:pPr>
        <w:ind w:firstLine="720"/>
        <w:contextualSpacing/>
        <w:rPr>
          <w:rFonts w:ascii="Times New Roman" w:hAnsi="Times New Roman"/>
          <w:szCs w:val="24"/>
        </w:rPr>
      </w:pPr>
      <w:r w:rsidRPr="00B44C7E">
        <w:rPr>
          <w:rFonts w:ascii="Times New Roman" w:hAnsi="Times New Roman"/>
          <w:szCs w:val="24"/>
        </w:rPr>
        <w:t xml:space="preserve">The reporting </w:t>
      </w:r>
      <w:r w:rsidR="008B75F9">
        <w:rPr>
          <w:rFonts w:ascii="Times New Roman" w:hAnsi="Times New Roman"/>
          <w:szCs w:val="24"/>
        </w:rPr>
        <w:t xml:space="preserve">and recordkeeping </w:t>
      </w:r>
      <w:r w:rsidRPr="00B44C7E">
        <w:rPr>
          <w:rFonts w:ascii="Times New Roman" w:hAnsi="Times New Roman"/>
          <w:szCs w:val="24"/>
        </w:rPr>
        <w:t xml:space="preserve">requirements are found in </w:t>
      </w:r>
      <w:r w:rsidR="008B75F9">
        <w:rPr>
          <w:rFonts w:ascii="Times New Roman" w:hAnsi="Times New Roman"/>
          <w:szCs w:val="24"/>
        </w:rPr>
        <w:t xml:space="preserve">sections 50.4, 50.22, 50.40, </w:t>
      </w:r>
      <w:r>
        <w:rPr>
          <w:rFonts w:ascii="Times New Roman" w:hAnsi="Times New Roman"/>
          <w:szCs w:val="24"/>
        </w:rPr>
        <w:t>50.109,</w:t>
      </w:r>
      <w:r>
        <w:rPr>
          <w:rStyle w:val="FootnoteReference"/>
          <w:rFonts w:ascii="Times New Roman" w:hAnsi="Times New Roman"/>
          <w:szCs w:val="24"/>
          <w:vertAlign w:val="superscript"/>
        </w:rPr>
        <w:footnoteReference w:id="2"/>
      </w:r>
      <w:r w:rsidRPr="00B44C7E">
        <w:rPr>
          <w:rFonts w:ascii="Times New Roman" w:hAnsi="Times New Roman"/>
          <w:szCs w:val="24"/>
        </w:rPr>
        <w:t xml:space="preserve"> </w:t>
      </w:r>
      <w:r w:rsidR="004E1C6B">
        <w:rPr>
          <w:rFonts w:ascii="Times New Roman" w:hAnsi="Times New Roman"/>
          <w:szCs w:val="24"/>
        </w:rPr>
        <w:t xml:space="preserve">and </w:t>
      </w:r>
      <w:r>
        <w:rPr>
          <w:rFonts w:ascii="Times New Roman" w:hAnsi="Times New Roman"/>
          <w:szCs w:val="24"/>
        </w:rPr>
        <w:t>50</w:t>
      </w:r>
      <w:r w:rsidRPr="00B44C7E">
        <w:rPr>
          <w:rFonts w:ascii="Times New Roman" w:hAnsi="Times New Roman"/>
          <w:szCs w:val="24"/>
        </w:rPr>
        <w:t>.110</w:t>
      </w:r>
      <w:r w:rsidRPr="0007566A" w:rsidR="0007566A">
        <w:rPr>
          <w:rFonts w:ascii="Times New Roman" w:hAnsi="Times New Roman"/>
          <w:szCs w:val="24"/>
        </w:rPr>
        <w:t>.</w:t>
      </w:r>
    </w:p>
    <w:p w:rsidR="00D06F8D" w:rsidP="00B44C7E" w14:paraId="3769EAC1" w14:textId="77777777">
      <w:pPr>
        <w:contextualSpacing/>
        <w:rPr>
          <w:rFonts w:ascii="Times New Roman" w:hAnsi="Times New Roman"/>
          <w:i/>
          <w:iCs/>
          <w:szCs w:val="24"/>
        </w:rPr>
      </w:pPr>
    </w:p>
    <w:p w:rsidR="0007566A" w:rsidP="00B44C7E" w14:paraId="75892154" w14:textId="466F5057">
      <w:pPr>
        <w:contextualSpacing/>
        <w:rPr>
          <w:rFonts w:ascii="Times New Roman" w:hAnsi="Times New Roman"/>
          <w:i/>
          <w:iCs/>
          <w:szCs w:val="24"/>
        </w:rPr>
      </w:pPr>
      <w:r>
        <w:rPr>
          <w:rFonts w:ascii="Times New Roman" w:hAnsi="Times New Roman"/>
          <w:i/>
          <w:iCs/>
          <w:szCs w:val="24"/>
        </w:rPr>
        <w:t>Reporting Requirements</w:t>
      </w:r>
    </w:p>
    <w:p w:rsidR="0007566A" w:rsidRPr="0007566A" w:rsidP="00B44C7E" w14:paraId="5CCD14BE" w14:textId="77777777">
      <w:pPr>
        <w:contextualSpacing/>
        <w:rPr>
          <w:rFonts w:ascii="Times New Roman" w:hAnsi="Times New Roman"/>
          <w:szCs w:val="24"/>
        </w:rPr>
      </w:pPr>
    </w:p>
    <w:p w:rsidR="00B44C7E" w:rsidP="00B44C7E" w14:paraId="2AF37510" w14:textId="1E27CE7D">
      <w:pPr>
        <w:contextualSpacing/>
        <w:rPr>
          <w:rFonts w:ascii="Times New Roman" w:hAnsi="Times New Roman"/>
          <w:szCs w:val="24"/>
        </w:rPr>
      </w:pPr>
      <w:r>
        <w:rPr>
          <w:rFonts w:ascii="Times New Roman" w:hAnsi="Times New Roman"/>
          <w:szCs w:val="24"/>
        </w:rPr>
        <w:tab/>
        <w:t xml:space="preserve">Section 50.40(a) </w:t>
      </w:r>
      <w:r w:rsidR="003F7A3B">
        <w:rPr>
          <w:rFonts w:ascii="Times New Roman" w:hAnsi="Times New Roman"/>
          <w:szCs w:val="24"/>
        </w:rPr>
        <w:t xml:space="preserve">requires a </w:t>
      </w:r>
      <w:r w:rsidR="00B7392F">
        <w:rPr>
          <w:rFonts w:ascii="Times New Roman" w:hAnsi="Times New Roman"/>
          <w:szCs w:val="24"/>
        </w:rPr>
        <w:t>covered bank</w:t>
      </w:r>
      <w:r w:rsidR="003F7A3B">
        <w:rPr>
          <w:rFonts w:ascii="Times New Roman" w:hAnsi="Times New Roman"/>
          <w:szCs w:val="24"/>
        </w:rPr>
        <w:t xml:space="preserve"> to notify the OCC on any business day when its </w:t>
      </w:r>
      <w:r w:rsidR="00391109">
        <w:rPr>
          <w:rFonts w:ascii="Times New Roman" w:hAnsi="Times New Roman"/>
          <w:szCs w:val="24"/>
        </w:rPr>
        <w:t xml:space="preserve">calculated </w:t>
      </w:r>
      <w:r w:rsidR="003F7A3B">
        <w:rPr>
          <w:rFonts w:ascii="Times New Roman" w:hAnsi="Times New Roman"/>
          <w:szCs w:val="24"/>
        </w:rPr>
        <w:t xml:space="preserve">LCR is less than the minimum requirement </w:t>
      </w:r>
      <w:r w:rsidR="00614DEB">
        <w:rPr>
          <w:rFonts w:ascii="Times New Roman" w:hAnsi="Times New Roman"/>
          <w:szCs w:val="24"/>
        </w:rPr>
        <w:t>set by</w:t>
      </w:r>
      <w:r w:rsidR="003F7A3B">
        <w:rPr>
          <w:rFonts w:ascii="Times New Roman" w:hAnsi="Times New Roman"/>
          <w:szCs w:val="24"/>
        </w:rPr>
        <w:t xml:space="preserve"> section 50.10.</w:t>
      </w:r>
    </w:p>
    <w:p w:rsidR="003F7A3B" w:rsidP="00B44C7E" w14:paraId="544675EB" w14:textId="77777777">
      <w:pPr>
        <w:contextualSpacing/>
        <w:rPr>
          <w:rFonts w:ascii="Times New Roman" w:hAnsi="Times New Roman"/>
          <w:szCs w:val="24"/>
        </w:rPr>
      </w:pPr>
    </w:p>
    <w:p w:rsidR="003F7A3B" w:rsidP="00B44C7E" w14:paraId="27FC5E0A" w14:textId="2F307294">
      <w:pPr>
        <w:contextualSpacing/>
        <w:rPr>
          <w:rFonts w:ascii="Times New Roman" w:hAnsi="Times New Roman"/>
          <w:szCs w:val="24"/>
        </w:rPr>
      </w:pPr>
      <w:r>
        <w:rPr>
          <w:rFonts w:ascii="Times New Roman" w:hAnsi="Times New Roman"/>
          <w:szCs w:val="24"/>
        </w:rPr>
        <w:tab/>
      </w:r>
      <w:r w:rsidR="003061A5">
        <w:rPr>
          <w:rFonts w:ascii="Times New Roman" w:hAnsi="Times New Roman"/>
          <w:szCs w:val="24"/>
        </w:rPr>
        <w:t xml:space="preserve">Section 50.40(b) </w:t>
      </w:r>
      <w:r w:rsidR="00751687">
        <w:rPr>
          <w:rFonts w:ascii="Times New Roman" w:hAnsi="Times New Roman"/>
          <w:szCs w:val="24"/>
        </w:rPr>
        <w:t>provides</w:t>
      </w:r>
      <w:r w:rsidR="003061A5">
        <w:rPr>
          <w:rFonts w:ascii="Times New Roman" w:hAnsi="Times New Roman"/>
          <w:szCs w:val="24"/>
        </w:rPr>
        <w:t xml:space="preserve"> that if a </w:t>
      </w:r>
      <w:r w:rsidR="00B7392F">
        <w:rPr>
          <w:rFonts w:ascii="Times New Roman" w:hAnsi="Times New Roman"/>
          <w:szCs w:val="24"/>
        </w:rPr>
        <w:t>covered bank</w:t>
      </w:r>
      <w:r w:rsidR="003061A5">
        <w:rPr>
          <w:rFonts w:ascii="Times New Roman" w:hAnsi="Times New Roman"/>
          <w:szCs w:val="24"/>
        </w:rPr>
        <w:t xml:space="preserve"> </w:t>
      </w:r>
      <w:r w:rsidR="009F22B3">
        <w:rPr>
          <w:rFonts w:ascii="Times New Roman" w:hAnsi="Times New Roman"/>
          <w:szCs w:val="24"/>
        </w:rPr>
        <w:t xml:space="preserve">is required to </w:t>
      </w:r>
      <w:r w:rsidRPr="003061A5" w:rsidR="003061A5">
        <w:rPr>
          <w:rFonts w:ascii="Times New Roman" w:hAnsi="Times New Roman"/>
          <w:szCs w:val="24"/>
        </w:rPr>
        <w:t xml:space="preserve">calculate </w:t>
      </w:r>
      <w:r w:rsidR="003061A5">
        <w:rPr>
          <w:rFonts w:ascii="Times New Roman" w:hAnsi="Times New Roman"/>
          <w:szCs w:val="24"/>
        </w:rPr>
        <w:t>its LCR</w:t>
      </w:r>
      <w:r w:rsidRPr="003061A5" w:rsidR="003061A5">
        <w:rPr>
          <w:rFonts w:ascii="Times New Roman" w:hAnsi="Times New Roman"/>
          <w:szCs w:val="24"/>
        </w:rPr>
        <w:t xml:space="preserve"> on the last business day of each calendar month</w:t>
      </w:r>
      <w:r w:rsidR="003061A5">
        <w:rPr>
          <w:rFonts w:ascii="Times New Roman" w:hAnsi="Times New Roman"/>
          <w:szCs w:val="24"/>
        </w:rPr>
        <w:t xml:space="preserve"> and its LCR </w:t>
      </w:r>
      <w:r w:rsidRPr="009F22B3" w:rsidR="009F22B3">
        <w:rPr>
          <w:rFonts w:ascii="Times New Roman" w:hAnsi="Times New Roman"/>
          <w:szCs w:val="24"/>
        </w:rPr>
        <w:t xml:space="preserve">is below the minimum requirement in </w:t>
      </w:r>
      <w:r w:rsidR="009F22B3">
        <w:rPr>
          <w:rFonts w:ascii="Times New Roman" w:hAnsi="Times New Roman"/>
          <w:szCs w:val="24"/>
        </w:rPr>
        <w:t>section</w:t>
      </w:r>
      <w:r w:rsidRPr="009F22B3" w:rsidR="009F22B3">
        <w:rPr>
          <w:rFonts w:ascii="Times New Roman" w:hAnsi="Times New Roman"/>
          <w:szCs w:val="24"/>
        </w:rPr>
        <w:t xml:space="preserve"> 50.10</w:t>
      </w:r>
      <w:r w:rsidR="009F22B3">
        <w:rPr>
          <w:rFonts w:ascii="Times New Roman" w:hAnsi="Times New Roman"/>
          <w:szCs w:val="24"/>
        </w:rPr>
        <w:t xml:space="preserve"> on the last business day of the applicable calendar month, or</w:t>
      </w:r>
      <w:r w:rsidRPr="009F22B3" w:rsidR="009F22B3">
        <w:rPr>
          <w:rFonts w:ascii="Times New Roman" w:hAnsi="Times New Roman"/>
          <w:szCs w:val="24"/>
        </w:rPr>
        <w:t xml:space="preserve"> if the OCC has determined that the </w:t>
      </w:r>
      <w:r w:rsidR="00B7392F">
        <w:rPr>
          <w:rFonts w:ascii="Times New Roman" w:hAnsi="Times New Roman"/>
          <w:szCs w:val="24"/>
        </w:rPr>
        <w:t>covered bank</w:t>
      </w:r>
      <w:r w:rsidRPr="009F22B3" w:rsidR="009F22B3">
        <w:rPr>
          <w:rFonts w:ascii="Times New Roman" w:hAnsi="Times New Roman"/>
          <w:szCs w:val="24"/>
        </w:rPr>
        <w:t xml:space="preserve"> is otherwise materially noncompliant, </w:t>
      </w:r>
      <w:r w:rsidR="00D64A41">
        <w:rPr>
          <w:rFonts w:ascii="Times New Roman" w:hAnsi="Times New Roman"/>
          <w:szCs w:val="24"/>
        </w:rPr>
        <w:t xml:space="preserve">then </w:t>
      </w:r>
      <w:r w:rsidRPr="009F22B3" w:rsidR="009F22B3">
        <w:rPr>
          <w:rFonts w:ascii="Times New Roman" w:hAnsi="Times New Roman"/>
          <w:szCs w:val="24"/>
        </w:rPr>
        <w:t xml:space="preserve">the </w:t>
      </w:r>
      <w:r w:rsidR="00B7392F">
        <w:rPr>
          <w:rFonts w:ascii="Times New Roman" w:hAnsi="Times New Roman"/>
          <w:szCs w:val="24"/>
        </w:rPr>
        <w:t>covered bank</w:t>
      </w:r>
      <w:r w:rsidRPr="009F22B3" w:rsidR="009F22B3">
        <w:rPr>
          <w:rFonts w:ascii="Times New Roman" w:hAnsi="Times New Roman"/>
          <w:szCs w:val="24"/>
        </w:rPr>
        <w:t xml:space="preserve"> must promptly consult with the OCC to determine whether the </w:t>
      </w:r>
      <w:r w:rsidR="00B7392F">
        <w:rPr>
          <w:rFonts w:ascii="Times New Roman" w:hAnsi="Times New Roman"/>
          <w:szCs w:val="24"/>
        </w:rPr>
        <w:t>covered bank</w:t>
      </w:r>
      <w:r w:rsidRPr="009F22B3" w:rsidR="009F22B3">
        <w:rPr>
          <w:rFonts w:ascii="Times New Roman" w:hAnsi="Times New Roman"/>
          <w:szCs w:val="24"/>
        </w:rPr>
        <w:t xml:space="preserve"> must provide to the OCC a plan for achieving compliance with the minimum liquidity requirement in </w:t>
      </w:r>
      <w:r w:rsidR="00CC3CED">
        <w:rPr>
          <w:rFonts w:ascii="Times New Roman" w:hAnsi="Times New Roman"/>
          <w:szCs w:val="24"/>
        </w:rPr>
        <w:t>section 50.10</w:t>
      </w:r>
      <w:r w:rsidRPr="009F22B3" w:rsidR="009F22B3">
        <w:rPr>
          <w:rFonts w:ascii="Times New Roman" w:hAnsi="Times New Roman"/>
          <w:szCs w:val="24"/>
        </w:rPr>
        <w:t xml:space="preserve"> and all other requirements of </w:t>
      </w:r>
      <w:r w:rsidR="00A64E13">
        <w:rPr>
          <w:rFonts w:ascii="Times New Roman" w:hAnsi="Times New Roman"/>
          <w:szCs w:val="24"/>
        </w:rPr>
        <w:t>part 50</w:t>
      </w:r>
      <w:r w:rsidRPr="009F22B3" w:rsidR="009F22B3">
        <w:rPr>
          <w:rFonts w:ascii="Times New Roman" w:hAnsi="Times New Roman"/>
          <w:szCs w:val="24"/>
        </w:rPr>
        <w:t>.</w:t>
      </w:r>
      <w:r w:rsidR="00D64A41">
        <w:rPr>
          <w:rFonts w:ascii="Times New Roman" w:hAnsi="Times New Roman"/>
          <w:szCs w:val="24"/>
        </w:rPr>
        <w:t xml:space="preserve">  Section 50.40(b) further provides that if a </w:t>
      </w:r>
      <w:r w:rsidR="00B7392F">
        <w:rPr>
          <w:rFonts w:ascii="Times New Roman" w:hAnsi="Times New Roman"/>
          <w:szCs w:val="24"/>
        </w:rPr>
        <w:t>covered bank</w:t>
      </w:r>
      <w:r w:rsidR="00D64A41">
        <w:rPr>
          <w:rFonts w:ascii="Times New Roman" w:hAnsi="Times New Roman"/>
          <w:szCs w:val="24"/>
        </w:rPr>
        <w:t xml:space="preserve"> is required to calculate its LCR each business day and its LCR is below the minimum requirement in section 50.10 for three consecutive business days, or if the OCC has determined that the </w:t>
      </w:r>
      <w:r w:rsidR="00B7392F">
        <w:rPr>
          <w:rFonts w:ascii="Times New Roman" w:hAnsi="Times New Roman"/>
          <w:szCs w:val="24"/>
        </w:rPr>
        <w:t>covered bank</w:t>
      </w:r>
      <w:r w:rsidR="00D64A41">
        <w:rPr>
          <w:rFonts w:ascii="Times New Roman" w:hAnsi="Times New Roman"/>
          <w:szCs w:val="24"/>
        </w:rPr>
        <w:t xml:space="preserve"> </w:t>
      </w:r>
      <w:r w:rsidRPr="00345C29" w:rsidR="00345C29">
        <w:rPr>
          <w:rFonts w:ascii="Times New Roman" w:hAnsi="Times New Roman"/>
          <w:szCs w:val="24"/>
        </w:rPr>
        <w:t xml:space="preserve">is otherwise materially noncompliant, the </w:t>
      </w:r>
      <w:r w:rsidR="00B7392F">
        <w:rPr>
          <w:rFonts w:ascii="Times New Roman" w:hAnsi="Times New Roman"/>
          <w:szCs w:val="24"/>
        </w:rPr>
        <w:t>covered bank</w:t>
      </w:r>
      <w:r w:rsidRPr="00345C29" w:rsidR="00345C29">
        <w:rPr>
          <w:rFonts w:ascii="Times New Roman" w:hAnsi="Times New Roman"/>
          <w:szCs w:val="24"/>
        </w:rPr>
        <w:t xml:space="preserve"> must promptly provide to the OCC a plan for achieving compliance with the minimum liquidity requirement in </w:t>
      </w:r>
      <w:r w:rsidR="00CC3CED">
        <w:rPr>
          <w:rFonts w:ascii="Times New Roman" w:hAnsi="Times New Roman"/>
          <w:szCs w:val="24"/>
        </w:rPr>
        <w:t>section 50.10</w:t>
      </w:r>
      <w:r w:rsidRPr="00345C29" w:rsidR="00345C29">
        <w:rPr>
          <w:rFonts w:ascii="Times New Roman" w:hAnsi="Times New Roman"/>
          <w:szCs w:val="24"/>
        </w:rPr>
        <w:t xml:space="preserve"> and all other requirements of </w:t>
      </w:r>
      <w:r w:rsidR="00A64E13">
        <w:rPr>
          <w:rFonts w:ascii="Times New Roman" w:hAnsi="Times New Roman"/>
          <w:szCs w:val="24"/>
        </w:rPr>
        <w:t>part 50</w:t>
      </w:r>
      <w:r w:rsidRPr="00345C29" w:rsidR="00345C29">
        <w:rPr>
          <w:rFonts w:ascii="Times New Roman" w:hAnsi="Times New Roman"/>
          <w:szCs w:val="24"/>
        </w:rPr>
        <w:t>.</w:t>
      </w:r>
    </w:p>
    <w:p w:rsidR="00345C29" w:rsidP="00B44C7E" w14:paraId="0912D42D" w14:textId="77777777">
      <w:pPr>
        <w:contextualSpacing/>
        <w:rPr>
          <w:rFonts w:ascii="Times New Roman" w:hAnsi="Times New Roman"/>
          <w:szCs w:val="24"/>
        </w:rPr>
      </w:pPr>
    </w:p>
    <w:p w:rsidR="003F7A3B" w:rsidP="00B44C7E" w14:paraId="45121FE8" w14:textId="4D4FFA8F">
      <w:pPr>
        <w:contextualSpacing/>
        <w:rPr>
          <w:rFonts w:ascii="Times New Roman" w:hAnsi="Times New Roman"/>
          <w:szCs w:val="24"/>
        </w:rPr>
      </w:pPr>
      <w:r>
        <w:rPr>
          <w:rFonts w:ascii="Times New Roman" w:hAnsi="Times New Roman"/>
          <w:szCs w:val="24"/>
        </w:rPr>
        <w:tab/>
      </w:r>
      <w:r w:rsidRPr="00345C29">
        <w:rPr>
          <w:rFonts w:ascii="Times New Roman" w:hAnsi="Times New Roman"/>
          <w:szCs w:val="24"/>
        </w:rPr>
        <w:t>The liquidity plan must include, as applicable,</w:t>
      </w:r>
      <w:r w:rsidRPr="00345C29">
        <w:rPr>
          <w:rFonts w:ascii="Times New Roman" w:hAnsi="Times New Roman"/>
        </w:rPr>
        <w:t xml:space="preserve"> </w:t>
      </w:r>
      <w:r w:rsidRPr="00345C29">
        <w:rPr>
          <w:rFonts w:ascii="Times New Roman" w:hAnsi="Times New Roman"/>
          <w:szCs w:val="24"/>
        </w:rPr>
        <w:t xml:space="preserve">(1) an assessment of the </w:t>
      </w:r>
      <w:r w:rsidR="00B7392F">
        <w:rPr>
          <w:rFonts w:ascii="Times New Roman" w:hAnsi="Times New Roman"/>
          <w:szCs w:val="24"/>
        </w:rPr>
        <w:t>covered bank</w:t>
      </w:r>
      <w:r w:rsidRPr="00345C29">
        <w:rPr>
          <w:rFonts w:ascii="Times New Roman" w:hAnsi="Times New Roman"/>
          <w:szCs w:val="24"/>
        </w:rPr>
        <w:t>'s liquidity position;</w:t>
      </w:r>
      <w:r>
        <w:rPr>
          <w:rFonts w:ascii="Times New Roman" w:hAnsi="Times New Roman"/>
          <w:szCs w:val="24"/>
        </w:rPr>
        <w:t xml:space="preserve"> </w:t>
      </w:r>
      <w:r w:rsidRPr="00345C29">
        <w:rPr>
          <w:rFonts w:ascii="Times New Roman" w:hAnsi="Times New Roman"/>
          <w:szCs w:val="24"/>
        </w:rPr>
        <w:t xml:space="preserve">(2) the actions the </w:t>
      </w:r>
      <w:r w:rsidR="00B7392F">
        <w:rPr>
          <w:rFonts w:ascii="Times New Roman" w:hAnsi="Times New Roman"/>
          <w:szCs w:val="24"/>
        </w:rPr>
        <w:t>covered bank</w:t>
      </w:r>
      <w:r>
        <w:rPr>
          <w:rFonts w:ascii="Times New Roman" w:hAnsi="Times New Roman"/>
          <w:szCs w:val="24"/>
        </w:rPr>
        <w:t xml:space="preserve"> </w:t>
      </w:r>
      <w:r w:rsidRPr="00345C29">
        <w:rPr>
          <w:rFonts w:ascii="Times New Roman" w:hAnsi="Times New Roman"/>
          <w:szCs w:val="24"/>
        </w:rPr>
        <w:t xml:space="preserve">has taken and will take to achieve full compliance, including a plan for adjusting the </w:t>
      </w:r>
      <w:r w:rsidR="00B7392F">
        <w:rPr>
          <w:rFonts w:ascii="Times New Roman" w:hAnsi="Times New Roman"/>
          <w:szCs w:val="24"/>
        </w:rPr>
        <w:t>covered bank</w:t>
      </w:r>
      <w:r w:rsidRPr="00345C29">
        <w:rPr>
          <w:rFonts w:ascii="Times New Roman" w:hAnsi="Times New Roman"/>
          <w:szCs w:val="24"/>
        </w:rPr>
        <w:t xml:space="preserve">’s risk profile, risk management, and funding sources in order to achieve full compliance and a plan for remediating any operational or management issues that contributed to noncompliance; (3) an estimated time frame for achieving full compliance; and (4) a commitment to provide a progress report to </w:t>
      </w:r>
      <w:r>
        <w:rPr>
          <w:rFonts w:ascii="Times New Roman" w:hAnsi="Times New Roman"/>
          <w:szCs w:val="24"/>
        </w:rPr>
        <w:t>the OCC</w:t>
      </w:r>
      <w:r w:rsidRPr="00345C29">
        <w:rPr>
          <w:rFonts w:ascii="Times New Roman" w:hAnsi="Times New Roman"/>
          <w:szCs w:val="24"/>
        </w:rPr>
        <w:t xml:space="preserve"> at least weekly until full compliance is achieved.</w:t>
      </w:r>
    </w:p>
    <w:p w:rsidR="00EF13FF" w:rsidRPr="00B44C7E" w:rsidP="00B44C7E" w14:paraId="1C4CA693" w14:textId="77777777">
      <w:pPr>
        <w:contextualSpacing/>
        <w:rPr>
          <w:rFonts w:ascii="Times New Roman" w:hAnsi="Times New Roman"/>
          <w:szCs w:val="24"/>
        </w:rPr>
      </w:pPr>
    </w:p>
    <w:p w:rsidR="003D4059" w:rsidP="00E2096C" w14:paraId="490D293D" w14:textId="7C411711">
      <w:pPr>
        <w:contextualSpacing/>
        <w:rPr>
          <w:rFonts w:ascii="Times New Roman" w:hAnsi="Times New Roman"/>
          <w:szCs w:val="24"/>
        </w:rPr>
      </w:pPr>
      <w:r>
        <w:rPr>
          <w:rFonts w:ascii="Times New Roman" w:hAnsi="Times New Roman"/>
          <w:szCs w:val="24"/>
        </w:rPr>
        <w:tab/>
      </w:r>
      <w:r w:rsidRPr="00B44C7E">
        <w:rPr>
          <w:rFonts w:ascii="Times New Roman" w:hAnsi="Times New Roman"/>
          <w:szCs w:val="24"/>
        </w:rPr>
        <w:t xml:space="preserve">Section </w:t>
      </w:r>
      <w:r w:rsidR="00866BB6">
        <w:rPr>
          <w:rFonts w:ascii="Times New Roman" w:hAnsi="Times New Roman"/>
          <w:szCs w:val="24"/>
        </w:rPr>
        <w:t>50</w:t>
      </w:r>
      <w:r w:rsidRPr="00B44C7E">
        <w:rPr>
          <w:rFonts w:ascii="Times New Roman" w:hAnsi="Times New Roman"/>
          <w:szCs w:val="24"/>
        </w:rPr>
        <w:t xml:space="preserve">.110 requires a covered company to take certain actions following any NSFR shortfall. </w:t>
      </w:r>
      <w:r w:rsidR="00732F27">
        <w:rPr>
          <w:rFonts w:ascii="Times New Roman" w:hAnsi="Times New Roman"/>
          <w:szCs w:val="24"/>
        </w:rPr>
        <w:t xml:space="preserve"> Section 50.110(a) requires a </w:t>
      </w:r>
      <w:r w:rsidR="00B7392F">
        <w:rPr>
          <w:rFonts w:ascii="Times New Roman" w:hAnsi="Times New Roman"/>
          <w:szCs w:val="24"/>
        </w:rPr>
        <w:t>covered bank</w:t>
      </w:r>
      <w:r w:rsidR="00732F27">
        <w:rPr>
          <w:rFonts w:ascii="Times New Roman" w:hAnsi="Times New Roman"/>
          <w:szCs w:val="24"/>
        </w:rPr>
        <w:t xml:space="preserve"> </w:t>
      </w:r>
      <w:r w:rsidRPr="00B44C7E">
        <w:rPr>
          <w:rFonts w:ascii="Times New Roman" w:hAnsi="Times New Roman"/>
          <w:szCs w:val="24"/>
        </w:rPr>
        <w:t xml:space="preserve">to notify </w:t>
      </w:r>
      <w:r w:rsidR="00732F27">
        <w:rPr>
          <w:rFonts w:ascii="Times New Roman" w:hAnsi="Times New Roman"/>
          <w:szCs w:val="24"/>
        </w:rPr>
        <w:t xml:space="preserve">the OCC </w:t>
      </w:r>
      <w:r w:rsidRPr="00B44C7E">
        <w:rPr>
          <w:rFonts w:ascii="Times New Roman" w:hAnsi="Times New Roman"/>
          <w:szCs w:val="24"/>
        </w:rPr>
        <w:t xml:space="preserve">of the shortfall no later than 10 business days (or such other period as the </w:t>
      </w:r>
      <w:r w:rsidR="00732F27">
        <w:rPr>
          <w:rFonts w:ascii="Times New Roman" w:hAnsi="Times New Roman"/>
          <w:szCs w:val="24"/>
        </w:rPr>
        <w:t>OCC</w:t>
      </w:r>
      <w:r w:rsidRPr="00B44C7E">
        <w:rPr>
          <w:rFonts w:ascii="Times New Roman" w:hAnsi="Times New Roman"/>
          <w:szCs w:val="24"/>
        </w:rPr>
        <w:t xml:space="preserve"> may otherwise require by written notice) following the date that any event has occurred that would cause or has caused the </w:t>
      </w:r>
      <w:r w:rsidR="00B7392F">
        <w:rPr>
          <w:rFonts w:ascii="Times New Roman" w:hAnsi="Times New Roman"/>
          <w:szCs w:val="24"/>
        </w:rPr>
        <w:t>covered bank</w:t>
      </w:r>
      <w:r w:rsidR="00732F27">
        <w:rPr>
          <w:rFonts w:ascii="Times New Roman" w:hAnsi="Times New Roman"/>
          <w:szCs w:val="24"/>
        </w:rPr>
        <w:t xml:space="preserve">’s </w:t>
      </w:r>
      <w:r w:rsidRPr="00B44C7E">
        <w:rPr>
          <w:rFonts w:ascii="Times New Roman" w:hAnsi="Times New Roman"/>
          <w:szCs w:val="24"/>
        </w:rPr>
        <w:t>NSFR to be less than 1.0.</w:t>
      </w:r>
    </w:p>
    <w:p w:rsidR="003D4059" w:rsidP="00E2096C" w14:paraId="1C17EF7F" w14:textId="77777777">
      <w:pPr>
        <w:contextualSpacing/>
        <w:rPr>
          <w:rFonts w:ascii="Times New Roman" w:hAnsi="Times New Roman"/>
          <w:szCs w:val="24"/>
        </w:rPr>
      </w:pPr>
    </w:p>
    <w:p w:rsidR="00E2096C" w:rsidP="00A64E13" w14:paraId="452D5FF9" w14:textId="10286E72">
      <w:pPr>
        <w:ind w:firstLine="720"/>
        <w:contextualSpacing/>
        <w:rPr>
          <w:rFonts w:ascii="Times New Roman" w:hAnsi="Times New Roman"/>
          <w:szCs w:val="24"/>
        </w:rPr>
      </w:pPr>
      <w:r>
        <w:rPr>
          <w:rFonts w:ascii="Times New Roman" w:hAnsi="Times New Roman"/>
          <w:szCs w:val="24"/>
        </w:rPr>
        <w:t xml:space="preserve">Section 50.110(b) requires a </w:t>
      </w:r>
      <w:r w:rsidR="00B7392F">
        <w:rPr>
          <w:rFonts w:ascii="Times New Roman" w:hAnsi="Times New Roman"/>
          <w:szCs w:val="24"/>
        </w:rPr>
        <w:t>covered bank</w:t>
      </w:r>
      <w:r w:rsidRPr="00B44C7E" w:rsidR="00B44C7E">
        <w:rPr>
          <w:rFonts w:ascii="Times New Roman" w:hAnsi="Times New Roman"/>
          <w:szCs w:val="24"/>
        </w:rPr>
        <w:t xml:space="preserve"> </w:t>
      </w:r>
      <w:r>
        <w:rPr>
          <w:rFonts w:ascii="Times New Roman" w:hAnsi="Times New Roman"/>
          <w:szCs w:val="24"/>
        </w:rPr>
        <w:t xml:space="preserve">to </w:t>
      </w:r>
      <w:r w:rsidRPr="00B44C7E" w:rsidR="00B44C7E">
        <w:rPr>
          <w:rFonts w:ascii="Times New Roman" w:hAnsi="Times New Roman"/>
          <w:szCs w:val="24"/>
        </w:rPr>
        <w:t xml:space="preserve">submit to </w:t>
      </w:r>
      <w:r>
        <w:rPr>
          <w:rFonts w:ascii="Times New Roman" w:hAnsi="Times New Roman"/>
          <w:szCs w:val="24"/>
        </w:rPr>
        <w:t>the OCC,</w:t>
      </w:r>
      <w:r w:rsidRPr="00B44C7E" w:rsidR="00B44C7E">
        <w:rPr>
          <w:rFonts w:ascii="Times New Roman" w:hAnsi="Times New Roman"/>
          <w:szCs w:val="24"/>
        </w:rPr>
        <w:t xml:space="preserve"> </w:t>
      </w:r>
      <w:r w:rsidRPr="00E2096C">
        <w:rPr>
          <w:rFonts w:ascii="Times New Roman" w:hAnsi="Times New Roman"/>
          <w:szCs w:val="24"/>
        </w:rPr>
        <w:t>within 10 business days</w:t>
      </w:r>
      <w:r>
        <w:rPr>
          <w:rFonts w:ascii="Times New Roman" w:hAnsi="Times New Roman"/>
          <w:szCs w:val="24"/>
        </w:rPr>
        <w:t xml:space="preserve"> of certain triggering events (</w:t>
      </w:r>
      <w:r w:rsidRPr="00E2096C">
        <w:rPr>
          <w:rFonts w:ascii="Times New Roman" w:hAnsi="Times New Roman"/>
          <w:szCs w:val="24"/>
        </w:rPr>
        <w:t>or such other period as the OCC may otherwise require by written notice</w:t>
      </w:r>
      <w:r>
        <w:rPr>
          <w:rFonts w:ascii="Times New Roman" w:hAnsi="Times New Roman"/>
          <w:szCs w:val="24"/>
        </w:rPr>
        <w:t>)</w:t>
      </w:r>
      <w:r w:rsidRPr="00E2096C">
        <w:rPr>
          <w:rFonts w:ascii="Times New Roman" w:hAnsi="Times New Roman"/>
          <w:szCs w:val="24"/>
        </w:rPr>
        <w:t>, its plan for remediation of its NSFR to at least 1.0</w:t>
      </w:r>
      <w:r w:rsidR="00FD5115">
        <w:rPr>
          <w:rFonts w:ascii="Times New Roman" w:hAnsi="Times New Roman"/>
          <w:szCs w:val="24"/>
        </w:rPr>
        <w:t xml:space="preserve">.  This submission is required if the </w:t>
      </w:r>
      <w:r w:rsidR="00B7392F">
        <w:rPr>
          <w:rFonts w:ascii="Times New Roman" w:hAnsi="Times New Roman"/>
          <w:szCs w:val="24"/>
        </w:rPr>
        <w:t>covered bank</w:t>
      </w:r>
      <w:r w:rsidR="00FD5115">
        <w:rPr>
          <w:rFonts w:ascii="Times New Roman" w:hAnsi="Times New Roman"/>
          <w:szCs w:val="24"/>
        </w:rPr>
        <w:t xml:space="preserve"> has or should have provided notice </w:t>
      </w:r>
      <w:r w:rsidR="00B7460C">
        <w:rPr>
          <w:rFonts w:ascii="Times New Roman" w:hAnsi="Times New Roman"/>
          <w:szCs w:val="24"/>
        </w:rPr>
        <w:t xml:space="preserve">to the OCC that its NSFR is or will become less than 1.0, the </w:t>
      </w:r>
      <w:r w:rsidR="00B7392F">
        <w:rPr>
          <w:rFonts w:ascii="Times New Roman" w:hAnsi="Times New Roman"/>
          <w:szCs w:val="24"/>
        </w:rPr>
        <w:t>covered bank</w:t>
      </w:r>
      <w:r w:rsidR="00B7460C">
        <w:rPr>
          <w:rFonts w:ascii="Times New Roman" w:hAnsi="Times New Roman"/>
          <w:szCs w:val="24"/>
        </w:rPr>
        <w:t xml:space="preserve">’s reports or disclosures to the OCC indicate that the NSFR is less than 1.0, or the OCC notifies the </w:t>
      </w:r>
      <w:r w:rsidR="00B7392F">
        <w:rPr>
          <w:rFonts w:ascii="Times New Roman" w:hAnsi="Times New Roman"/>
          <w:szCs w:val="24"/>
        </w:rPr>
        <w:t>covered bank</w:t>
      </w:r>
      <w:r w:rsidR="00B7460C">
        <w:rPr>
          <w:rFonts w:ascii="Times New Roman" w:hAnsi="Times New Roman"/>
          <w:szCs w:val="24"/>
        </w:rPr>
        <w:t xml:space="preserve"> that a plan is required and provides a reason for requiring such a plan.  Section 50.110(b)</w:t>
      </w:r>
      <w:r w:rsidRPr="00E2096C">
        <w:rPr>
          <w:rFonts w:ascii="Times New Roman" w:hAnsi="Times New Roman"/>
          <w:szCs w:val="24"/>
        </w:rPr>
        <w:t xml:space="preserve"> </w:t>
      </w:r>
      <w:r w:rsidR="00B7460C">
        <w:rPr>
          <w:rFonts w:ascii="Times New Roman" w:hAnsi="Times New Roman"/>
          <w:szCs w:val="24"/>
        </w:rPr>
        <w:t xml:space="preserve">also requires a </w:t>
      </w:r>
      <w:r w:rsidR="00B7392F">
        <w:rPr>
          <w:rFonts w:ascii="Times New Roman" w:hAnsi="Times New Roman"/>
          <w:szCs w:val="24"/>
        </w:rPr>
        <w:t>covered bank</w:t>
      </w:r>
      <w:r w:rsidR="00B7460C">
        <w:rPr>
          <w:rFonts w:ascii="Times New Roman" w:hAnsi="Times New Roman"/>
          <w:szCs w:val="24"/>
        </w:rPr>
        <w:t xml:space="preserve"> </w:t>
      </w:r>
      <w:r w:rsidR="00D1341B">
        <w:rPr>
          <w:rFonts w:ascii="Times New Roman" w:hAnsi="Times New Roman"/>
          <w:szCs w:val="24"/>
        </w:rPr>
        <w:t xml:space="preserve">that has </w:t>
      </w:r>
      <w:r w:rsidRPr="00E2096C">
        <w:rPr>
          <w:rFonts w:ascii="Times New Roman" w:hAnsi="Times New Roman"/>
          <w:szCs w:val="24"/>
        </w:rPr>
        <w:t>submit</w:t>
      </w:r>
      <w:r w:rsidR="00D1341B">
        <w:rPr>
          <w:rFonts w:ascii="Times New Roman" w:hAnsi="Times New Roman"/>
          <w:szCs w:val="24"/>
        </w:rPr>
        <w:t xml:space="preserve">ted such a </w:t>
      </w:r>
      <w:r w:rsidR="00D1341B">
        <w:rPr>
          <w:rFonts w:ascii="Times New Roman" w:hAnsi="Times New Roman"/>
          <w:szCs w:val="24"/>
        </w:rPr>
        <w:t xml:space="preserve">plan to </w:t>
      </w:r>
      <w:r w:rsidRPr="00A64E13" w:rsidR="00A64E13">
        <w:rPr>
          <w:rFonts w:ascii="Times New Roman" w:hAnsi="Times New Roman"/>
          <w:szCs w:val="24"/>
        </w:rPr>
        <w:t>report to the OCC at least monthly, or at such other frequency as required by the OCC,</w:t>
      </w:r>
      <w:r w:rsidR="00A64E13">
        <w:rPr>
          <w:rFonts w:ascii="Times New Roman" w:hAnsi="Times New Roman"/>
          <w:szCs w:val="24"/>
        </w:rPr>
        <w:t xml:space="preserve"> </w:t>
      </w:r>
      <w:r w:rsidRPr="00E2096C">
        <w:rPr>
          <w:rFonts w:ascii="Times New Roman" w:hAnsi="Times New Roman"/>
          <w:szCs w:val="24"/>
        </w:rPr>
        <w:t xml:space="preserve">its progress to achieve compliance. </w:t>
      </w:r>
    </w:p>
    <w:p w:rsidR="00D1341B" w:rsidRPr="00E2096C" w:rsidP="00E2096C" w14:paraId="31F34A36" w14:textId="77777777">
      <w:pPr>
        <w:contextualSpacing/>
        <w:rPr>
          <w:rFonts w:ascii="Times New Roman" w:hAnsi="Times New Roman"/>
          <w:szCs w:val="24"/>
        </w:rPr>
      </w:pPr>
    </w:p>
    <w:p w:rsidR="00D1341B" w:rsidRPr="00AC4138" w:rsidP="00D1341B" w14:paraId="30C9DFB1" w14:textId="07D26B8C">
      <w:pPr>
        <w:contextualSpacing/>
        <w:rPr>
          <w:rFonts w:ascii="Times New Roman" w:hAnsi="Times New Roman"/>
          <w:szCs w:val="24"/>
        </w:rPr>
      </w:pPr>
      <w:r>
        <w:rPr>
          <w:rFonts w:ascii="Times New Roman" w:hAnsi="Times New Roman"/>
          <w:szCs w:val="24"/>
        </w:rPr>
        <w:tab/>
        <w:t xml:space="preserve">The NSFR remediation plan must include, as applicable, (1) </w:t>
      </w:r>
      <w:r w:rsidR="00C4735E">
        <w:rPr>
          <w:rFonts w:ascii="Times New Roman" w:hAnsi="Times New Roman"/>
          <w:szCs w:val="24"/>
        </w:rPr>
        <w:t>a</w:t>
      </w:r>
      <w:r w:rsidRPr="00D1341B">
        <w:rPr>
          <w:rFonts w:ascii="Times New Roman" w:hAnsi="Times New Roman"/>
          <w:szCs w:val="24"/>
        </w:rPr>
        <w:t xml:space="preserve">n assessment of the </w:t>
      </w:r>
      <w:r w:rsidR="00B7392F">
        <w:rPr>
          <w:rFonts w:ascii="Times New Roman" w:hAnsi="Times New Roman"/>
          <w:szCs w:val="24"/>
        </w:rPr>
        <w:t>covered bank</w:t>
      </w:r>
      <w:r w:rsidRPr="00D1341B">
        <w:rPr>
          <w:rFonts w:ascii="Times New Roman" w:hAnsi="Times New Roman"/>
          <w:szCs w:val="24"/>
        </w:rPr>
        <w:t>'s liquidity profile; (</w:t>
      </w:r>
      <w:r>
        <w:rPr>
          <w:rFonts w:ascii="Times New Roman" w:hAnsi="Times New Roman"/>
          <w:szCs w:val="24"/>
        </w:rPr>
        <w:t>2</w:t>
      </w:r>
      <w:r w:rsidRPr="00D1341B">
        <w:rPr>
          <w:rFonts w:ascii="Times New Roman" w:hAnsi="Times New Roman"/>
          <w:szCs w:val="24"/>
        </w:rPr>
        <w:t xml:space="preserve">) </w:t>
      </w:r>
      <w:r w:rsidR="00C4735E">
        <w:rPr>
          <w:rFonts w:ascii="Times New Roman" w:hAnsi="Times New Roman"/>
          <w:szCs w:val="24"/>
        </w:rPr>
        <w:t>t</w:t>
      </w:r>
      <w:r w:rsidRPr="00D1341B">
        <w:rPr>
          <w:rFonts w:ascii="Times New Roman" w:hAnsi="Times New Roman"/>
          <w:szCs w:val="24"/>
        </w:rPr>
        <w:t xml:space="preserve">he actions the </w:t>
      </w:r>
      <w:r w:rsidR="00B7392F">
        <w:rPr>
          <w:rFonts w:ascii="Times New Roman" w:hAnsi="Times New Roman"/>
          <w:szCs w:val="24"/>
        </w:rPr>
        <w:t>covered bank</w:t>
      </w:r>
      <w:r w:rsidRPr="00D1341B">
        <w:rPr>
          <w:rFonts w:ascii="Times New Roman" w:hAnsi="Times New Roman"/>
          <w:szCs w:val="24"/>
        </w:rPr>
        <w:t xml:space="preserve"> has taken and will take to achieve a net stable funding ratio equal to or greater than 1.0 as required under </w:t>
      </w:r>
      <w:r w:rsidR="00CC3CED">
        <w:rPr>
          <w:rFonts w:ascii="Times New Roman" w:hAnsi="Times New Roman"/>
          <w:szCs w:val="24"/>
        </w:rPr>
        <w:t>section 50.100</w:t>
      </w:r>
      <w:r w:rsidRPr="00D1341B">
        <w:rPr>
          <w:rFonts w:ascii="Times New Roman" w:hAnsi="Times New Roman"/>
          <w:szCs w:val="24"/>
        </w:rPr>
        <w:t>, including</w:t>
      </w:r>
      <w:r>
        <w:rPr>
          <w:rFonts w:ascii="Times New Roman" w:hAnsi="Times New Roman"/>
          <w:szCs w:val="24"/>
        </w:rPr>
        <w:t xml:space="preserve"> (a</w:t>
      </w:r>
      <w:r w:rsidRPr="00D1341B">
        <w:rPr>
          <w:rFonts w:ascii="Times New Roman" w:hAnsi="Times New Roman"/>
          <w:szCs w:val="24"/>
        </w:rPr>
        <w:t xml:space="preserve">) </w:t>
      </w:r>
      <w:r>
        <w:rPr>
          <w:rFonts w:ascii="Times New Roman" w:hAnsi="Times New Roman"/>
          <w:szCs w:val="24"/>
        </w:rPr>
        <w:t>a</w:t>
      </w:r>
      <w:r w:rsidRPr="00D1341B">
        <w:rPr>
          <w:rFonts w:ascii="Times New Roman" w:hAnsi="Times New Roman"/>
          <w:szCs w:val="24"/>
        </w:rPr>
        <w:t xml:space="preserve"> plan for adjusting the </w:t>
      </w:r>
      <w:r w:rsidR="00B7392F">
        <w:rPr>
          <w:rFonts w:ascii="Times New Roman" w:hAnsi="Times New Roman"/>
          <w:szCs w:val="24"/>
        </w:rPr>
        <w:t>covered bank</w:t>
      </w:r>
      <w:r w:rsidRPr="00D1341B">
        <w:rPr>
          <w:rFonts w:ascii="Times New Roman" w:hAnsi="Times New Roman"/>
          <w:szCs w:val="24"/>
        </w:rPr>
        <w:t xml:space="preserve">'s liquidity profile; </w:t>
      </w:r>
      <w:r>
        <w:rPr>
          <w:rFonts w:ascii="Times New Roman" w:hAnsi="Times New Roman"/>
          <w:szCs w:val="24"/>
        </w:rPr>
        <w:t xml:space="preserve">and </w:t>
      </w:r>
      <w:r w:rsidRPr="00D1341B">
        <w:rPr>
          <w:rFonts w:ascii="Times New Roman" w:hAnsi="Times New Roman"/>
          <w:szCs w:val="24"/>
        </w:rPr>
        <w:t>(</w:t>
      </w:r>
      <w:r>
        <w:rPr>
          <w:rFonts w:ascii="Times New Roman" w:hAnsi="Times New Roman"/>
          <w:szCs w:val="24"/>
        </w:rPr>
        <w:t>b</w:t>
      </w:r>
      <w:r w:rsidRPr="00D1341B">
        <w:rPr>
          <w:rFonts w:ascii="Times New Roman" w:hAnsi="Times New Roman"/>
          <w:szCs w:val="24"/>
        </w:rPr>
        <w:t xml:space="preserve">) </w:t>
      </w:r>
      <w:r>
        <w:rPr>
          <w:rFonts w:ascii="Times New Roman" w:hAnsi="Times New Roman"/>
          <w:szCs w:val="24"/>
        </w:rPr>
        <w:t>a</w:t>
      </w:r>
      <w:r w:rsidRPr="00D1341B">
        <w:rPr>
          <w:rFonts w:ascii="Times New Roman" w:hAnsi="Times New Roman"/>
          <w:szCs w:val="24"/>
        </w:rPr>
        <w:t xml:space="preserve"> plan for remediating any operational or management issues that contributed to noncompliance with </w:t>
      </w:r>
      <w:r>
        <w:rPr>
          <w:rFonts w:ascii="Times New Roman" w:hAnsi="Times New Roman"/>
          <w:szCs w:val="24"/>
        </w:rPr>
        <w:t>the NSFR  requirement;</w:t>
      </w:r>
      <w:r w:rsidRPr="00D1341B">
        <w:rPr>
          <w:rFonts w:ascii="Times New Roman" w:hAnsi="Times New Roman"/>
          <w:szCs w:val="24"/>
        </w:rPr>
        <w:t xml:space="preserve"> and (</w:t>
      </w:r>
      <w:r>
        <w:rPr>
          <w:rFonts w:ascii="Times New Roman" w:hAnsi="Times New Roman"/>
          <w:szCs w:val="24"/>
        </w:rPr>
        <w:t>3</w:t>
      </w:r>
      <w:r w:rsidRPr="00D1341B">
        <w:rPr>
          <w:rFonts w:ascii="Times New Roman" w:hAnsi="Times New Roman"/>
          <w:szCs w:val="24"/>
        </w:rPr>
        <w:t xml:space="preserve">) </w:t>
      </w:r>
      <w:r>
        <w:rPr>
          <w:rFonts w:ascii="Times New Roman" w:hAnsi="Times New Roman"/>
          <w:szCs w:val="24"/>
        </w:rPr>
        <w:t>a</w:t>
      </w:r>
      <w:r w:rsidRPr="00D1341B">
        <w:rPr>
          <w:rFonts w:ascii="Times New Roman" w:hAnsi="Times New Roman"/>
          <w:szCs w:val="24"/>
        </w:rPr>
        <w:t>n estimated time frame for achieving full compliance with</w:t>
      </w:r>
      <w:r w:rsidR="00AC4138">
        <w:rPr>
          <w:rFonts w:ascii="Times New Roman" w:hAnsi="Times New Roman"/>
          <w:szCs w:val="24"/>
        </w:rPr>
        <w:t xml:space="preserve"> </w:t>
      </w:r>
      <w:r w:rsidR="00CC3CED">
        <w:rPr>
          <w:rFonts w:ascii="Times New Roman" w:hAnsi="Times New Roman"/>
          <w:szCs w:val="24"/>
        </w:rPr>
        <w:t>section 50.100</w:t>
      </w:r>
      <w:r w:rsidRPr="00AC4138">
        <w:rPr>
          <w:rFonts w:ascii="Times New Roman" w:hAnsi="Times New Roman"/>
          <w:szCs w:val="24"/>
        </w:rPr>
        <w:t>.</w:t>
      </w:r>
    </w:p>
    <w:p w:rsidR="00D1341B" w:rsidP="00B44C7E" w14:paraId="6F25C4EA" w14:textId="77777777">
      <w:pPr>
        <w:contextualSpacing/>
        <w:rPr>
          <w:rFonts w:ascii="Times New Roman" w:hAnsi="Times New Roman"/>
          <w:szCs w:val="24"/>
        </w:rPr>
      </w:pPr>
    </w:p>
    <w:p w:rsidR="00D1341B" w:rsidRPr="00D1341B" w:rsidP="00D1341B" w14:paraId="36FC6631" w14:textId="77777777">
      <w:pPr>
        <w:contextualSpacing/>
        <w:rPr>
          <w:rFonts w:ascii="Times New Roman" w:hAnsi="Times New Roman"/>
          <w:szCs w:val="24"/>
        </w:rPr>
      </w:pPr>
      <w:r w:rsidRPr="00D1341B">
        <w:rPr>
          <w:rFonts w:ascii="Times New Roman" w:hAnsi="Times New Roman"/>
          <w:i/>
          <w:iCs/>
          <w:szCs w:val="24"/>
        </w:rPr>
        <w:t>Recordkeeping Requirements</w:t>
      </w:r>
    </w:p>
    <w:p w:rsidR="00866BB6" w:rsidP="00B44C7E" w14:paraId="7113A08F" w14:textId="77777777">
      <w:pPr>
        <w:contextualSpacing/>
        <w:rPr>
          <w:rFonts w:ascii="Times New Roman" w:hAnsi="Times New Roman"/>
          <w:szCs w:val="24"/>
        </w:rPr>
      </w:pPr>
    </w:p>
    <w:p w:rsidR="00265C59" w:rsidRPr="00265C59" w:rsidP="00265C59" w14:paraId="34B6DB21" w14:textId="2D9D6C11">
      <w:pPr>
        <w:contextualSpacing/>
        <w:rPr>
          <w:rFonts w:ascii="Times New Roman" w:hAnsi="Times New Roman"/>
          <w:szCs w:val="24"/>
        </w:rPr>
      </w:pPr>
      <w:r>
        <w:rPr>
          <w:rFonts w:ascii="Times New Roman" w:hAnsi="Times New Roman"/>
          <w:szCs w:val="24"/>
        </w:rPr>
        <w:tab/>
      </w:r>
      <w:r>
        <w:rPr>
          <w:rFonts w:ascii="Times New Roman" w:hAnsi="Times New Roman"/>
          <w:szCs w:val="24"/>
        </w:rPr>
        <w:t xml:space="preserve">Section 50.4(a)(1) provides that in order for a </w:t>
      </w:r>
      <w:r w:rsidR="00B7392F">
        <w:rPr>
          <w:rFonts w:ascii="Times New Roman" w:hAnsi="Times New Roman"/>
          <w:szCs w:val="24"/>
        </w:rPr>
        <w:t>covered bank</w:t>
      </w:r>
      <w:r>
        <w:rPr>
          <w:rFonts w:ascii="Times New Roman" w:hAnsi="Times New Roman"/>
          <w:szCs w:val="24"/>
        </w:rPr>
        <w:t xml:space="preserve"> </w:t>
      </w:r>
      <w:r w:rsidRPr="00265C59">
        <w:rPr>
          <w:rFonts w:ascii="Times New Roman" w:hAnsi="Times New Roman"/>
          <w:szCs w:val="24"/>
        </w:rPr>
        <w:t xml:space="preserve">to recognize an agreement as a qualifying master netting agreement </w:t>
      </w:r>
      <w:r>
        <w:rPr>
          <w:rFonts w:ascii="Times New Roman" w:hAnsi="Times New Roman"/>
          <w:szCs w:val="24"/>
        </w:rPr>
        <w:t xml:space="preserve">for the purpose of section 50.3, the </w:t>
      </w:r>
      <w:r w:rsidR="00B7392F">
        <w:rPr>
          <w:rFonts w:ascii="Times New Roman" w:hAnsi="Times New Roman"/>
          <w:szCs w:val="24"/>
        </w:rPr>
        <w:t>covered bank</w:t>
      </w:r>
      <w:r>
        <w:rPr>
          <w:rFonts w:ascii="Times New Roman" w:hAnsi="Times New Roman"/>
          <w:szCs w:val="24"/>
        </w:rPr>
        <w:t xml:space="preserve"> must c</w:t>
      </w:r>
      <w:r w:rsidRPr="00265C59">
        <w:rPr>
          <w:rFonts w:ascii="Times New Roman" w:hAnsi="Times New Roman"/>
          <w:szCs w:val="24"/>
        </w:rPr>
        <w:t xml:space="preserve">onduct </w:t>
      </w:r>
      <w:r>
        <w:rPr>
          <w:rFonts w:ascii="Times New Roman" w:hAnsi="Times New Roman"/>
          <w:szCs w:val="24"/>
        </w:rPr>
        <w:t xml:space="preserve">a </w:t>
      </w:r>
      <w:r w:rsidRPr="00265C59">
        <w:rPr>
          <w:rFonts w:ascii="Times New Roman" w:hAnsi="Times New Roman"/>
          <w:szCs w:val="24"/>
        </w:rPr>
        <w:t xml:space="preserve">sufficient legal review to conclude with a well-founded basis (and maintain sufficient written documentation of that legal review) that: (i) </w:t>
      </w:r>
      <w:r>
        <w:rPr>
          <w:rFonts w:ascii="Times New Roman" w:hAnsi="Times New Roman"/>
          <w:szCs w:val="24"/>
        </w:rPr>
        <w:t>t</w:t>
      </w:r>
      <w:r w:rsidRPr="00265C59">
        <w:rPr>
          <w:rFonts w:ascii="Times New Roman" w:hAnsi="Times New Roman"/>
          <w:szCs w:val="24"/>
        </w:rPr>
        <w:t xml:space="preserve">he agreement meets the requirements of the definition of qualifying master netting agreement in </w:t>
      </w:r>
      <w:r w:rsidR="00CC3CED">
        <w:rPr>
          <w:rFonts w:ascii="Times New Roman" w:hAnsi="Times New Roman"/>
          <w:szCs w:val="24"/>
        </w:rPr>
        <w:t>section 50.3</w:t>
      </w:r>
      <w:r w:rsidR="004E489B">
        <w:rPr>
          <w:rFonts w:ascii="Times New Roman" w:hAnsi="Times New Roman"/>
          <w:szCs w:val="24"/>
        </w:rPr>
        <w:t>,</w:t>
      </w:r>
      <w:r w:rsidRPr="00265C59">
        <w:rPr>
          <w:rFonts w:ascii="Times New Roman" w:hAnsi="Times New Roman"/>
          <w:szCs w:val="24"/>
        </w:rPr>
        <w:t xml:space="preserve"> and (ii) </w:t>
      </w:r>
      <w:r>
        <w:rPr>
          <w:rFonts w:ascii="Times New Roman" w:hAnsi="Times New Roman"/>
          <w:szCs w:val="24"/>
        </w:rPr>
        <w:t xml:space="preserve">in </w:t>
      </w:r>
      <w:r w:rsidRPr="00265C59">
        <w:rPr>
          <w:rFonts w:ascii="Times New Roman" w:hAnsi="Times New Roman"/>
          <w:szCs w:val="24"/>
        </w:rPr>
        <w:t>the event of a legal challenge</w:t>
      </w:r>
      <w:r w:rsidR="00787DD1">
        <w:rPr>
          <w:rFonts w:ascii="Times New Roman" w:hAnsi="Times New Roman"/>
          <w:szCs w:val="24"/>
        </w:rPr>
        <w:t>,</w:t>
      </w:r>
      <w:r w:rsidRPr="00265C59">
        <w:rPr>
          <w:rFonts w:ascii="Times New Roman" w:hAnsi="Times New Roman"/>
          <w:szCs w:val="24"/>
        </w:rPr>
        <w:t xml:space="preserve"> the relevant judicial and administrative authorities would find the agreement to be legal, valid, binding, and enforceable under the law of the relevant jurisdictions</w:t>
      </w:r>
      <w:r w:rsidR="00AC4138">
        <w:rPr>
          <w:rFonts w:ascii="Times New Roman" w:hAnsi="Times New Roman"/>
          <w:szCs w:val="24"/>
        </w:rPr>
        <w:t>.</w:t>
      </w:r>
    </w:p>
    <w:p w:rsidR="00265C59" w:rsidP="00B44C7E" w14:paraId="7DCC1867" w14:textId="66014193">
      <w:pPr>
        <w:contextualSpacing/>
        <w:rPr>
          <w:rFonts w:ascii="Times New Roman" w:hAnsi="Times New Roman"/>
          <w:szCs w:val="24"/>
        </w:rPr>
      </w:pPr>
    </w:p>
    <w:p w:rsidR="00265C59" w:rsidP="00B44C7E" w14:paraId="790D45A6" w14:textId="512B9E28">
      <w:pPr>
        <w:contextualSpacing/>
        <w:rPr>
          <w:rFonts w:ascii="Times New Roman" w:hAnsi="Times New Roman"/>
          <w:szCs w:val="24"/>
        </w:rPr>
      </w:pPr>
      <w:r>
        <w:rPr>
          <w:rFonts w:ascii="Times New Roman" w:hAnsi="Times New Roman"/>
          <w:szCs w:val="24"/>
        </w:rPr>
        <w:tab/>
        <w:t xml:space="preserve">Section 50.4(a)(2) </w:t>
      </w:r>
      <w:r w:rsidR="00787DD1">
        <w:rPr>
          <w:rFonts w:ascii="Times New Roman" w:hAnsi="Times New Roman"/>
          <w:szCs w:val="24"/>
        </w:rPr>
        <w:t xml:space="preserve">also </w:t>
      </w:r>
      <w:r>
        <w:rPr>
          <w:rFonts w:ascii="Times New Roman" w:hAnsi="Times New Roman"/>
          <w:szCs w:val="24"/>
        </w:rPr>
        <w:t xml:space="preserve">requires a </w:t>
      </w:r>
      <w:r w:rsidR="00B7392F">
        <w:rPr>
          <w:rFonts w:ascii="Times New Roman" w:hAnsi="Times New Roman"/>
          <w:szCs w:val="24"/>
        </w:rPr>
        <w:t>covered bank</w:t>
      </w:r>
      <w:r>
        <w:rPr>
          <w:rFonts w:ascii="Times New Roman" w:hAnsi="Times New Roman"/>
          <w:szCs w:val="24"/>
        </w:rPr>
        <w:t xml:space="preserve"> to establish and maintain written procedures to monitor possible changes in relevant law and to ensure that the agreement continues to satisfy the requirements </w:t>
      </w:r>
      <w:r w:rsidR="003D4059">
        <w:rPr>
          <w:rFonts w:ascii="Times New Roman" w:hAnsi="Times New Roman"/>
          <w:szCs w:val="24"/>
        </w:rPr>
        <w:t xml:space="preserve">of the definition of qualifying master netting agreement in section 50.3. </w:t>
      </w:r>
    </w:p>
    <w:p w:rsidR="003D4059" w:rsidP="00B44C7E" w14:paraId="600C165B" w14:textId="77777777">
      <w:pPr>
        <w:contextualSpacing/>
        <w:rPr>
          <w:rFonts w:ascii="Times New Roman" w:hAnsi="Times New Roman"/>
          <w:szCs w:val="24"/>
        </w:rPr>
      </w:pPr>
    </w:p>
    <w:p w:rsidR="009C00FE" w:rsidP="00B44C7E" w14:paraId="44E28AA5" w14:textId="77CF0C92">
      <w:pPr>
        <w:contextualSpacing/>
        <w:rPr>
          <w:rFonts w:ascii="Times New Roman" w:hAnsi="Times New Roman"/>
          <w:szCs w:val="24"/>
        </w:rPr>
      </w:pPr>
      <w:r>
        <w:rPr>
          <w:rFonts w:ascii="Times New Roman" w:hAnsi="Times New Roman"/>
          <w:szCs w:val="24"/>
        </w:rPr>
        <w:tab/>
        <w:t xml:space="preserve">Section 50.22(a)(1) </w:t>
      </w:r>
      <w:r w:rsidR="00985850">
        <w:rPr>
          <w:rFonts w:ascii="Times New Roman" w:hAnsi="Times New Roman"/>
          <w:szCs w:val="24"/>
        </w:rPr>
        <w:t xml:space="preserve">requires a </w:t>
      </w:r>
      <w:r w:rsidR="00B7392F">
        <w:rPr>
          <w:rFonts w:ascii="Times New Roman" w:hAnsi="Times New Roman"/>
          <w:szCs w:val="24"/>
        </w:rPr>
        <w:t>covered bank</w:t>
      </w:r>
      <w:r w:rsidR="00985850">
        <w:rPr>
          <w:rFonts w:ascii="Times New Roman" w:hAnsi="Times New Roman"/>
          <w:szCs w:val="24"/>
        </w:rPr>
        <w:t xml:space="preserve"> to demonstrate the operational capability to monetize the </w:t>
      </w:r>
      <w:r w:rsidR="00EB6395">
        <w:rPr>
          <w:rFonts w:ascii="Times New Roman" w:hAnsi="Times New Roman"/>
          <w:szCs w:val="24"/>
        </w:rPr>
        <w:t xml:space="preserve">bank’s </w:t>
      </w:r>
      <w:r w:rsidR="00985850">
        <w:rPr>
          <w:rFonts w:ascii="Times New Roman" w:hAnsi="Times New Roman"/>
          <w:szCs w:val="24"/>
        </w:rPr>
        <w:t xml:space="preserve">HQLA </w:t>
      </w:r>
      <w:r w:rsidRPr="00A867CF" w:rsidR="00A867CF">
        <w:rPr>
          <w:rFonts w:ascii="Times New Roman" w:hAnsi="Times New Roman"/>
          <w:szCs w:val="24"/>
        </w:rPr>
        <w:t>(</w:t>
      </w:r>
      <w:r w:rsidRPr="00D70629" w:rsidR="00A867CF">
        <w:rPr>
          <w:rFonts w:ascii="Times New Roman" w:hAnsi="Times New Roman"/>
          <w:i/>
          <w:iCs/>
          <w:szCs w:val="24"/>
        </w:rPr>
        <w:t>i.e.</w:t>
      </w:r>
      <w:r w:rsidRPr="00A867CF" w:rsidR="00A867CF">
        <w:rPr>
          <w:rFonts w:ascii="Times New Roman" w:hAnsi="Times New Roman"/>
          <w:szCs w:val="24"/>
        </w:rPr>
        <w:t xml:space="preserve">, high-quality liquid assets) </w:t>
      </w:r>
      <w:r w:rsidR="00985850">
        <w:rPr>
          <w:rFonts w:ascii="Times New Roman" w:hAnsi="Times New Roman"/>
          <w:szCs w:val="24"/>
        </w:rPr>
        <w:t xml:space="preserve">by implementing and maintaining procedures and systems to monetize any HQLA at any time </w:t>
      </w:r>
      <w:r w:rsidRPr="00985850" w:rsidR="00985850">
        <w:rPr>
          <w:rFonts w:ascii="Times New Roman" w:hAnsi="Times New Roman"/>
          <w:szCs w:val="24"/>
        </w:rPr>
        <w:t>in accordance with relevant standard settlement periods and procedures and</w:t>
      </w:r>
      <w:r w:rsidR="00985850">
        <w:rPr>
          <w:rFonts w:ascii="Times New Roman" w:hAnsi="Times New Roman"/>
          <w:szCs w:val="24"/>
        </w:rPr>
        <w:t xml:space="preserve"> p</w:t>
      </w:r>
      <w:r w:rsidRPr="001F3923" w:rsidR="001F3923">
        <w:rPr>
          <w:rFonts w:ascii="Times New Roman" w:hAnsi="Times New Roman"/>
          <w:szCs w:val="24"/>
        </w:rPr>
        <w:t>eriodically monetizing a sample of</w:t>
      </w:r>
      <w:r w:rsidR="00787DD1">
        <w:rPr>
          <w:rFonts w:ascii="Times New Roman" w:hAnsi="Times New Roman"/>
          <w:szCs w:val="24"/>
        </w:rPr>
        <w:t xml:space="preserve"> the</w:t>
      </w:r>
      <w:r w:rsidRPr="001F3923" w:rsidR="001F3923">
        <w:rPr>
          <w:rFonts w:ascii="Times New Roman" w:hAnsi="Times New Roman"/>
          <w:szCs w:val="24"/>
        </w:rPr>
        <w:t xml:space="preserve"> HQLA that reflects the composition of the </w:t>
      </w:r>
      <w:r w:rsidR="00B7392F">
        <w:rPr>
          <w:rFonts w:ascii="Times New Roman" w:hAnsi="Times New Roman"/>
          <w:szCs w:val="24"/>
        </w:rPr>
        <w:t>covered bank</w:t>
      </w:r>
      <w:r w:rsidR="001F3923">
        <w:rPr>
          <w:rFonts w:ascii="Times New Roman" w:hAnsi="Times New Roman"/>
          <w:szCs w:val="24"/>
        </w:rPr>
        <w:t>’</w:t>
      </w:r>
      <w:r w:rsidRPr="001F3923" w:rsidR="001F3923">
        <w:rPr>
          <w:rFonts w:ascii="Times New Roman" w:hAnsi="Times New Roman"/>
          <w:szCs w:val="24"/>
        </w:rPr>
        <w:t>s eligible HQLA</w:t>
      </w:r>
      <w:r w:rsidR="001F3923">
        <w:rPr>
          <w:rFonts w:ascii="Times New Roman" w:hAnsi="Times New Roman"/>
          <w:szCs w:val="24"/>
        </w:rPr>
        <w:t>.</w:t>
      </w:r>
    </w:p>
    <w:p w:rsidR="009C00FE" w:rsidP="00B44C7E" w14:paraId="3EAB5409" w14:textId="77777777">
      <w:pPr>
        <w:contextualSpacing/>
        <w:rPr>
          <w:rFonts w:ascii="Times New Roman" w:hAnsi="Times New Roman"/>
          <w:szCs w:val="24"/>
        </w:rPr>
      </w:pPr>
    </w:p>
    <w:p w:rsidR="003D4059" w:rsidP="00CC3CED" w14:paraId="270B02FF" w14:textId="59EA6F9C">
      <w:pPr>
        <w:ind w:firstLine="720"/>
        <w:contextualSpacing/>
        <w:rPr>
          <w:rFonts w:ascii="Times New Roman" w:hAnsi="Times New Roman"/>
          <w:szCs w:val="24"/>
        </w:rPr>
      </w:pPr>
      <w:r>
        <w:rPr>
          <w:rFonts w:ascii="Times New Roman" w:hAnsi="Times New Roman"/>
          <w:szCs w:val="24"/>
        </w:rPr>
        <w:t xml:space="preserve">Section 50.22(a)(2) requires a </w:t>
      </w:r>
      <w:r w:rsidR="00B7392F">
        <w:rPr>
          <w:rFonts w:ascii="Times New Roman" w:hAnsi="Times New Roman"/>
          <w:szCs w:val="24"/>
        </w:rPr>
        <w:t>covered bank</w:t>
      </w:r>
      <w:r>
        <w:rPr>
          <w:rFonts w:ascii="Times New Roman" w:hAnsi="Times New Roman"/>
          <w:szCs w:val="24"/>
        </w:rPr>
        <w:t xml:space="preserve"> to implement policies that require </w:t>
      </w:r>
      <w:r w:rsidR="00787DD1">
        <w:rPr>
          <w:rFonts w:ascii="Times New Roman" w:hAnsi="Times New Roman"/>
          <w:szCs w:val="24"/>
        </w:rPr>
        <w:t xml:space="preserve">the </w:t>
      </w:r>
      <w:r>
        <w:rPr>
          <w:rFonts w:ascii="Times New Roman" w:hAnsi="Times New Roman"/>
          <w:szCs w:val="24"/>
        </w:rPr>
        <w:t>eligible HQLA to be under the control of th</w:t>
      </w:r>
      <w:r w:rsidR="009C00FE">
        <w:rPr>
          <w:rFonts w:ascii="Times New Roman" w:hAnsi="Times New Roman"/>
          <w:szCs w:val="24"/>
        </w:rPr>
        <w:t xml:space="preserve">e </w:t>
      </w:r>
      <w:r w:rsidRPr="009C00FE" w:rsidR="009C00FE">
        <w:rPr>
          <w:rFonts w:ascii="Times New Roman" w:hAnsi="Times New Roman"/>
          <w:szCs w:val="24"/>
        </w:rPr>
        <w:t xml:space="preserve">management function in the </w:t>
      </w:r>
      <w:r w:rsidR="00B7392F">
        <w:rPr>
          <w:rFonts w:ascii="Times New Roman" w:hAnsi="Times New Roman"/>
          <w:szCs w:val="24"/>
        </w:rPr>
        <w:t>covered bank</w:t>
      </w:r>
      <w:r w:rsidRPr="009C00FE" w:rsidR="009C00FE">
        <w:rPr>
          <w:rFonts w:ascii="Times New Roman" w:hAnsi="Times New Roman"/>
          <w:szCs w:val="24"/>
        </w:rPr>
        <w:t xml:space="preserve"> that is charged with managing liquidity risk</w:t>
      </w:r>
      <w:r w:rsidR="009C00FE">
        <w:rPr>
          <w:rFonts w:ascii="Times New Roman" w:hAnsi="Times New Roman"/>
          <w:szCs w:val="24"/>
        </w:rPr>
        <w:t>.</w:t>
      </w:r>
      <w:r w:rsidRPr="009C00FE" w:rsidR="009C00FE">
        <w:rPr>
          <w:rFonts w:ascii="Times New Roman" w:hAnsi="Times New Roman"/>
          <w:szCs w:val="24"/>
        </w:rPr>
        <w:t xml:space="preserve"> </w:t>
      </w:r>
      <w:r w:rsidR="009C00FE">
        <w:rPr>
          <w:rFonts w:ascii="Times New Roman" w:hAnsi="Times New Roman"/>
          <w:szCs w:val="24"/>
        </w:rPr>
        <w:t xml:space="preserve"> The</w:t>
      </w:r>
      <w:r w:rsidRPr="009C00FE" w:rsidR="009C00FE">
        <w:rPr>
          <w:rFonts w:ascii="Times New Roman" w:hAnsi="Times New Roman"/>
          <w:szCs w:val="24"/>
        </w:rPr>
        <w:t xml:space="preserve"> management function must evidence its control over the HQLA by </w:t>
      </w:r>
      <w:r w:rsidR="009C00FE">
        <w:rPr>
          <w:rFonts w:ascii="Times New Roman" w:hAnsi="Times New Roman"/>
          <w:szCs w:val="24"/>
        </w:rPr>
        <w:t>s</w:t>
      </w:r>
      <w:r w:rsidRPr="009C00FE" w:rsidR="009C00FE">
        <w:rPr>
          <w:rFonts w:ascii="Times New Roman" w:hAnsi="Times New Roman"/>
          <w:szCs w:val="24"/>
        </w:rPr>
        <w:t xml:space="preserve">egregating the HQLA from other assets, with the sole intent to use the HQLA as a source of </w:t>
      </w:r>
      <w:r w:rsidRPr="009C00FE" w:rsidR="00CC3CED">
        <w:rPr>
          <w:rFonts w:ascii="Times New Roman" w:hAnsi="Times New Roman"/>
          <w:szCs w:val="24"/>
        </w:rPr>
        <w:t>liquidity</w:t>
      </w:r>
      <w:r w:rsidR="00EB6395">
        <w:rPr>
          <w:rFonts w:ascii="Times New Roman" w:hAnsi="Times New Roman"/>
          <w:szCs w:val="24"/>
        </w:rPr>
        <w:t>,</w:t>
      </w:r>
      <w:r w:rsidR="00CC3CED">
        <w:rPr>
          <w:rFonts w:ascii="Times New Roman" w:hAnsi="Times New Roman"/>
          <w:szCs w:val="24"/>
        </w:rPr>
        <w:t xml:space="preserve"> or</w:t>
      </w:r>
      <w:r w:rsidR="009C00FE">
        <w:rPr>
          <w:rFonts w:ascii="Times New Roman" w:hAnsi="Times New Roman"/>
          <w:szCs w:val="24"/>
        </w:rPr>
        <w:t xml:space="preserve"> </w:t>
      </w:r>
      <w:r w:rsidR="00EB6395">
        <w:rPr>
          <w:rFonts w:ascii="Times New Roman" w:hAnsi="Times New Roman"/>
          <w:szCs w:val="24"/>
        </w:rPr>
        <w:t xml:space="preserve">by </w:t>
      </w:r>
      <w:r w:rsidR="009C00FE">
        <w:rPr>
          <w:rFonts w:ascii="Times New Roman" w:hAnsi="Times New Roman"/>
          <w:szCs w:val="24"/>
        </w:rPr>
        <w:t>d</w:t>
      </w:r>
      <w:r w:rsidRPr="009C00FE" w:rsidR="009C00FE">
        <w:rPr>
          <w:rFonts w:ascii="Times New Roman" w:hAnsi="Times New Roman"/>
          <w:szCs w:val="24"/>
        </w:rPr>
        <w:t xml:space="preserve">emonstrating the ability to monetize the assets and making the proceeds available to the liquidity management function without conflicting with a business or risk management strategy of the </w:t>
      </w:r>
      <w:r w:rsidR="00B7392F">
        <w:rPr>
          <w:rFonts w:ascii="Times New Roman" w:hAnsi="Times New Roman"/>
          <w:szCs w:val="24"/>
        </w:rPr>
        <w:t>covered bank</w:t>
      </w:r>
      <w:r w:rsidR="009C00FE">
        <w:rPr>
          <w:rFonts w:ascii="Times New Roman" w:hAnsi="Times New Roman"/>
          <w:szCs w:val="24"/>
        </w:rPr>
        <w:t>.</w:t>
      </w:r>
    </w:p>
    <w:p w:rsidR="001F3923" w:rsidP="00B44C7E" w14:paraId="753B0890" w14:textId="77777777">
      <w:pPr>
        <w:contextualSpacing/>
        <w:rPr>
          <w:rFonts w:ascii="Times New Roman" w:hAnsi="Times New Roman"/>
          <w:szCs w:val="24"/>
        </w:rPr>
      </w:pPr>
    </w:p>
    <w:p w:rsidR="00303C13" w:rsidP="00B44C7E" w14:paraId="68FE9EB5" w14:textId="39CED0A5">
      <w:pPr>
        <w:contextualSpacing/>
        <w:rPr>
          <w:rFonts w:ascii="Times New Roman" w:hAnsi="Times New Roman"/>
          <w:szCs w:val="24"/>
        </w:rPr>
      </w:pPr>
      <w:r>
        <w:rPr>
          <w:rFonts w:ascii="Times New Roman" w:hAnsi="Times New Roman"/>
          <w:szCs w:val="24"/>
        </w:rPr>
        <w:tab/>
        <w:t xml:space="preserve">Section 50.22(a)(4) requires a </w:t>
      </w:r>
      <w:r w:rsidR="00B7392F">
        <w:rPr>
          <w:rFonts w:ascii="Times New Roman" w:hAnsi="Times New Roman"/>
          <w:szCs w:val="24"/>
        </w:rPr>
        <w:t>covered bank</w:t>
      </w:r>
      <w:r>
        <w:rPr>
          <w:rFonts w:ascii="Times New Roman" w:hAnsi="Times New Roman"/>
          <w:szCs w:val="24"/>
        </w:rPr>
        <w:t xml:space="preserve"> to </w:t>
      </w:r>
      <w:r w:rsidRPr="009C00FE">
        <w:rPr>
          <w:rFonts w:ascii="Times New Roman" w:hAnsi="Times New Roman"/>
          <w:szCs w:val="24"/>
        </w:rPr>
        <w:t>implement and maintain policies and procedures that determine the composition of its eligible HQLA on each calculation date</w:t>
      </w:r>
      <w:r w:rsidR="005C1E96">
        <w:rPr>
          <w:rFonts w:ascii="Times New Roman" w:hAnsi="Times New Roman"/>
          <w:szCs w:val="24"/>
        </w:rPr>
        <w:t>, by identifying, determining, and ensuring certain required steps</w:t>
      </w:r>
      <w:r>
        <w:rPr>
          <w:rFonts w:ascii="Times New Roman" w:hAnsi="Times New Roman"/>
          <w:szCs w:val="24"/>
        </w:rPr>
        <w:t>.</w:t>
      </w:r>
    </w:p>
    <w:p w:rsidR="00303C13" w:rsidP="00B44C7E" w14:paraId="359CE0AA" w14:textId="77777777">
      <w:pPr>
        <w:contextualSpacing/>
        <w:rPr>
          <w:rFonts w:ascii="Times New Roman" w:hAnsi="Times New Roman"/>
          <w:szCs w:val="24"/>
        </w:rPr>
      </w:pPr>
    </w:p>
    <w:p w:rsidR="005C1E96" w:rsidP="00B44C7E" w14:paraId="203160D0" w14:textId="02BA36C6">
      <w:pPr>
        <w:contextualSpacing/>
        <w:rPr>
          <w:rFonts w:ascii="Times New Roman" w:hAnsi="Times New Roman"/>
          <w:szCs w:val="24"/>
        </w:rPr>
      </w:pPr>
      <w:r>
        <w:rPr>
          <w:rFonts w:ascii="Times New Roman" w:hAnsi="Times New Roman"/>
          <w:szCs w:val="24"/>
        </w:rPr>
        <w:tab/>
        <w:t xml:space="preserve">Section 50.22(a)(5) requires a </w:t>
      </w:r>
      <w:r w:rsidR="00B7392F">
        <w:rPr>
          <w:rFonts w:ascii="Times New Roman" w:hAnsi="Times New Roman"/>
          <w:szCs w:val="24"/>
        </w:rPr>
        <w:t>covered bank</w:t>
      </w:r>
      <w:r>
        <w:rPr>
          <w:rFonts w:ascii="Times New Roman" w:hAnsi="Times New Roman"/>
          <w:szCs w:val="24"/>
        </w:rPr>
        <w:t xml:space="preserve"> to have </w:t>
      </w:r>
      <w:r w:rsidRPr="005C1E96">
        <w:rPr>
          <w:rFonts w:ascii="Times New Roman" w:hAnsi="Times New Roman"/>
          <w:szCs w:val="24"/>
        </w:rPr>
        <w:t>a documented methodology that results in a consistent treatment for determining that the</w:t>
      </w:r>
      <w:r w:rsidR="004E489B">
        <w:rPr>
          <w:rFonts w:ascii="Times New Roman" w:hAnsi="Times New Roman"/>
          <w:szCs w:val="24"/>
        </w:rPr>
        <w:t xml:space="preserve"> </w:t>
      </w:r>
      <w:r w:rsidR="004E1C6B">
        <w:rPr>
          <w:rFonts w:ascii="Times New Roman" w:hAnsi="Times New Roman"/>
          <w:szCs w:val="24"/>
        </w:rPr>
        <w:t>covered bank</w:t>
      </w:r>
      <w:r w:rsidR="00B83872">
        <w:rPr>
          <w:rFonts w:ascii="Times New Roman" w:hAnsi="Times New Roman"/>
          <w:szCs w:val="24"/>
        </w:rPr>
        <w:t xml:space="preserve">’s </w:t>
      </w:r>
      <w:r w:rsidRPr="005C1E96">
        <w:rPr>
          <w:rFonts w:ascii="Times New Roman" w:hAnsi="Times New Roman"/>
          <w:szCs w:val="24"/>
        </w:rPr>
        <w:t xml:space="preserve">eligible HQLA meet the </w:t>
      </w:r>
      <w:r w:rsidRPr="005C1E96">
        <w:rPr>
          <w:rFonts w:ascii="Times New Roman" w:hAnsi="Times New Roman"/>
          <w:szCs w:val="24"/>
        </w:rPr>
        <w:t xml:space="preserve">requirements </w:t>
      </w:r>
      <w:r>
        <w:rPr>
          <w:rFonts w:ascii="Times New Roman" w:hAnsi="Times New Roman"/>
          <w:szCs w:val="24"/>
        </w:rPr>
        <w:t>of section 50.22.</w:t>
      </w:r>
    </w:p>
    <w:p w:rsidR="005C1E96" w:rsidP="00B44C7E" w14:paraId="1792355E" w14:textId="77777777">
      <w:pPr>
        <w:contextualSpacing/>
        <w:rPr>
          <w:rFonts w:ascii="Times New Roman" w:hAnsi="Times New Roman"/>
          <w:szCs w:val="24"/>
        </w:rPr>
      </w:pPr>
    </w:p>
    <w:p w:rsidR="00B44C7E" w:rsidP="00CC3CED" w14:paraId="19037700" w14:textId="0620033D">
      <w:pPr>
        <w:ind w:firstLine="720"/>
        <w:contextualSpacing/>
        <w:rPr>
          <w:rFonts w:ascii="Times New Roman" w:hAnsi="Times New Roman"/>
          <w:szCs w:val="24"/>
        </w:rPr>
      </w:pPr>
      <w:r w:rsidRPr="00B44C7E">
        <w:rPr>
          <w:rFonts w:ascii="Times New Roman" w:hAnsi="Times New Roman"/>
          <w:szCs w:val="24"/>
        </w:rPr>
        <w:t xml:space="preserve">Section </w:t>
      </w:r>
      <w:r w:rsidR="00866BB6">
        <w:rPr>
          <w:rFonts w:ascii="Times New Roman" w:hAnsi="Times New Roman"/>
          <w:szCs w:val="24"/>
        </w:rPr>
        <w:t>50</w:t>
      </w:r>
      <w:r w:rsidRPr="00B44C7E">
        <w:rPr>
          <w:rFonts w:ascii="Times New Roman" w:hAnsi="Times New Roman"/>
          <w:szCs w:val="24"/>
        </w:rPr>
        <w:t>.</w:t>
      </w:r>
      <w:r w:rsidRPr="00B44C7E" w:rsidR="004E489B">
        <w:rPr>
          <w:rFonts w:ascii="Times New Roman" w:hAnsi="Times New Roman"/>
          <w:szCs w:val="24"/>
        </w:rPr>
        <w:t>10</w:t>
      </w:r>
      <w:r w:rsidR="004E489B">
        <w:rPr>
          <w:rFonts w:ascii="Times New Roman" w:hAnsi="Times New Roman"/>
          <w:szCs w:val="24"/>
        </w:rPr>
        <w:t>9</w:t>
      </w:r>
      <w:r w:rsidRPr="00B44C7E">
        <w:rPr>
          <w:rFonts w:ascii="Times New Roman" w:hAnsi="Times New Roman"/>
          <w:szCs w:val="24"/>
        </w:rPr>
        <w:t>(b) provides that if a</w:t>
      </w:r>
      <w:r w:rsidR="004E489B">
        <w:rPr>
          <w:rFonts w:ascii="Times New Roman" w:hAnsi="Times New Roman"/>
          <w:szCs w:val="24"/>
        </w:rPr>
        <w:t xml:space="preserve"> </w:t>
      </w:r>
      <w:r w:rsidR="00B7392F">
        <w:rPr>
          <w:rFonts w:ascii="Times New Roman" w:hAnsi="Times New Roman"/>
          <w:szCs w:val="24"/>
        </w:rPr>
        <w:t>covered bank</w:t>
      </w:r>
      <w:r w:rsidRPr="00B44C7E">
        <w:rPr>
          <w:rFonts w:ascii="Times New Roman" w:hAnsi="Times New Roman"/>
          <w:szCs w:val="24"/>
        </w:rPr>
        <w:t xml:space="preserve"> includes an </w:t>
      </w:r>
      <w:r w:rsidR="00607F3B">
        <w:rPr>
          <w:rFonts w:ascii="Times New Roman" w:hAnsi="Times New Roman"/>
          <w:szCs w:val="24"/>
        </w:rPr>
        <w:t>ASF (</w:t>
      </w:r>
      <w:r w:rsidRPr="00D70629" w:rsidR="00607F3B">
        <w:rPr>
          <w:rFonts w:ascii="Times New Roman" w:hAnsi="Times New Roman"/>
          <w:i/>
          <w:iCs/>
          <w:szCs w:val="24"/>
        </w:rPr>
        <w:t>i.e.</w:t>
      </w:r>
      <w:r w:rsidR="00607F3B">
        <w:rPr>
          <w:rFonts w:ascii="Times New Roman" w:hAnsi="Times New Roman"/>
          <w:szCs w:val="24"/>
        </w:rPr>
        <w:t xml:space="preserve">, </w:t>
      </w:r>
      <w:r w:rsidR="00391109">
        <w:rPr>
          <w:rFonts w:ascii="Times New Roman" w:hAnsi="Times New Roman"/>
          <w:szCs w:val="24"/>
        </w:rPr>
        <w:t>available stable funding</w:t>
      </w:r>
      <w:r w:rsidR="00607F3B">
        <w:rPr>
          <w:rFonts w:ascii="Times New Roman" w:hAnsi="Times New Roman"/>
          <w:szCs w:val="24"/>
        </w:rPr>
        <w:t>)</w:t>
      </w:r>
      <w:r w:rsidR="00391109">
        <w:rPr>
          <w:rFonts w:ascii="Times New Roman" w:hAnsi="Times New Roman"/>
          <w:szCs w:val="24"/>
        </w:rPr>
        <w:t xml:space="preserve"> </w:t>
      </w:r>
      <w:r w:rsidRPr="00B44C7E">
        <w:rPr>
          <w:rFonts w:ascii="Times New Roman" w:hAnsi="Times New Roman"/>
          <w:szCs w:val="24"/>
        </w:rPr>
        <w:t xml:space="preserve">amount in excess of the </w:t>
      </w:r>
      <w:r w:rsidR="00607F3B">
        <w:rPr>
          <w:rFonts w:ascii="Times New Roman" w:hAnsi="Times New Roman"/>
          <w:szCs w:val="24"/>
        </w:rPr>
        <w:t>RSF (</w:t>
      </w:r>
      <w:r w:rsidRPr="00D70629" w:rsidR="00607F3B">
        <w:rPr>
          <w:rFonts w:ascii="Times New Roman" w:hAnsi="Times New Roman"/>
          <w:i/>
          <w:iCs/>
          <w:szCs w:val="24"/>
        </w:rPr>
        <w:t>i.e.</w:t>
      </w:r>
      <w:r w:rsidR="00607F3B">
        <w:rPr>
          <w:rFonts w:ascii="Times New Roman" w:hAnsi="Times New Roman"/>
          <w:szCs w:val="24"/>
        </w:rPr>
        <w:t xml:space="preserve">, </w:t>
      </w:r>
      <w:r w:rsidR="00391109">
        <w:rPr>
          <w:rFonts w:ascii="Times New Roman" w:hAnsi="Times New Roman"/>
          <w:szCs w:val="24"/>
        </w:rPr>
        <w:t>required stable funding</w:t>
      </w:r>
      <w:r w:rsidR="00607F3B">
        <w:rPr>
          <w:rFonts w:ascii="Times New Roman" w:hAnsi="Times New Roman"/>
          <w:szCs w:val="24"/>
        </w:rPr>
        <w:t>)</w:t>
      </w:r>
      <w:r w:rsidR="00391109">
        <w:rPr>
          <w:rFonts w:ascii="Times New Roman" w:hAnsi="Times New Roman"/>
          <w:szCs w:val="24"/>
        </w:rPr>
        <w:t xml:space="preserve"> </w:t>
      </w:r>
      <w:r w:rsidRPr="00B44C7E">
        <w:rPr>
          <w:rFonts w:ascii="Times New Roman" w:hAnsi="Times New Roman"/>
          <w:szCs w:val="24"/>
        </w:rPr>
        <w:t>amount of the consolidated subsidiary, it must implement and maintain written procedures to identify and monitor applicable statutory, regulatory, contractual, supervisory, or other restrictions on transferring assets from the consolidated subsidiaries.  These procedures must document which types of transactions the institution could use to transfer assets from a consolidated subsidiary to the institution and how these types of transactions comply with applicable statutory, regulatory, contractual, supervisory, or other restrictions.</w:t>
      </w:r>
    </w:p>
    <w:p w:rsidR="00112D16" w:rsidRPr="00B44C7E" w:rsidP="00C55A1E" w14:paraId="79E27F7C" w14:textId="77777777">
      <w:pPr>
        <w:rPr>
          <w:rFonts w:ascii="Times New Roman" w:hAnsi="Times New Roman"/>
          <w:szCs w:val="24"/>
        </w:rPr>
      </w:pPr>
    </w:p>
    <w:p w:rsidR="00811EF2" w:rsidRPr="00B44C7E" w:rsidP="00C55A1E" w14:paraId="0141B8ED" w14:textId="77777777">
      <w:pPr>
        <w:rPr>
          <w:rFonts w:ascii="Times New Roman" w:hAnsi="Times New Roman"/>
          <w:b/>
          <w:i/>
          <w:szCs w:val="24"/>
        </w:rPr>
      </w:pPr>
      <w:r w:rsidRPr="00B44C7E">
        <w:rPr>
          <w:rFonts w:ascii="Times New Roman" w:hAnsi="Times New Roman"/>
          <w:b/>
          <w:i/>
          <w:szCs w:val="24"/>
        </w:rPr>
        <w:t xml:space="preserve">3. Consideration of the use of </w:t>
      </w:r>
      <w:r w:rsidRPr="00B44C7E" w:rsidR="00A71D81">
        <w:rPr>
          <w:rFonts w:ascii="Times New Roman" w:hAnsi="Times New Roman"/>
          <w:b/>
          <w:i/>
          <w:szCs w:val="24"/>
        </w:rPr>
        <w:t xml:space="preserve">improved </w:t>
      </w:r>
      <w:r w:rsidRPr="00B44C7E">
        <w:rPr>
          <w:rFonts w:ascii="Times New Roman" w:hAnsi="Times New Roman"/>
          <w:b/>
          <w:i/>
          <w:szCs w:val="24"/>
        </w:rPr>
        <w:t>information technology:</w:t>
      </w:r>
    </w:p>
    <w:p w:rsidR="00E1030E" w:rsidRPr="00B44C7E" w:rsidP="00BF7DAE" w14:paraId="51601FC2" w14:textId="77777777">
      <w:pPr>
        <w:autoSpaceDE w:val="0"/>
        <w:autoSpaceDN w:val="0"/>
        <w:adjustRightInd w:val="0"/>
        <w:rPr>
          <w:rFonts w:ascii="Times New Roman" w:hAnsi="Times New Roman"/>
          <w:szCs w:val="24"/>
        </w:rPr>
      </w:pPr>
    </w:p>
    <w:p w:rsidR="00E1030E" w:rsidRPr="00B44C7E" w:rsidP="00BF7DAE" w14:paraId="6FAF3023" w14:textId="77777777">
      <w:pPr>
        <w:autoSpaceDE w:val="0"/>
        <w:autoSpaceDN w:val="0"/>
        <w:adjustRightInd w:val="0"/>
        <w:rPr>
          <w:rFonts w:ascii="Times New Roman" w:hAnsi="Times New Roman"/>
          <w:color w:val="000000"/>
          <w:szCs w:val="24"/>
        </w:rPr>
      </w:pPr>
      <w:r w:rsidRPr="00B44C7E">
        <w:rPr>
          <w:rFonts w:ascii="Times New Roman" w:hAnsi="Times New Roman"/>
          <w:szCs w:val="24"/>
        </w:rPr>
        <w:tab/>
      </w:r>
      <w:r w:rsidRPr="00B44C7E" w:rsidR="00F43210">
        <w:rPr>
          <w:rFonts w:ascii="Times New Roman" w:hAnsi="Times New Roman"/>
          <w:szCs w:val="24"/>
        </w:rPr>
        <w:t>The use of improved technology is permitted to meet the requirements of the information collection.</w:t>
      </w:r>
    </w:p>
    <w:p w:rsidR="00331855" w:rsidRPr="00B44C7E" w:rsidP="00BF7DAE" w14:paraId="2ED6B224" w14:textId="77777777">
      <w:pPr>
        <w:tabs>
          <w:tab w:val="left" w:pos="-1440"/>
        </w:tabs>
        <w:rPr>
          <w:rFonts w:ascii="Times New Roman" w:hAnsi="Times New Roman"/>
          <w:szCs w:val="24"/>
        </w:rPr>
      </w:pPr>
    </w:p>
    <w:p w:rsidR="00811EF2" w:rsidRPr="00B44C7E" w:rsidP="00BF7DAE" w14:paraId="7D7CD9A1" w14:textId="77777777">
      <w:pPr>
        <w:tabs>
          <w:tab w:val="left" w:pos="-1440"/>
        </w:tabs>
        <w:outlineLvl w:val="0"/>
        <w:rPr>
          <w:rFonts w:ascii="Times New Roman" w:hAnsi="Times New Roman"/>
          <w:b/>
          <w:i/>
          <w:szCs w:val="24"/>
        </w:rPr>
      </w:pPr>
      <w:r w:rsidRPr="00B44C7E">
        <w:rPr>
          <w:rFonts w:ascii="Times New Roman" w:hAnsi="Times New Roman"/>
          <w:b/>
          <w:i/>
          <w:szCs w:val="24"/>
        </w:rPr>
        <w:t>4.  Efforts to identify duplication:</w:t>
      </w:r>
    </w:p>
    <w:p w:rsidR="00811EF2" w:rsidRPr="00B44C7E" w:rsidP="00BF7DAE" w14:paraId="39B5EB6D" w14:textId="77777777">
      <w:pPr>
        <w:rPr>
          <w:rFonts w:ascii="Times New Roman" w:hAnsi="Times New Roman"/>
          <w:szCs w:val="24"/>
        </w:rPr>
      </w:pPr>
    </w:p>
    <w:p w:rsidR="00811EF2" w:rsidRPr="00B44C7E" w:rsidP="00BF7DAE" w14:paraId="3C7C3691" w14:textId="0E31BB08">
      <w:pPr>
        <w:rPr>
          <w:rFonts w:ascii="Times New Roman" w:hAnsi="Times New Roman"/>
          <w:szCs w:val="24"/>
        </w:rPr>
      </w:pPr>
      <w:r w:rsidRPr="00B44C7E">
        <w:rPr>
          <w:rFonts w:ascii="Times New Roman" w:hAnsi="Times New Roman"/>
          <w:szCs w:val="24"/>
        </w:rPr>
        <w:tab/>
      </w:r>
      <w:r w:rsidRPr="00B44C7E">
        <w:rPr>
          <w:rFonts w:ascii="Times New Roman" w:hAnsi="Times New Roman"/>
          <w:szCs w:val="24"/>
        </w:rPr>
        <w:t xml:space="preserve">The information </w:t>
      </w:r>
      <w:r w:rsidRPr="00B44C7E" w:rsidR="00F43210">
        <w:rPr>
          <w:rFonts w:ascii="Times New Roman" w:hAnsi="Times New Roman"/>
          <w:szCs w:val="24"/>
        </w:rPr>
        <w:t xml:space="preserve">collected is </w:t>
      </w:r>
      <w:r w:rsidRPr="00B44C7E">
        <w:rPr>
          <w:rFonts w:ascii="Times New Roman" w:hAnsi="Times New Roman"/>
          <w:szCs w:val="24"/>
        </w:rPr>
        <w:t>not duplicated elsewhere.</w:t>
      </w:r>
    </w:p>
    <w:p w:rsidR="006F025E" w:rsidP="00190C5F" w14:paraId="04463810" w14:textId="77777777">
      <w:pPr>
        <w:pStyle w:val="BodyText"/>
        <w:widowControl w:val="0"/>
        <w:ind w:left="100" w:right="861"/>
        <w:rPr>
          <w:rFonts w:ascii="Times New Roman" w:hAnsi="Times New Roman"/>
          <w:b/>
          <w:bCs/>
          <w:i/>
          <w:iCs/>
          <w:szCs w:val="24"/>
          <w:u w:val="none"/>
        </w:rPr>
      </w:pPr>
    </w:p>
    <w:p w:rsidR="00190C5F" w:rsidRPr="00B44C7E" w:rsidP="00190C5F" w14:paraId="14E17A0F" w14:textId="77777777">
      <w:pPr>
        <w:pStyle w:val="BodyText"/>
        <w:widowControl w:val="0"/>
        <w:ind w:left="100" w:right="861"/>
        <w:rPr>
          <w:rFonts w:ascii="Times New Roman" w:hAnsi="Times New Roman"/>
          <w:b/>
          <w:i/>
          <w:szCs w:val="24"/>
          <w:u w:val="none"/>
        </w:rPr>
      </w:pPr>
      <w:r w:rsidRPr="00B44C7E">
        <w:rPr>
          <w:rFonts w:ascii="Times New Roman" w:hAnsi="Times New Roman"/>
          <w:b/>
          <w:bCs/>
          <w:i/>
          <w:iCs/>
          <w:szCs w:val="24"/>
          <w:u w:val="none"/>
        </w:rPr>
        <w:t>5.</w:t>
      </w:r>
      <w:r w:rsidRPr="00B44C7E" w:rsidR="00F51B9E">
        <w:rPr>
          <w:rFonts w:ascii="Times New Roman" w:hAnsi="Times New Roman"/>
          <w:b/>
          <w:bCs/>
          <w:i/>
          <w:iCs/>
          <w:szCs w:val="24"/>
          <w:u w:val="none"/>
        </w:rPr>
        <w:t xml:space="preserve"> </w:t>
      </w:r>
      <w:r w:rsidRPr="00B44C7E">
        <w:rPr>
          <w:rFonts w:ascii="Times New Roman" w:hAnsi="Times New Roman"/>
          <w:b/>
          <w:i/>
          <w:spacing w:val="-2"/>
          <w:szCs w:val="24"/>
          <w:u w:val="none"/>
        </w:rPr>
        <w:t>If</w:t>
      </w:r>
      <w:r w:rsidRPr="00B44C7E">
        <w:rPr>
          <w:rFonts w:ascii="Times New Roman" w:hAnsi="Times New Roman"/>
          <w:b/>
          <w:i/>
          <w:spacing w:val="-8"/>
          <w:szCs w:val="24"/>
          <w:u w:val="none"/>
        </w:rPr>
        <w:t xml:space="preserve"> </w:t>
      </w:r>
      <w:r w:rsidRPr="00B44C7E">
        <w:rPr>
          <w:rFonts w:ascii="Times New Roman" w:hAnsi="Times New Roman"/>
          <w:b/>
          <w:i/>
          <w:szCs w:val="24"/>
          <w:u w:val="none"/>
        </w:rPr>
        <w:t>the</w:t>
      </w:r>
      <w:r w:rsidRPr="00B44C7E">
        <w:rPr>
          <w:rFonts w:ascii="Times New Roman" w:hAnsi="Times New Roman"/>
          <w:b/>
          <w:i/>
          <w:spacing w:val="-7"/>
          <w:szCs w:val="24"/>
          <w:u w:val="none"/>
        </w:rPr>
        <w:t xml:space="preserve"> </w:t>
      </w:r>
      <w:r w:rsidRPr="00B44C7E">
        <w:rPr>
          <w:rFonts w:ascii="Times New Roman" w:hAnsi="Times New Roman"/>
          <w:b/>
          <w:i/>
          <w:spacing w:val="-1"/>
          <w:szCs w:val="24"/>
          <w:u w:val="none"/>
        </w:rPr>
        <w:t>collection</w:t>
      </w:r>
      <w:r w:rsidRPr="00B44C7E">
        <w:rPr>
          <w:rFonts w:ascii="Times New Roman" w:hAnsi="Times New Roman"/>
          <w:b/>
          <w:i/>
          <w:spacing w:val="-7"/>
          <w:szCs w:val="24"/>
          <w:u w:val="none"/>
        </w:rPr>
        <w:t xml:space="preserve"> </w:t>
      </w:r>
      <w:r w:rsidRPr="00B44C7E">
        <w:rPr>
          <w:rFonts w:ascii="Times New Roman" w:hAnsi="Times New Roman"/>
          <w:b/>
          <w:i/>
          <w:szCs w:val="24"/>
          <w:u w:val="none"/>
        </w:rPr>
        <w:t>of</w:t>
      </w:r>
      <w:r w:rsidRPr="00B44C7E">
        <w:rPr>
          <w:rFonts w:ascii="Times New Roman" w:hAnsi="Times New Roman"/>
          <w:b/>
          <w:i/>
          <w:spacing w:val="-8"/>
          <w:szCs w:val="24"/>
          <w:u w:val="none"/>
        </w:rPr>
        <w:t xml:space="preserve"> </w:t>
      </w:r>
      <w:r w:rsidRPr="00B44C7E">
        <w:rPr>
          <w:rFonts w:ascii="Times New Roman" w:hAnsi="Times New Roman"/>
          <w:b/>
          <w:i/>
          <w:spacing w:val="-1"/>
          <w:szCs w:val="24"/>
          <w:u w:val="none"/>
        </w:rPr>
        <w:t>information</w:t>
      </w:r>
      <w:r w:rsidRPr="00B44C7E">
        <w:rPr>
          <w:rFonts w:ascii="Times New Roman" w:hAnsi="Times New Roman"/>
          <w:b/>
          <w:i/>
          <w:spacing w:val="-7"/>
          <w:szCs w:val="24"/>
          <w:u w:val="none"/>
        </w:rPr>
        <w:t xml:space="preserve"> </w:t>
      </w:r>
      <w:r w:rsidRPr="00B44C7E">
        <w:rPr>
          <w:rFonts w:ascii="Times New Roman" w:hAnsi="Times New Roman"/>
          <w:b/>
          <w:i/>
          <w:spacing w:val="-1"/>
          <w:szCs w:val="24"/>
          <w:u w:val="none"/>
        </w:rPr>
        <w:t>impacts</w:t>
      </w:r>
      <w:r w:rsidRPr="00B44C7E">
        <w:rPr>
          <w:rFonts w:ascii="Times New Roman" w:hAnsi="Times New Roman"/>
          <w:b/>
          <w:i/>
          <w:spacing w:val="-6"/>
          <w:szCs w:val="24"/>
          <w:u w:val="none"/>
        </w:rPr>
        <w:t xml:space="preserve"> </w:t>
      </w:r>
      <w:r w:rsidRPr="00B44C7E">
        <w:rPr>
          <w:rFonts w:ascii="Times New Roman" w:hAnsi="Times New Roman"/>
          <w:b/>
          <w:i/>
          <w:spacing w:val="-1"/>
          <w:szCs w:val="24"/>
          <w:u w:val="none"/>
        </w:rPr>
        <w:t>small</w:t>
      </w:r>
      <w:r w:rsidRPr="00B44C7E">
        <w:rPr>
          <w:rFonts w:ascii="Times New Roman" w:hAnsi="Times New Roman"/>
          <w:b/>
          <w:i/>
          <w:spacing w:val="-7"/>
          <w:szCs w:val="24"/>
          <w:u w:val="none"/>
        </w:rPr>
        <w:t xml:space="preserve"> </w:t>
      </w:r>
      <w:r w:rsidRPr="00B44C7E">
        <w:rPr>
          <w:rFonts w:ascii="Times New Roman" w:hAnsi="Times New Roman"/>
          <w:b/>
          <w:i/>
          <w:spacing w:val="-1"/>
          <w:szCs w:val="24"/>
          <w:u w:val="none"/>
        </w:rPr>
        <w:t>businesses</w:t>
      </w:r>
      <w:r w:rsidRPr="00B44C7E">
        <w:rPr>
          <w:rFonts w:ascii="Times New Roman" w:hAnsi="Times New Roman"/>
          <w:b/>
          <w:i/>
          <w:spacing w:val="-6"/>
          <w:szCs w:val="24"/>
          <w:u w:val="none"/>
        </w:rPr>
        <w:t xml:space="preserve"> </w:t>
      </w:r>
      <w:r w:rsidRPr="00B44C7E">
        <w:rPr>
          <w:rFonts w:ascii="Times New Roman" w:hAnsi="Times New Roman"/>
          <w:b/>
          <w:i/>
          <w:szCs w:val="24"/>
          <w:u w:val="none"/>
        </w:rPr>
        <w:t>or</w:t>
      </w:r>
      <w:r w:rsidRPr="00B44C7E">
        <w:rPr>
          <w:rFonts w:ascii="Times New Roman" w:hAnsi="Times New Roman"/>
          <w:b/>
          <w:i/>
          <w:spacing w:val="-8"/>
          <w:szCs w:val="24"/>
          <w:u w:val="none"/>
        </w:rPr>
        <w:t xml:space="preserve"> </w:t>
      </w:r>
      <w:r w:rsidRPr="00B44C7E">
        <w:rPr>
          <w:rFonts w:ascii="Times New Roman" w:hAnsi="Times New Roman"/>
          <w:b/>
          <w:i/>
          <w:spacing w:val="1"/>
          <w:szCs w:val="24"/>
          <w:u w:val="none"/>
        </w:rPr>
        <w:t>other</w:t>
      </w:r>
      <w:r w:rsidRPr="00B44C7E">
        <w:rPr>
          <w:rFonts w:ascii="Times New Roman" w:hAnsi="Times New Roman"/>
          <w:b/>
          <w:i/>
          <w:spacing w:val="-7"/>
          <w:szCs w:val="24"/>
          <w:u w:val="none"/>
        </w:rPr>
        <w:t xml:space="preserve"> </w:t>
      </w:r>
      <w:r w:rsidRPr="00B44C7E">
        <w:rPr>
          <w:rFonts w:ascii="Times New Roman" w:hAnsi="Times New Roman"/>
          <w:b/>
          <w:i/>
          <w:spacing w:val="-1"/>
          <w:szCs w:val="24"/>
          <w:u w:val="none"/>
        </w:rPr>
        <w:t>small</w:t>
      </w:r>
      <w:r w:rsidRPr="00B44C7E">
        <w:rPr>
          <w:rFonts w:ascii="Times New Roman" w:hAnsi="Times New Roman"/>
          <w:b/>
          <w:i/>
          <w:spacing w:val="-6"/>
          <w:szCs w:val="24"/>
          <w:u w:val="none"/>
        </w:rPr>
        <w:t xml:space="preserve"> </w:t>
      </w:r>
      <w:r w:rsidRPr="00B44C7E">
        <w:rPr>
          <w:rFonts w:ascii="Times New Roman" w:hAnsi="Times New Roman"/>
          <w:b/>
          <w:i/>
          <w:szCs w:val="24"/>
          <w:u w:val="none"/>
        </w:rPr>
        <w:t>entities, describe</w:t>
      </w:r>
      <w:r w:rsidRPr="00B44C7E">
        <w:rPr>
          <w:rFonts w:ascii="Times New Roman" w:hAnsi="Times New Roman"/>
          <w:b/>
          <w:i/>
          <w:spacing w:val="-7"/>
          <w:szCs w:val="24"/>
          <w:u w:val="none"/>
        </w:rPr>
        <w:t xml:space="preserve"> </w:t>
      </w:r>
      <w:r w:rsidRPr="00B44C7E">
        <w:rPr>
          <w:rFonts w:ascii="Times New Roman" w:hAnsi="Times New Roman"/>
          <w:b/>
          <w:i/>
          <w:spacing w:val="1"/>
          <w:szCs w:val="24"/>
          <w:u w:val="none"/>
        </w:rPr>
        <w:t>any</w:t>
      </w:r>
      <w:r w:rsidRPr="00B44C7E">
        <w:rPr>
          <w:rFonts w:ascii="Times New Roman" w:hAnsi="Times New Roman"/>
          <w:b/>
          <w:i/>
          <w:spacing w:val="-11"/>
          <w:szCs w:val="24"/>
          <w:u w:val="none"/>
        </w:rPr>
        <w:t xml:space="preserve"> </w:t>
      </w:r>
      <w:r w:rsidRPr="00B44C7E">
        <w:rPr>
          <w:rFonts w:ascii="Times New Roman" w:hAnsi="Times New Roman"/>
          <w:b/>
          <w:i/>
          <w:spacing w:val="-1"/>
          <w:szCs w:val="24"/>
          <w:u w:val="none"/>
        </w:rPr>
        <w:t>methods</w:t>
      </w:r>
      <w:r w:rsidRPr="00B44C7E">
        <w:rPr>
          <w:rFonts w:ascii="Times New Roman" w:hAnsi="Times New Roman"/>
          <w:b/>
          <w:i/>
          <w:spacing w:val="-8"/>
          <w:szCs w:val="24"/>
          <w:u w:val="none"/>
        </w:rPr>
        <w:t xml:space="preserve"> </w:t>
      </w:r>
      <w:r w:rsidRPr="00B44C7E">
        <w:rPr>
          <w:rFonts w:ascii="Times New Roman" w:hAnsi="Times New Roman"/>
          <w:b/>
          <w:i/>
          <w:spacing w:val="-1"/>
          <w:szCs w:val="24"/>
          <w:u w:val="none"/>
        </w:rPr>
        <w:t>used</w:t>
      </w:r>
      <w:r w:rsidRPr="00B44C7E">
        <w:rPr>
          <w:rFonts w:ascii="Times New Roman" w:hAnsi="Times New Roman"/>
          <w:b/>
          <w:i/>
          <w:spacing w:val="-8"/>
          <w:szCs w:val="24"/>
          <w:u w:val="none"/>
        </w:rPr>
        <w:t xml:space="preserve"> </w:t>
      </w:r>
      <w:r w:rsidRPr="00B44C7E">
        <w:rPr>
          <w:rFonts w:ascii="Times New Roman" w:hAnsi="Times New Roman"/>
          <w:b/>
          <w:i/>
          <w:szCs w:val="24"/>
          <w:u w:val="none"/>
        </w:rPr>
        <w:t>to</w:t>
      </w:r>
      <w:r w:rsidRPr="00B44C7E">
        <w:rPr>
          <w:rFonts w:ascii="Times New Roman" w:hAnsi="Times New Roman"/>
          <w:b/>
          <w:i/>
          <w:spacing w:val="-8"/>
          <w:szCs w:val="24"/>
          <w:u w:val="none"/>
        </w:rPr>
        <w:t xml:space="preserve"> </w:t>
      </w:r>
      <w:r w:rsidRPr="00B44C7E">
        <w:rPr>
          <w:rFonts w:ascii="Times New Roman" w:hAnsi="Times New Roman"/>
          <w:b/>
          <w:i/>
          <w:szCs w:val="24"/>
          <w:u w:val="none"/>
        </w:rPr>
        <w:t>minimize</w:t>
      </w:r>
      <w:r w:rsidRPr="00B44C7E">
        <w:rPr>
          <w:rFonts w:ascii="Times New Roman" w:hAnsi="Times New Roman"/>
          <w:b/>
          <w:i/>
          <w:spacing w:val="-8"/>
          <w:szCs w:val="24"/>
          <w:u w:val="none"/>
        </w:rPr>
        <w:t xml:space="preserve"> </w:t>
      </w:r>
      <w:r w:rsidRPr="00B44C7E">
        <w:rPr>
          <w:rFonts w:ascii="Times New Roman" w:hAnsi="Times New Roman"/>
          <w:b/>
          <w:i/>
          <w:spacing w:val="-1"/>
          <w:szCs w:val="24"/>
          <w:u w:val="none"/>
        </w:rPr>
        <w:t>burden.</w:t>
      </w:r>
    </w:p>
    <w:p w:rsidR="00190C5F" w:rsidRPr="00B44C7E" w:rsidP="00190C5F" w14:paraId="2914466D" w14:textId="77777777">
      <w:pPr>
        <w:rPr>
          <w:rFonts w:ascii="Times New Roman" w:hAnsi="Times New Roman"/>
          <w:szCs w:val="24"/>
        </w:rPr>
      </w:pPr>
    </w:p>
    <w:p w:rsidR="00190C5F" w:rsidRPr="00B44C7E" w:rsidP="00190C5F" w14:paraId="09DE8730" w14:textId="69350ABC">
      <w:pPr>
        <w:ind w:firstLine="720"/>
        <w:rPr>
          <w:rFonts w:ascii="Times New Roman" w:hAnsi="Times New Roman"/>
          <w:color w:val="000000"/>
          <w:szCs w:val="24"/>
        </w:rPr>
      </w:pPr>
      <w:r>
        <w:rPr>
          <w:rFonts w:ascii="Times New Roman" w:hAnsi="Times New Roman"/>
          <w:color w:val="000000"/>
          <w:szCs w:val="24"/>
        </w:rPr>
        <w:t>The information collection does not impact</w:t>
      </w:r>
      <w:r w:rsidRPr="00B44C7E">
        <w:rPr>
          <w:rFonts w:ascii="Times New Roman" w:hAnsi="Times New Roman"/>
          <w:color w:val="000000"/>
          <w:szCs w:val="24"/>
        </w:rPr>
        <w:t xml:space="preserve"> small institutions.</w:t>
      </w:r>
    </w:p>
    <w:p w:rsidR="00B05073" w:rsidRPr="00B44C7E" w:rsidP="00BF7DAE" w14:paraId="38F4E9C5" w14:textId="77777777">
      <w:pPr>
        <w:tabs>
          <w:tab w:val="left" w:pos="-1440"/>
        </w:tabs>
        <w:outlineLvl w:val="0"/>
        <w:rPr>
          <w:rFonts w:ascii="Times New Roman" w:hAnsi="Times New Roman"/>
          <w:szCs w:val="24"/>
        </w:rPr>
      </w:pPr>
    </w:p>
    <w:p w:rsidR="00811EF2" w:rsidRPr="00B44C7E" w:rsidP="00BF7DAE" w14:paraId="26B90049" w14:textId="77777777">
      <w:pPr>
        <w:tabs>
          <w:tab w:val="left" w:pos="-1440"/>
        </w:tabs>
        <w:outlineLvl w:val="0"/>
        <w:rPr>
          <w:rFonts w:ascii="Times New Roman" w:hAnsi="Times New Roman"/>
          <w:b/>
          <w:i/>
          <w:szCs w:val="24"/>
        </w:rPr>
      </w:pPr>
      <w:r w:rsidRPr="00B44C7E">
        <w:rPr>
          <w:rFonts w:ascii="Times New Roman" w:hAnsi="Times New Roman"/>
          <w:b/>
          <w:i/>
          <w:szCs w:val="24"/>
        </w:rPr>
        <w:t xml:space="preserve">6. Consequences to the </w:t>
      </w:r>
      <w:r w:rsidRPr="00B44C7E" w:rsidR="000408F0">
        <w:rPr>
          <w:rFonts w:ascii="Times New Roman" w:hAnsi="Times New Roman"/>
          <w:b/>
          <w:i/>
          <w:szCs w:val="24"/>
        </w:rPr>
        <w:t>f</w:t>
      </w:r>
      <w:r w:rsidRPr="00B44C7E">
        <w:rPr>
          <w:rFonts w:ascii="Times New Roman" w:hAnsi="Times New Roman"/>
          <w:b/>
          <w:i/>
          <w:szCs w:val="24"/>
        </w:rPr>
        <w:t>ederal program if the collection were conducted less frequently:</w:t>
      </w:r>
    </w:p>
    <w:p w:rsidR="00811EF2" w:rsidRPr="00B44C7E" w:rsidP="00BF7DAE" w14:paraId="224CC291" w14:textId="77777777">
      <w:pPr>
        <w:rPr>
          <w:rFonts w:ascii="Times New Roman" w:hAnsi="Times New Roman"/>
          <w:szCs w:val="24"/>
        </w:rPr>
      </w:pPr>
    </w:p>
    <w:p w:rsidR="00811EF2" w:rsidRPr="00B44C7E" w:rsidP="00BF7DAE" w14:paraId="75D10A8A" w14:textId="77777777">
      <w:pPr>
        <w:rPr>
          <w:rFonts w:ascii="Times New Roman" w:hAnsi="Times New Roman"/>
          <w:szCs w:val="24"/>
        </w:rPr>
      </w:pPr>
      <w:r w:rsidRPr="00B44C7E">
        <w:rPr>
          <w:rFonts w:ascii="Times New Roman" w:hAnsi="Times New Roman"/>
          <w:szCs w:val="24"/>
        </w:rPr>
        <w:tab/>
      </w:r>
      <w:r w:rsidRPr="00B44C7E" w:rsidR="00427F1B">
        <w:rPr>
          <w:rFonts w:ascii="Times New Roman" w:hAnsi="Times New Roman"/>
          <w:szCs w:val="24"/>
        </w:rPr>
        <w:t xml:space="preserve">Less frequent collection would </w:t>
      </w:r>
      <w:r w:rsidRPr="00B44C7E">
        <w:rPr>
          <w:rFonts w:ascii="Times New Roman" w:hAnsi="Times New Roman"/>
          <w:szCs w:val="24"/>
        </w:rPr>
        <w:t>present</w:t>
      </w:r>
      <w:r w:rsidRPr="00B44C7E" w:rsidR="00427F1B">
        <w:rPr>
          <w:rFonts w:ascii="Times New Roman" w:hAnsi="Times New Roman"/>
          <w:szCs w:val="24"/>
        </w:rPr>
        <w:t xml:space="preserve"> safety and soundness concerns.</w:t>
      </w:r>
    </w:p>
    <w:p w:rsidR="00811EF2" w:rsidRPr="00B44C7E" w:rsidP="00BF7DAE" w14:paraId="6F8E567A" w14:textId="77777777">
      <w:pPr>
        <w:rPr>
          <w:rFonts w:ascii="Times New Roman" w:hAnsi="Times New Roman"/>
          <w:szCs w:val="24"/>
        </w:rPr>
      </w:pPr>
    </w:p>
    <w:p w:rsidR="00811EF2" w:rsidRPr="00B44C7E" w:rsidP="00BF7DAE" w14:paraId="42987A62" w14:textId="77777777">
      <w:pPr>
        <w:tabs>
          <w:tab w:val="left" w:pos="-1440"/>
        </w:tabs>
        <w:outlineLvl w:val="0"/>
        <w:rPr>
          <w:rFonts w:ascii="Times New Roman" w:hAnsi="Times New Roman"/>
          <w:b/>
          <w:i/>
          <w:szCs w:val="24"/>
        </w:rPr>
      </w:pPr>
      <w:r w:rsidRPr="00B44C7E">
        <w:rPr>
          <w:rFonts w:ascii="Times New Roman" w:hAnsi="Times New Roman"/>
          <w:b/>
          <w:i/>
          <w:szCs w:val="24"/>
        </w:rPr>
        <w:t>7. Special circumstances necessitating coll</w:t>
      </w:r>
      <w:r w:rsidRPr="00B44C7E" w:rsidR="001331EA">
        <w:rPr>
          <w:rFonts w:ascii="Times New Roman" w:hAnsi="Times New Roman"/>
          <w:b/>
          <w:i/>
          <w:szCs w:val="24"/>
        </w:rPr>
        <w:t>ection inconsistent with 5 CFR p</w:t>
      </w:r>
      <w:r w:rsidRPr="00B44C7E">
        <w:rPr>
          <w:rFonts w:ascii="Times New Roman" w:hAnsi="Times New Roman"/>
          <w:b/>
          <w:i/>
          <w:szCs w:val="24"/>
        </w:rPr>
        <w:t>art 1320:</w:t>
      </w:r>
    </w:p>
    <w:p w:rsidR="00811EF2" w:rsidRPr="00B44C7E" w:rsidP="00BF7DAE" w14:paraId="6E9BE960" w14:textId="77777777">
      <w:pPr>
        <w:rPr>
          <w:rFonts w:ascii="Times New Roman" w:hAnsi="Times New Roman"/>
          <w:szCs w:val="24"/>
        </w:rPr>
      </w:pPr>
    </w:p>
    <w:p w:rsidR="00811EF2" w:rsidRPr="00B44C7E" w:rsidP="00BF7DAE" w14:paraId="6E54F7AA" w14:textId="77777777">
      <w:pPr>
        <w:rPr>
          <w:rFonts w:ascii="Times New Roman" w:hAnsi="Times New Roman"/>
          <w:szCs w:val="24"/>
        </w:rPr>
      </w:pPr>
      <w:r w:rsidRPr="00B44C7E">
        <w:rPr>
          <w:rFonts w:ascii="Times New Roman" w:hAnsi="Times New Roman"/>
          <w:szCs w:val="24"/>
        </w:rPr>
        <w:tab/>
      </w:r>
      <w:r w:rsidRPr="00B44C7E">
        <w:rPr>
          <w:rFonts w:ascii="Times New Roman" w:hAnsi="Times New Roman"/>
          <w:szCs w:val="24"/>
        </w:rPr>
        <w:t xml:space="preserve">The information collection is conducted in accordance with OMB guidelines in 5 CFR part 1320.  </w:t>
      </w:r>
    </w:p>
    <w:p w:rsidR="00452142" w:rsidRPr="00B44C7E" w:rsidP="00BF7DAE" w14:paraId="4CAE3542" w14:textId="77777777">
      <w:pPr>
        <w:tabs>
          <w:tab w:val="left" w:pos="-1440"/>
        </w:tabs>
        <w:outlineLvl w:val="0"/>
        <w:rPr>
          <w:rFonts w:ascii="Times New Roman" w:hAnsi="Times New Roman"/>
          <w:b/>
          <w:i/>
          <w:szCs w:val="24"/>
        </w:rPr>
      </w:pPr>
    </w:p>
    <w:p w:rsidR="00811EF2" w:rsidRPr="00B44C7E" w:rsidP="00BF7DAE" w14:paraId="523E1299" w14:textId="77777777">
      <w:pPr>
        <w:tabs>
          <w:tab w:val="left" w:pos="-1440"/>
        </w:tabs>
        <w:outlineLvl w:val="0"/>
        <w:rPr>
          <w:rFonts w:ascii="Times New Roman" w:hAnsi="Times New Roman"/>
          <w:b/>
          <w:i/>
          <w:szCs w:val="24"/>
        </w:rPr>
      </w:pPr>
      <w:r w:rsidRPr="00B44C7E">
        <w:rPr>
          <w:rFonts w:ascii="Times New Roman" w:hAnsi="Times New Roman"/>
          <w:b/>
          <w:i/>
          <w:szCs w:val="24"/>
        </w:rPr>
        <w:t>8. Efforts to consult with persons outside the agency:</w:t>
      </w:r>
    </w:p>
    <w:p w:rsidR="00811EF2" w:rsidRPr="00B44C7E" w:rsidP="00BF7DAE" w14:paraId="325C4775" w14:textId="77777777">
      <w:pPr>
        <w:rPr>
          <w:rFonts w:ascii="Times New Roman" w:hAnsi="Times New Roman"/>
          <w:szCs w:val="24"/>
        </w:rPr>
      </w:pPr>
    </w:p>
    <w:p w:rsidR="005C6BA1" w:rsidRPr="00CC3CED" w:rsidP="005C6BA1" w14:paraId="602CE335" w14:textId="0D9F5DA8">
      <w:pPr>
        <w:pStyle w:val="FootnoteText"/>
        <w:rPr>
          <w:rFonts w:ascii="Times New Roman" w:hAnsi="Times New Roman"/>
          <w:bCs/>
          <w:sz w:val="24"/>
          <w:szCs w:val="24"/>
        </w:rPr>
      </w:pPr>
      <w:r w:rsidRPr="00B44C7E">
        <w:rPr>
          <w:rFonts w:ascii="Times New Roman" w:hAnsi="Times New Roman"/>
          <w:sz w:val="24"/>
          <w:szCs w:val="24"/>
        </w:rPr>
        <w:tab/>
      </w:r>
      <w:r w:rsidRPr="00CC3CED">
        <w:rPr>
          <w:rFonts w:ascii="Times New Roman" w:hAnsi="Times New Roman"/>
          <w:bCs/>
          <w:sz w:val="24"/>
          <w:szCs w:val="24"/>
        </w:rPr>
        <w:t xml:space="preserve">The OCC issued a 60-day </w:t>
      </w:r>
      <w:r w:rsidRPr="00CC3CED">
        <w:rPr>
          <w:rFonts w:ascii="Times New Roman" w:hAnsi="Times New Roman"/>
          <w:bCs/>
          <w:i/>
          <w:sz w:val="24"/>
          <w:szCs w:val="24"/>
        </w:rPr>
        <w:t xml:space="preserve">Federal Register </w:t>
      </w:r>
      <w:r w:rsidRPr="00CC3CED">
        <w:rPr>
          <w:rFonts w:ascii="Times New Roman" w:hAnsi="Times New Roman"/>
          <w:bCs/>
          <w:sz w:val="24"/>
          <w:szCs w:val="24"/>
        </w:rPr>
        <w:t xml:space="preserve">notice on </w:t>
      </w:r>
      <w:r w:rsidR="00AB6CF4">
        <w:rPr>
          <w:rFonts w:ascii="Times New Roman" w:hAnsi="Times New Roman"/>
          <w:bCs/>
          <w:sz w:val="24"/>
          <w:szCs w:val="24"/>
        </w:rPr>
        <w:t>April 16</w:t>
      </w:r>
      <w:r w:rsidRPr="00CC3CED">
        <w:rPr>
          <w:rFonts w:ascii="Times New Roman" w:hAnsi="Times New Roman"/>
          <w:bCs/>
          <w:sz w:val="24"/>
          <w:szCs w:val="24"/>
        </w:rPr>
        <w:t xml:space="preserve">, 2024, 89 FR </w:t>
      </w:r>
      <w:r w:rsidR="00AB6CF4">
        <w:rPr>
          <w:rFonts w:ascii="Times New Roman" w:hAnsi="Times New Roman"/>
          <w:bCs/>
          <w:sz w:val="24"/>
          <w:szCs w:val="24"/>
        </w:rPr>
        <w:t>27001</w:t>
      </w:r>
      <w:r w:rsidRPr="00CC3CED">
        <w:rPr>
          <w:rFonts w:ascii="Times New Roman" w:hAnsi="Times New Roman"/>
          <w:bCs/>
          <w:sz w:val="24"/>
          <w:szCs w:val="24"/>
        </w:rPr>
        <w:t xml:space="preserve">.  </w:t>
      </w:r>
      <w:r w:rsidR="00AB6CF4">
        <w:rPr>
          <w:rFonts w:ascii="Times New Roman" w:hAnsi="Times New Roman"/>
          <w:bCs/>
          <w:sz w:val="24"/>
          <w:szCs w:val="24"/>
        </w:rPr>
        <w:t xml:space="preserve">No </w:t>
      </w:r>
      <w:r w:rsidRPr="00CC3CED">
        <w:rPr>
          <w:rFonts w:ascii="Times New Roman" w:hAnsi="Times New Roman"/>
          <w:bCs/>
          <w:sz w:val="24"/>
          <w:szCs w:val="24"/>
        </w:rPr>
        <w:t xml:space="preserve">comments were received.  </w:t>
      </w:r>
    </w:p>
    <w:p w:rsidR="00937599" w:rsidRPr="00B44C7E" w:rsidP="005C6BA1" w14:paraId="196C3337" w14:textId="77777777">
      <w:pPr>
        <w:pStyle w:val="FootnoteText"/>
        <w:rPr>
          <w:rFonts w:ascii="Times New Roman" w:hAnsi="Times New Roman"/>
          <w:szCs w:val="24"/>
        </w:rPr>
      </w:pPr>
    </w:p>
    <w:p w:rsidR="00811EF2" w:rsidRPr="00B44C7E" w:rsidP="00BF7DAE" w14:paraId="66F587BD" w14:textId="77777777">
      <w:pPr>
        <w:outlineLvl w:val="0"/>
        <w:rPr>
          <w:rFonts w:ascii="Times New Roman" w:hAnsi="Times New Roman"/>
          <w:b/>
          <w:i/>
          <w:szCs w:val="24"/>
        </w:rPr>
      </w:pPr>
      <w:r w:rsidRPr="00B44C7E">
        <w:rPr>
          <w:rFonts w:ascii="Times New Roman" w:hAnsi="Times New Roman"/>
          <w:b/>
          <w:i/>
          <w:szCs w:val="24"/>
        </w:rPr>
        <w:t>9. Payment to respondents:</w:t>
      </w:r>
    </w:p>
    <w:p w:rsidR="00811EF2" w:rsidRPr="00B44C7E" w:rsidP="00BF7DAE" w14:paraId="746557CA" w14:textId="77777777">
      <w:pPr>
        <w:rPr>
          <w:rFonts w:ascii="Times New Roman" w:hAnsi="Times New Roman"/>
          <w:szCs w:val="24"/>
        </w:rPr>
      </w:pPr>
    </w:p>
    <w:p w:rsidR="00811EF2" w:rsidRPr="00B44C7E" w:rsidP="00BF7DAE" w14:paraId="6EE5E36E" w14:textId="77777777">
      <w:pPr>
        <w:outlineLvl w:val="0"/>
        <w:rPr>
          <w:rFonts w:ascii="Times New Roman" w:hAnsi="Times New Roman"/>
          <w:szCs w:val="24"/>
        </w:rPr>
      </w:pPr>
      <w:r w:rsidRPr="00B44C7E">
        <w:rPr>
          <w:rFonts w:ascii="Times New Roman" w:hAnsi="Times New Roman"/>
          <w:szCs w:val="24"/>
        </w:rPr>
        <w:tab/>
      </w:r>
      <w:r w:rsidRPr="00B44C7E">
        <w:rPr>
          <w:rFonts w:ascii="Times New Roman" w:hAnsi="Times New Roman"/>
          <w:szCs w:val="24"/>
        </w:rPr>
        <w:t>None.</w:t>
      </w:r>
    </w:p>
    <w:p w:rsidR="00F51B9E" w:rsidRPr="00B44C7E" w:rsidP="00BF7DAE" w14:paraId="0452E754" w14:textId="77777777">
      <w:pPr>
        <w:tabs>
          <w:tab w:val="left" w:pos="-1440"/>
        </w:tabs>
        <w:outlineLvl w:val="0"/>
        <w:rPr>
          <w:rFonts w:ascii="Times New Roman" w:hAnsi="Times New Roman"/>
          <w:b/>
          <w:i/>
          <w:szCs w:val="24"/>
        </w:rPr>
      </w:pPr>
    </w:p>
    <w:p w:rsidR="00811EF2" w:rsidRPr="00B44C7E" w:rsidP="00AF0188" w14:paraId="7B81386F" w14:textId="77777777">
      <w:pPr>
        <w:keepNext/>
        <w:tabs>
          <w:tab w:val="left" w:pos="-1440"/>
        </w:tabs>
        <w:outlineLvl w:val="0"/>
        <w:rPr>
          <w:rFonts w:ascii="Times New Roman" w:hAnsi="Times New Roman"/>
          <w:b/>
          <w:i/>
          <w:szCs w:val="24"/>
        </w:rPr>
      </w:pPr>
      <w:r w:rsidRPr="00B44C7E">
        <w:rPr>
          <w:rFonts w:ascii="Times New Roman" w:hAnsi="Times New Roman"/>
          <w:b/>
          <w:i/>
          <w:szCs w:val="24"/>
        </w:rPr>
        <w:t>10. Any assurance of confidentiality:</w:t>
      </w:r>
    </w:p>
    <w:p w:rsidR="00811EF2" w:rsidRPr="00B44C7E" w:rsidP="00AF0188" w14:paraId="275F0000" w14:textId="77777777">
      <w:pPr>
        <w:keepNext/>
        <w:rPr>
          <w:rFonts w:ascii="Times New Roman" w:hAnsi="Times New Roman"/>
          <w:szCs w:val="24"/>
        </w:rPr>
      </w:pPr>
    </w:p>
    <w:p w:rsidR="00811EF2" w:rsidRPr="00B44C7E" w:rsidP="00BF7DAE" w14:paraId="028FB547" w14:textId="77777777">
      <w:pPr>
        <w:outlineLvl w:val="0"/>
        <w:rPr>
          <w:rFonts w:ascii="Times New Roman" w:hAnsi="Times New Roman"/>
          <w:szCs w:val="24"/>
        </w:rPr>
      </w:pPr>
      <w:r w:rsidRPr="00B44C7E">
        <w:rPr>
          <w:rFonts w:ascii="Times New Roman" w:hAnsi="Times New Roman"/>
          <w:szCs w:val="24"/>
        </w:rPr>
        <w:tab/>
      </w:r>
      <w:r w:rsidRPr="00B44C7E">
        <w:rPr>
          <w:rFonts w:ascii="Times New Roman" w:hAnsi="Times New Roman"/>
          <w:szCs w:val="24"/>
        </w:rPr>
        <w:t>The</w:t>
      </w:r>
      <w:r w:rsidRPr="00B44C7E" w:rsidR="001331EA">
        <w:rPr>
          <w:rFonts w:ascii="Times New Roman" w:hAnsi="Times New Roman"/>
          <w:szCs w:val="24"/>
        </w:rPr>
        <w:t xml:space="preserve"> information will be kept private to the extent permitted by law.</w:t>
      </w:r>
    </w:p>
    <w:p w:rsidR="00811EF2" w:rsidRPr="00B44C7E" w:rsidP="00BF7DAE" w14:paraId="5E2A1DE3" w14:textId="77777777">
      <w:pPr>
        <w:rPr>
          <w:rFonts w:ascii="Times New Roman" w:hAnsi="Times New Roman"/>
          <w:szCs w:val="24"/>
        </w:rPr>
      </w:pPr>
    </w:p>
    <w:p w:rsidR="00811EF2" w:rsidRPr="00B44C7E" w:rsidP="00BF7DAE" w14:paraId="10C9770B" w14:textId="77777777">
      <w:pPr>
        <w:tabs>
          <w:tab w:val="left" w:pos="-1440"/>
        </w:tabs>
        <w:outlineLvl w:val="0"/>
        <w:rPr>
          <w:rFonts w:ascii="Times New Roman" w:hAnsi="Times New Roman"/>
          <w:b/>
          <w:i/>
          <w:szCs w:val="24"/>
        </w:rPr>
      </w:pPr>
      <w:r w:rsidRPr="00B44C7E">
        <w:rPr>
          <w:rFonts w:ascii="Times New Roman" w:hAnsi="Times New Roman"/>
          <w:b/>
          <w:i/>
          <w:szCs w:val="24"/>
        </w:rPr>
        <w:t>11. Justification for questions of a sensitive nature:</w:t>
      </w:r>
    </w:p>
    <w:p w:rsidR="00811EF2" w:rsidRPr="00B44C7E" w:rsidP="00BF7DAE" w14:paraId="1BE8A8DB" w14:textId="77777777">
      <w:pPr>
        <w:rPr>
          <w:rFonts w:ascii="Times New Roman" w:hAnsi="Times New Roman"/>
          <w:szCs w:val="24"/>
        </w:rPr>
      </w:pPr>
    </w:p>
    <w:p w:rsidR="0065571F" w:rsidRPr="00B44C7E" w:rsidP="0065571F" w14:paraId="2286E11E" w14:textId="1A10E042">
      <w:pPr>
        <w:outlineLvl w:val="0"/>
        <w:rPr>
          <w:rFonts w:ascii="Times New Roman" w:hAnsi="Times New Roman"/>
          <w:szCs w:val="24"/>
        </w:rPr>
      </w:pPr>
      <w:r w:rsidRPr="00B44C7E">
        <w:rPr>
          <w:rFonts w:ascii="Times New Roman" w:hAnsi="Times New Roman"/>
          <w:szCs w:val="24"/>
        </w:rPr>
        <w:tab/>
      </w:r>
      <w:r w:rsidRPr="00B44C7E" w:rsidR="00811EF2">
        <w:rPr>
          <w:rFonts w:ascii="Times New Roman" w:hAnsi="Times New Roman"/>
          <w:szCs w:val="24"/>
        </w:rPr>
        <w:t>There are no questions of a sensitive nature.</w:t>
      </w:r>
      <w:r w:rsidR="0036435F">
        <w:rPr>
          <w:rFonts w:ascii="Times New Roman" w:hAnsi="Times New Roman"/>
          <w:szCs w:val="24"/>
        </w:rPr>
        <w:br/>
      </w:r>
    </w:p>
    <w:p w:rsidR="00811EF2" w:rsidRPr="00B44C7E" w:rsidP="0065571F" w14:paraId="2B7708DA" w14:textId="77777777">
      <w:pPr>
        <w:outlineLvl w:val="0"/>
        <w:rPr>
          <w:rFonts w:ascii="Times New Roman" w:hAnsi="Times New Roman"/>
          <w:b/>
          <w:i/>
          <w:szCs w:val="24"/>
        </w:rPr>
      </w:pPr>
      <w:r w:rsidRPr="00B44C7E">
        <w:rPr>
          <w:rFonts w:ascii="Times New Roman" w:hAnsi="Times New Roman"/>
          <w:b/>
          <w:i/>
          <w:szCs w:val="24"/>
        </w:rPr>
        <w:t>12. Burden estimate:</w:t>
      </w:r>
    </w:p>
    <w:p w:rsidR="00B70616" w:rsidRPr="00B44C7E" w:rsidP="00B70616" w14:paraId="109B5B94" w14:textId="77777777">
      <w:pPr>
        <w:jc w:val="center"/>
        <w:rPr>
          <w:rFonts w:ascii="Times New Roman" w:hAnsi="Times New Roman"/>
          <w:szCs w:val="24"/>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2610"/>
        <w:gridCol w:w="1440"/>
        <w:gridCol w:w="1350"/>
        <w:gridCol w:w="1080"/>
        <w:gridCol w:w="1260"/>
        <w:gridCol w:w="990"/>
      </w:tblGrid>
      <w:tr w14:paraId="18D16DBB" w14:textId="77777777" w:rsidTr="00BB6A89">
        <w:tblPrEx>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B70616" w:rsidRPr="006A638A" w14:paraId="33150213" w14:textId="77777777">
            <w:pPr>
              <w:jc w:val="center"/>
              <w:rPr>
                <w:rFonts w:ascii="Times New Roman" w:hAnsi="Times New Roman"/>
                <w:b/>
                <w:sz w:val="20"/>
              </w:rPr>
            </w:pPr>
            <w:r w:rsidRPr="006A638A">
              <w:rPr>
                <w:rFonts w:ascii="Times New Roman" w:hAnsi="Times New Roman"/>
                <w:b/>
                <w:sz w:val="20"/>
              </w:rPr>
              <w:t>Section</w:t>
            </w:r>
          </w:p>
        </w:tc>
        <w:tc>
          <w:tcPr>
            <w:tcW w:w="2610" w:type="dxa"/>
            <w:tcBorders>
              <w:top w:val="single" w:sz="4" w:space="0" w:color="auto"/>
              <w:left w:val="single" w:sz="4" w:space="0" w:color="auto"/>
              <w:bottom w:val="single" w:sz="4" w:space="0" w:color="auto"/>
              <w:right w:val="single" w:sz="4" w:space="0" w:color="auto"/>
            </w:tcBorders>
            <w:hideMark/>
          </w:tcPr>
          <w:p w:rsidR="00B70616" w:rsidRPr="006A638A" w14:paraId="47FD6D6A" w14:textId="77777777">
            <w:pPr>
              <w:jc w:val="center"/>
              <w:rPr>
                <w:rFonts w:ascii="Times New Roman" w:hAnsi="Times New Roman"/>
                <w:b/>
                <w:sz w:val="20"/>
              </w:rPr>
            </w:pPr>
            <w:r w:rsidRPr="006A638A">
              <w:rPr>
                <w:rFonts w:ascii="Times New Roman" w:hAnsi="Times New Roman"/>
                <w:b/>
                <w:sz w:val="20"/>
              </w:rPr>
              <w:t>Requirement</w:t>
            </w:r>
          </w:p>
        </w:tc>
        <w:tc>
          <w:tcPr>
            <w:tcW w:w="1440" w:type="dxa"/>
            <w:tcBorders>
              <w:top w:val="single" w:sz="4" w:space="0" w:color="auto"/>
              <w:left w:val="single" w:sz="4" w:space="0" w:color="auto"/>
              <w:bottom w:val="single" w:sz="4" w:space="0" w:color="auto"/>
              <w:right w:val="single" w:sz="4" w:space="0" w:color="auto"/>
            </w:tcBorders>
            <w:hideMark/>
          </w:tcPr>
          <w:p w:rsidR="00B70616" w:rsidRPr="006A638A" w14:paraId="605B6588" w14:textId="77777777">
            <w:pPr>
              <w:jc w:val="center"/>
              <w:rPr>
                <w:rFonts w:ascii="Times New Roman" w:hAnsi="Times New Roman"/>
                <w:b/>
                <w:sz w:val="20"/>
              </w:rPr>
            </w:pPr>
            <w:r w:rsidRPr="006A638A">
              <w:rPr>
                <w:rFonts w:ascii="Times New Roman" w:hAnsi="Times New Roman"/>
                <w:b/>
                <w:sz w:val="20"/>
              </w:rPr>
              <w:t>Type of</w:t>
            </w:r>
          </w:p>
          <w:p w:rsidR="00B70616" w:rsidRPr="006A638A" w14:paraId="2D52ED12" w14:textId="77777777">
            <w:pPr>
              <w:jc w:val="center"/>
              <w:rPr>
                <w:rFonts w:ascii="Times New Roman" w:hAnsi="Times New Roman"/>
                <w:b/>
                <w:sz w:val="20"/>
              </w:rPr>
            </w:pPr>
            <w:r w:rsidRPr="006A638A">
              <w:rPr>
                <w:rFonts w:ascii="Times New Roman" w:hAnsi="Times New Roman"/>
                <w:b/>
                <w:sz w:val="20"/>
              </w:rPr>
              <w:t>Burden</w:t>
            </w:r>
          </w:p>
        </w:tc>
        <w:tc>
          <w:tcPr>
            <w:tcW w:w="1350" w:type="dxa"/>
            <w:tcBorders>
              <w:top w:val="single" w:sz="4" w:space="0" w:color="auto"/>
              <w:left w:val="single" w:sz="4" w:space="0" w:color="auto"/>
              <w:bottom w:val="single" w:sz="4" w:space="0" w:color="auto"/>
              <w:right w:val="single" w:sz="4" w:space="0" w:color="auto"/>
            </w:tcBorders>
            <w:hideMark/>
          </w:tcPr>
          <w:p w:rsidR="00B70616" w:rsidRPr="006A638A" w14:paraId="615D9D22" w14:textId="77777777">
            <w:pPr>
              <w:jc w:val="center"/>
              <w:rPr>
                <w:rFonts w:ascii="Times New Roman" w:hAnsi="Times New Roman"/>
                <w:b/>
                <w:sz w:val="20"/>
              </w:rPr>
            </w:pPr>
            <w:r w:rsidRPr="006A638A">
              <w:rPr>
                <w:rFonts w:ascii="Times New Roman" w:hAnsi="Times New Roman"/>
                <w:b/>
                <w:sz w:val="20"/>
              </w:rPr>
              <w:t>Respondents</w:t>
            </w:r>
          </w:p>
        </w:tc>
        <w:tc>
          <w:tcPr>
            <w:tcW w:w="1080" w:type="dxa"/>
            <w:tcBorders>
              <w:top w:val="single" w:sz="4" w:space="0" w:color="auto"/>
              <w:left w:val="single" w:sz="4" w:space="0" w:color="auto"/>
              <w:bottom w:val="single" w:sz="4" w:space="0" w:color="auto"/>
              <w:right w:val="single" w:sz="4" w:space="0" w:color="auto"/>
            </w:tcBorders>
            <w:hideMark/>
          </w:tcPr>
          <w:p w:rsidR="00B70616" w:rsidRPr="006A638A" w14:paraId="5F621A22" w14:textId="77777777">
            <w:pPr>
              <w:jc w:val="center"/>
              <w:rPr>
                <w:rFonts w:ascii="Times New Roman" w:hAnsi="Times New Roman"/>
                <w:b/>
                <w:sz w:val="20"/>
              </w:rPr>
            </w:pPr>
            <w:r w:rsidRPr="006A638A">
              <w:rPr>
                <w:rFonts w:ascii="Times New Roman" w:hAnsi="Times New Roman"/>
                <w:b/>
                <w:sz w:val="20"/>
              </w:rPr>
              <w:t>Burden per</w:t>
            </w:r>
          </w:p>
          <w:p w:rsidR="00B70616" w:rsidRPr="006A638A" w14:paraId="5191830F" w14:textId="77777777">
            <w:pPr>
              <w:jc w:val="center"/>
              <w:rPr>
                <w:rFonts w:ascii="Times New Roman" w:hAnsi="Times New Roman"/>
                <w:b/>
                <w:sz w:val="20"/>
              </w:rPr>
            </w:pPr>
            <w:r w:rsidRPr="006A638A">
              <w:rPr>
                <w:rFonts w:ascii="Times New Roman" w:hAnsi="Times New Roman"/>
                <w:b/>
                <w:sz w:val="20"/>
              </w:rPr>
              <w:t>Response</w:t>
            </w:r>
          </w:p>
        </w:tc>
        <w:tc>
          <w:tcPr>
            <w:tcW w:w="1260" w:type="dxa"/>
            <w:tcBorders>
              <w:top w:val="single" w:sz="4" w:space="0" w:color="auto"/>
              <w:left w:val="single" w:sz="4" w:space="0" w:color="auto"/>
              <w:bottom w:val="single" w:sz="4" w:space="0" w:color="auto"/>
              <w:right w:val="single" w:sz="4" w:space="0" w:color="auto"/>
            </w:tcBorders>
            <w:hideMark/>
          </w:tcPr>
          <w:p w:rsidR="00B70616" w:rsidRPr="006A638A" w14:paraId="565DC830" w14:textId="77777777">
            <w:pPr>
              <w:jc w:val="center"/>
              <w:rPr>
                <w:rFonts w:ascii="Times New Roman" w:hAnsi="Times New Roman"/>
                <w:b/>
                <w:sz w:val="20"/>
              </w:rPr>
            </w:pPr>
            <w:r w:rsidRPr="006A638A">
              <w:rPr>
                <w:rFonts w:ascii="Times New Roman" w:hAnsi="Times New Roman"/>
                <w:b/>
                <w:sz w:val="20"/>
              </w:rPr>
              <w:t>Number of</w:t>
            </w:r>
          </w:p>
          <w:p w:rsidR="00B70616" w:rsidRPr="006A638A" w14:paraId="66D5CF4C" w14:textId="77777777">
            <w:pPr>
              <w:jc w:val="center"/>
              <w:rPr>
                <w:rFonts w:ascii="Times New Roman" w:hAnsi="Times New Roman"/>
                <w:b/>
                <w:sz w:val="20"/>
              </w:rPr>
            </w:pPr>
            <w:r w:rsidRPr="006A638A">
              <w:rPr>
                <w:rFonts w:ascii="Times New Roman" w:hAnsi="Times New Roman"/>
                <w:b/>
                <w:sz w:val="20"/>
              </w:rPr>
              <w:t>Responses</w:t>
            </w:r>
          </w:p>
        </w:tc>
        <w:tc>
          <w:tcPr>
            <w:tcW w:w="990" w:type="dxa"/>
            <w:tcBorders>
              <w:top w:val="single" w:sz="4" w:space="0" w:color="auto"/>
              <w:left w:val="single" w:sz="4" w:space="0" w:color="auto"/>
              <w:bottom w:val="single" w:sz="4" w:space="0" w:color="auto"/>
              <w:right w:val="single" w:sz="4" w:space="0" w:color="auto"/>
            </w:tcBorders>
            <w:hideMark/>
          </w:tcPr>
          <w:p w:rsidR="00B70616" w:rsidRPr="006A638A" w14:paraId="337E8C19" w14:textId="77777777">
            <w:pPr>
              <w:jc w:val="center"/>
              <w:rPr>
                <w:rFonts w:ascii="Times New Roman" w:hAnsi="Times New Roman"/>
                <w:b/>
                <w:sz w:val="20"/>
              </w:rPr>
            </w:pPr>
            <w:r w:rsidRPr="006A638A">
              <w:rPr>
                <w:rFonts w:ascii="Times New Roman" w:hAnsi="Times New Roman"/>
                <w:b/>
                <w:sz w:val="20"/>
              </w:rPr>
              <w:t>Total</w:t>
            </w:r>
          </w:p>
        </w:tc>
      </w:tr>
      <w:tr w14:paraId="0A976971" w14:textId="77777777" w:rsidTr="007426CB">
        <w:tblPrEx>
          <w:tblW w:w="10440" w:type="dxa"/>
          <w:tblInd w:w="-792"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5763B1" w:rsidRPr="006A638A" w:rsidP="007426CB" w14:paraId="0AA582AD" w14:textId="77777777">
            <w:pPr>
              <w:rPr>
                <w:rFonts w:ascii="Times New Roman" w:hAnsi="Times New Roman"/>
                <w:sz w:val="20"/>
              </w:rPr>
            </w:pPr>
            <w:r w:rsidRPr="006A638A">
              <w:rPr>
                <w:rFonts w:ascii="Times New Roman" w:hAnsi="Times New Roman"/>
                <w:sz w:val="20"/>
              </w:rPr>
              <w:t>§ 50.40(a)</w:t>
            </w:r>
          </w:p>
          <w:p w:rsidR="005763B1" w:rsidRPr="006A638A" w:rsidP="007426CB" w14:paraId="0A92CC8A" w14:textId="77777777">
            <w:pPr>
              <w:rPr>
                <w:rFonts w:ascii="Times New Roman" w:hAnsi="Times New Roman"/>
                <w:sz w:val="20"/>
              </w:rPr>
            </w:pPr>
            <w:r w:rsidRPr="006A638A">
              <w:rPr>
                <w:rFonts w:ascii="Times New Roman" w:hAnsi="Times New Roman"/>
                <w:sz w:val="20"/>
              </w:rPr>
              <w:t>§ 50.110(a)</w:t>
            </w:r>
          </w:p>
        </w:tc>
        <w:tc>
          <w:tcPr>
            <w:tcW w:w="2610" w:type="dxa"/>
            <w:tcBorders>
              <w:top w:val="single" w:sz="4" w:space="0" w:color="auto"/>
              <w:left w:val="single" w:sz="4" w:space="0" w:color="auto"/>
              <w:bottom w:val="single" w:sz="4" w:space="0" w:color="auto"/>
              <w:right w:val="single" w:sz="4" w:space="0" w:color="auto"/>
            </w:tcBorders>
          </w:tcPr>
          <w:p w:rsidR="005763B1" w:rsidRPr="006A638A" w:rsidP="001C347C" w14:paraId="3CBD8B9F" w14:textId="77777777">
            <w:pPr>
              <w:rPr>
                <w:rFonts w:ascii="Times New Roman" w:hAnsi="Times New Roman"/>
                <w:sz w:val="20"/>
              </w:rPr>
            </w:pPr>
            <w:r w:rsidRPr="006A638A">
              <w:rPr>
                <w:rFonts w:ascii="Times New Roman" w:hAnsi="Times New Roman"/>
                <w:sz w:val="20"/>
              </w:rPr>
              <w:t>Notification of shortfall.</w:t>
            </w:r>
          </w:p>
        </w:tc>
        <w:tc>
          <w:tcPr>
            <w:tcW w:w="1440" w:type="dxa"/>
            <w:tcBorders>
              <w:top w:val="single" w:sz="4" w:space="0" w:color="auto"/>
              <w:left w:val="single" w:sz="4" w:space="0" w:color="auto"/>
              <w:bottom w:val="single" w:sz="4" w:space="0" w:color="auto"/>
              <w:right w:val="single" w:sz="4" w:space="0" w:color="auto"/>
            </w:tcBorders>
          </w:tcPr>
          <w:p w:rsidR="005763B1" w:rsidP="003630ED" w14:paraId="4CE127BE" w14:textId="77777777">
            <w:pPr>
              <w:jc w:val="center"/>
              <w:rPr>
                <w:rFonts w:ascii="Times New Roman" w:hAnsi="Times New Roman"/>
                <w:sz w:val="20"/>
              </w:rPr>
            </w:pPr>
            <w:r w:rsidRPr="006A638A">
              <w:rPr>
                <w:rFonts w:ascii="Times New Roman" w:hAnsi="Times New Roman"/>
                <w:sz w:val="20"/>
              </w:rPr>
              <w:t>Reporting</w:t>
            </w:r>
          </w:p>
          <w:p w:rsidR="00792280" w:rsidRPr="006A638A" w:rsidP="003630ED" w14:paraId="4EA22329" w14:textId="66A20CBC">
            <w:pPr>
              <w:jc w:val="center"/>
              <w:rPr>
                <w:rFonts w:ascii="Times New Roman" w:hAnsi="Times New Roman"/>
                <w:sz w:val="20"/>
              </w:rPr>
            </w:pPr>
            <w:r>
              <w:rPr>
                <w:rFonts w:ascii="Times New Roman" w:hAnsi="Times New Roman"/>
                <w:sz w:val="20"/>
              </w:rPr>
              <w:t>(On Occasion)</w:t>
            </w:r>
          </w:p>
        </w:tc>
        <w:tc>
          <w:tcPr>
            <w:tcW w:w="1350" w:type="dxa"/>
            <w:tcBorders>
              <w:top w:val="single" w:sz="4" w:space="0" w:color="auto"/>
              <w:left w:val="single" w:sz="4" w:space="0" w:color="auto"/>
              <w:bottom w:val="single" w:sz="4" w:space="0" w:color="auto"/>
              <w:right w:val="single" w:sz="4" w:space="0" w:color="auto"/>
            </w:tcBorders>
          </w:tcPr>
          <w:p w:rsidR="005763B1" w:rsidRPr="003A41A8" w:rsidP="005763B1" w14:paraId="3D2BB1EA" w14:textId="50A3E7E4">
            <w:pPr>
              <w:jc w:val="center"/>
              <w:rPr>
                <w:rFonts w:ascii="Times New Roman" w:hAnsi="Times New Roman"/>
                <w:sz w:val="20"/>
              </w:rPr>
            </w:pPr>
            <w:r w:rsidRPr="003A41A8">
              <w:rPr>
                <w:rFonts w:ascii="Times New Roman" w:hAnsi="Times New Roman"/>
                <w:sz w:val="20"/>
              </w:rPr>
              <w:t>15</w:t>
            </w:r>
          </w:p>
        </w:tc>
        <w:tc>
          <w:tcPr>
            <w:tcW w:w="1080" w:type="dxa"/>
            <w:tcBorders>
              <w:top w:val="single" w:sz="4" w:space="0" w:color="auto"/>
              <w:left w:val="single" w:sz="4" w:space="0" w:color="auto"/>
              <w:bottom w:val="single" w:sz="4" w:space="0" w:color="auto"/>
              <w:right w:val="single" w:sz="4" w:space="0" w:color="auto"/>
            </w:tcBorders>
          </w:tcPr>
          <w:p w:rsidR="005763B1" w:rsidRPr="006A638A" w:rsidP="005763B1" w14:paraId="50552590" w14:textId="180F13CE">
            <w:pPr>
              <w:jc w:val="center"/>
              <w:rPr>
                <w:rFonts w:ascii="Times New Roman" w:hAnsi="Times New Roman"/>
                <w:sz w:val="20"/>
              </w:rPr>
            </w:pPr>
            <w:r>
              <w:rPr>
                <w:rFonts w:ascii="Times New Roman" w:hAnsi="Times New Roman"/>
                <w:sz w:val="20"/>
              </w:rPr>
              <w:t>0.5</w:t>
            </w:r>
          </w:p>
        </w:tc>
        <w:tc>
          <w:tcPr>
            <w:tcW w:w="1260" w:type="dxa"/>
            <w:tcBorders>
              <w:top w:val="single" w:sz="4" w:space="0" w:color="auto"/>
              <w:left w:val="single" w:sz="4" w:space="0" w:color="auto"/>
              <w:bottom w:val="single" w:sz="4" w:space="0" w:color="auto"/>
              <w:right w:val="single" w:sz="4" w:space="0" w:color="auto"/>
            </w:tcBorders>
          </w:tcPr>
          <w:p w:rsidR="005763B1" w:rsidRPr="006A638A" w:rsidP="005763B1" w14:paraId="6D8EF10F" w14:textId="5F2C9B47">
            <w:pPr>
              <w:jc w:val="center"/>
              <w:rPr>
                <w:rFonts w:ascii="Times New Roman" w:hAnsi="Times New Roman"/>
                <w:sz w:val="20"/>
              </w:rPr>
            </w:pPr>
            <w:r>
              <w:rPr>
                <w:rFonts w:ascii="Times New Roman" w:hAnsi="Times New Roman"/>
                <w:sz w:val="20"/>
              </w:rPr>
              <w:t>12</w:t>
            </w:r>
          </w:p>
        </w:tc>
        <w:tc>
          <w:tcPr>
            <w:tcW w:w="990" w:type="dxa"/>
            <w:tcBorders>
              <w:top w:val="single" w:sz="4" w:space="0" w:color="auto"/>
              <w:left w:val="single" w:sz="4" w:space="0" w:color="auto"/>
              <w:bottom w:val="single" w:sz="4" w:space="0" w:color="auto"/>
              <w:right w:val="single" w:sz="4" w:space="0" w:color="auto"/>
            </w:tcBorders>
          </w:tcPr>
          <w:p w:rsidR="005763B1" w:rsidRPr="006A638A" w:rsidP="005763B1" w14:paraId="1FC2ADEF" w14:textId="3ED81BB1">
            <w:pPr>
              <w:jc w:val="center"/>
              <w:rPr>
                <w:rFonts w:ascii="Times New Roman" w:hAnsi="Times New Roman"/>
                <w:sz w:val="20"/>
              </w:rPr>
            </w:pPr>
            <w:r>
              <w:rPr>
                <w:rFonts w:ascii="Times New Roman" w:hAnsi="Times New Roman"/>
                <w:sz w:val="20"/>
              </w:rPr>
              <w:t>90</w:t>
            </w:r>
          </w:p>
        </w:tc>
      </w:tr>
      <w:tr w14:paraId="478B6FFF" w14:textId="77777777" w:rsidTr="00BB6A89">
        <w:tblPrEx>
          <w:tblW w:w="10440" w:type="dxa"/>
          <w:tblInd w:w="-792"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5763B1" w:rsidRPr="006A638A" w:rsidP="005763B1" w14:paraId="59EF5829" w14:textId="77777777">
            <w:pPr>
              <w:rPr>
                <w:rFonts w:ascii="Times New Roman" w:hAnsi="Times New Roman"/>
                <w:sz w:val="20"/>
              </w:rPr>
            </w:pPr>
            <w:r w:rsidRPr="006A638A">
              <w:rPr>
                <w:rFonts w:ascii="Times New Roman" w:hAnsi="Times New Roman"/>
                <w:sz w:val="20"/>
              </w:rPr>
              <w:t>§ 50.40(b)</w:t>
            </w:r>
          </w:p>
          <w:p w:rsidR="005763B1" w:rsidRPr="006A638A" w:rsidP="00CC3CED" w14:paraId="0E087378" w14:textId="4DAD99FE">
            <w:pPr>
              <w:rPr>
                <w:rFonts w:ascii="Times New Roman" w:hAnsi="Times New Roman"/>
                <w:b/>
                <w:sz w:val="20"/>
              </w:rPr>
            </w:pPr>
            <w:r w:rsidRPr="006A638A">
              <w:rPr>
                <w:rFonts w:ascii="Times New Roman" w:hAnsi="Times New Roman"/>
                <w:sz w:val="20"/>
              </w:rPr>
              <w:t>§ 50.110(b)</w:t>
            </w:r>
            <w:r>
              <w:rPr>
                <w:rStyle w:val="FootnoteReference"/>
                <w:rFonts w:ascii="Times New Roman" w:hAnsi="Times New Roman"/>
                <w:bCs/>
                <w:sz w:val="20"/>
                <w:vertAlign w:val="superscript"/>
              </w:rPr>
              <w:footnoteReference w:id="3"/>
            </w:r>
          </w:p>
        </w:tc>
        <w:tc>
          <w:tcPr>
            <w:tcW w:w="2610" w:type="dxa"/>
            <w:tcBorders>
              <w:top w:val="single" w:sz="4" w:space="0" w:color="auto"/>
              <w:left w:val="single" w:sz="4" w:space="0" w:color="auto"/>
              <w:bottom w:val="single" w:sz="4" w:space="0" w:color="auto"/>
              <w:right w:val="single" w:sz="4" w:space="0" w:color="auto"/>
            </w:tcBorders>
          </w:tcPr>
          <w:p w:rsidR="005763B1" w:rsidRPr="006A638A" w:rsidP="00CC3CED" w14:paraId="754289C6" w14:textId="29E19D0C">
            <w:pPr>
              <w:rPr>
                <w:rFonts w:ascii="Times New Roman" w:hAnsi="Times New Roman"/>
                <w:b/>
                <w:sz w:val="20"/>
              </w:rPr>
            </w:pPr>
            <w:r>
              <w:rPr>
                <w:rFonts w:ascii="Times New Roman" w:hAnsi="Times New Roman"/>
                <w:sz w:val="20"/>
              </w:rPr>
              <w:t>L</w:t>
            </w:r>
            <w:r w:rsidRPr="006A638A">
              <w:rPr>
                <w:rFonts w:ascii="Times New Roman" w:hAnsi="Times New Roman"/>
                <w:sz w:val="20"/>
              </w:rPr>
              <w:t>iquidity plan</w:t>
            </w:r>
            <w:r>
              <w:rPr>
                <w:rFonts w:ascii="Times New Roman" w:hAnsi="Times New Roman"/>
                <w:sz w:val="20"/>
              </w:rPr>
              <w:t>.</w:t>
            </w:r>
          </w:p>
        </w:tc>
        <w:tc>
          <w:tcPr>
            <w:tcW w:w="1440" w:type="dxa"/>
            <w:tcBorders>
              <w:top w:val="single" w:sz="4" w:space="0" w:color="auto"/>
              <w:left w:val="single" w:sz="4" w:space="0" w:color="auto"/>
              <w:bottom w:val="single" w:sz="4" w:space="0" w:color="auto"/>
              <w:right w:val="single" w:sz="4" w:space="0" w:color="auto"/>
            </w:tcBorders>
          </w:tcPr>
          <w:p w:rsidR="005763B1" w:rsidP="003630ED" w14:paraId="6DCE78A1" w14:textId="77777777">
            <w:pPr>
              <w:jc w:val="center"/>
              <w:rPr>
                <w:rFonts w:ascii="Times New Roman" w:hAnsi="Times New Roman"/>
                <w:sz w:val="20"/>
              </w:rPr>
            </w:pPr>
            <w:r w:rsidRPr="006A638A">
              <w:rPr>
                <w:rFonts w:ascii="Times New Roman" w:hAnsi="Times New Roman"/>
                <w:sz w:val="20"/>
              </w:rPr>
              <w:t>Reporting</w:t>
            </w:r>
          </w:p>
          <w:p w:rsidR="00792280" w:rsidRPr="006A638A" w:rsidP="003630ED" w14:paraId="14AC6034" w14:textId="74F9A7BE">
            <w:pPr>
              <w:jc w:val="center"/>
              <w:rPr>
                <w:rFonts w:ascii="Times New Roman" w:hAnsi="Times New Roman"/>
                <w:b/>
                <w:sz w:val="20"/>
              </w:rPr>
            </w:pPr>
            <w:r>
              <w:rPr>
                <w:rFonts w:ascii="Times New Roman" w:hAnsi="Times New Roman"/>
                <w:sz w:val="20"/>
              </w:rPr>
              <w:t>(On Occasion)</w:t>
            </w:r>
          </w:p>
        </w:tc>
        <w:tc>
          <w:tcPr>
            <w:tcW w:w="1350" w:type="dxa"/>
            <w:tcBorders>
              <w:top w:val="single" w:sz="4" w:space="0" w:color="auto"/>
              <w:left w:val="single" w:sz="4" w:space="0" w:color="auto"/>
              <w:bottom w:val="single" w:sz="4" w:space="0" w:color="auto"/>
              <w:right w:val="single" w:sz="4" w:space="0" w:color="auto"/>
            </w:tcBorders>
          </w:tcPr>
          <w:p w:rsidR="005763B1" w:rsidRPr="003A41A8" w:rsidP="005763B1" w14:paraId="33F35454" w14:textId="78B06497">
            <w:pPr>
              <w:jc w:val="center"/>
              <w:rPr>
                <w:rFonts w:ascii="Times New Roman" w:hAnsi="Times New Roman"/>
                <w:sz w:val="20"/>
              </w:rPr>
            </w:pPr>
            <w:r w:rsidRPr="003A41A8">
              <w:rPr>
                <w:rFonts w:ascii="Times New Roman" w:hAnsi="Times New Roman"/>
                <w:sz w:val="20"/>
              </w:rPr>
              <w:t>15</w:t>
            </w:r>
          </w:p>
        </w:tc>
        <w:tc>
          <w:tcPr>
            <w:tcW w:w="1080" w:type="dxa"/>
            <w:tcBorders>
              <w:top w:val="single" w:sz="4" w:space="0" w:color="auto"/>
              <w:left w:val="single" w:sz="4" w:space="0" w:color="auto"/>
              <w:bottom w:val="single" w:sz="4" w:space="0" w:color="auto"/>
              <w:right w:val="single" w:sz="4" w:space="0" w:color="auto"/>
            </w:tcBorders>
          </w:tcPr>
          <w:p w:rsidR="005763B1" w:rsidRPr="003A41A8" w:rsidP="005763B1" w14:paraId="18F6DF27" w14:textId="4239A5EE">
            <w:pPr>
              <w:jc w:val="center"/>
              <w:rPr>
                <w:rFonts w:ascii="Times New Roman" w:hAnsi="Times New Roman"/>
                <w:bCs/>
                <w:sz w:val="20"/>
              </w:rPr>
            </w:pPr>
            <w:r w:rsidRPr="003A41A8">
              <w:rPr>
                <w:rFonts w:ascii="Times New Roman" w:hAnsi="Times New Roman"/>
                <w:bCs/>
                <w:sz w:val="20"/>
              </w:rPr>
              <w:t>0.5</w:t>
            </w:r>
          </w:p>
        </w:tc>
        <w:tc>
          <w:tcPr>
            <w:tcW w:w="1260" w:type="dxa"/>
            <w:tcBorders>
              <w:top w:val="single" w:sz="4" w:space="0" w:color="auto"/>
              <w:left w:val="single" w:sz="4" w:space="0" w:color="auto"/>
              <w:bottom w:val="single" w:sz="4" w:space="0" w:color="auto"/>
              <w:right w:val="single" w:sz="4" w:space="0" w:color="auto"/>
            </w:tcBorders>
          </w:tcPr>
          <w:p w:rsidR="005763B1" w:rsidRPr="003A41A8" w:rsidP="005763B1" w14:paraId="51DB9D54" w14:textId="389F7F7E">
            <w:pPr>
              <w:jc w:val="center"/>
              <w:rPr>
                <w:rFonts w:ascii="Times New Roman" w:hAnsi="Times New Roman"/>
                <w:bCs/>
                <w:sz w:val="20"/>
              </w:rPr>
            </w:pPr>
            <w:r w:rsidRPr="003A41A8">
              <w:rPr>
                <w:rFonts w:ascii="Times New Roman" w:hAnsi="Times New Roman"/>
                <w:bCs/>
                <w:sz w:val="20"/>
              </w:rPr>
              <w:t>1</w:t>
            </w:r>
          </w:p>
        </w:tc>
        <w:tc>
          <w:tcPr>
            <w:tcW w:w="990" w:type="dxa"/>
            <w:tcBorders>
              <w:top w:val="single" w:sz="4" w:space="0" w:color="auto"/>
              <w:left w:val="single" w:sz="4" w:space="0" w:color="auto"/>
              <w:bottom w:val="single" w:sz="4" w:space="0" w:color="auto"/>
              <w:right w:val="single" w:sz="4" w:space="0" w:color="auto"/>
            </w:tcBorders>
          </w:tcPr>
          <w:p w:rsidR="005763B1" w:rsidRPr="003A41A8" w:rsidP="005763B1" w14:paraId="712F8843" w14:textId="0FF049AF">
            <w:pPr>
              <w:jc w:val="center"/>
              <w:rPr>
                <w:rFonts w:ascii="Times New Roman" w:hAnsi="Times New Roman"/>
                <w:bCs/>
                <w:sz w:val="20"/>
              </w:rPr>
            </w:pPr>
            <w:r>
              <w:rPr>
                <w:rFonts w:ascii="Times New Roman" w:hAnsi="Times New Roman"/>
                <w:bCs/>
                <w:sz w:val="20"/>
              </w:rPr>
              <w:t>7.5</w:t>
            </w:r>
          </w:p>
        </w:tc>
      </w:tr>
      <w:tr w14:paraId="21BCA546" w14:textId="77777777" w:rsidTr="00BB6A89">
        <w:tblPrEx>
          <w:tblW w:w="10440" w:type="dxa"/>
          <w:tblInd w:w="-792"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792280" w:rsidRPr="006A638A" w:rsidP="00792280" w14:paraId="67FE2995" w14:textId="77777777">
            <w:pPr>
              <w:rPr>
                <w:rFonts w:ascii="Times New Roman" w:hAnsi="Times New Roman"/>
                <w:sz w:val="20"/>
              </w:rPr>
            </w:pPr>
            <w:r w:rsidRPr="006A638A">
              <w:rPr>
                <w:rFonts w:ascii="Times New Roman" w:hAnsi="Times New Roman"/>
                <w:sz w:val="20"/>
              </w:rPr>
              <w:t>§ 50.40(b)(3)(iv)</w:t>
            </w:r>
          </w:p>
          <w:p w:rsidR="00792280" w:rsidRPr="006A638A" w:rsidP="00CC3CED" w14:paraId="192F2C27" w14:textId="1C8E318B">
            <w:pPr>
              <w:rPr>
                <w:rFonts w:ascii="Times New Roman" w:hAnsi="Times New Roman"/>
                <w:b/>
                <w:sz w:val="20"/>
              </w:rPr>
            </w:pPr>
            <w:r w:rsidRPr="006A638A">
              <w:rPr>
                <w:rFonts w:ascii="Times New Roman" w:hAnsi="Times New Roman"/>
                <w:sz w:val="20"/>
              </w:rPr>
              <w:t>§ 50.110(b)(3)</w:t>
            </w:r>
          </w:p>
        </w:tc>
        <w:tc>
          <w:tcPr>
            <w:tcW w:w="2610" w:type="dxa"/>
            <w:tcBorders>
              <w:top w:val="single" w:sz="4" w:space="0" w:color="auto"/>
              <w:left w:val="single" w:sz="4" w:space="0" w:color="auto"/>
              <w:bottom w:val="single" w:sz="4" w:space="0" w:color="auto"/>
              <w:right w:val="single" w:sz="4" w:space="0" w:color="auto"/>
            </w:tcBorders>
          </w:tcPr>
          <w:p w:rsidR="00792280" w:rsidRPr="006A638A" w:rsidP="00CC3CED" w14:paraId="41BD84CC" w14:textId="17A6DB62">
            <w:pPr>
              <w:rPr>
                <w:rFonts w:ascii="Times New Roman" w:hAnsi="Times New Roman"/>
                <w:b/>
                <w:sz w:val="20"/>
              </w:rPr>
            </w:pPr>
            <w:r>
              <w:rPr>
                <w:rFonts w:ascii="Times New Roman" w:hAnsi="Times New Roman"/>
                <w:sz w:val="20"/>
              </w:rPr>
              <w:t>P</w:t>
            </w:r>
            <w:r w:rsidRPr="006A638A">
              <w:rPr>
                <w:rFonts w:ascii="Times New Roman" w:hAnsi="Times New Roman"/>
                <w:sz w:val="20"/>
              </w:rPr>
              <w:t>rogress reports</w:t>
            </w:r>
            <w:r>
              <w:rPr>
                <w:rFonts w:ascii="Times New Roman" w:hAnsi="Times New Roman"/>
                <w:sz w:val="20"/>
              </w:rPr>
              <w:t xml:space="preserve"> (submit</w:t>
            </w:r>
            <w:r w:rsidR="00ED088B">
              <w:rPr>
                <w:rFonts w:ascii="Times New Roman" w:hAnsi="Times New Roman"/>
                <w:sz w:val="20"/>
              </w:rPr>
              <w:t xml:space="preserve"> </w:t>
            </w:r>
            <w:r>
              <w:rPr>
                <w:rFonts w:ascii="Times New Roman" w:hAnsi="Times New Roman"/>
                <w:sz w:val="20"/>
              </w:rPr>
              <w:t>progress reports)</w:t>
            </w:r>
            <w:r w:rsidRPr="006A638A">
              <w:rPr>
                <w:rFonts w:ascii="Times New Roman" w:hAnsi="Times New Roman"/>
                <w:sz w:val="20"/>
              </w:rPr>
              <w:t>.</w:t>
            </w:r>
          </w:p>
        </w:tc>
        <w:tc>
          <w:tcPr>
            <w:tcW w:w="1440" w:type="dxa"/>
            <w:tcBorders>
              <w:top w:val="single" w:sz="4" w:space="0" w:color="auto"/>
              <w:left w:val="single" w:sz="4" w:space="0" w:color="auto"/>
              <w:bottom w:val="single" w:sz="4" w:space="0" w:color="auto"/>
              <w:right w:val="single" w:sz="4" w:space="0" w:color="auto"/>
            </w:tcBorders>
          </w:tcPr>
          <w:p w:rsidR="00792280" w:rsidP="003630ED" w14:paraId="3242D072" w14:textId="77777777">
            <w:pPr>
              <w:jc w:val="center"/>
              <w:rPr>
                <w:rFonts w:ascii="Times New Roman" w:hAnsi="Times New Roman"/>
                <w:sz w:val="20"/>
              </w:rPr>
            </w:pPr>
            <w:r w:rsidRPr="006A638A">
              <w:rPr>
                <w:rFonts w:ascii="Times New Roman" w:hAnsi="Times New Roman"/>
                <w:sz w:val="20"/>
              </w:rPr>
              <w:t>Reporting</w:t>
            </w:r>
          </w:p>
          <w:p w:rsidR="00792280" w:rsidRPr="006A638A" w:rsidP="003630ED" w14:paraId="1E9C5B88" w14:textId="4E84CF25">
            <w:pPr>
              <w:jc w:val="center"/>
              <w:rPr>
                <w:rFonts w:ascii="Times New Roman" w:hAnsi="Times New Roman"/>
                <w:b/>
                <w:sz w:val="20"/>
              </w:rPr>
            </w:pPr>
            <w:r>
              <w:rPr>
                <w:rFonts w:ascii="Times New Roman" w:hAnsi="Times New Roman"/>
                <w:sz w:val="20"/>
              </w:rPr>
              <w:t>(On Occasion)</w:t>
            </w:r>
          </w:p>
        </w:tc>
        <w:tc>
          <w:tcPr>
            <w:tcW w:w="1350" w:type="dxa"/>
            <w:tcBorders>
              <w:top w:val="single" w:sz="4" w:space="0" w:color="auto"/>
              <w:left w:val="single" w:sz="4" w:space="0" w:color="auto"/>
              <w:bottom w:val="single" w:sz="4" w:space="0" w:color="auto"/>
              <w:right w:val="single" w:sz="4" w:space="0" w:color="auto"/>
            </w:tcBorders>
          </w:tcPr>
          <w:p w:rsidR="00792280" w:rsidRPr="003A41A8" w:rsidP="00792280" w14:paraId="6F702694" w14:textId="318573A7">
            <w:pPr>
              <w:jc w:val="center"/>
              <w:rPr>
                <w:rFonts w:ascii="Times New Roman" w:hAnsi="Times New Roman"/>
                <w:sz w:val="20"/>
              </w:rPr>
            </w:pPr>
            <w:r>
              <w:rPr>
                <w:rFonts w:ascii="Times New Roman" w:hAnsi="Times New Roman"/>
                <w:sz w:val="20"/>
              </w:rPr>
              <w:t>15</w:t>
            </w:r>
          </w:p>
        </w:tc>
        <w:tc>
          <w:tcPr>
            <w:tcW w:w="1080" w:type="dxa"/>
            <w:tcBorders>
              <w:top w:val="single" w:sz="4" w:space="0" w:color="auto"/>
              <w:left w:val="single" w:sz="4" w:space="0" w:color="auto"/>
              <w:bottom w:val="single" w:sz="4" w:space="0" w:color="auto"/>
              <w:right w:val="single" w:sz="4" w:space="0" w:color="auto"/>
            </w:tcBorders>
          </w:tcPr>
          <w:p w:rsidR="00792280" w:rsidRPr="003A41A8" w:rsidP="00792280" w14:paraId="3C84E21E" w14:textId="72BB21C5">
            <w:pPr>
              <w:jc w:val="center"/>
              <w:rPr>
                <w:rFonts w:ascii="Times New Roman" w:hAnsi="Times New Roman"/>
                <w:bCs/>
                <w:sz w:val="20"/>
              </w:rPr>
            </w:pPr>
            <w:r>
              <w:rPr>
                <w:rFonts w:ascii="Times New Roman" w:hAnsi="Times New Roman"/>
                <w:bCs/>
                <w:sz w:val="20"/>
              </w:rPr>
              <w:t>0.5</w:t>
            </w:r>
          </w:p>
        </w:tc>
        <w:tc>
          <w:tcPr>
            <w:tcW w:w="1260" w:type="dxa"/>
            <w:tcBorders>
              <w:top w:val="single" w:sz="4" w:space="0" w:color="auto"/>
              <w:left w:val="single" w:sz="4" w:space="0" w:color="auto"/>
              <w:bottom w:val="single" w:sz="4" w:space="0" w:color="auto"/>
              <w:right w:val="single" w:sz="4" w:space="0" w:color="auto"/>
            </w:tcBorders>
          </w:tcPr>
          <w:p w:rsidR="00792280" w:rsidRPr="003A41A8" w:rsidP="00792280" w14:paraId="50E37788" w14:textId="100B6D44">
            <w:pPr>
              <w:jc w:val="center"/>
              <w:rPr>
                <w:rFonts w:ascii="Times New Roman" w:hAnsi="Times New Roman"/>
                <w:bCs/>
                <w:sz w:val="20"/>
              </w:rPr>
            </w:pPr>
            <w:r>
              <w:rPr>
                <w:rFonts w:ascii="Times New Roman" w:hAnsi="Times New Roman"/>
                <w:bCs/>
                <w:sz w:val="20"/>
              </w:rPr>
              <w:t>4</w:t>
            </w:r>
          </w:p>
        </w:tc>
        <w:tc>
          <w:tcPr>
            <w:tcW w:w="990" w:type="dxa"/>
            <w:tcBorders>
              <w:top w:val="single" w:sz="4" w:space="0" w:color="auto"/>
              <w:left w:val="single" w:sz="4" w:space="0" w:color="auto"/>
              <w:bottom w:val="single" w:sz="4" w:space="0" w:color="auto"/>
              <w:right w:val="single" w:sz="4" w:space="0" w:color="auto"/>
            </w:tcBorders>
          </w:tcPr>
          <w:p w:rsidR="00792280" w:rsidRPr="003A41A8" w:rsidP="00792280" w14:paraId="416D860E" w14:textId="3773F3EE">
            <w:pPr>
              <w:jc w:val="center"/>
              <w:rPr>
                <w:rFonts w:ascii="Times New Roman" w:hAnsi="Times New Roman"/>
                <w:bCs/>
                <w:sz w:val="20"/>
              </w:rPr>
            </w:pPr>
            <w:r>
              <w:rPr>
                <w:rFonts w:ascii="Times New Roman" w:hAnsi="Times New Roman"/>
                <w:bCs/>
                <w:sz w:val="20"/>
              </w:rPr>
              <w:t>30</w:t>
            </w:r>
          </w:p>
        </w:tc>
      </w:tr>
      <w:tr w14:paraId="74BDE2C0" w14:textId="77777777" w:rsidTr="00BB6A89">
        <w:tblPrEx>
          <w:tblW w:w="10440" w:type="dxa"/>
          <w:tblInd w:w="-792"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E66C27" w:rsidRPr="006A638A" w:rsidP="00792280" w14:paraId="70716BE8" w14:textId="1A67348F">
            <w:pPr>
              <w:rPr>
                <w:rFonts w:ascii="Times New Roman" w:hAnsi="Times New Roman"/>
                <w:sz w:val="20"/>
              </w:rPr>
            </w:pPr>
            <w:r>
              <w:rPr>
                <w:rFonts w:ascii="Times New Roman" w:hAnsi="Times New Roman"/>
                <w:sz w:val="20"/>
              </w:rPr>
              <w:t>§ 50.4(a)</w:t>
            </w:r>
          </w:p>
        </w:tc>
        <w:tc>
          <w:tcPr>
            <w:tcW w:w="2610" w:type="dxa"/>
            <w:tcBorders>
              <w:top w:val="single" w:sz="4" w:space="0" w:color="auto"/>
              <w:left w:val="single" w:sz="4" w:space="0" w:color="auto"/>
              <w:bottom w:val="single" w:sz="4" w:space="0" w:color="auto"/>
              <w:right w:val="single" w:sz="4" w:space="0" w:color="auto"/>
            </w:tcBorders>
          </w:tcPr>
          <w:p w:rsidR="00E66C27" w:rsidRPr="006A638A" w:rsidP="00CC3CED" w14:paraId="4A459433" w14:textId="5379758F">
            <w:pPr>
              <w:rPr>
                <w:rFonts w:ascii="Times New Roman" w:hAnsi="Times New Roman"/>
                <w:sz w:val="20"/>
              </w:rPr>
            </w:pPr>
            <w:r>
              <w:rPr>
                <w:rFonts w:ascii="Times New Roman" w:hAnsi="Times New Roman"/>
                <w:sz w:val="20"/>
              </w:rPr>
              <w:t>Maintain sufficient written documentation of legal review.  Establish and maintain written procedures to</w:t>
            </w:r>
            <w:r w:rsidRPr="001C347C">
              <w:rPr>
                <w:rFonts w:ascii="Times New Roman" w:hAnsi="Times New Roman"/>
                <w:sz w:val="20"/>
              </w:rPr>
              <w:t xml:space="preserve"> monitor possible changes in relevant law and to ensure that the agreement continues to satisfy the requirements of the definition of qualifying master netting agreement</w:t>
            </w:r>
            <w:r>
              <w:rPr>
                <w:rFonts w:ascii="Times New Roman" w:hAnsi="Times New Roman"/>
                <w:sz w:val="20"/>
              </w:rPr>
              <w:t>.</w:t>
            </w:r>
          </w:p>
        </w:tc>
        <w:tc>
          <w:tcPr>
            <w:tcW w:w="1440" w:type="dxa"/>
            <w:tcBorders>
              <w:top w:val="single" w:sz="4" w:space="0" w:color="auto"/>
              <w:left w:val="single" w:sz="4" w:space="0" w:color="auto"/>
              <w:bottom w:val="single" w:sz="4" w:space="0" w:color="auto"/>
              <w:right w:val="single" w:sz="4" w:space="0" w:color="auto"/>
            </w:tcBorders>
          </w:tcPr>
          <w:p w:rsidR="00E66C27" w:rsidP="003630ED" w14:paraId="4DCB6756" w14:textId="77777777">
            <w:pPr>
              <w:jc w:val="center"/>
              <w:rPr>
                <w:rFonts w:ascii="Times New Roman" w:hAnsi="Times New Roman"/>
                <w:sz w:val="20"/>
              </w:rPr>
            </w:pPr>
            <w:r>
              <w:rPr>
                <w:rFonts w:ascii="Times New Roman" w:hAnsi="Times New Roman"/>
                <w:sz w:val="20"/>
              </w:rPr>
              <w:t>Recordkeeping</w:t>
            </w:r>
          </w:p>
          <w:p w:rsidR="003630ED" w:rsidRPr="006A638A" w:rsidP="003630ED" w14:paraId="6A53382D" w14:textId="52CC742C">
            <w:pPr>
              <w:jc w:val="center"/>
              <w:rPr>
                <w:rFonts w:ascii="Times New Roman" w:hAnsi="Times New Roman"/>
                <w:sz w:val="20"/>
              </w:rPr>
            </w:pPr>
            <w:r>
              <w:rPr>
                <w:rFonts w:ascii="Times New Roman" w:hAnsi="Times New Roman"/>
                <w:sz w:val="20"/>
              </w:rPr>
              <w:t>(Annual)</w:t>
            </w:r>
          </w:p>
        </w:tc>
        <w:tc>
          <w:tcPr>
            <w:tcW w:w="1350" w:type="dxa"/>
            <w:tcBorders>
              <w:top w:val="single" w:sz="4" w:space="0" w:color="auto"/>
              <w:left w:val="single" w:sz="4" w:space="0" w:color="auto"/>
              <w:bottom w:val="single" w:sz="4" w:space="0" w:color="auto"/>
              <w:right w:val="single" w:sz="4" w:space="0" w:color="auto"/>
            </w:tcBorders>
          </w:tcPr>
          <w:p w:rsidR="00E66C27" w:rsidRPr="003A41A8" w:rsidP="00792280" w14:paraId="159EF369" w14:textId="484A6082">
            <w:pPr>
              <w:jc w:val="center"/>
              <w:rPr>
                <w:rFonts w:ascii="Times New Roman" w:hAnsi="Times New Roman"/>
                <w:sz w:val="20"/>
              </w:rPr>
            </w:pPr>
            <w:r>
              <w:rPr>
                <w:rFonts w:ascii="Times New Roman" w:hAnsi="Times New Roman"/>
                <w:sz w:val="20"/>
              </w:rPr>
              <w:t>15</w:t>
            </w:r>
          </w:p>
        </w:tc>
        <w:tc>
          <w:tcPr>
            <w:tcW w:w="1080" w:type="dxa"/>
            <w:tcBorders>
              <w:top w:val="single" w:sz="4" w:space="0" w:color="auto"/>
              <w:left w:val="single" w:sz="4" w:space="0" w:color="auto"/>
              <w:bottom w:val="single" w:sz="4" w:space="0" w:color="auto"/>
              <w:right w:val="single" w:sz="4" w:space="0" w:color="auto"/>
            </w:tcBorders>
          </w:tcPr>
          <w:p w:rsidR="00E66C27" w:rsidRPr="003A41A8" w:rsidP="00792280" w14:paraId="0DECCD8D" w14:textId="14AA0E78">
            <w:pPr>
              <w:jc w:val="center"/>
              <w:rPr>
                <w:rFonts w:ascii="Times New Roman" w:hAnsi="Times New Roman"/>
                <w:bCs/>
                <w:sz w:val="20"/>
              </w:rPr>
            </w:pPr>
            <w:r>
              <w:rPr>
                <w:rFonts w:ascii="Times New Roman" w:hAnsi="Times New Roman"/>
                <w:bCs/>
                <w:sz w:val="20"/>
              </w:rPr>
              <w:t>0.50</w:t>
            </w:r>
          </w:p>
        </w:tc>
        <w:tc>
          <w:tcPr>
            <w:tcW w:w="1260" w:type="dxa"/>
            <w:tcBorders>
              <w:top w:val="single" w:sz="4" w:space="0" w:color="auto"/>
              <w:left w:val="single" w:sz="4" w:space="0" w:color="auto"/>
              <w:bottom w:val="single" w:sz="4" w:space="0" w:color="auto"/>
              <w:right w:val="single" w:sz="4" w:space="0" w:color="auto"/>
            </w:tcBorders>
          </w:tcPr>
          <w:p w:rsidR="00E66C27" w:rsidRPr="003A41A8" w:rsidP="00792280" w14:paraId="50965BDC" w14:textId="17BC2CB3">
            <w:pPr>
              <w:jc w:val="center"/>
              <w:rPr>
                <w:rFonts w:ascii="Times New Roman" w:hAnsi="Times New Roman"/>
                <w:bCs/>
                <w:sz w:val="20"/>
              </w:rPr>
            </w:pPr>
            <w:r>
              <w:rPr>
                <w:rFonts w:ascii="Times New Roman" w:hAnsi="Times New Roman"/>
                <w:bCs/>
                <w:sz w:val="20"/>
              </w:rPr>
              <w:t>1</w:t>
            </w:r>
          </w:p>
        </w:tc>
        <w:tc>
          <w:tcPr>
            <w:tcW w:w="990" w:type="dxa"/>
            <w:tcBorders>
              <w:top w:val="single" w:sz="4" w:space="0" w:color="auto"/>
              <w:left w:val="single" w:sz="4" w:space="0" w:color="auto"/>
              <w:bottom w:val="single" w:sz="4" w:space="0" w:color="auto"/>
              <w:right w:val="single" w:sz="4" w:space="0" w:color="auto"/>
            </w:tcBorders>
          </w:tcPr>
          <w:p w:rsidR="00E66C27" w:rsidRPr="003A41A8" w:rsidP="00792280" w14:paraId="334EE542" w14:textId="5AF9E0DE">
            <w:pPr>
              <w:jc w:val="center"/>
              <w:rPr>
                <w:rFonts w:ascii="Times New Roman" w:hAnsi="Times New Roman"/>
                <w:bCs/>
                <w:sz w:val="20"/>
              </w:rPr>
            </w:pPr>
            <w:r>
              <w:rPr>
                <w:rFonts w:ascii="Times New Roman" w:hAnsi="Times New Roman"/>
                <w:bCs/>
                <w:sz w:val="20"/>
              </w:rPr>
              <w:t>7.5</w:t>
            </w:r>
          </w:p>
        </w:tc>
      </w:tr>
      <w:tr w14:paraId="4966E30B" w14:textId="77777777" w:rsidTr="00BB6A89">
        <w:tblPrEx>
          <w:tblW w:w="10440" w:type="dxa"/>
          <w:tblInd w:w="-792"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792280" w:rsidRPr="006A638A" w:rsidP="00792280" w14:paraId="356B5FD3" w14:textId="1477F1D6">
            <w:pPr>
              <w:rPr>
                <w:rFonts w:ascii="Times New Roman" w:hAnsi="Times New Roman"/>
                <w:sz w:val="20"/>
              </w:rPr>
            </w:pPr>
            <w:r w:rsidRPr="006A638A">
              <w:rPr>
                <w:rFonts w:ascii="Times New Roman" w:hAnsi="Times New Roman"/>
                <w:sz w:val="20"/>
              </w:rPr>
              <w:t>§ 50.22(a)</w:t>
            </w:r>
          </w:p>
          <w:p w:rsidR="00792280" w:rsidRPr="006A638A" w:rsidP="00792280" w14:paraId="7347E0AA" w14:textId="58855883">
            <w:pPr>
              <w:rPr>
                <w:rFonts w:ascii="Times New Roman" w:hAnsi="Times New Roman"/>
                <w:sz w:val="20"/>
              </w:rPr>
            </w:pPr>
            <w:r w:rsidRPr="006A638A">
              <w:rPr>
                <w:rFonts w:ascii="Times New Roman" w:hAnsi="Times New Roman"/>
                <w:sz w:val="20"/>
              </w:rPr>
              <w:t>§ 50.10</w:t>
            </w:r>
            <w:r w:rsidR="001C347C">
              <w:rPr>
                <w:rFonts w:ascii="Times New Roman" w:hAnsi="Times New Roman"/>
                <w:sz w:val="20"/>
              </w:rPr>
              <w:t>9</w:t>
            </w:r>
            <w:r w:rsidRPr="006A638A">
              <w:rPr>
                <w:rFonts w:ascii="Times New Roman" w:hAnsi="Times New Roman"/>
                <w:sz w:val="20"/>
              </w:rPr>
              <w:t>(b)</w:t>
            </w:r>
          </w:p>
        </w:tc>
        <w:tc>
          <w:tcPr>
            <w:tcW w:w="2610" w:type="dxa"/>
            <w:tcBorders>
              <w:top w:val="single" w:sz="4" w:space="0" w:color="auto"/>
              <w:left w:val="single" w:sz="4" w:space="0" w:color="auto"/>
              <w:bottom w:val="single" w:sz="4" w:space="0" w:color="auto"/>
              <w:right w:val="single" w:sz="4" w:space="0" w:color="auto"/>
            </w:tcBorders>
          </w:tcPr>
          <w:p w:rsidR="009836F8" w:rsidP="00792280" w14:paraId="1A86E26F" w14:textId="423BBB81">
            <w:pPr>
              <w:rPr>
                <w:rFonts w:ascii="Times New Roman" w:hAnsi="Times New Roman"/>
                <w:sz w:val="20"/>
              </w:rPr>
            </w:pPr>
            <w:r w:rsidRPr="006A638A">
              <w:rPr>
                <w:rFonts w:ascii="Times New Roman" w:hAnsi="Times New Roman"/>
                <w:sz w:val="20"/>
              </w:rPr>
              <w:t xml:space="preserve">Written procedures to identify/monitor restrictions on transferring assets.  </w:t>
            </w:r>
            <w:r w:rsidRPr="009836F8">
              <w:rPr>
                <w:rFonts w:ascii="Times New Roman" w:hAnsi="Times New Roman"/>
                <w:sz w:val="20"/>
              </w:rPr>
              <w:t>Documented methodology providing consistent treatment for determining whether eligible HQLA meets operational requirements.</w:t>
            </w:r>
            <w:r>
              <w:rPr>
                <w:rFonts w:ascii="Times New Roman" w:hAnsi="Times New Roman"/>
                <w:sz w:val="20"/>
              </w:rPr>
              <w:t xml:space="preserve">  </w:t>
            </w:r>
          </w:p>
          <w:p w:rsidR="00792280" w:rsidRPr="006A638A" w:rsidP="00792280" w14:paraId="2782D0BF" w14:textId="487A6524">
            <w:pPr>
              <w:rPr>
                <w:rFonts w:ascii="Times New Roman" w:hAnsi="Times New Roman"/>
                <w:sz w:val="20"/>
              </w:rPr>
            </w:pPr>
            <w:r w:rsidRPr="006A638A">
              <w:rPr>
                <w:rFonts w:ascii="Times New Roman" w:hAnsi="Times New Roman"/>
                <w:sz w:val="20"/>
              </w:rPr>
              <w:t>Document types of transactions that could be used to transfer assets and how they comply.</w:t>
            </w:r>
          </w:p>
        </w:tc>
        <w:tc>
          <w:tcPr>
            <w:tcW w:w="1440" w:type="dxa"/>
            <w:tcBorders>
              <w:top w:val="single" w:sz="4" w:space="0" w:color="auto"/>
              <w:left w:val="single" w:sz="4" w:space="0" w:color="auto"/>
              <w:bottom w:val="single" w:sz="4" w:space="0" w:color="auto"/>
              <w:right w:val="single" w:sz="4" w:space="0" w:color="auto"/>
            </w:tcBorders>
          </w:tcPr>
          <w:p w:rsidR="00792280" w:rsidP="003630ED" w14:paraId="55D6FE2F" w14:textId="77777777">
            <w:pPr>
              <w:jc w:val="center"/>
              <w:rPr>
                <w:rFonts w:ascii="Times New Roman" w:hAnsi="Times New Roman"/>
                <w:sz w:val="20"/>
              </w:rPr>
            </w:pPr>
            <w:r w:rsidRPr="006A638A">
              <w:rPr>
                <w:rFonts w:ascii="Times New Roman" w:hAnsi="Times New Roman"/>
                <w:sz w:val="20"/>
              </w:rPr>
              <w:t>Recordkeeping</w:t>
            </w:r>
          </w:p>
          <w:p w:rsidR="003630ED" w:rsidRPr="006A638A" w:rsidP="003630ED" w14:paraId="67316C78" w14:textId="476EE53B">
            <w:pPr>
              <w:jc w:val="center"/>
              <w:rPr>
                <w:rFonts w:ascii="Times New Roman" w:hAnsi="Times New Roman"/>
                <w:sz w:val="20"/>
              </w:rPr>
            </w:pPr>
            <w:r>
              <w:rPr>
                <w:rFonts w:ascii="Times New Roman" w:hAnsi="Times New Roman"/>
                <w:sz w:val="20"/>
              </w:rPr>
              <w:t>(Annual)</w:t>
            </w:r>
          </w:p>
        </w:tc>
        <w:tc>
          <w:tcPr>
            <w:tcW w:w="1350" w:type="dxa"/>
            <w:tcBorders>
              <w:top w:val="single" w:sz="4" w:space="0" w:color="auto"/>
              <w:left w:val="single" w:sz="4" w:space="0" w:color="auto"/>
              <w:bottom w:val="single" w:sz="4" w:space="0" w:color="auto"/>
              <w:right w:val="single" w:sz="4" w:space="0" w:color="auto"/>
            </w:tcBorders>
          </w:tcPr>
          <w:p w:rsidR="00792280" w:rsidRPr="003A41A8" w:rsidP="00792280" w14:paraId="6E1B2476" w14:textId="0C13B179">
            <w:pPr>
              <w:jc w:val="center"/>
              <w:rPr>
                <w:rFonts w:ascii="Times New Roman" w:hAnsi="Times New Roman"/>
                <w:sz w:val="20"/>
              </w:rPr>
            </w:pPr>
            <w:r>
              <w:rPr>
                <w:rFonts w:ascii="Times New Roman" w:hAnsi="Times New Roman"/>
                <w:sz w:val="20"/>
              </w:rPr>
              <w:t>15</w:t>
            </w:r>
          </w:p>
        </w:tc>
        <w:tc>
          <w:tcPr>
            <w:tcW w:w="1080" w:type="dxa"/>
            <w:tcBorders>
              <w:top w:val="single" w:sz="4" w:space="0" w:color="auto"/>
              <w:left w:val="single" w:sz="4" w:space="0" w:color="auto"/>
              <w:bottom w:val="single" w:sz="4" w:space="0" w:color="auto"/>
              <w:right w:val="single" w:sz="4" w:space="0" w:color="auto"/>
            </w:tcBorders>
          </w:tcPr>
          <w:p w:rsidR="00792280" w:rsidRPr="003A41A8" w:rsidP="00792280" w14:paraId="2252C026" w14:textId="5AE08E4A">
            <w:pPr>
              <w:jc w:val="center"/>
              <w:rPr>
                <w:rFonts w:ascii="Times New Roman" w:hAnsi="Times New Roman"/>
                <w:bCs/>
                <w:sz w:val="20"/>
              </w:rPr>
            </w:pPr>
            <w:r>
              <w:rPr>
                <w:rFonts w:ascii="Times New Roman" w:hAnsi="Times New Roman"/>
                <w:bCs/>
                <w:sz w:val="20"/>
              </w:rPr>
              <w:t>40</w:t>
            </w:r>
          </w:p>
        </w:tc>
        <w:tc>
          <w:tcPr>
            <w:tcW w:w="1260" w:type="dxa"/>
            <w:tcBorders>
              <w:top w:val="single" w:sz="4" w:space="0" w:color="auto"/>
              <w:left w:val="single" w:sz="4" w:space="0" w:color="auto"/>
              <w:bottom w:val="single" w:sz="4" w:space="0" w:color="auto"/>
              <w:right w:val="single" w:sz="4" w:space="0" w:color="auto"/>
            </w:tcBorders>
          </w:tcPr>
          <w:p w:rsidR="00792280" w:rsidRPr="003A41A8" w:rsidP="00792280" w14:paraId="5BA24041" w14:textId="0BE4FD32">
            <w:pPr>
              <w:jc w:val="center"/>
              <w:rPr>
                <w:rFonts w:ascii="Times New Roman" w:hAnsi="Times New Roman"/>
                <w:bCs/>
                <w:sz w:val="20"/>
              </w:rPr>
            </w:pPr>
            <w:r>
              <w:rPr>
                <w:rFonts w:ascii="Times New Roman" w:hAnsi="Times New Roman"/>
                <w:bCs/>
                <w:sz w:val="20"/>
              </w:rPr>
              <w:t>1</w:t>
            </w:r>
          </w:p>
        </w:tc>
        <w:tc>
          <w:tcPr>
            <w:tcW w:w="990" w:type="dxa"/>
            <w:tcBorders>
              <w:top w:val="single" w:sz="4" w:space="0" w:color="auto"/>
              <w:left w:val="single" w:sz="4" w:space="0" w:color="auto"/>
              <w:bottom w:val="single" w:sz="4" w:space="0" w:color="auto"/>
              <w:right w:val="single" w:sz="4" w:space="0" w:color="auto"/>
            </w:tcBorders>
          </w:tcPr>
          <w:p w:rsidR="00792280" w:rsidRPr="003A41A8" w:rsidP="00792280" w14:paraId="7A87DE44" w14:textId="73BF94F5">
            <w:pPr>
              <w:jc w:val="center"/>
              <w:rPr>
                <w:rFonts w:ascii="Times New Roman" w:hAnsi="Times New Roman"/>
                <w:bCs/>
                <w:sz w:val="20"/>
              </w:rPr>
            </w:pPr>
            <w:r>
              <w:rPr>
                <w:rFonts w:ascii="Times New Roman" w:hAnsi="Times New Roman"/>
                <w:bCs/>
                <w:sz w:val="20"/>
              </w:rPr>
              <w:t>600</w:t>
            </w:r>
          </w:p>
        </w:tc>
      </w:tr>
      <w:tr w14:paraId="77FD8F95" w14:textId="77777777" w:rsidTr="0036251A">
        <w:tblPrEx>
          <w:tblW w:w="10440" w:type="dxa"/>
          <w:tblInd w:w="-792"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792280" w:rsidP="00792280" w14:paraId="5EAA3B39" w14:textId="77777777">
            <w:pPr>
              <w:rPr>
                <w:rFonts w:ascii="Times New Roman" w:hAnsi="Times New Roman"/>
                <w:b/>
                <w:sz w:val="20"/>
              </w:rPr>
            </w:pPr>
            <w:r w:rsidRPr="006A638A">
              <w:rPr>
                <w:rFonts w:ascii="Times New Roman" w:hAnsi="Times New Roman"/>
                <w:b/>
                <w:sz w:val="20"/>
              </w:rPr>
              <w:t>Totals</w:t>
            </w:r>
          </w:p>
          <w:p w:rsidR="00792280" w:rsidRPr="006A638A" w:rsidP="00792280" w14:paraId="43AED7BE" w14:textId="77777777">
            <w:pPr>
              <w:rPr>
                <w:rFonts w:ascii="Times New Roman" w:hAnsi="Times New Roman"/>
                <w:b/>
                <w:sz w:val="20"/>
              </w:rPr>
            </w:pPr>
          </w:p>
        </w:tc>
        <w:tc>
          <w:tcPr>
            <w:tcW w:w="2610" w:type="dxa"/>
            <w:tcBorders>
              <w:top w:val="single" w:sz="4" w:space="0" w:color="auto"/>
              <w:left w:val="single" w:sz="4" w:space="0" w:color="auto"/>
              <w:bottom w:val="single" w:sz="4" w:space="0" w:color="auto"/>
              <w:right w:val="single" w:sz="4" w:space="0" w:color="auto"/>
            </w:tcBorders>
          </w:tcPr>
          <w:p w:rsidR="00792280" w:rsidRPr="006A638A" w:rsidP="00792280" w14:paraId="25976C4A" w14:textId="77777777">
            <w:pPr>
              <w:rPr>
                <w:rFonts w:ascii="Times New Roman" w:hAnsi="Times New Roman"/>
                <w:sz w:val="20"/>
              </w:rPr>
            </w:pPr>
          </w:p>
        </w:tc>
        <w:tc>
          <w:tcPr>
            <w:tcW w:w="1440" w:type="dxa"/>
            <w:tcBorders>
              <w:top w:val="single" w:sz="4" w:space="0" w:color="auto"/>
              <w:left w:val="single" w:sz="4" w:space="0" w:color="auto"/>
              <w:bottom w:val="single" w:sz="4" w:space="0" w:color="auto"/>
              <w:right w:val="single" w:sz="4" w:space="0" w:color="auto"/>
            </w:tcBorders>
          </w:tcPr>
          <w:p w:rsidR="00792280" w:rsidRPr="006A638A" w:rsidP="00792280" w14:paraId="3D222BAC" w14:textId="77777777">
            <w:pPr>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rsidR="00792280" w:rsidRPr="003A41A8" w:rsidP="00792280" w14:paraId="62F248B0" w14:textId="1FB26FBC">
            <w:pPr>
              <w:jc w:val="center"/>
              <w:rPr>
                <w:rFonts w:ascii="Times New Roman" w:hAnsi="Times New Roman"/>
                <w:b/>
                <w:bCs/>
                <w:sz w:val="20"/>
              </w:rPr>
            </w:pPr>
            <w:r w:rsidRPr="003A41A8">
              <w:rPr>
                <w:rFonts w:ascii="Times New Roman" w:hAnsi="Times New Roman"/>
                <w:b/>
                <w:bCs/>
                <w:sz w:val="20"/>
              </w:rPr>
              <w:t>15</w:t>
            </w:r>
          </w:p>
        </w:tc>
        <w:tc>
          <w:tcPr>
            <w:tcW w:w="1080" w:type="dxa"/>
            <w:tcBorders>
              <w:top w:val="single" w:sz="4" w:space="0" w:color="auto"/>
              <w:left w:val="single" w:sz="4" w:space="0" w:color="auto"/>
              <w:bottom w:val="single" w:sz="4" w:space="0" w:color="auto"/>
              <w:right w:val="single" w:sz="4" w:space="0" w:color="auto"/>
            </w:tcBorders>
          </w:tcPr>
          <w:p w:rsidR="00792280" w:rsidRPr="003A41A8" w:rsidP="00792280" w14:paraId="03DB74AA" w14:textId="77777777">
            <w:pPr>
              <w:jc w:val="center"/>
              <w:rPr>
                <w:rFonts w:ascii="Times New Roman" w:hAnsi="Times New Roman"/>
                <w:bCs/>
                <w:sz w:val="20"/>
              </w:rPr>
            </w:pPr>
          </w:p>
        </w:tc>
        <w:tc>
          <w:tcPr>
            <w:tcW w:w="1260" w:type="dxa"/>
            <w:tcBorders>
              <w:top w:val="single" w:sz="4" w:space="0" w:color="auto"/>
              <w:left w:val="single" w:sz="4" w:space="0" w:color="auto"/>
              <w:bottom w:val="single" w:sz="4" w:space="0" w:color="auto"/>
              <w:right w:val="single" w:sz="4" w:space="0" w:color="auto"/>
            </w:tcBorders>
          </w:tcPr>
          <w:p w:rsidR="00792280" w:rsidRPr="003A41A8" w:rsidP="00792280" w14:paraId="15174061" w14:textId="77777777">
            <w:pPr>
              <w:jc w:val="center"/>
              <w:rPr>
                <w:rFonts w:ascii="Times New Roman" w:hAnsi="Times New Roman"/>
                <w:bCs/>
                <w:sz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92280" w:rsidRPr="0036251A" w:rsidP="00792280" w14:paraId="380D7991" w14:textId="17C2604F">
            <w:pPr>
              <w:jc w:val="center"/>
              <w:rPr>
                <w:rFonts w:ascii="Times New Roman" w:hAnsi="Times New Roman"/>
                <w:b/>
                <w:sz w:val="20"/>
              </w:rPr>
            </w:pPr>
            <w:r w:rsidRPr="0036251A">
              <w:rPr>
                <w:rFonts w:ascii="Times New Roman" w:hAnsi="Times New Roman"/>
                <w:b/>
                <w:sz w:val="20"/>
              </w:rPr>
              <w:t>735</w:t>
            </w:r>
          </w:p>
        </w:tc>
      </w:tr>
    </w:tbl>
    <w:p w:rsidR="00B54451" w:rsidRPr="00B44C7E" w:rsidP="00FE64CB" w14:paraId="54844B79" w14:textId="77777777">
      <w:pPr>
        <w:rPr>
          <w:rFonts w:ascii="Times New Roman" w:hAnsi="Times New Roman"/>
          <w:b/>
          <w:szCs w:val="24"/>
        </w:rPr>
      </w:pPr>
    </w:p>
    <w:p w:rsidR="00943509" w:rsidRPr="00B44C7E" w:rsidP="00FE64CB" w14:paraId="72503E3D" w14:textId="77777777">
      <w:pPr>
        <w:rPr>
          <w:rFonts w:ascii="Times New Roman" w:hAnsi="Times New Roman"/>
          <w:b/>
          <w:szCs w:val="24"/>
        </w:rPr>
      </w:pPr>
      <w:r w:rsidRPr="00B44C7E">
        <w:rPr>
          <w:rFonts w:ascii="Times New Roman" w:hAnsi="Times New Roman"/>
          <w:b/>
          <w:szCs w:val="24"/>
        </w:rPr>
        <w:t>Cost of Hour Burden:</w:t>
      </w:r>
    </w:p>
    <w:p w:rsidR="00943509" w:rsidRPr="00B44C7E" w:rsidP="00FE64CB" w14:paraId="0B70AFD6" w14:textId="77777777">
      <w:pPr>
        <w:rPr>
          <w:rFonts w:ascii="Times New Roman" w:hAnsi="Times New Roman"/>
          <w:b/>
          <w:szCs w:val="24"/>
        </w:rPr>
      </w:pPr>
    </w:p>
    <w:p w:rsidR="00943509" w:rsidRPr="00B44C7E" w:rsidP="00FE64CB" w14:paraId="7D165A03" w14:textId="083E39D9">
      <w:pPr>
        <w:rPr>
          <w:rFonts w:ascii="Times New Roman" w:hAnsi="Times New Roman"/>
          <w:b/>
          <w:szCs w:val="24"/>
        </w:rPr>
      </w:pPr>
      <w:r w:rsidRPr="0036251A">
        <w:rPr>
          <w:rFonts w:ascii="Times New Roman" w:hAnsi="Times New Roman"/>
          <w:b/>
          <w:szCs w:val="24"/>
        </w:rPr>
        <w:t>735</w:t>
      </w:r>
      <w:r w:rsidR="00A70445">
        <w:rPr>
          <w:rFonts w:ascii="Times New Roman" w:hAnsi="Times New Roman"/>
          <w:b/>
          <w:szCs w:val="24"/>
        </w:rPr>
        <w:t xml:space="preserve"> </w:t>
      </w:r>
      <w:r w:rsidRPr="00B44C7E" w:rsidR="00525034">
        <w:rPr>
          <w:rFonts w:ascii="Times New Roman" w:hAnsi="Times New Roman"/>
          <w:b/>
          <w:szCs w:val="24"/>
        </w:rPr>
        <w:t>hours x $</w:t>
      </w:r>
      <w:r w:rsidRPr="00B44C7E" w:rsidR="005C6BA1">
        <w:rPr>
          <w:rFonts w:ascii="Times New Roman" w:hAnsi="Times New Roman"/>
          <w:b/>
          <w:szCs w:val="24"/>
        </w:rPr>
        <w:t>1</w:t>
      </w:r>
      <w:r w:rsidR="005C6BA1">
        <w:rPr>
          <w:rFonts w:ascii="Times New Roman" w:hAnsi="Times New Roman"/>
          <w:b/>
          <w:szCs w:val="24"/>
        </w:rPr>
        <w:t>2</w:t>
      </w:r>
      <w:r w:rsidR="00AB6CF4">
        <w:rPr>
          <w:rFonts w:ascii="Times New Roman" w:hAnsi="Times New Roman"/>
          <w:b/>
          <w:szCs w:val="24"/>
        </w:rPr>
        <w:t>9</w:t>
      </w:r>
      <w:r w:rsidRPr="00B44C7E" w:rsidR="00045FD2">
        <w:rPr>
          <w:rFonts w:ascii="Times New Roman" w:hAnsi="Times New Roman"/>
          <w:b/>
          <w:szCs w:val="24"/>
        </w:rPr>
        <w:t>.</w:t>
      </w:r>
      <w:r w:rsidR="00AB6CF4">
        <w:rPr>
          <w:rFonts w:ascii="Times New Roman" w:hAnsi="Times New Roman"/>
          <w:b/>
          <w:szCs w:val="24"/>
        </w:rPr>
        <w:t>40</w:t>
      </w:r>
      <w:r w:rsidRPr="00B44C7E">
        <w:rPr>
          <w:rFonts w:ascii="Times New Roman" w:hAnsi="Times New Roman"/>
          <w:b/>
          <w:szCs w:val="24"/>
        </w:rPr>
        <w:t xml:space="preserve"> = </w:t>
      </w:r>
      <w:r w:rsidRPr="0036251A" w:rsidR="001E7468">
        <w:rPr>
          <w:rFonts w:ascii="Times New Roman" w:hAnsi="Times New Roman"/>
          <w:b/>
          <w:szCs w:val="24"/>
        </w:rPr>
        <w:t>$</w:t>
      </w:r>
      <w:r w:rsidRPr="0036251A" w:rsidR="00A70445">
        <w:rPr>
          <w:rFonts w:ascii="Times New Roman" w:hAnsi="Times New Roman"/>
          <w:b/>
          <w:szCs w:val="24"/>
        </w:rPr>
        <w:t xml:space="preserve"> </w:t>
      </w:r>
      <w:r w:rsidRPr="0036251A">
        <w:rPr>
          <w:rFonts w:ascii="Times New Roman" w:hAnsi="Times New Roman"/>
          <w:b/>
          <w:szCs w:val="24"/>
        </w:rPr>
        <w:t>9</w:t>
      </w:r>
      <w:r w:rsidR="00AB6CF4">
        <w:rPr>
          <w:rFonts w:ascii="Times New Roman" w:hAnsi="Times New Roman"/>
          <w:b/>
          <w:szCs w:val="24"/>
        </w:rPr>
        <w:t>5</w:t>
      </w:r>
      <w:r w:rsidRPr="0036251A">
        <w:rPr>
          <w:rFonts w:ascii="Times New Roman" w:hAnsi="Times New Roman"/>
          <w:b/>
          <w:szCs w:val="24"/>
        </w:rPr>
        <w:t>,1</w:t>
      </w:r>
      <w:r w:rsidR="00AB6CF4">
        <w:rPr>
          <w:rFonts w:ascii="Times New Roman" w:hAnsi="Times New Roman"/>
          <w:b/>
          <w:szCs w:val="24"/>
        </w:rPr>
        <w:t>09</w:t>
      </w:r>
      <w:r w:rsidRPr="0036251A">
        <w:rPr>
          <w:rFonts w:ascii="Times New Roman" w:hAnsi="Times New Roman"/>
          <w:b/>
          <w:szCs w:val="24"/>
        </w:rPr>
        <w:t>.</w:t>
      </w:r>
      <w:r w:rsidR="00AB6CF4">
        <w:rPr>
          <w:rFonts w:ascii="Times New Roman" w:hAnsi="Times New Roman"/>
          <w:b/>
          <w:szCs w:val="24"/>
        </w:rPr>
        <w:t>00</w:t>
      </w:r>
    </w:p>
    <w:p w:rsidR="00943509" w:rsidRPr="00B44C7E" w:rsidP="00FE64CB" w14:paraId="5D882AE9" w14:textId="77777777">
      <w:pPr>
        <w:rPr>
          <w:rFonts w:ascii="Times New Roman" w:hAnsi="Times New Roman"/>
          <w:szCs w:val="24"/>
        </w:rPr>
      </w:pPr>
    </w:p>
    <w:p w:rsidR="00650196" w:rsidP="00405AA6" w14:paraId="267739A4" w14:textId="34892CD9">
      <w:pPr>
        <w:tabs>
          <w:tab w:val="left" w:pos="-1440"/>
        </w:tabs>
        <w:outlineLvl w:val="0"/>
        <w:rPr>
          <w:rFonts w:ascii="Times New Roman" w:hAnsi="Times New Roman"/>
          <w:color w:val="000000"/>
          <w:szCs w:val="24"/>
        </w:rPr>
      </w:pPr>
      <w:r w:rsidRPr="003026C2">
        <w:rPr>
          <w:rFonts w:ascii="Times New Roman" w:hAnsi="Times New Roman"/>
          <w:color w:val="000000"/>
          <w:szCs w:val="24"/>
        </w:rPr>
        <w:t xml:space="preserve">To estimate wages the OCC reviewed May 2023 data for wages (by industry and occupation) </w:t>
      </w:r>
      <w:r w:rsidRPr="003026C2">
        <w:rPr>
          <w:rFonts w:ascii="Times New Roman" w:hAnsi="Times New Roman"/>
          <w:color w:val="000000"/>
          <w:szCs w:val="24"/>
        </w:rPr>
        <w:t>from the U.S. Bureau of Labor Statistics (BLS) for credit intermediation and related activities (NAICS 5220A1).  To estimate compensation costs associated with the rule, the OCC uses $129.40 per hour, which is based on the average of the 90th percentile for six occupations adjusted for inflation (4.3 percent as of Q1 2024), plus an additional 34.6 percent for benefits (based on the percent of total compensation allocated to benefits as of Q4 2023 for NAICS 522: credit intermediation and related activities).</w:t>
      </w:r>
    </w:p>
    <w:p w:rsidR="003026C2" w:rsidRPr="00B44C7E" w:rsidP="00405AA6" w14:paraId="125CA8A4" w14:textId="77777777">
      <w:pPr>
        <w:tabs>
          <w:tab w:val="left" w:pos="-1440"/>
        </w:tabs>
        <w:outlineLvl w:val="0"/>
        <w:rPr>
          <w:rFonts w:ascii="Times New Roman" w:hAnsi="Times New Roman"/>
          <w:szCs w:val="24"/>
        </w:rPr>
      </w:pPr>
    </w:p>
    <w:p w:rsidR="00811EF2" w:rsidRPr="00B44C7E" w:rsidP="00405AA6" w14:paraId="1BB1E10E" w14:textId="77777777">
      <w:pPr>
        <w:tabs>
          <w:tab w:val="left" w:pos="-1440"/>
        </w:tabs>
        <w:outlineLvl w:val="0"/>
        <w:rPr>
          <w:rFonts w:ascii="Times New Roman" w:hAnsi="Times New Roman"/>
          <w:b/>
          <w:i/>
          <w:szCs w:val="24"/>
        </w:rPr>
      </w:pPr>
      <w:r w:rsidRPr="00B44C7E">
        <w:rPr>
          <w:rFonts w:ascii="Times New Roman" w:hAnsi="Times New Roman"/>
          <w:b/>
          <w:i/>
          <w:szCs w:val="24"/>
        </w:rPr>
        <w:t>13. Estimate of annualized costs to respondents:</w:t>
      </w:r>
    </w:p>
    <w:p w:rsidR="00811EF2" w:rsidRPr="00B44C7E" w:rsidP="00405AA6" w14:paraId="1213A703" w14:textId="77777777">
      <w:pPr>
        <w:rPr>
          <w:rFonts w:ascii="Times New Roman" w:hAnsi="Times New Roman"/>
          <w:szCs w:val="24"/>
        </w:rPr>
      </w:pPr>
    </w:p>
    <w:p w:rsidR="00B05073" w:rsidRPr="00B44C7E" w:rsidP="00405AA6" w14:paraId="16FAD829" w14:textId="77777777">
      <w:pPr>
        <w:rPr>
          <w:rFonts w:ascii="Times New Roman" w:hAnsi="Times New Roman"/>
          <w:szCs w:val="24"/>
        </w:rPr>
      </w:pPr>
      <w:r w:rsidRPr="00B44C7E">
        <w:rPr>
          <w:rFonts w:ascii="Times New Roman" w:hAnsi="Times New Roman"/>
          <w:szCs w:val="24"/>
        </w:rPr>
        <w:tab/>
      </w:r>
      <w:r w:rsidRPr="00B44C7E">
        <w:rPr>
          <w:rFonts w:ascii="Times New Roman" w:hAnsi="Times New Roman"/>
          <w:szCs w:val="24"/>
        </w:rPr>
        <w:t>There are no capital or start-up costs associated with this collection.  In addition, there are no system and technology acquisition or operation and maintenance costs.</w:t>
      </w:r>
    </w:p>
    <w:p w:rsidR="00F1577C" w:rsidRPr="00B44C7E" w:rsidP="00405AA6" w14:paraId="30436DF8" w14:textId="77777777">
      <w:pPr>
        <w:rPr>
          <w:rFonts w:ascii="Times New Roman" w:hAnsi="Times New Roman"/>
          <w:szCs w:val="24"/>
        </w:rPr>
      </w:pPr>
    </w:p>
    <w:p w:rsidR="00811EF2" w:rsidRPr="00B44C7E" w:rsidP="00405AA6" w14:paraId="25DE8B1A" w14:textId="77777777">
      <w:pPr>
        <w:outlineLvl w:val="0"/>
        <w:rPr>
          <w:rFonts w:ascii="Times New Roman" w:hAnsi="Times New Roman"/>
          <w:b/>
          <w:i/>
          <w:szCs w:val="24"/>
        </w:rPr>
      </w:pPr>
      <w:r w:rsidRPr="00B44C7E">
        <w:rPr>
          <w:rFonts w:ascii="Times New Roman" w:hAnsi="Times New Roman"/>
          <w:b/>
          <w:i/>
          <w:szCs w:val="24"/>
        </w:rPr>
        <w:t>14. Estimate of annualized costs to the government:</w:t>
      </w:r>
    </w:p>
    <w:p w:rsidR="00811EF2" w:rsidRPr="00B44C7E" w:rsidP="00405AA6" w14:paraId="658B2D46" w14:textId="77777777">
      <w:pPr>
        <w:rPr>
          <w:rFonts w:ascii="Times New Roman" w:hAnsi="Times New Roman"/>
          <w:szCs w:val="24"/>
        </w:rPr>
      </w:pPr>
    </w:p>
    <w:p w:rsidR="00811EF2" w:rsidRPr="00B44C7E" w:rsidP="00405AA6" w14:paraId="2754C58D" w14:textId="77777777">
      <w:pPr>
        <w:outlineLvl w:val="0"/>
        <w:rPr>
          <w:rFonts w:ascii="Times New Roman" w:hAnsi="Times New Roman"/>
          <w:szCs w:val="24"/>
        </w:rPr>
      </w:pPr>
      <w:r w:rsidRPr="00B44C7E">
        <w:rPr>
          <w:rFonts w:ascii="Times New Roman" w:hAnsi="Times New Roman"/>
          <w:szCs w:val="24"/>
        </w:rPr>
        <w:tab/>
      </w:r>
      <w:r w:rsidRPr="00B44C7E" w:rsidR="00B05073">
        <w:rPr>
          <w:rFonts w:ascii="Times New Roman" w:hAnsi="Times New Roman"/>
          <w:szCs w:val="24"/>
        </w:rPr>
        <w:t>None.</w:t>
      </w:r>
    </w:p>
    <w:p w:rsidR="003116B5" w:rsidRPr="00B44C7E" w:rsidP="0065571F" w14:paraId="7A2B7402" w14:textId="77777777">
      <w:pPr>
        <w:rPr>
          <w:rFonts w:ascii="Times New Roman" w:hAnsi="Times New Roman"/>
          <w:b/>
          <w:i/>
          <w:szCs w:val="24"/>
        </w:rPr>
      </w:pPr>
      <w:r w:rsidRPr="00B44C7E">
        <w:rPr>
          <w:rFonts w:ascii="Times New Roman" w:hAnsi="Times New Roman"/>
          <w:szCs w:val="24"/>
        </w:rPr>
        <w:t xml:space="preserve"> </w:t>
      </w:r>
    </w:p>
    <w:p w:rsidR="00811EF2" w:rsidRPr="00B44C7E" w:rsidP="00405AA6" w14:paraId="700E5CFF" w14:textId="77777777">
      <w:pPr>
        <w:tabs>
          <w:tab w:val="left" w:pos="-1440"/>
        </w:tabs>
        <w:outlineLvl w:val="0"/>
        <w:rPr>
          <w:rFonts w:ascii="Times New Roman" w:hAnsi="Times New Roman"/>
          <w:b/>
          <w:i/>
          <w:szCs w:val="24"/>
        </w:rPr>
      </w:pPr>
      <w:r w:rsidRPr="00B44C7E">
        <w:rPr>
          <w:rFonts w:ascii="Times New Roman" w:hAnsi="Times New Roman"/>
          <w:b/>
          <w:i/>
          <w:szCs w:val="24"/>
        </w:rPr>
        <w:t>15. Changes in burden:</w:t>
      </w:r>
    </w:p>
    <w:p w:rsidR="00811EF2" w:rsidRPr="00B44C7E" w:rsidP="00405AA6" w14:paraId="72128E9B" w14:textId="77777777">
      <w:pPr>
        <w:rPr>
          <w:rFonts w:ascii="Times New Roman" w:hAnsi="Times New Roman"/>
          <w:szCs w:val="24"/>
        </w:rPr>
      </w:pPr>
    </w:p>
    <w:p w:rsidR="00811EF2" w:rsidRPr="00B44C7E" w:rsidP="00405AA6" w14:paraId="4CF5C6C5" w14:textId="0C91BB19">
      <w:pPr>
        <w:rPr>
          <w:rFonts w:ascii="Times New Roman" w:hAnsi="Times New Roman"/>
          <w:szCs w:val="24"/>
        </w:rPr>
      </w:pPr>
      <w:r w:rsidRPr="00B44C7E">
        <w:rPr>
          <w:rFonts w:ascii="Times New Roman" w:hAnsi="Times New Roman"/>
          <w:szCs w:val="24"/>
        </w:rPr>
        <w:tab/>
      </w:r>
      <w:r w:rsidRPr="00B44C7E" w:rsidR="00D66887">
        <w:rPr>
          <w:rFonts w:ascii="Times New Roman" w:hAnsi="Times New Roman"/>
          <w:szCs w:val="24"/>
        </w:rPr>
        <w:t>Current Burden:</w:t>
      </w:r>
      <w:r w:rsidRPr="00B44C7E" w:rsidR="002C42FB">
        <w:rPr>
          <w:rFonts w:ascii="Times New Roman" w:hAnsi="Times New Roman"/>
          <w:szCs w:val="24"/>
        </w:rPr>
        <w:t xml:space="preserve">  </w:t>
      </w:r>
      <w:r w:rsidR="008E44D1">
        <w:rPr>
          <w:rFonts w:ascii="Times New Roman" w:hAnsi="Times New Roman"/>
          <w:szCs w:val="24"/>
        </w:rPr>
        <w:t>3,23</w:t>
      </w:r>
      <w:r w:rsidR="00477DBF">
        <w:rPr>
          <w:rFonts w:ascii="Times New Roman" w:hAnsi="Times New Roman"/>
          <w:szCs w:val="24"/>
        </w:rPr>
        <w:t>1</w:t>
      </w:r>
      <w:r w:rsidRPr="00B44C7E" w:rsidR="003116B5">
        <w:rPr>
          <w:rFonts w:ascii="Times New Roman" w:hAnsi="Times New Roman"/>
          <w:szCs w:val="24"/>
        </w:rPr>
        <w:t xml:space="preserve"> hours.</w:t>
      </w:r>
    </w:p>
    <w:p w:rsidR="00D66887" w:rsidRPr="00B44C7E" w:rsidP="00405AA6" w14:paraId="0BD75427" w14:textId="51C553F1">
      <w:pPr>
        <w:rPr>
          <w:rFonts w:ascii="Times New Roman" w:hAnsi="Times New Roman"/>
          <w:szCs w:val="24"/>
        </w:rPr>
      </w:pPr>
      <w:r w:rsidRPr="00B44C7E">
        <w:rPr>
          <w:rFonts w:ascii="Times New Roman" w:hAnsi="Times New Roman"/>
          <w:szCs w:val="24"/>
        </w:rPr>
        <w:tab/>
        <w:t>Proposed Burden:</w:t>
      </w:r>
      <w:r w:rsidR="00A70445">
        <w:rPr>
          <w:rFonts w:ascii="Times New Roman" w:hAnsi="Times New Roman"/>
          <w:szCs w:val="24"/>
        </w:rPr>
        <w:t xml:space="preserve">  </w:t>
      </w:r>
      <w:r w:rsidR="00477DBF">
        <w:rPr>
          <w:rFonts w:ascii="Times New Roman" w:hAnsi="Times New Roman"/>
          <w:szCs w:val="24"/>
        </w:rPr>
        <w:t>735</w:t>
      </w:r>
      <w:r w:rsidRPr="00B44C7E" w:rsidR="003116B5">
        <w:rPr>
          <w:rFonts w:ascii="Times New Roman" w:hAnsi="Times New Roman"/>
          <w:szCs w:val="24"/>
        </w:rPr>
        <w:t xml:space="preserve"> hours.</w:t>
      </w:r>
    </w:p>
    <w:p w:rsidR="00F10A8F" w:rsidP="00405AA6" w14:paraId="5EC414D0" w14:textId="5E57B656">
      <w:pPr>
        <w:rPr>
          <w:rFonts w:ascii="Times New Roman" w:hAnsi="Times New Roman"/>
          <w:szCs w:val="24"/>
        </w:rPr>
      </w:pPr>
      <w:r w:rsidRPr="00B44C7E">
        <w:rPr>
          <w:rFonts w:ascii="Times New Roman" w:hAnsi="Times New Roman"/>
          <w:szCs w:val="24"/>
        </w:rPr>
        <w:tab/>
        <w:t>Difference:</w:t>
      </w:r>
      <w:r w:rsidRPr="00B44C7E" w:rsidR="003116B5">
        <w:rPr>
          <w:rFonts w:ascii="Times New Roman" w:hAnsi="Times New Roman"/>
          <w:szCs w:val="24"/>
        </w:rPr>
        <w:t xml:space="preserve"> </w:t>
      </w:r>
      <w:r w:rsidR="00650196">
        <w:rPr>
          <w:rFonts w:ascii="Times New Roman" w:hAnsi="Times New Roman"/>
          <w:szCs w:val="24"/>
        </w:rPr>
        <w:t>-</w:t>
      </w:r>
      <w:r w:rsidR="000B400D">
        <w:rPr>
          <w:rFonts w:ascii="Times New Roman" w:hAnsi="Times New Roman"/>
          <w:szCs w:val="24"/>
        </w:rPr>
        <w:t>2,496</w:t>
      </w:r>
      <w:r w:rsidRPr="00B44C7E" w:rsidR="003116B5">
        <w:rPr>
          <w:rFonts w:ascii="Times New Roman" w:hAnsi="Times New Roman"/>
          <w:szCs w:val="24"/>
        </w:rPr>
        <w:t xml:space="preserve"> hours.</w:t>
      </w:r>
      <w:r w:rsidRPr="00B44C7E" w:rsidR="002C42FB">
        <w:rPr>
          <w:rFonts w:ascii="Times New Roman" w:hAnsi="Times New Roman"/>
          <w:szCs w:val="24"/>
        </w:rPr>
        <w:t xml:space="preserve"> </w:t>
      </w:r>
    </w:p>
    <w:p w:rsidR="006C6043" w:rsidP="00405AA6" w14:paraId="235F55B1" w14:textId="77777777">
      <w:pPr>
        <w:rPr>
          <w:rFonts w:ascii="Times New Roman" w:hAnsi="Times New Roman"/>
          <w:szCs w:val="24"/>
        </w:rPr>
      </w:pPr>
    </w:p>
    <w:p w:rsidR="006C6043" w:rsidRPr="00B44C7E" w:rsidP="00405AA6" w14:paraId="1B6730E2" w14:textId="497DC103">
      <w:pPr>
        <w:rPr>
          <w:rFonts w:ascii="Times New Roman" w:hAnsi="Times New Roman"/>
          <w:szCs w:val="24"/>
        </w:rPr>
      </w:pPr>
      <w:r>
        <w:rPr>
          <w:rFonts w:ascii="Times New Roman" w:hAnsi="Times New Roman"/>
          <w:szCs w:val="24"/>
        </w:rPr>
        <w:t xml:space="preserve">The </w:t>
      </w:r>
      <w:r w:rsidR="0060016C">
        <w:rPr>
          <w:rFonts w:ascii="Times New Roman" w:hAnsi="Times New Roman"/>
          <w:szCs w:val="24"/>
        </w:rPr>
        <w:t>de</w:t>
      </w:r>
      <w:r>
        <w:rPr>
          <w:rFonts w:ascii="Times New Roman" w:hAnsi="Times New Roman"/>
          <w:szCs w:val="24"/>
        </w:rPr>
        <w:t xml:space="preserve">crease in burden is due to </w:t>
      </w:r>
      <w:r w:rsidR="0060016C">
        <w:rPr>
          <w:rFonts w:ascii="Times New Roman" w:hAnsi="Times New Roman"/>
          <w:szCs w:val="24"/>
        </w:rPr>
        <w:t>completion of the initial preparation of liquidity plan</w:t>
      </w:r>
      <w:r>
        <w:rPr>
          <w:rFonts w:ascii="Times New Roman" w:hAnsi="Times New Roman"/>
          <w:szCs w:val="24"/>
        </w:rPr>
        <w:t>.</w:t>
      </w:r>
    </w:p>
    <w:p w:rsidR="003116B5" w:rsidRPr="00B44C7E" w:rsidP="00405AA6" w14:paraId="60CB0FD0" w14:textId="77777777">
      <w:pPr>
        <w:rPr>
          <w:rFonts w:ascii="Times New Roman" w:hAnsi="Times New Roman"/>
          <w:szCs w:val="24"/>
        </w:rPr>
      </w:pPr>
    </w:p>
    <w:p w:rsidR="001C14C9" w:rsidRPr="00B44C7E" w:rsidP="00405AA6" w14:paraId="692A83DD" w14:textId="77777777">
      <w:pPr>
        <w:tabs>
          <w:tab w:val="left" w:pos="-1440"/>
        </w:tabs>
        <w:outlineLvl w:val="0"/>
        <w:rPr>
          <w:rFonts w:ascii="Times New Roman" w:hAnsi="Times New Roman"/>
          <w:b/>
          <w:i/>
          <w:szCs w:val="24"/>
        </w:rPr>
      </w:pPr>
      <w:r w:rsidRPr="00B44C7E">
        <w:rPr>
          <w:rFonts w:ascii="Times New Roman" w:hAnsi="Times New Roman"/>
          <w:b/>
          <w:i/>
          <w:szCs w:val="24"/>
        </w:rPr>
        <w:t xml:space="preserve">16. Information regarding collections whose results are planned to be published for statistical </w:t>
      </w:r>
    </w:p>
    <w:p w:rsidR="00811EF2" w:rsidRPr="00B44C7E" w:rsidP="00405AA6" w14:paraId="1F11A54E" w14:textId="77777777">
      <w:pPr>
        <w:tabs>
          <w:tab w:val="left" w:pos="-1440"/>
        </w:tabs>
        <w:rPr>
          <w:rFonts w:ascii="Times New Roman" w:hAnsi="Times New Roman"/>
          <w:b/>
          <w:i/>
          <w:szCs w:val="24"/>
        </w:rPr>
      </w:pPr>
      <w:r w:rsidRPr="00B44C7E">
        <w:rPr>
          <w:rFonts w:ascii="Times New Roman" w:hAnsi="Times New Roman"/>
          <w:b/>
          <w:i/>
          <w:szCs w:val="24"/>
        </w:rPr>
        <w:t>use:</w:t>
      </w:r>
    </w:p>
    <w:p w:rsidR="00811EF2" w:rsidRPr="00B44C7E" w:rsidP="00405AA6" w14:paraId="02FF6A05" w14:textId="77777777">
      <w:pPr>
        <w:rPr>
          <w:rFonts w:ascii="Times New Roman" w:hAnsi="Times New Roman"/>
          <w:szCs w:val="24"/>
        </w:rPr>
      </w:pPr>
    </w:p>
    <w:p w:rsidR="00811EF2" w:rsidRPr="00B44C7E" w:rsidP="00405AA6" w14:paraId="1B92FCA3" w14:textId="77777777">
      <w:pPr>
        <w:outlineLvl w:val="0"/>
        <w:rPr>
          <w:rFonts w:ascii="Times New Roman" w:hAnsi="Times New Roman"/>
          <w:szCs w:val="24"/>
        </w:rPr>
      </w:pPr>
      <w:r w:rsidRPr="00B44C7E">
        <w:rPr>
          <w:rFonts w:ascii="Times New Roman" w:hAnsi="Times New Roman"/>
          <w:szCs w:val="24"/>
        </w:rPr>
        <w:tab/>
      </w:r>
      <w:r w:rsidRPr="00B44C7E">
        <w:rPr>
          <w:rFonts w:ascii="Times New Roman" w:hAnsi="Times New Roman"/>
          <w:szCs w:val="24"/>
        </w:rPr>
        <w:t>No publication for statistical use is contemplated.</w:t>
      </w:r>
    </w:p>
    <w:p w:rsidR="00060031" w:rsidRPr="00B44C7E" w:rsidP="00405AA6" w14:paraId="70F2C33E" w14:textId="77777777">
      <w:pPr>
        <w:outlineLvl w:val="0"/>
        <w:rPr>
          <w:rFonts w:ascii="Times New Roman" w:hAnsi="Times New Roman"/>
          <w:szCs w:val="24"/>
        </w:rPr>
      </w:pPr>
    </w:p>
    <w:p w:rsidR="00811EF2" w:rsidRPr="00B44C7E" w:rsidP="00405AA6" w14:paraId="2C39240D" w14:textId="77777777">
      <w:pPr>
        <w:outlineLvl w:val="0"/>
        <w:rPr>
          <w:rFonts w:ascii="Times New Roman" w:hAnsi="Times New Roman"/>
          <w:b/>
          <w:i/>
          <w:szCs w:val="24"/>
        </w:rPr>
      </w:pPr>
      <w:r w:rsidRPr="00B44C7E">
        <w:rPr>
          <w:rFonts w:ascii="Times New Roman" w:hAnsi="Times New Roman"/>
          <w:b/>
          <w:i/>
          <w:szCs w:val="24"/>
        </w:rPr>
        <w:t>17. Display of expiration date:</w:t>
      </w:r>
    </w:p>
    <w:p w:rsidR="00811EF2" w:rsidRPr="00B44C7E" w:rsidP="00405AA6" w14:paraId="2728CA62" w14:textId="77777777">
      <w:pPr>
        <w:rPr>
          <w:rFonts w:ascii="Times New Roman" w:hAnsi="Times New Roman"/>
          <w:szCs w:val="24"/>
        </w:rPr>
      </w:pPr>
    </w:p>
    <w:p w:rsidR="00811EF2" w:rsidRPr="00B44C7E" w:rsidP="00405AA6" w14:paraId="62E8EC43" w14:textId="77777777">
      <w:pPr>
        <w:outlineLvl w:val="0"/>
        <w:rPr>
          <w:rFonts w:ascii="Times New Roman" w:hAnsi="Times New Roman"/>
          <w:szCs w:val="24"/>
        </w:rPr>
      </w:pPr>
      <w:r w:rsidRPr="00B44C7E">
        <w:rPr>
          <w:rFonts w:ascii="Times New Roman" w:hAnsi="Times New Roman"/>
          <w:szCs w:val="24"/>
        </w:rPr>
        <w:tab/>
      </w:r>
      <w:r w:rsidRPr="00B44C7E">
        <w:rPr>
          <w:rFonts w:ascii="Times New Roman" w:hAnsi="Times New Roman"/>
          <w:szCs w:val="24"/>
        </w:rPr>
        <w:t>Not applicable.</w:t>
      </w:r>
    </w:p>
    <w:p w:rsidR="00811EF2" w:rsidRPr="00B44C7E" w:rsidP="00405AA6" w14:paraId="1CBCBE4D" w14:textId="77777777">
      <w:pPr>
        <w:rPr>
          <w:rFonts w:ascii="Times New Roman" w:hAnsi="Times New Roman"/>
          <w:szCs w:val="24"/>
        </w:rPr>
      </w:pPr>
    </w:p>
    <w:p w:rsidR="00811EF2" w:rsidRPr="00B44C7E" w:rsidP="00405AA6" w14:paraId="0FDD6266" w14:textId="77777777">
      <w:pPr>
        <w:outlineLvl w:val="0"/>
        <w:rPr>
          <w:rFonts w:ascii="Times New Roman" w:hAnsi="Times New Roman"/>
          <w:b/>
          <w:i/>
          <w:szCs w:val="24"/>
        </w:rPr>
      </w:pPr>
      <w:r w:rsidRPr="00B44C7E">
        <w:rPr>
          <w:rFonts w:ascii="Times New Roman" w:hAnsi="Times New Roman"/>
          <w:b/>
          <w:i/>
          <w:szCs w:val="24"/>
        </w:rPr>
        <w:t>18. Exceptions to certification statement:</w:t>
      </w:r>
    </w:p>
    <w:p w:rsidR="00811EF2" w:rsidRPr="00B44C7E" w:rsidP="00405AA6" w14:paraId="3B148F0A" w14:textId="77777777">
      <w:pPr>
        <w:rPr>
          <w:rFonts w:ascii="Times New Roman" w:hAnsi="Times New Roman"/>
          <w:szCs w:val="24"/>
        </w:rPr>
      </w:pPr>
    </w:p>
    <w:p w:rsidR="00811EF2" w:rsidRPr="00B44C7E" w:rsidP="00405AA6" w14:paraId="1EC03E03" w14:textId="77777777">
      <w:pPr>
        <w:outlineLvl w:val="0"/>
        <w:rPr>
          <w:rFonts w:ascii="Times New Roman" w:hAnsi="Times New Roman"/>
          <w:szCs w:val="24"/>
        </w:rPr>
      </w:pPr>
      <w:r w:rsidRPr="00B44C7E">
        <w:rPr>
          <w:rFonts w:ascii="Times New Roman" w:hAnsi="Times New Roman"/>
          <w:szCs w:val="24"/>
        </w:rPr>
        <w:tab/>
      </w:r>
      <w:r w:rsidRPr="00B44C7E">
        <w:rPr>
          <w:rFonts w:ascii="Times New Roman" w:hAnsi="Times New Roman"/>
          <w:szCs w:val="24"/>
        </w:rPr>
        <w:t>Not applicable.</w:t>
      </w:r>
    </w:p>
    <w:p w:rsidR="00421C8B" w:rsidRPr="00B44C7E" w:rsidP="00405AA6" w14:paraId="5017C897" w14:textId="77777777">
      <w:pPr>
        <w:outlineLvl w:val="0"/>
        <w:rPr>
          <w:rFonts w:ascii="Times New Roman" w:hAnsi="Times New Roman"/>
          <w:b/>
          <w:szCs w:val="24"/>
        </w:rPr>
      </w:pPr>
    </w:p>
    <w:p w:rsidR="00811EF2" w:rsidRPr="00B44C7E" w:rsidP="00405AA6" w14:paraId="3B7717FB" w14:textId="77777777">
      <w:pPr>
        <w:outlineLvl w:val="0"/>
        <w:rPr>
          <w:rFonts w:ascii="Times New Roman" w:hAnsi="Times New Roman"/>
          <w:b/>
          <w:szCs w:val="24"/>
        </w:rPr>
      </w:pPr>
      <w:r w:rsidRPr="00B44C7E">
        <w:rPr>
          <w:rFonts w:ascii="Times New Roman" w:hAnsi="Times New Roman"/>
          <w:b/>
          <w:szCs w:val="24"/>
        </w:rPr>
        <w:t>B. Collections of Information Employing Statistical Methods.</w:t>
      </w:r>
    </w:p>
    <w:p w:rsidR="00811EF2" w:rsidRPr="00B44C7E" w:rsidP="00405AA6" w14:paraId="62DFCAD4" w14:textId="77777777">
      <w:pPr>
        <w:rPr>
          <w:rFonts w:ascii="Times New Roman" w:hAnsi="Times New Roman"/>
          <w:szCs w:val="24"/>
        </w:rPr>
      </w:pPr>
    </w:p>
    <w:p w:rsidR="00811EF2" w:rsidRPr="00B44C7E" w:rsidP="00405AA6" w14:paraId="3E750E44" w14:textId="77777777">
      <w:pPr>
        <w:rPr>
          <w:rFonts w:ascii="Times New Roman" w:hAnsi="Times New Roman"/>
          <w:szCs w:val="24"/>
        </w:rPr>
      </w:pPr>
      <w:r w:rsidRPr="00B44C7E">
        <w:rPr>
          <w:rFonts w:ascii="Times New Roman" w:hAnsi="Times New Roman"/>
          <w:szCs w:val="24"/>
        </w:rPr>
        <w:tab/>
      </w:r>
      <w:r w:rsidRPr="00B44C7E">
        <w:rPr>
          <w:rFonts w:ascii="Times New Roman" w:hAnsi="Times New Roman"/>
          <w:szCs w:val="24"/>
        </w:rPr>
        <w:t>Not applicable.</w:t>
      </w:r>
    </w:p>
    <w:sectPr>
      <w:footerReference w:type="even" r:id="rId6"/>
      <w:footerReference w:type="default" r:id="rId7"/>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3B5" w:rsidP="003C4C6D" w14:paraId="291AC0B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3B5" w14:paraId="025FC1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3B5" w:rsidRPr="00D44A17" w:rsidP="003C4C6D" w14:paraId="4365934D" w14:textId="77777777">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2A3D3A">
      <w:rPr>
        <w:rStyle w:val="PageNumber"/>
        <w:rFonts w:ascii="Times New Roman" w:hAnsi="Times New Roman"/>
        <w:noProof/>
      </w:rPr>
      <w:t>1</w:t>
    </w:r>
    <w:r w:rsidRPr="00D44A17">
      <w:rPr>
        <w:rStyle w:val="PageNumber"/>
        <w:rFonts w:ascii="Times New Roman" w:hAnsi="Times New Roman"/>
      </w:rPr>
      <w:fldChar w:fldCharType="end"/>
    </w:r>
  </w:p>
  <w:p w:rsidR="001253B5" w14:paraId="2AD0D8A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2BF4" w14:paraId="2BB12C15" w14:textId="77777777">
      <w:r>
        <w:separator/>
      </w:r>
    </w:p>
  </w:footnote>
  <w:footnote w:type="continuationSeparator" w:id="1">
    <w:p w:rsidR="008C2BF4" w14:paraId="3DFE6C2C" w14:textId="77777777">
      <w:r>
        <w:continuationSeparator/>
      </w:r>
    </w:p>
  </w:footnote>
  <w:footnote w:id="2">
    <w:p w:rsidR="00985C2D" w:rsidRPr="00CC3CED" w:rsidP="00E83039" w14:paraId="555A9BAB" w14:textId="411AEDB5">
      <w:pPr>
        <w:pStyle w:val="FootnoteText"/>
        <w:rPr>
          <w:rFonts w:ascii="Times New Roman" w:hAnsi="Times New Roman"/>
        </w:rPr>
      </w:pPr>
      <w:r w:rsidRPr="003D61A7">
        <w:rPr>
          <w:rStyle w:val="FootnoteReference"/>
          <w:rFonts w:ascii="Times New Roman" w:hAnsi="Times New Roman"/>
          <w:sz w:val="24"/>
          <w:szCs w:val="24"/>
          <w:vertAlign w:val="superscript"/>
        </w:rPr>
        <w:footnoteRef/>
      </w:r>
      <w:r w:rsidRPr="00CC3CED">
        <w:rPr>
          <w:rFonts w:ascii="Times New Roman" w:hAnsi="Times New Roman"/>
          <w:sz w:val="24"/>
          <w:szCs w:val="24"/>
        </w:rPr>
        <w:t xml:space="preserve"> The previous </w:t>
      </w:r>
      <w:r w:rsidR="00190478">
        <w:rPr>
          <w:rFonts w:ascii="Times New Roman" w:hAnsi="Times New Roman"/>
          <w:sz w:val="24"/>
          <w:szCs w:val="24"/>
        </w:rPr>
        <w:t>filing</w:t>
      </w:r>
      <w:r w:rsidRPr="00CC3CED">
        <w:rPr>
          <w:rFonts w:ascii="Times New Roman" w:hAnsi="Times New Roman"/>
          <w:sz w:val="24"/>
          <w:szCs w:val="24"/>
        </w:rPr>
        <w:t xml:space="preserve"> of this Supporting Statement erroneously referred to 12 CFR 50.108(b), when it should have referenced 12 CFR 50.109(b).  This error has been corrected in this updated </w:t>
      </w:r>
      <w:r w:rsidR="00190478">
        <w:rPr>
          <w:rFonts w:ascii="Times New Roman" w:hAnsi="Times New Roman"/>
          <w:sz w:val="24"/>
          <w:szCs w:val="24"/>
        </w:rPr>
        <w:t>filing</w:t>
      </w:r>
      <w:r w:rsidRPr="00CC3CED">
        <w:rPr>
          <w:rFonts w:ascii="Times New Roman" w:hAnsi="Times New Roman"/>
          <w:sz w:val="24"/>
          <w:szCs w:val="24"/>
        </w:rPr>
        <w:t>.  The substance of the requirements described is unchanged.</w:t>
      </w:r>
    </w:p>
  </w:footnote>
  <w:footnote w:id="3">
    <w:p w:rsidR="00707A3A" w:rsidRPr="00707A3A" w:rsidP="00E83039" w14:paraId="17F97214" w14:textId="3619FF8A">
      <w:pPr>
        <w:pStyle w:val="FootnoteText"/>
        <w:rPr>
          <w:rFonts w:ascii="Times New Roman" w:hAnsi="Times New Roman"/>
          <w:sz w:val="24"/>
          <w:szCs w:val="24"/>
        </w:rPr>
      </w:pPr>
      <w:r w:rsidRPr="0081653C">
        <w:rPr>
          <w:rStyle w:val="FootnoteReference"/>
          <w:rFonts w:ascii="Times New Roman" w:hAnsi="Times New Roman"/>
          <w:sz w:val="24"/>
          <w:szCs w:val="24"/>
          <w:vertAlign w:val="superscript"/>
        </w:rPr>
        <w:footnoteRef/>
      </w:r>
      <w:r w:rsidRPr="0081653C">
        <w:rPr>
          <w:rFonts w:ascii="Times New Roman" w:hAnsi="Times New Roman"/>
          <w:sz w:val="24"/>
          <w:szCs w:val="24"/>
          <w:vertAlign w:val="superscript"/>
        </w:rPr>
        <w:t xml:space="preserve"> </w:t>
      </w:r>
      <w:r w:rsidR="00E83039">
        <w:rPr>
          <w:rFonts w:ascii="Times New Roman" w:hAnsi="Times New Roman"/>
          <w:sz w:val="24"/>
          <w:szCs w:val="24"/>
          <w:vertAlign w:val="superscript"/>
        </w:rPr>
        <w:t xml:space="preserve"> </w:t>
      </w:r>
      <w:r w:rsidRPr="00707A3A">
        <w:rPr>
          <w:rFonts w:ascii="Times New Roman" w:hAnsi="Times New Roman"/>
          <w:sz w:val="24"/>
          <w:szCs w:val="24"/>
        </w:rPr>
        <w:t>The agenc</w:t>
      </w:r>
      <w:r>
        <w:rPr>
          <w:rFonts w:ascii="Times New Roman" w:hAnsi="Times New Roman"/>
          <w:sz w:val="24"/>
          <w:szCs w:val="24"/>
        </w:rPr>
        <w:t>y</w:t>
      </w:r>
      <w:r w:rsidRPr="00707A3A">
        <w:rPr>
          <w:rFonts w:ascii="Times New Roman" w:hAnsi="Times New Roman"/>
          <w:sz w:val="24"/>
          <w:szCs w:val="24"/>
        </w:rPr>
        <w:t xml:space="preserve"> determine</w:t>
      </w:r>
      <w:r>
        <w:rPr>
          <w:rFonts w:ascii="Times New Roman" w:hAnsi="Times New Roman"/>
          <w:sz w:val="24"/>
          <w:szCs w:val="24"/>
        </w:rPr>
        <w:t>d</w:t>
      </w:r>
      <w:r w:rsidRPr="00707A3A">
        <w:rPr>
          <w:rFonts w:ascii="Times New Roman" w:hAnsi="Times New Roman"/>
          <w:sz w:val="24"/>
          <w:szCs w:val="24"/>
        </w:rPr>
        <w:t xml:space="preserve"> that the recordkeeping burden previously associated with </w:t>
      </w:r>
      <w:r>
        <w:rPr>
          <w:rFonts w:ascii="Times New Roman" w:hAnsi="Times New Roman"/>
          <w:sz w:val="24"/>
          <w:szCs w:val="24"/>
        </w:rPr>
        <w:t>s</w:t>
      </w:r>
      <w:r w:rsidRPr="00707A3A">
        <w:rPr>
          <w:rFonts w:ascii="Times New Roman" w:hAnsi="Times New Roman"/>
          <w:sz w:val="24"/>
          <w:szCs w:val="24"/>
        </w:rPr>
        <w:t>ections 50.40(b)</w:t>
      </w:r>
      <w:r>
        <w:rPr>
          <w:rFonts w:ascii="Times New Roman" w:hAnsi="Times New Roman"/>
          <w:sz w:val="24"/>
          <w:szCs w:val="24"/>
        </w:rPr>
        <w:t xml:space="preserve"> </w:t>
      </w:r>
      <w:r w:rsidRPr="00707A3A">
        <w:rPr>
          <w:rFonts w:ascii="Times New Roman" w:hAnsi="Times New Roman"/>
          <w:sz w:val="24"/>
          <w:szCs w:val="24"/>
        </w:rPr>
        <w:t xml:space="preserve">and 50.110(b) was a reporting burden </w:t>
      </w:r>
      <w:r>
        <w:rPr>
          <w:rFonts w:ascii="Times New Roman" w:hAnsi="Times New Roman"/>
          <w:sz w:val="24"/>
          <w:szCs w:val="24"/>
        </w:rPr>
        <w:t>and has recategorized it as such in the burden table.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E5B25BC"/>
    <w:multiLevelType w:val="hybridMultilevel"/>
    <w:tmpl w:val="E390BC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5661A53"/>
    <w:multiLevelType w:val="hybridMultilevel"/>
    <w:tmpl w:val="2E222D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4FAF3849"/>
    <w:multiLevelType w:val="hybridMultilevel"/>
    <w:tmpl w:val="01A4491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E02353C"/>
    <w:multiLevelType w:val="hybridMultilevel"/>
    <w:tmpl w:val="E46808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B016260"/>
    <w:multiLevelType w:val="hybridMultilevel"/>
    <w:tmpl w:val="4F3E75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0E4292B"/>
    <w:multiLevelType w:val="hybridMultilevel"/>
    <w:tmpl w:val="39C6AA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5A45B05"/>
    <w:multiLevelType w:val="hybridMultilevel"/>
    <w:tmpl w:val="4D785C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ABF3196"/>
    <w:multiLevelType w:val="hybridMultilevel"/>
    <w:tmpl w:val="E89096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23497578">
    <w:abstractNumId w:val="8"/>
  </w:num>
  <w:num w:numId="2" w16cid:durableId="194121621">
    <w:abstractNumId w:val="13"/>
  </w:num>
  <w:num w:numId="3" w16cid:durableId="1297641728">
    <w:abstractNumId w:val="1"/>
  </w:num>
  <w:num w:numId="4" w16cid:durableId="1835564180">
    <w:abstractNumId w:val="18"/>
  </w:num>
  <w:num w:numId="5" w16cid:durableId="1527449873">
    <w:abstractNumId w:val="11"/>
  </w:num>
  <w:num w:numId="6" w16cid:durableId="1942562487">
    <w:abstractNumId w:val="4"/>
  </w:num>
  <w:num w:numId="7" w16cid:durableId="1586720008">
    <w:abstractNumId w:val="9"/>
  </w:num>
  <w:num w:numId="8" w16cid:durableId="1999579532">
    <w:abstractNumId w:val="2"/>
  </w:num>
  <w:num w:numId="9" w16cid:durableId="410197488">
    <w:abstractNumId w:val="0"/>
  </w:num>
  <w:num w:numId="10" w16cid:durableId="353776127">
    <w:abstractNumId w:val="16"/>
  </w:num>
  <w:num w:numId="11" w16cid:durableId="1393115009">
    <w:abstractNumId w:val="7"/>
  </w:num>
  <w:num w:numId="12" w16cid:durableId="169804015">
    <w:abstractNumId w:val="15"/>
  </w:num>
  <w:num w:numId="13" w16cid:durableId="1470630878">
    <w:abstractNumId w:val="5"/>
  </w:num>
  <w:num w:numId="14" w16cid:durableId="1104960900">
    <w:abstractNumId w:val="12"/>
  </w:num>
  <w:num w:numId="15" w16cid:durableId="1379010395">
    <w:abstractNumId w:val="10"/>
  </w:num>
  <w:num w:numId="16" w16cid:durableId="618148123">
    <w:abstractNumId w:val="6"/>
  </w:num>
  <w:num w:numId="17" w16cid:durableId="1237940116">
    <w:abstractNumId w:val="17"/>
  </w:num>
  <w:num w:numId="18" w16cid:durableId="995885265">
    <w:abstractNumId w:val="14"/>
  </w:num>
  <w:num w:numId="19" w16cid:durableId="2043092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E2"/>
    <w:rsid w:val="000062E2"/>
    <w:rsid w:val="00012C9E"/>
    <w:rsid w:val="00021CB3"/>
    <w:rsid w:val="00027851"/>
    <w:rsid w:val="0003014D"/>
    <w:rsid w:val="000408F0"/>
    <w:rsid w:val="00045FD2"/>
    <w:rsid w:val="00050997"/>
    <w:rsid w:val="00050A96"/>
    <w:rsid w:val="00050D3B"/>
    <w:rsid w:val="00050DED"/>
    <w:rsid w:val="00060031"/>
    <w:rsid w:val="00063E22"/>
    <w:rsid w:val="0006543D"/>
    <w:rsid w:val="00071B62"/>
    <w:rsid w:val="0007336C"/>
    <w:rsid w:val="0007566A"/>
    <w:rsid w:val="00084B31"/>
    <w:rsid w:val="000908DD"/>
    <w:rsid w:val="00092C84"/>
    <w:rsid w:val="00094CF3"/>
    <w:rsid w:val="000961B1"/>
    <w:rsid w:val="000A1C1B"/>
    <w:rsid w:val="000B132E"/>
    <w:rsid w:val="000B400D"/>
    <w:rsid w:val="000C5772"/>
    <w:rsid w:val="000D481A"/>
    <w:rsid w:val="000D5EF0"/>
    <w:rsid w:val="000D738E"/>
    <w:rsid w:val="000E1B22"/>
    <w:rsid w:val="000E6210"/>
    <w:rsid w:val="000E7E58"/>
    <w:rsid w:val="000F0A5F"/>
    <w:rsid w:val="000F411C"/>
    <w:rsid w:val="000F4F3C"/>
    <w:rsid w:val="00101132"/>
    <w:rsid w:val="00101851"/>
    <w:rsid w:val="00110A43"/>
    <w:rsid w:val="00112D16"/>
    <w:rsid w:val="00114301"/>
    <w:rsid w:val="00115206"/>
    <w:rsid w:val="00116256"/>
    <w:rsid w:val="00122425"/>
    <w:rsid w:val="00123011"/>
    <w:rsid w:val="001253B5"/>
    <w:rsid w:val="001331EA"/>
    <w:rsid w:val="00135B69"/>
    <w:rsid w:val="00135C7B"/>
    <w:rsid w:val="00136BAD"/>
    <w:rsid w:val="001418C6"/>
    <w:rsid w:val="0014348D"/>
    <w:rsid w:val="001469C2"/>
    <w:rsid w:val="00151DDD"/>
    <w:rsid w:val="001539D2"/>
    <w:rsid w:val="00156590"/>
    <w:rsid w:val="00160BEC"/>
    <w:rsid w:val="00164626"/>
    <w:rsid w:val="00167D7B"/>
    <w:rsid w:val="0018134D"/>
    <w:rsid w:val="00190478"/>
    <w:rsid w:val="00190C5F"/>
    <w:rsid w:val="001910A8"/>
    <w:rsid w:val="001A0EDE"/>
    <w:rsid w:val="001A2006"/>
    <w:rsid w:val="001A2BFB"/>
    <w:rsid w:val="001A4444"/>
    <w:rsid w:val="001B35CC"/>
    <w:rsid w:val="001B52E9"/>
    <w:rsid w:val="001C14C9"/>
    <w:rsid w:val="001C347C"/>
    <w:rsid w:val="001D492E"/>
    <w:rsid w:val="001D4BFD"/>
    <w:rsid w:val="001D6716"/>
    <w:rsid w:val="001E08CA"/>
    <w:rsid w:val="001E1781"/>
    <w:rsid w:val="001E2F6D"/>
    <w:rsid w:val="001E7468"/>
    <w:rsid w:val="001F32DD"/>
    <w:rsid w:val="001F3923"/>
    <w:rsid w:val="001F5AEF"/>
    <w:rsid w:val="00205383"/>
    <w:rsid w:val="00222F9F"/>
    <w:rsid w:val="002256E0"/>
    <w:rsid w:val="00232387"/>
    <w:rsid w:val="00246EFB"/>
    <w:rsid w:val="0025798D"/>
    <w:rsid w:val="00265C59"/>
    <w:rsid w:val="002664AD"/>
    <w:rsid w:val="002721B9"/>
    <w:rsid w:val="00277678"/>
    <w:rsid w:val="00282F1B"/>
    <w:rsid w:val="002911C7"/>
    <w:rsid w:val="00296710"/>
    <w:rsid w:val="002A3D3A"/>
    <w:rsid w:val="002C21B0"/>
    <w:rsid w:val="002C42FB"/>
    <w:rsid w:val="002C5EAE"/>
    <w:rsid w:val="002D450A"/>
    <w:rsid w:val="002D5478"/>
    <w:rsid w:val="002E7E4D"/>
    <w:rsid w:val="002F67E4"/>
    <w:rsid w:val="002F7766"/>
    <w:rsid w:val="003013FC"/>
    <w:rsid w:val="00302126"/>
    <w:rsid w:val="003026C2"/>
    <w:rsid w:val="00303C13"/>
    <w:rsid w:val="003061A5"/>
    <w:rsid w:val="00311225"/>
    <w:rsid w:val="003116B5"/>
    <w:rsid w:val="0031368D"/>
    <w:rsid w:val="00316276"/>
    <w:rsid w:val="00316868"/>
    <w:rsid w:val="00317E47"/>
    <w:rsid w:val="00324707"/>
    <w:rsid w:val="003302E8"/>
    <w:rsid w:val="00330337"/>
    <w:rsid w:val="00331855"/>
    <w:rsid w:val="003338C6"/>
    <w:rsid w:val="0033449C"/>
    <w:rsid w:val="003367DB"/>
    <w:rsid w:val="0034424E"/>
    <w:rsid w:val="00345C29"/>
    <w:rsid w:val="0036251A"/>
    <w:rsid w:val="003630ED"/>
    <w:rsid w:val="0036435F"/>
    <w:rsid w:val="003748FB"/>
    <w:rsid w:val="003749C6"/>
    <w:rsid w:val="00374F5A"/>
    <w:rsid w:val="003772DB"/>
    <w:rsid w:val="00385170"/>
    <w:rsid w:val="003859AD"/>
    <w:rsid w:val="00391109"/>
    <w:rsid w:val="003A2F8E"/>
    <w:rsid w:val="003A41A8"/>
    <w:rsid w:val="003C035D"/>
    <w:rsid w:val="003C4C6D"/>
    <w:rsid w:val="003C525F"/>
    <w:rsid w:val="003D1996"/>
    <w:rsid w:val="003D4059"/>
    <w:rsid w:val="003D61A7"/>
    <w:rsid w:val="003E3FB8"/>
    <w:rsid w:val="003F6A51"/>
    <w:rsid w:val="003F7A3B"/>
    <w:rsid w:val="004043A1"/>
    <w:rsid w:val="00405AA6"/>
    <w:rsid w:val="00406EA2"/>
    <w:rsid w:val="0041314F"/>
    <w:rsid w:val="00416AC8"/>
    <w:rsid w:val="00416FA0"/>
    <w:rsid w:val="00421C8B"/>
    <w:rsid w:val="00424F34"/>
    <w:rsid w:val="00427DC4"/>
    <w:rsid w:val="00427F1B"/>
    <w:rsid w:val="00452142"/>
    <w:rsid w:val="0046169B"/>
    <w:rsid w:val="00467229"/>
    <w:rsid w:val="004709F5"/>
    <w:rsid w:val="00477DBF"/>
    <w:rsid w:val="00487470"/>
    <w:rsid w:val="004928FF"/>
    <w:rsid w:val="004A15F2"/>
    <w:rsid w:val="004A32B0"/>
    <w:rsid w:val="004B4793"/>
    <w:rsid w:val="004B6A9C"/>
    <w:rsid w:val="004E1545"/>
    <w:rsid w:val="004E1C6B"/>
    <w:rsid w:val="004E489B"/>
    <w:rsid w:val="004F266F"/>
    <w:rsid w:val="005074BF"/>
    <w:rsid w:val="00512C79"/>
    <w:rsid w:val="00521310"/>
    <w:rsid w:val="00523984"/>
    <w:rsid w:val="00525034"/>
    <w:rsid w:val="005347AA"/>
    <w:rsid w:val="0054156E"/>
    <w:rsid w:val="005722BD"/>
    <w:rsid w:val="005763B1"/>
    <w:rsid w:val="00580B40"/>
    <w:rsid w:val="00581AE1"/>
    <w:rsid w:val="005A16A8"/>
    <w:rsid w:val="005A5F53"/>
    <w:rsid w:val="005A6869"/>
    <w:rsid w:val="005B0327"/>
    <w:rsid w:val="005B137A"/>
    <w:rsid w:val="005B336C"/>
    <w:rsid w:val="005C1E96"/>
    <w:rsid w:val="005C6BA1"/>
    <w:rsid w:val="005D0C62"/>
    <w:rsid w:val="005D4F39"/>
    <w:rsid w:val="005E2B1A"/>
    <w:rsid w:val="005F19F1"/>
    <w:rsid w:val="005F6D3E"/>
    <w:rsid w:val="005F7CF0"/>
    <w:rsid w:val="0060016C"/>
    <w:rsid w:val="00601917"/>
    <w:rsid w:val="0060463A"/>
    <w:rsid w:val="00607F3B"/>
    <w:rsid w:val="00610D70"/>
    <w:rsid w:val="00613CE9"/>
    <w:rsid w:val="00614DEB"/>
    <w:rsid w:val="0062208C"/>
    <w:rsid w:val="00632DA0"/>
    <w:rsid w:val="00633651"/>
    <w:rsid w:val="00635DDC"/>
    <w:rsid w:val="00643285"/>
    <w:rsid w:val="00650196"/>
    <w:rsid w:val="00650242"/>
    <w:rsid w:val="006547F8"/>
    <w:rsid w:val="0065571F"/>
    <w:rsid w:val="00664076"/>
    <w:rsid w:val="00665D20"/>
    <w:rsid w:val="006717D4"/>
    <w:rsid w:val="00671F0C"/>
    <w:rsid w:val="0067307E"/>
    <w:rsid w:val="00673505"/>
    <w:rsid w:val="0067717C"/>
    <w:rsid w:val="006775D9"/>
    <w:rsid w:val="00685D25"/>
    <w:rsid w:val="00694098"/>
    <w:rsid w:val="006A0ED3"/>
    <w:rsid w:val="006A549B"/>
    <w:rsid w:val="006A638A"/>
    <w:rsid w:val="006C1E94"/>
    <w:rsid w:val="006C6043"/>
    <w:rsid w:val="006C74BD"/>
    <w:rsid w:val="006D1E22"/>
    <w:rsid w:val="006F025E"/>
    <w:rsid w:val="006F5C83"/>
    <w:rsid w:val="00707A3A"/>
    <w:rsid w:val="00714E1F"/>
    <w:rsid w:val="00721161"/>
    <w:rsid w:val="0072634C"/>
    <w:rsid w:val="00732F27"/>
    <w:rsid w:val="00735986"/>
    <w:rsid w:val="007376E1"/>
    <w:rsid w:val="007426CB"/>
    <w:rsid w:val="0074717B"/>
    <w:rsid w:val="00747557"/>
    <w:rsid w:val="00751687"/>
    <w:rsid w:val="00755611"/>
    <w:rsid w:val="00763497"/>
    <w:rsid w:val="0076365F"/>
    <w:rsid w:val="007639A5"/>
    <w:rsid w:val="00771E90"/>
    <w:rsid w:val="00773682"/>
    <w:rsid w:val="007862CD"/>
    <w:rsid w:val="00787DD1"/>
    <w:rsid w:val="00790722"/>
    <w:rsid w:val="00792280"/>
    <w:rsid w:val="00792E83"/>
    <w:rsid w:val="007C0628"/>
    <w:rsid w:val="007C41C9"/>
    <w:rsid w:val="007C70C9"/>
    <w:rsid w:val="007D1118"/>
    <w:rsid w:val="007D1301"/>
    <w:rsid w:val="007D18FC"/>
    <w:rsid w:val="007D474D"/>
    <w:rsid w:val="007D72B8"/>
    <w:rsid w:val="007E20C6"/>
    <w:rsid w:val="007E6B3F"/>
    <w:rsid w:val="007E731C"/>
    <w:rsid w:val="007F53C3"/>
    <w:rsid w:val="008072F1"/>
    <w:rsid w:val="00811EF2"/>
    <w:rsid w:val="0081653C"/>
    <w:rsid w:val="00820949"/>
    <w:rsid w:val="00851C5A"/>
    <w:rsid w:val="00852BEA"/>
    <w:rsid w:val="00856EA7"/>
    <w:rsid w:val="00864116"/>
    <w:rsid w:val="00864420"/>
    <w:rsid w:val="00866877"/>
    <w:rsid w:val="00866BB6"/>
    <w:rsid w:val="00870EF1"/>
    <w:rsid w:val="0087394A"/>
    <w:rsid w:val="0088592C"/>
    <w:rsid w:val="00885990"/>
    <w:rsid w:val="008952D4"/>
    <w:rsid w:val="00897023"/>
    <w:rsid w:val="008A3E82"/>
    <w:rsid w:val="008A567E"/>
    <w:rsid w:val="008A6293"/>
    <w:rsid w:val="008B75F9"/>
    <w:rsid w:val="008C2BF4"/>
    <w:rsid w:val="008C3860"/>
    <w:rsid w:val="008D0670"/>
    <w:rsid w:val="008D7F1A"/>
    <w:rsid w:val="008E44D1"/>
    <w:rsid w:val="008E538C"/>
    <w:rsid w:val="008F02F4"/>
    <w:rsid w:val="008F4D9B"/>
    <w:rsid w:val="008F69AD"/>
    <w:rsid w:val="008F6CE8"/>
    <w:rsid w:val="00920159"/>
    <w:rsid w:val="00920494"/>
    <w:rsid w:val="00926E87"/>
    <w:rsid w:val="00930E7D"/>
    <w:rsid w:val="00931D5F"/>
    <w:rsid w:val="00937599"/>
    <w:rsid w:val="00941322"/>
    <w:rsid w:val="00943509"/>
    <w:rsid w:val="00947D27"/>
    <w:rsid w:val="0095512A"/>
    <w:rsid w:val="00956C1D"/>
    <w:rsid w:val="00960EDB"/>
    <w:rsid w:val="00961E6F"/>
    <w:rsid w:val="00966745"/>
    <w:rsid w:val="00970F4D"/>
    <w:rsid w:val="0097120E"/>
    <w:rsid w:val="0097510B"/>
    <w:rsid w:val="0098166C"/>
    <w:rsid w:val="009836F8"/>
    <w:rsid w:val="00984718"/>
    <w:rsid w:val="00985850"/>
    <w:rsid w:val="00985BCD"/>
    <w:rsid w:val="00985C2D"/>
    <w:rsid w:val="009936AB"/>
    <w:rsid w:val="00996FA7"/>
    <w:rsid w:val="009A19CB"/>
    <w:rsid w:val="009B061E"/>
    <w:rsid w:val="009B7307"/>
    <w:rsid w:val="009C00FE"/>
    <w:rsid w:val="009C01FB"/>
    <w:rsid w:val="009D1220"/>
    <w:rsid w:val="009D1725"/>
    <w:rsid w:val="009D180E"/>
    <w:rsid w:val="009D431E"/>
    <w:rsid w:val="009E2EB5"/>
    <w:rsid w:val="009F22B3"/>
    <w:rsid w:val="009F30B4"/>
    <w:rsid w:val="00A178D8"/>
    <w:rsid w:val="00A22017"/>
    <w:rsid w:val="00A241F9"/>
    <w:rsid w:val="00A261ED"/>
    <w:rsid w:val="00A333B1"/>
    <w:rsid w:val="00A36136"/>
    <w:rsid w:val="00A4249E"/>
    <w:rsid w:val="00A548F5"/>
    <w:rsid w:val="00A632BF"/>
    <w:rsid w:val="00A64E13"/>
    <w:rsid w:val="00A70445"/>
    <w:rsid w:val="00A71D81"/>
    <w:rsid w:val="00A8189E"/>
    <w:rsid w:val="00A85359"/>
    <w:rsid w:val="00A867CF"/>
    <w:rsid w:val="00A92DAF"/>
    <w:rsid w:val="00A9587B"/>
    <w:rsid w:val="00A97DAE"/>
    <w:rsid w:val="00AA2826"/>
    <w:rsid w:val="00AB6CF4"/>
    <w:rsid w:val="00AB7EA0"/>
    <w:rsid w:val="00AB7FC1"/>
    <w:rsid w:val="00AC2975"/>
    <w:rsid w:val="00AC4138"/>
    <w:rsid w:val="00AC58E0"/>
    <w:rsid w:val="00AD489E"/>
    <w:rsid w:val="00AE4144"/>
    <w:rsid w:val="00AE5F05"/>
    <w:rsid w:val="00AF0188"/>
    <w:rsid w:val="00AF2817"/>
    <w:rsid w:val="00B0015F"/>
    <w:rsid w:val="00B011DF"/>
    <w:rsid w:val="00B05073"/>
    <w:rsid w:val="00B059E2"/>
    <w:rsid w:val="00B05FF8"/>
    <w:rsid w:val="00B10BC0"/>
    <w:rsid w:val="00B22D29"/>
    <w:rsid w:val="00B24D66"/>
    <w:rsid w:val="00B27E52"/>
    <w:rsid w:val="00B40330"/>
    <w:rsid w:val="00B44C7E"/>
    <w:rsid w:val="00B452F5"/>
    <w:rsid w:val="00B54451"/>
    <w:rsid w:val="00B55D71"/>
    <w:rsid w:val="00B57F98"/>
    <w:rsid w:val="00B63D57"/>
    <w:rsid w:val="00B66082"/>
    <w:rsid w:val="00B70616"/>
    <w:rsid w:val="00B7392F"/>
    <w:rsid w:val="00B73F35"/>
    <w:rsid w:val="00B7460C"/>
    <w:rsid w:val="00B80DE1"/>
    <w:rsid w:val="00B83872"/>
    <w:rsid w:val="00BA0E98"/>
    <w:rsid w:val="00BA1E30"/>
    <w:rsid w:val="00BA2D05"/>
    <w:rsid w:val="00BA777E"/>
    <w:rsid w:val="00BB0A99"/>
    <w:rsid w:val="00BB47BB"/>
    <w:rsid w:val="00BB6A89"/>
    <w:rsid w:val="00BF7DAE"/>
    <w:rsid w:val="00C0018A"/>
    <w:rsid w:val="00C02154"/>
    <w:rsid w:val="00C1114D"/>
    <w:rsid w:val="00C23BB7"/>
    <w:rsid w:val="00C31A47"/>
    <w:rsid w:val="00C423CA"/>
    <w:rsid w:val="00C45058"/>
    <w:rsid w:val="00C4735E"/>
    <w:rsid w:val="00C55A1E"/>
    <w:rsid w:val="00C60C97"/>
    <w:rsid w:val="00C63DDC"/>
    <w:rsid w:val="00C71524"/>
    <w:rsid w:val="00C7715F"/>
    <w:rsid w:val="00C8332E"/>
    <w:rsid w:val="00C84833"/>
    <w:rsid w:val="00C874B5"/>
    <w:rsid w:val="00C90D1F"/>
    <w:rsid w:val="00C919EF"/>
    <w:rsid w:val="00C94A2E"/>
    <w:rsid w:val="00C95309"/>
    <w:rsid w:val="00CA0149"/>
    <w:rsid w:val="00CA2470"/>
    <w:rsid w:val="00CA67BD"/>
    <w:rsid w:val="00CC3CED"/>
    <w:rsid w:val="00CC3F4A"/>
    <w:rsid w:val="00CC6273"/>
    <w:rsid w:val="00CC7CCF"/>
    <w:rsid w:val="00CD1FC4"/>
    <w:rsid w:val="00CD788D"/>
    <w:rsid w:val="00CF525A"/>
    <w:rsid w:val="00D00D55"/>
    <w:rsid w:val="00D047D1"/>
    <w:rsid w:val="00D06F8D"/>
    <w:rsid w:val="00D1191F"/>
    <w:rsid w:val="00D1341B"/>
    <w:rsid w:val="00D13B64"/>
    <w:rsid w:val="00D14575"/>
    <w:rsid w:val="00D15527"/>
    <w:rsid w:val="00D23AA9"/>
    <w:rsid w:val="00D44A17"/>
    <w:rsid w:val="00D5020D"/>
    <w:rsid w:val="00D54C7C"/>
    <w:rsid w:val="00D62274"/>
    <w:rsid w:val="00D64A41"/>
    <w:rsid w:val="00D66887"/>
    <w:rsid w:val="00D70629"/>
    <w:rsid w:val="00D76ABE"/>
    <w:rsid w:val="00D9011E"/>
    <w:rsid w:val="00DA162E"/>
    <w:rsid w:val="00DB4E9E"/>
    <w:rsid w:val="00DB5A90"/>
    <w:rsid w:val="00DC239B"/>
    <w:rsid w:val="00DC4B68"/>
    <w:rsid w:val="00DC7528"/>
    <w:rsid w:val="00DD6B95"/>
    <w:rsid w:val="00DF70AF"/>
    <w:rsid w:val="00E01D62"/>
    <w:rsid w:val="00E044E3"/>
    <w:rsid w:val="00E07569"/>
    <w:rsid w:val="00E1030E"/>
    <w:rsid w:val="00E137A1"/>
    <w:rsid w:val="00E14269"/>
    <w:rsid w:val="00E148A1"/>
    <w:rsid w:val="00E176E9"/>
    <w:rsid w:val="00E2096C"/>
    <w:rsid w:val="00E20A3B"/>
    <w:rsid w:val="00E320B5"/>
    <w:rsid w:val="00E41057"/>
    <w:rsid w:val="00E41581"/>
    <w:rsid w:val="00E45317"/>
    <w:rsid w:val="00E4676D"/>
    <w:rsid w:val="00E54A3A"/>
    <w:rsid w:val="00E621F7"/>
    <w:rsid w:val="00E666A1"/>
    <w:rsid w:val="00E66C27"/>
    <w:rsid w:val="00E6735F"/>
    <w:rsid w:val="00E73305"/>
    <w:rsid w:val="00E73DE1"/>
    <w:rsid w:val="00E755AB"/>
    <w:rsid w:val="00E75CFF"/>
    <w:rsid w:val="00E83039"/>
    <w:rsid w:val="00E90579"/>
    <w:rsid w:val="00E95253"/>
    <w:rsid w:val="00E96E27"/>
    <w:rsid w:val="00EA283E"/>
    <w:rsid w:val="00EA4E11"/>
    <w:rsid w:val="00EB5EF5"/>
    <w:rsid w:val="00EB6395"/>
    <w:rsid w:val="00ED088B"/>
    <w:rsid w:val="00ED176A"/>
    <w:rsid w:val="00ED1A32"/>
    <w:rsid w:val="00ED2758"/>
    <w:rsid w:val="00ED5BA6"/>
    <w:rsid w:val="00EE7828"/>
    <w:rsid w:val="00EF13FF"/>
    <w:rsid w:val="00F020A8"/>
    <w:rsid w:val="00F0425B"/>
    <w:rsid w:val="00F066AF"/>
    <w:rsid w:val="00F10A8F"/>
    <w:rsid w:val="00F1337C"/>
    <w:rsid w:val="00F13404"/>
    <w:rsid w:val="00F1577C"/>
    <w:rsid w:val="00F2725C"/>
    <w:rsid w:val="00F32321"/>
    <w:rsid w:val="00F43210"/>
    <w:rsid w:val="00F447D4"/>
    <w:rsid w:val="00F45924"/>
    <w:rsid w:val="00F51922"/>
    <w:rsid w:val="00F51B9E"/>
    <w:rsid w:val="00F70C57"/>
    <w:rsid w:val="00F71A83"/>
    <w:rsid w:val="00F720A6"/>
    <w:rsid w:val="00F75A2A"/>
    <w:rsid w:val="00F817C9"/>
    <w:rsid w:val="00F8285A"/>
    <w:rsid w:val="00F82AB4"/>
    <w:rsid w:val="00FA0958"/>
    <w:rsid w:val="00FA311F"/>
    <w:rsid w:val="00FA557F"/>
    <w:rsid w:val="00FA5CDC"/>
    <w:rsid w:val="00FB4F04"/>
    <w:rsid w:val="00FB508A"/>
    <w:rsid w:val="00FC4370"/>
    <w:rsid w:val="00FC4507"/>
    <w:rsid w:val="00FD218B"/>
    <w:rsid w:val="00FD5074"/>
    <w:rsid w:val="00FD5115"/>
    <w:rsid w:val="00FD7012"/>
    <w:rsid w:val="00FE64CB"/>
    <w:rsid w:val="00FF36AD"/>
  </w:rsids>
  <w:docVars>
    <w:docVar w:name="dgnword-docGUID" w:val="{554BF4E2-1B3D-48D5-8531-06F3D7F5C92F}"/>
    <w:docVar w:name="dgnword-eventsink" w:val="6188932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9F35C7"/>
  <w15:docId w15:val="{B70CBD22-EBFC-48D8-8A47-17F27839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2">
    <w:name w:val="heading 2"/>
    <w:basedOn w:val="Normal"/>
    <w:link w:val="Heading2Char"/>
    <w:uiPriority w:val="9"/>
    <w:qFormat/>
    <w:rsid w:val="009D1725"/>
    <w:pPr>
      <w:widowControl/>
      <w:spacing w:before="200" w:after="100"/>
      <w:jc w:val="center"/>
      <w:outlineLvl w:val="1"/>
    </w:pPr>
    <w:rPr>
      <w:rFonts w:ascii="Times New Roman" w:hAnsi="Times New Roman"/>
      <w:b/>
      <w:b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qFormat/>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qFormat/>
    <w:rsid w:val="008C3860"/>
    <w:pPr>
      <w:autoSpaceDE w:val="0"/>
      <w:autoSpaceDN w:val="0"/>
      <w:adjustRightInd w:val="0"/>
    </w:pPr>
    <w:rPr>
      <w:rFonts w:ascii="CourierPS" w:hAnsi="CourierPS"/>
      <w:snapToGrid/>
      <w:sz w:val="20"/>
    </w:rPr>
  </w:style>
  <w:style w:type="paragraph" w:styleId="BalloonText">
    <w:name w:val="Balloon Text"/>
    <w:basedOn w:val="Normal"/>
    <w:semiHidden/>
    <w:rsid w:val="00F1577C"/>
    <w:rPr>
      <w:rFonts w:ascii="Tahoma" w:hAnsi="Tahoma" w:cs="Tahoma"/>
      <w:sz w:val="16"/>
      <w:szCs w:val="16"/>
    </w:rPr>
  </w:style>
  <w:style w:type="character" w:styleId="CommentReference">
    <w:name w:val="annotation reference"/>
    <w:rsid w:val="002F67E4"/>
    <w:rPr>
      <w:sz w:val="16"/>
      <w:szCs w:val="16"/>
    </w:rPr>
  </w:style>
  <w:style w:type="paragraph" w:styleId="CommentText">
    <w:name w:val="annotation text"/>
    <w:basedOn w:val="Normal"/>
    <w:link w:val="CommentTextChar"/>
    <w:rsid w:val="002F67E4"/>
    <w:rPr>
      <w:sz w:val="20"/>
    </w:rPr>
  </w:style>
  <w:style w:type="paragraph" w:styleId="CommentSubject">
    <w:name w:val="annotation subject"/>
    <w:basedOn w:val="CommentText"/>
    <w:next w:val="CommentText"/>
    <w:semiHidden/>
    <w:rsid w:val="002F67E4"/>
    <w:rPr>
      <w:b/>
      <w:bCs/>
    </w:rPr>
  </w:style>
  <w:style w:type="table" w:styleId="TableGrid">
    <w:name w:val="Table Grid"/>
    <w:basedOn w:val="TableNormal"/>
    <w:rsid w:val="00E17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190C5F"/>
    <w:pPr>
      <w:widowControl/>
    </w:pPr>
    <w:rPr>
      <w:rFonts w:ascii="Arial Narrow" w:hAnsi="Arial Narrow"/>
      <w:snapToGrid/>
      <w:u w:val="single"/>
    </w:rPr>
  </w:style>
  <w:style w:type="character" w:customStyle="1" w:styleId="BodyTextChar">
    <w:name w:val="Body Text Char"/>
    <w:link w:val="BodyText"/>
    <w:rsid w:val="00190C5F"/>
    <w:rPr>
      <w:rFonts w:ascii="Arial Narrow" w:hAnsi="Arial Narrow"/>
      <w:sz w:val="24"/>
      <w:u w:val="single"/>
    </w:rPr>
  </w:style>
  <w:style w:type="character" w:customStyle="1" w:styleId="Heading2Char">
    <w:name w:val="Heading 2 Char"/>
    <w:link w:val="Heading2"/>
    <w:uiPriority w:val="9"/>
    <w:rsid w:val="009D1725"/>
    <w:rPr>
      <w:b/>
      <w:bCs/>
    </w:rPr>
  </w:style>
  <w:style w:type="paragraph" w:styleId="NormalWeb">
    <w:name w:val="Normal (Web)"/>
    <w:basedOn w:val="Normal"/>
    <w:unhideWhenUsed/>
    <w:rsid w:val="009D1725"/>
    <w:pPr>
      <w:widowControl/>
      <w:spacing w:before="100" w:beforeAutospacing="1" w:after="100" w:afterAutospacing="1"/>
      <w:ind w:firstLine="480"/>
    </w:pPr>
    <w:rPr>
      <w:rFonts w:ascii="Times New Roman" w:hAnsi="Times New Roman"/>
      <w:snapToGrid/>
      <w:szCs w:val="24"/>
    </w:rPr>
  </w:style>
  <w:style w:type="character" w:customStyle="1" w:styleId="CommentTextChar">
    <w:name w:val="Comment Text Char"/>
    <w:link w:val="CommentText"/>
    <w:rsid w:val="005E2B1A"/>
    <w:rPr>
      <w:rFonts w:ascii="Courier" w:hAnsi="Courier"/>
      <w:snapToGrid w:val="0"/>
    </w:rPr>
  </w:style>
  <w:style w:type="character" w:customStyle="1" w:styleId="FootnoteTextChar">
    <w:name w:val="Footnote Text Char"/>
    <w:aliases w:val="Footnote Text Char Char Char,Footnote Text Char Char Char Char Char,Footnote Text Char Char Char Char Char Char Char Char Char Char Char Char Char Char Char Char Char Char,Footnote Text Char1 Char Char Char,Style 15 Char,fn Char"/>
    <w:link w:val="FootnoteText"/>
    <w:uiPriority w:val="99"/>
    <w:rsid w:val="00F75A2A"/>
    <w:rPr>
      <w:rFonts w:ascii="CourierPS" w:hAnsi="CourierPS"/>
    </w:rPr>
  </w:style>
  <w:style w:type="paragraph" w:styleId="Revision">
    <w:name w:val="Revision"/>
    <w:hidden/>
    <w:uiPriority w:val="99"/>
    <w:semiHidden/>
    <w:rsid w:val="00E755AB"/>
    <w:rPr>
      <w:rFonts w:ascii="Courier" w:hAnsi="Courier"/>
      <w:snapToGrid w:val="0"/>
      <w:sz w:val="24"/>
    </w:rPr>
  </w:style>
  <w:style w:type="character" w:styleId="Hyperlink">
    <w:name w:val="Hyperlink"/>
    <w:basedOn w:val="DefaultParagraphFont"/>
    <w:rsid w:val="009F22B3"/>
    <w:rPr>
      <w:color w:val="0563C1" w:themeColor="hyperlink"/>
      <w:u w:val="single"/>
    </w:rPr>
  </w:style>
  <w:style w:type="character" w:styleId="UnresolvedMention">
    <w:name w:val="Unresolved Mention"/>
    <w:basedOn w:val="DefaultParagraphFont"/>
    <w:uiPriority w:val="99"/>
    <w:semiHidden/>
    <w:unhideWhenUsed/>
    <w:rsid w:val="009F22B3"/>
    <w:rPr>
      <w:color w:val="605E5C"/>
      <w:shd w:val="clear" w:color="auto" w:fill="E1DFDD"/>
    </w:rPr>
  </w:style>
  <w:style w:type="character" w:customStyle="1" w:styleId="documentbody1">
    <w:name w:val="documentbody1"/>
    <w:rsid w:val="0098166C"/>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268C4AC-EF46-4050-B212-491B3F2E3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OCC</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Jean.Campbell</dc:creator>
  <cp:lastModifiedBy>Merritt, Shaquita</cp:lastModifiedBy>
  <cp:revision>5</cp:revision>
  <cp:lastPrinted>2024-02-28T15:20:00Z</cp:lastPrinted>
  <dcterms:created xsi:type="dcterms:W3CDTF">2024-07-01T20:31:00Z</dcterms:created>
  <dcterms:modified xsi:type="dcterms:W3CDTF">2024-07-10T18:10:00Z</dcterms:modified>
</cp:coreProperties>
</file>