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25EFF252" w14:textId="77777777">
      <w:pPr>
        <w:pStyle w:val="Header"/>
        <w:rPr>
          <w:rFonts w:ascii="Times New Roman" w:hAnsi="Times New Roman"/>
        </w:rPr>
      </w:pPr>
      <w:r w:rsidRPr="1B13F897">
        <w:rPr>
          <w:rFonts w:ascii="Times New Roman" w:hAnsi="Times New Roman"/>
        </w:rPr>
        <w:t xml:space="preserve">Tracking and OMB Number: </w:t>
      </w:r>
      <w:r w:rsidR="006D344C">
        <w:rPr>
          <w:rFonts w:ascii="Times New Roman" w:hAnsi="Times New Roman"/>
        </w:rPr>
        <w:t>1810-0748</w:t>
      </w:r>
    </w:p>
    <w:p w:rsidR="00EA1767" w:rsidRPr="00AD381B" w:rsidP="1B13F897" w14:paraId="01300815" w14:textId="77777777">
      <w:pPr>
        <w:pStyle w:val="Header"/>
        <w:rPr>
          <w:rFonts w:ascii="Times New Roman" w:hAnsi="Times New Roman"/>
        </w:rPr>
      </w:pPr>
    </w:p>
    <w:p w:rsidR="00043C32" w:rsidRPr="00AD381B" w:rsidP="00AD381B" w14:paraId="2AB2BD96" w14:textId="77777777">
      <w:pPr>
        <w:pStyle w:val="Heading1"/>
        <w:rPr>
          <w:sz w:val="24"/>
          <w:szCs w:val="24"/>
        </w:rPr>
      </w:pPr>
      <w:r w:rsidRPr="00AD381B">
        <w:rPr>
          <w:sz w:val="24"/>
          <w:szCs w:val="24"/>
        </w:rPr>
        <w:t>SUPPORTING STATEMENT</w:t>
      </w:r>
    </w:p>
    <w:p w:rsidR="00043C32" w:rsidRPr="00AD381B" w:rsidP="00AD381B" w14:paraId="261FE090" w14:textId="77777777">
      <w:pPr>
        <w:pStyle w:val="Heading1"/>
        <w:rPr>
          <w:sz w:val="24"/>
          <w:szCs w:val="24"/>
        </w:rPr>
      </w:pPr>
      <w:r w:rsidRPr="00AD381B">
        <w:rPr>
          <w:sz w:val="24"/>
          <w:szCs w:val="24"/>
        </w:rPr>
        <w:t>FOR PAPERWORK REDUCTION ACT SUBMISSION</w:t>
      </w:r>
    </w:p>
    <w:p w:rsidR="00043C32" w:rsidRPr="00AD381B" w:rsidP="00AD381B" w14:paraId="2FF6B4B7" w14:textId="77777777">
      <w:pPr>
        <w:tabs>
          <w:tab w:val="left" w:pos="0"/>
        </w:tabs>
        <w:suppressAutoHyphens/>
        <w:rPr>
          <w:rFonts w:ascii="Times New Roman" w:hAnsi="Times New Roman"/>
          <w:szCs w:val="24"/>
        </w:rPr>
      </w:pPr>
    </w:p>
    <w:p w:rsidR="00EA1767" w:rsidRPr="00AD381B" w:rsidP="00AD381B" w14:paraId="267F9BBF"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0886C69E" w14:textId="77777777">
      <w:pPr>
        <w:pStyle w:val="ListParagraph"/>
        <w:suppressAutoHyphens/>
        <w:spacing w:line="240" w:lineRule="exact"/>
        <w:rPr>
          <w:rFonts w:ascii="Times New Roman" w:hAnsi="Times New Roman"/>
          <w:szCs w:val="24"/>
        </w:rPr>
      </w:pPr>
    </w:p>
    <w:p w:rsidR="00AD38D5" w:rsidRPr="00231129" w:rsidP="00AD38D5" w14:paraId="357E5D86" w14:textId="77777777">
      <w:pPr>
        <w:rPr>
          <w:rFonts w:ascii="Times New Roman" w:hAnsi="Times New Roman"/>
        </w:rPr>
      </w:pPr>
      <w:r w:rsidRPr="1B70C6A7">
        <w:rPr>
          <w:rFonts w:ascii="Times New Roman" w:hAnsi="Times New Roman"/>
        </w:rPr>
        <w:t>Under the current unprecedented national health emergency, the legislative and executive branches of government have come together to offer relief to those individuals and industries affected by the COVID-19 virus under the Coronavirus Aid, Relief, and Economic Security (CARES) Act (P.L. 116-136) Educational Stabilization Fund authorized on March 27, 2020 and expanded through the Coronavirus Response and Relief Supplemental Appropriations (CRRSA) Act, and the American Rescue Plan (ARP) Act.</w:t>
      </w:r>
      <w:r>
        <w:rPr>
          <w:rStyle w:val="FootnoteReference"/>
          <w:rFonts w:ascii="Times New Roman" w:hAnsi="Times New Roman"/>
        </w:rPr>
        <w:footnoteReference w:id="2"/>
      </w:r>
    </w:p>
    <w:p w:rsidR="00AD38D5" w:rsidP="00AD38D5" w14:paraId="4BD6AFC3" w14:textId="77777777">
      <w:pPr>
        <w:rPr>
          <w:rFonts w:ascii="Times New Roman" w:hAnsi="Times New Roman"/>
          <w:szCs w:val="24"/>
        </w:rPr>
      </w:pPr>
    </w:p>
    <w:p w:rsidR="00AD38D5" w:rsidRPr="001A2965" w:rsidP="00AD38D5" w14:paraId="0621B857" w14:textId="77777777">
      <w:pPr>
        <w:rPr>
          <w:rFonts w:ascii="Times New Roman" w:hAnsi="Times New Roman"/>
        </w:rPr>
      </w:pPr>
      <w:r w:rsidRPr="7F414E6E">
        <w:rPr>
          <w:rFonts w:ascii="Times New Roman" w:hAnsi="Times New Roman"/>
        </w:rPr>
        <w:t>The Department award</w:t>
      </w:r>
      <w:r w:rsidR="00D713B5">
        <w:rPr>
          <w:rFonts w:ascii="Times New Roman" w:hAnsi="Times New Roman"/>
        </w:rPr>
        <w:t>ed</w:t>
      </w:r>
      <w:r w:rsidRPr="7F414E6E">
        <w:rPr>
          <w:rFonts w:ascii="Times New Roman" w:hAnsi="Times New Roman"/>
        </w:rPr>
        <w:t xml:space="preserve"> GEER grants to Governors (States) and analogous </w:t>
      </w:r>
      <w:r w:rsidR="00C232C6">
        <w:rPr>
          <w:rFonts w:ascii="Times New Roman" w:hAnsi="Times New Roman"/>
        </w:rPr>
        <w:t xml:space="preserve">ESF-Governor </w:t>
      </w:r>
      <w:r w:rsidRPr="7F414E6E">
        <w:rPr>
          <w:rFonts w:ascii="Times New Roman" w:hAnsi="Times New Roman"/>
        </w:rPr>
        <w:t>grants to Outlying Areas for the purpose of providing local educational agencies (LEAs), institutions of higher education (IHEs), and other education related entities with emergency assistance as a result of the coronavirus pandemic. The Department has awarded these grants to States (Governor’s offices) based on a formula stipulated in the legislation. The grants are also awarded to Outlying Areas based on the same formula: (1) 60% on the basis o</w:t>
      </w:r>
      <w:r w:rsidRPr="7F414E6E">
        <w:rPr>
          <w:rFonts w:ascii="Times New Roman" w:hAnsi="Times New Roman"/>
        </w:rPr>
        <w:t xml:space="preserve">f the State’s </w:t>
      </w:r>
      <w:r w:rsidRPr="7F414E6E">
        <w:rPr>
          <w:rStyle w:val="CommentReference"/>
          <w:rFonts w:ascii="Times New Roman" w:hAnsi="Times New Roman"/>
          <w:sz w:val="24"/>
          <w:szCs w:val="24"/>
        </w:rPr>
        <w:t xml:space="preserve">or Outlying Area’s </w:t>
      </w:r>
      <w:r w:rsidRPr="7F414E6E">
        <w:rPr>
          <w:rFonts w:ascii="Times New Roman" w:hAnsi="Times New Roman"/>
        </w:rPr>
        <w:t xml:space="preserve">relative population of individuals aged 5 through 24. (2) 40% on the basis of the State’s relative number of children counted under section 1124(c) of the Elementary and Secondary Education Act of 1965 (ESEA). Data collected through this information </w:t>
      </w:r>
      <w:r w:rsidR="00D713B5">
        <w:rPr>
          <w:rFonts w:ascii="Times New Roman" w:hAnsi="Times New Roman"/>
        </w:rPr>
        <w:t xml:space="preserve">collection </w:t>
      </w:r>
      <w:r w:rsidRPr="7F414E6E">
        <w:rPr>
          <w:rFonts w:ascii="Times New Roman" w:hAnsi="Times New Roman"/>
        </w:rPr>
        <w:t>inform</w:t>
      </w:r>
      <w:r w:rsidR="00D713B5">
        <w:rPr>
          <w:rFonts w:ascii="Times New Roman" w:hAnsi="Times New Roman"/>
        </w:rPr>
        <w:t>s</w:t>
      </w:r>
      <w:r w:rsidRPr="7F414E6E">
        <w:rPr>
          <w:rFonts w:ascii="Times New Roman" w:hAnsi="Times New Roman"/>
        </w:rPr>
        <w:t xml:space="preserve"> Department monitoring and oversight, and public reporting.</w:t>
      </w:r>
    </w:p>
    <w:p w:rsidR="00AD38D5" w:rsidRPr="00882C51" w:rsidP="00AD38D5" w14:paraId="56A995AE" w14:textId="77777777">
      <w:pPr>
        <w:rPr>
          <w:rFonts w:ascii="Times New Roman" w:hAnsi="Times New Roman"/>
          <w:szCs w:val="24"/>
        </w:rPr>
      </w:pPr>
    </w:p>
    <w:p w:rsidR="00AD38D5" w:rsidRPr="00882C51" w:rsidP="00AD38D5" w14:paraId="42E01744" w14:textId="77777777">
      <w:pPr>
        <w:pStyle w:val="CommentText"/>
        <w:rPr>
          <w:rFonts w:ascii="Times New Roman" w:hAnsi="Times New Roman"/>
          <w:sz w:val="24"/>
          <w:szCs w:val="24"/>
        </w:rPr>
      </w:pPr>
      <w:r w:rsidRPr="7F414E6E">
        <w:rPr>
          <w:rFonts w:ascii="Times New Roman" w:hAnsi="Times New Roman"/>
          <w:sz w:val="24"/>
          <w:szCs w:val="24"/>
        </w:rPr>
        <w:t>This information collection requests approval for a</w:t>
      </w:r>
      <w:r w:rsidR="006D344C">
        <w:rPr>
          <w:rFonts w:ascii="Times New Roman" w:hAnsi="Times New Roman"/>
          <w:sz w:val="24"/>
          <w:szCs w:val="24"/>
        </w:rPr>
        <w:t xml:space="preserve">n extension </w:t>
      </w:r>
      <w:r w:rsidRPr="7F414E6E">
        <w:rPr>
          <w:rFonts w:ascii="Times New Roman" w:hAnsi="Times New Roman"/>
          <w:sz w:val="24"/>
          <w:szCs w:val="24"/>
        </w:rPr>
        <w:t>to a previously approved collection that includes annual reporting requirements to comply with the requirements of the GEER</w:t>
      </w:r>
      <w:r w:rsidR="0074426E">
        <w:rPr>
          <w:rFonts w:ascii="Times New Roman" w:hAnsi="Times New Roman"/>
          <w:sz w:val="24"/>
          <w:szCs w:val="24"/>
        </w:rPr>
        <w:t>/ESF-Governor</w:t>
      </w:r>
      <w:r w:rsidRPr="7F414E6E">
        <w:rPr>
          <w:rFonts w:ascii="Times New Roman" w:hAnsi="Times New Roman"/>
          <w:sz w:val="24"/>
          <w:szCs w:val="24"/>
        </w:rPr>
        <w:t xml:space="preserve"> program and to obtain information on how the funds were used. </w:t>
      </w:r>
    </w:p>
    <w:p w:rsidR="00AD38D5" w:rsidP="00AD38D5" w14:paraId="29E96A7D" w14:textId="77777777">
      <w:pPr>
        <w:rPr>
          <w:rFonts w:ascii="Times New Roman" w:hAnsi="Times New Roman"/>
          <w:szCs w:val="24"/>
        </w:rPr>
      </w:pPr>
    </w:p>
    <w:p w:rsidR="00AD38D5" w:rsidRPr="00445EA5" w:rsidP="00AD38D5" w14:paraId="7AA70EA1" w14:textId="77777777">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is authorized under </w:t>
      </w:r>
      <w:r w:rsidRPr="00445EA5">
        <w:rPr>
          <w:rFonts w:ascii="Times New Roman" w:hAnsi="Times New Roman"/>
          <w:color w:val="333333"/>
          <w:szCs w:val="24"/>
        </w:rPr>
        <w:t>(Authority: </w:t>
      </w:r>
      <w:hyperlink r:id="rId9" w:history="1">
        <w:r w:rsidRPr="00445EA5">
          <w:rPr>
            <w:rStyle w:val="Hyperlink"/>
            <w:rFonts w:ascii="Times New Roman" w:hAnsi="Times New Roman"/>
            <w:color w:val="0068AC"/>
            <w:szCs w:val="24"/>
          </w:rPr>
          <w:t>20</w:t>
        </w:r>
      </w:hyperlink>
      <w:r w:rsidRPr="00445EA5">
        <w:rPr>
          <w:rFonts w:ascii="Times New Roman" w:hAnsi="Times New Roman"/>
          <w:color w:val="333333"/>
          <w:szCs w:val="24"/>
        </w:rPr>
        <w:t> U.S.C. </w:t>
      </w:r>
      <w:hyperlink r:id="rId10" w:history="1">
        <w:r w:rsidRPr="00445EA5">
          <w:rPr>
            <w:rStyle w:val="Hyperlink"/>
            <w:rFonts w:ascii="Times New Roman" w:hAnsi="Times New Roman"/>
            <w:color w:val="0068AC"/>
            <w:szCs w:val="24"/>
          </w:rPr>
          <w:t>1221e-3</w:t>
        </w:r>
      </w:hyperlink>
      <w:r w:rsidRPr="00445EA5">
        <w:rPr>
          <w:rFonts w:ascii="Times New Roman" w:hAnsi="Times New Roman"/>
          <w:color w:val="333333"/>
          <w:szCs w:val="24"/>
        </w:rPr>
        <w:t>, </w:t>
      </w:r>
      <w:hyperlink r:id="rId11" w:history="1">
        <w:r w:rsidRPr="00445EA5">
          <w:rPr>
            <w:rStyle w:val="Hyperlink"/>
            <w:rFonts w:ascii="Times New Roman" w:hAnsi="Times New Roman"/>
            <w:color w:val="0068AC"/>
            <w:szCs w:val="24"/>
          </w:rPr>
          <w:t>1231a</w:t>
        </w:r>
      </w:hyperlink>
      <w:r w:rsidRPr="00445EA5">
        <w:rPr>
          <w:rFonts w:ascii="Times New Roman" w:hAnsi="Times New Roman"/>
          <w:color w:val="333333"/>
          <w:szCs w:val="24"/>
        </w:rPr>
        <w:t>, and </w:t>
      </w:r>
      <w:hyperlink r:id="rId12" w:history="1">
        <w:r w:rsidRPr="00445EA5">
          <w:rPr>
            <w:rStyle w:val="Hyperlink"/>
            <w:rFonts w:ascii="Times New Roman" w:hAnsi="Times New Roman"/>
            <w:color w:val="0068AC"/>
            <w:szCs w:val="24"/>
          </w:rPr>
          <w:t>3474</w:t>
        </w:r>
      </w:hyperlink>
      <w:r w:rsidRPr="00445EA5">
        <w:rPr>
          <w:rFonts w:ascii="Times New Roman" w:hAnsi="Times New Roman"/>
          <w:color w:val="333333"/>
          <w:szCs w:val="24"/>
        </w:rPr>
        <w:t>)</w:t>
      </w:r>
    </w:p>
    <w:p w:rsidR="00AD38D5" w:rsidRPr="00445EA5" w:rsidP="00AD38D5" w14:paraId="75E932CB"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r:id="rId13" w:history="1">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r:id="rId14" w:history="1">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r>
        <w:rPr>
          <w:rFonts w:ascii="Times New Roman" w:hAnsi="Times New Roman"/>
          <w:color w:val="333333"/>
          <w:szCs w:val="24"/>
        </w:rPr>
        <w:t>.</w:t>
      </w:r>
    </w:p>
    <w:p w:rsidR="00AD38D5" w:rsidRPr="00445EA5" w:rsidP="00AD38D5" w14:paraId="0E4E7CC7" w14:textId="77777777">
      <w:pPr>
        <w:shd w:val="clear" w:color="auto" w:fill="FFFFFF"/>
        <w:rPr>
          <w:rFonts w:ascii="Times New Roman" w:hAnsi="Times New Roman"/>
          <w:color w:val="333333"/>
          <w:szCs w:val="24"/>
        </w:rPr>
      </w:pPr>
    </w:p>
    <w:p w:rsidR="00AD38D5" w:rsidRPr="00445EA5" w:rsidP="00AD38D5" w14:paraId="7415887A" w14:textId="77777777">
      <w:pPr>
        <w:shd w:val="clear" w:color="auto" w:fill="FFFFFF"/>
        <w:rPr>
          <w:rFonts w:ascii="Times New Roman" w:hAnsi="Times New Roman"/>
          <w:color w:val="333333"/>
          <w:szCs w:val="24"/>
        </w:rPr>
      </w:pPr>
      <w:r w:rsidRPr="00445EA5">
        <w:rPr>
          <w:rFonts w:ascii="Times New Roman" w:hAnsi="Times New Roman"/>
          <w:color w:val="333333"/>
          <w:szCs w:val="24"/>
        </w:rPr>
        <w:t>§ 76.720 </w:t>
      </w:r>
      <w:hyperlink r:id="rId15" w:history="1">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00AD38D5" w:rsidP="00AD38D5" w14:paraId="79219446"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r:id="rId15" w:history="1">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r:id="rId16" w:history="1">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r:id="rId17" w:history="1">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r:id="rId18" w:history="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r:id="rId19" w:history="1">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r:id="rId20" w:history="1">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r:id="rId21" w:history="1">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00523CD7" w:rsidP="00AD38D5" w14:paraId="18422743"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p>
    <w:p w:rsidR="00523CD7" w:rsidRPr="00445EA5" w:rsidP="00AD38D5" w14:paraId="3CE8E31F"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Pr>
          <w:rFonts w:ascii="Times New Roman" w:hAnsi="Times New Roman" w:cs="Times New Roman"/>
          <w:color w:val="333333"/>
          <w:sz w:val="24"/>
          <w:szCs w:val="24"/>
        </w:rPr>
        <w:t xml:space="preserve">In addition, we </w:t>
      </w:r>
      <w:r w:rsidR="009E64DA">
        <w:rPr>
          <w:rFonts w:ascii="Times New Roman" w:hAnsi="Times New Roman" w:cs="Times New Roman"/>
          <w:color w:val="333333"/>
          <w:sz w:val="24"/>
          <w:szCs w:val="24"/>
        </w:rPr>
        <w:t xml:space="preserve">are requesting to make </w:t>
      </w:r>
      <w:r w:rsidR="008726B7">
        <w:rPr>
          <w:rFonts w:ascii="Times New Roman" w:hAnsi="Times New Roman" w:cs="Times New Roman"/>
          <w:color w:val="333333"/>
          <w:sz w:val="24"/>
          <w:szCs w:val="24"/>
        </w:rPr>
        <w:t xml:space="preserve">minor language changes that do not change the burden of the collection. No new questions have been added. </w:t>
      </w:r>
    </w:p>
    <w:p w:rsidR="00AD38D5" w:rsidP="00AD381B" w14:paraId="4D5DF56D" w14:textId="77777777">
      <w:pPr>
        <w:pStyle w:val="ListParagraph"/>
        <w:suppressAutoHyphens/>
        <w:spacing w:line="240" w:lineRule="exact"/>
        <w:rPr>
          <w:rFonts w:ascii="Times New Roman" w:hAnsi="Times New Roman"/>
          <w:szCs w:val="24"/>
        </w:rPr>
      </w:pPr>
    </w:p>
    <w:p w:rsidR="00AD381B" w:rsidRPr="00AD381B" w:rsidP="00AD381B" w14:paraId="289D3648" w14:textId="77777777">
      <w:pPr>
        <w:pStyle w:val="ListParagraph"/>
        <w:suppressAutoHyphens/>
        <w:spacing w:line="240" w:lineRule="exact"/>
        <w:contextualSpacing w:val="0"/>
        <w:rPr>
          <w:rFonts w:ascii="Times New Roman" w:hAnsi="Times New Roman"/>
          <w:szCs w:val="24"/>
        </w:rPr>
      </w:pPr>
    </w:p>
    <w:p w:rsidR="00AD381B" w:rsidP="00AD381B" w14:paraId="3238404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33068849" w14:textId="77777777">
      <w:pPr>
        <w:suppressAutoHyphens/>
        <w:spacing w:line="240" w:lineRule="exact"/>
        <w:rPr>
          <w:rFonts w:ascii="Times New Roman" w:hAnsi="Times New Roman"/>
          <w:szCs w:val="24"/>
        </w:rPr>
      </w:pPr>
    </w:p>
    <w:p w:rsidR="00EC0CAF" w:rsidRPr="00FB3316" w:rsidP="00EC0CAF" w14:paraId="1CA71D9B" w14:textId="77777777">
      <w:pPr>
        <w:tabs>
          <w:tab w:val="center" w:pos="8505"/>
        </w:tabs>
        <w:rPr>
          <w:rFonts w:ascii="Times New Roman" w:hAnsi="Times New Roman"/>
        </w:rPr>
      </w:pPr>
      <w:r w:rsidRPr="7F414E6E">
        <w:rPr>
          <w:rFonts w:ascii="Times New Roman" w:hAnsi="Times New Roman"/>
        </w:rPr>
        <w:t>The information will be reviewed by U.S. Department of Education (Department) employees to ensure that GEER</w:t>
      </w:r>
      <w:r w:rsidR="00355924">
        <w:rPr>
          <w:rFonts w:ascii="Times New Roman" w:hAnsi="Times New Roman"/>
        </w:rPr>
        <w:t>/ESF-Governor</w:t>
      </w:r>
      <w:r w:rsidRPr="7F414E6E">
        <w:rPr>
          <w:rFonts w:ascii="Times New Roman" w:hAnsi="Times New Roman"/>
        </w:rPr>
        <w:t xml:space="preserve"> funds are used in accordance with applicable requirements under the CARES Act and CRRSA Act and will be shared with the public to promote transparency regarding the allocation and uses of funds. Furthermore, the information collected will be analyzed to provide aggregate statistics on SEA and LEA use </w:t>
      </w:r>
      <w:r w:rsidRPr="0058194B">
        <w:rPr>
          <w:rFonts w:ascii="Times New Roman" w:hAnsi="Times New Roman"/>
        </w:rPr>
        <w:t xml:space="preserve">of </w:t>
      </w:r>
      <w:r w:rsidRPr="0058194B">
        <w:rPr>
          <w:rFonts w:ascii="Times New Roman" w:hAnsi="Times New Roman"/>
          <w:color w:val="000000" w:themeColor="text1"/>
          <w:szCs w:val="24"/>
        </w:rPr>
        <w:t>Education Stabilization Fund (</w:t>
      </w:r>
      <w:r w:rsidRPr="0058194B">
        <w:rPr>
          <w:rFonts w:ascii="Times New Roman" w:hAnsi="Times New Roman"/>
        </w:rPr>
        <w:t>ESF)</w:t>
      </w:r>
      <w:r w:rsidRPr="7F414E6E">
        <w:rPr>
          <w:rFonts w:ascii="Times New Roman" w:hAnsi="Times New Roman"/>
        </w:rPr>
        <w:t xml:space="preserve"> funds to address the impacts of the COVID-19 virus on students and schools. The collection was used for a similar purpose in the first </w:t>
      </w:r>
      <w:r w:rsidR="00981C65">
        <w:rPr>
          <w:rFonts w:ascii="Times New Roman" w:hAnsi="Times New Roman"/>
        </w:rPr>
        <w:t>four</w:t>
      </w:r>
      <w:r w:rsidR="00EF0228">
        <w:rPr>
          <w:rFonts w:ascii="Times New Roman" w:hAnsi="Times New Roman"/>
        </w:rPr>
        <w:t xml:space="preserve"> years</w:t>
      </w:r>
      <w:r w:rsidRPr="7F414E6E">
        <w:rPr>
          <w:rFonts w:ascii="Times New Roman" w:hAnsi="Times New Roman"/>
        </w:rPr>
        <w:t xml:space="preserve"> of its admin</w:t>
      </w:r>
      <w:r w:rsidRPr="7F414E6E">
        <w:rPr>
          <w:rFonts w:ascii="Times New Roman" w:hAnsi="Times New Roman"/>
        </w:rPr>
        <w:t xml:space="preserve">istration, with reporting made public in </w:t>
      </w:r>
      <w:r w:rsidR="00253A36">
        <w:rPr>
          <w:rFonts w:ascii="Times New Roman" w:hAnsi="Times New Roman"/>
        </w:rPr>
        <w:t>2021, 2022, and 2024</w:t>
      </w:r>
      <w:r w:rsidRPr="7F414E6E">
        <w:rPr>
          <w:rFonts w:ascii="Times New Roman" w:hAnsi="Times New Roman"/>
        </w:rPr>
        <w:t xml:space="preserve">. </w:t>
      </w:r>
    </w:p>
    <w:p w:rsidR="00EC0CAF" w:rsidP="00AD381B" w14:paraId="522788EB" w14:textId="77777777">
      <w:pPr>
        <w:suppressAutoHyphens/>
        <w:spacing w:line="240" w:lineRule="exact"/>
        <w:rPr>
          <w:rFonts w:ascii="Times New Roman" w:hAnsi="Times New Roman"/>
          <w:szCs w:val="24"/>
        </w:rPr>
      </w:pPr>
    </w:p>
    <w:p w:rsidR="00043C32" w:rsidRPr="00AD381B" w:rsidP="00AD381B" w14:paraId="51BC6F65" w14:textId="77777777">
      <w:pPr>
        <w:suppressAutoHyphens/>
        <w:spacing w:line="240" w:lineRule="exact"/>
        <w:rPr>
          <w:rFonts w:ascii="Times New Roman" w:hAnsi="Times New Roman"/>
          <w:szCs w:val="24"/>
        </w:rPr>
      </w:pPr>
    </w:p>
    <w:p w:rsidR="00043C32" w:rsidRPr="00AD381B" w:rsidP="00AD381B" w14:paraId="450A4F3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78E6699" w14:textId="77777777">
      <w:pPr>
        <w:pStyle w:val="ListParagraph"/>
        <w:tabs>
          <w:tab w:val="left" w:pos="-720"/>
        </w:tabs>
        <w:suppressAutoHyphens/>
        <w:contextualSpacing w:val="0"/>
        <w:rPr>
          <w:rFonts w:ascii="Times New Roman" w:hAnsi="Times New Roman"/>
          <w:szCs w:val="24"/>
        </w:rPr>
      </w:pPr>
    </w:p>
    <w:p w:rsidR="000C5376" w:rsidRPr="00196A81" w:rsidP="000C5376" w14:paraId="6D02BF17" w14:textId="77777777">
      <w:pPr>
        <w:tabs>
          <w:tab w:val="left" w:pos="-720"/>
        </w:tabs>
        <w:suppressAutoHyphens/>
        <w:rPr>
          <w:rFonts w:ascii="Times New Roman" w:hAnsi="Times New Roman"/>
          <w:szCs w:val="24"/>
        </w:rPr>
      </w:pPr>
      <w:r w:rsidRPr="21B518C9">
        <w:rPr>
          <w:rFonts w:ascii="Times New Roman" w:hAnsi="Times New Roman"/>
        </w:rPr>
        <w:t xml:space="preserve">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w:t>
      </w:r>
      <w:r>
        <w:rPr>
          <w:rFonts w:ascii="Times New Roman" w:hAnsi="Times New Roman"/>
        </w:rPr>
        <w:t xml:space="preserve">and updated in </w:t>
      </w:r>
      <w:r w:rsidR="008F61A8">
        <w:rPr>
          <w:rFonts w:ascii="Times New Roman" w:hAnsi="Times New Roman"/>
        </w:rPr>
        <w:t>2022. G</w:t>
      </w:r>
      <w:r w:rsidRPr="21B518C9">
        <w:rPr>
          <w:rFonts w:ascii="Times New Roman" w:hAnsi="Times New Roman"/>
        </w:rPr>
        <w:t>rantees already have accounts set up on the system and are familiar with it. The web portal was developed to align with objective 4.4 of the Department’s data strategy.</w:t>
      </w:r>
      <w:r>
        <w:rPr>
          <w:rStyle w:val="FootnoteReference"/>
        </w:rPr>
        <w:footnoteReference w:id="3"/>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000C5376" w:rsidP="00AD381B" w14:paraId="1D69C873" w14:textId="77777777">
      <w:pPr>
        <w:pStyle w:val="ListParagraph"/>
        <w:tabs>
          <w:tab w:val="left" w:pos="-720"/>
        </w:tabs>
        <w:suppressAutoHyphens/>
        <w:contextualSpacing w:val="0"/>
        <w:rPr>
          <w:rFonts w:ascii="Times New Roman" w:hAnsi="Times New Roman"/>
          <w:szCs w:val="24"/>
        </w:rPr>
      </w:pPr>
    </w:p>
    <w:p w:rsidR="00AD381B" w:rsidP="00AD381B" w14:paraId="7E3B9740" w14:textId="77777777">
      <w:pPr>
        <w:pStyle w:val="ListParagraph"/>
        <w:tabs>
          <w:tab w:val="left" w:pos="-720"/>
        </w:tabs>
        <w:suppressAutoHyphens/>
        <w:contextualSpacing w:val="0"/>
        <w:rPr>
          <w:rFonts w:ascii="Times New Roman" w:hAnsi="Times New Roman"/>
          <w:szCs w:val="24"/>
        </w:rPr>
      </w:pPr>
    </w:p>
    <w:p w:rsidR="00AD381B" w:rsidP="00AD381B" w14:paraId="4F266A4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134A71" w:rsidP="00134A71" w14:paraId="0FC84C10" w14:textId="77777777">
      <w:pPr>
        <w:pStyle w:val="ListParagraph"/>
        <w:tabs>
          <w:tab w:val="left" w:pos="-720"/>
        </w:tabs>
        <w:suppressAutoHyphens/>
        <w:contextualSpacing w:val="0"/>
        <w:rPr>
          <w:rFonts w:ascii="Times New Roman" w:hAnsi="Times New Roman"/>
          <w:b/>
          <w:szCs w:val="24"/>
        </w:rPr>
      </w:pPr>
    </w:p>
    <w:p w:rsidR="00134A71" w:rsidRPr="00134A71" w:rsidP="00134A71" w14:paraId="121AB79D" w14:textId="77777777">
      <w:pPr>
        <w:rPr>
          <w:rFonts w:ascii="Times New Roman" w:hAnsi="Times New Roman"/>
          <w:iCs/>
          <w:szCs w:val="24"/>
        </w:rPr>
      </w:pPr>
      <w:r>
        <w:rPr>
          <w:rFonts w:ascii="Times New Roman" w:hAnsi="Times New Roman"/>
          <w:iCs/>
          <w:szCs w:val="24"/>
        </w:rPr>
        <w:t>Th</w:t>
      </w:r>
      <w:r w:rsidRPr="00134A71">
        <w:rPr>
          <w:rFonts w:ascii="Times New Roman" w:hAnsi="Times New Roman"/>
          <w:iCs/>
          <w:szCs w:val="24"/>
        </w:rPr>
        <w:t xml:space="preserve">is is a unique collection that responds to reporting requirements in GEER as authorized under the CARES Act and CRRSA Act. There are no other data collections that seek this information. </w:t>
      </w:r>
    </w:p>
    <w:p w:rsidR="00246FE9" w:rsidRPr="00246FE9" w:rsidP="00246FE9" w14:paraId="2602C58C" w14:textId="77777777">
      <w:pPr>
        <w:pStyle w:val="ListParagraph"/>
        <w:tabs>
          <w:tab w:val="left" w:pos="-720"/>
        </w:tabs>
        <w:suppressAutoHyphens/>
        <w:contextualSpacing w:val="0"/>
        <w:rPr>
          <w:rFonts w:ascii="Times New Roman" w:hAnsi="Times New Roman"/>
          <w:b/>
          <w:szCs w:val="24"/>
        </w:rPr>
      </w:pPr>
    </w:p>
    <w:p w:rsidR="00043C32" w:rsidP="00AD381B" w14:paraId="53615896"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AD381B">
        <w:rPr>
          <w:rFonts w:ascii="Times New Roman" w:hAnsi="Times New Roman"/>
          <w:b/>
          <w:szCs w:val="24"/>
        </w:rPr>
        <w:t>wn, township, school district, or special district with a population of less than 50,000.</w:t>
      </w:r>
    </w:p>
    <w:p w:rsidR="00AD381B" w:rsidP="00AD381B" w14:paraId="58904C54" w14:textId="77777777">
      <w:pPr>
        <w:pStyle w:val="ListParagraph"/>
        <w:contextualSpacing w:val="0"/>
        <w:rPr>
          <w:rFonts w:ascii="Times New Roman" w:hAnsi="Times New Roman"/>
          <w:szCs w:val="24"/>
        </w:rPr>
      </w:pPr>
    </w:p>
    <w:p w:rsidR="00C462A7" w:rsidRPr="00196A81" w:rsidP="00C462A7" w14:paraId="32CD2A8D" w14:textId="77777777">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Pr>
          <w:rFonts w:ascii="Times New Roman" w:hAnsi="Times New Roman"/>
          <w:iCs/>
          <w:szCs w:val="24"/>
        </w:rPr>
        <w:t>.</w:t>
      </w:r>
    </w:p>
    <w:p w:rsidR="00AD381B" w:rsidRPr="00C462A7" w:rsidP="00C462A7" w14:paraId="03E63C9E" w14:textId="77777777">
      <w:pPr>
        <w:rPr>
          <w:rFonts w:ascii="Times New Roman" w:hAnsi="Times New Roman"/>
          <w:szCs w:val="24"/>
        </w:rPr>
      </w:pPr>
    </w:p>
    <w:p w:rsidR="00043C32" w:rsidP="00AD381B" w14:paraId="32B0214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B7BD8" w:rsidP="007B7BD8" w14:paraId="29F8D318" w14:textId="77777777">
      <w:pPr>
        <w:tabs>
          <w:tab w:val="left" w:pos="-720"/>
        </w:tabs>
        <w:suppressAutoHyphens/>
        <w:rPr>
          <w:rFonts w:ascii="Times New Roman" w:hAnsi="Times New Roman"/>
          <w:b/>
          <w:szCs w:val="24"/>
        </w:rPr>
      </w:pPr>
    </w:p>
    <w:p w:rsidR="007B7BD8" w:rsidRPr="00AD5C74" w:rsidP="007B7BD8" w14:paraId="49C70BB2" w14:textId="77777777">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Pr>
          <w:rFonts w:ascii="Times New Roman" w:hAnsi="Times New Roman"/>
          <w:szCs w:val="24"/>
        </w:rPr>
        <w:t>collect information to inform monitoring oversight and public transparency regarding the uses of funds under GEER.</w:t>
      </w:r>
    </w:p>
    <w:p w:rsidR="007B7BD8" w:rsidRPr="007B7BD8" w:rsidP="007B7BD8" w14:paraId="74188C8B" w14:textId="77777777">
      <w:pPr>
        <w:tabs>
          <w:tab w:val="left" w:pos="-720"/>
        </w:tabs>
        <w:suppressAutoHyphens/>
        <w:rPr>
          <w:rFonts w:ascii="Times New Roman" w:hAnsi="Times New Roman"/>
          <w:b/>
          <w:szCs w:val="24"/>
        </w:rPr>
      </w:pPr>
    </w:p>
    <w:p w:rsidR="00043C32" w:rsidRPr="00AD381B" w:rsidP="00AD381B" w14:paraId="6CD4AB60"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5BF7DE2" w14:textId="77777777">
      <w:pPr>
        <w:tabs>
          <w:tab w:val="left" w:pos="-720"/>
        </w:tabs>
        <w:suppressAutoHyphens/>
        <w:rPr>
          <w:rFonts w:ascii="Times New Roman" w:hAnsi="Times New Roman"/>
          <w:b/>
          <w:szCs w:val="24"/>
        </w:rPr>
      </w:pPr>
    </w:p>
    <w:p w:rsidR="00043C32" w:rsidRPr="00AD381B" w:rsidP="00AD381B" w14:paraId="0E4D12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DC22892" w14:textId="77777777">
      <w:pPr>
        <w:numPr>
          <w:ilvl w:val="12"/>
          <w:numId w:val="0"/>
        </w:numPr>
        <w:tabs>
          <w:tab w:val="left" w:pos="-720"/>
        </w:tabs>
        <w:suppressAutoHyphens/>
        <w:ind w:left="340"/>
        <w:rPr>
          <w:rFonts w:ascii="Times New Roman" w:hAnsi="Times New Roman"/>
          <w:b/>
          <w:szCs w:val="24"/>
        </w:rPr>
      </w:pPr>
    </w:p>
    <w:p w:rsidR="00043C32" w:rsidRPr="00AD381B" w:rsidP="00AD381B" w14:paraId="5C9B448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BA0C091" w14:textId="77777777">
      <w:pPr>
        <w:numPr>
          <w:ilvl w:val="12"/>
          <w:numId w:val="0"/>
        </w:numPr>
        <w:tabs>
          <w:tab w:val="left" w:pos="-720"/>
        </w:tabs>
        <w:suppressAutoHyphens/>
        <w:rPr>
          <w:rFonts w:ascii="Times New Roman" w:hAnsi="Times New Roman"/>
          <w:b/>
          <w:szCs w:val="24"/>
        </w:rPr>
      </w:pPr>
    </w:p>
    <w:p w:rsidR="00043C32" w:rsidRPr="00AD381B" w:rsidP="00AD381B" w14:paraId="710846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5773674" w14:textId="77777777">
      <w:pPr>
        <w:numPr>
          <w:ilvl w:val="12"/>
          <w:numId w:val="0"/>
        </w:numPr>
        <w:tabs>
          <w:tab w:val="left" w:pos="-720"/>
        </w:tabs>
        <w:suppressAutoHyphens/>
        <w:rPr>
          <w:rFonts w:ascii="Times New Roman" w:hAnsi="Times New Roman"/>
          <w:b/>
          <w:szCs w:val="24"/>
        </w:rPr>
      </w:pPr>
    </w:p>
    <w:p w:rsidR="00043C32" w:rsidRPr="00AD381B" w:rsidP="00AD381B" w14:paraId="2970F1A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CF39AFC" w14:textId="77777777">
      <w:pPr>
        <w:numPr>
          <w:ilvl w:val="12"/>
          <w:numId w:val="0"/>
        </w:numPr>
        <w:tabs>
          <w:tab w:val="left" w:pos="-720"/>
        </w:tabs>
        <w:suppressAutoHyphens/>
        <w:rPr>
          <w:rFonts w:ascii="Times New Roman" w:hAnsi="Times New Roman"/>
          <w:b/>
          <w:szCs w:val="24"/>
        </w:rPr>
      </w:pPr>
    </w:p>
    <w:p w:rsidR="00043C32" w:rsidRPr="00AD381B" w:rsidP="00AD381B" w14:paraId="588DB76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4FC195A7" w14:textId="77777777">
      <w:pPr>
        <w:numPr>
          <w:ilvl w:val="12"/>
          <w:numId w:val="0"/>
        </w:numPr>
        <w:tabs>
          <w:tab w:val="left" w:pos="-720"/>
        </w:tabs>
        <w:suppressAutoHyphens/>
        <w:rPr>
          <w:rFonts w:ascii="Times New Roman" w:hAnsi="Times New Roman"/>
          <w:b/>
          <w:szCs w:val="24"/>
        </w:rPr>
      </w:pPr>
    </w:p>
    <w:p w:rsidR="00043C32" w:rsidRPr="00AD381B" w:rsidP="00AD381B" w14:paraId="5096FA1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4B0516B4" w14:textId="77777777">
      <w:pPr>
        <w:numPr>
          <w:ilvl w:val="12"/>
          <w:numId w:val="0"/>
        </w:numPr>
        <w:tabs>
          <w:tab w:val="left" w:pos="-720"/>
        </w:tabs>
        <w:suppressAutoHyphens/>
        <w:rPr>
          <w:rFonts w:ascii="Times New Roman" w:hAnsi="Times New Roman"/>
          <w:b/>
          <w:szCs w:val="24"/>
        </w:rPr>
      </w:pPr>
    </w:p>
    <w:p w:rsidR="00043C32" w:rsidRPr="00AD381B" w:rsidP="00AD381B" w14:paraId="1D44C2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RPr="00AD381B" w:rsidP="00AD381B" w14:paraId="71F0CF10" w14:textId="77777777">
      <w:pPr>
        <w:numPr>
          <w:ilvl w:val="12"/>
          <w:numId w:val="0"/>
        </w:numPr>
        <w:tabs>
          <w:tab w:val="left" w:pos="-720"/>
        </w:tabs>
        <w:suppressAutoHyphens/>
        <w:rPr>
          <w:rFonts w:ascii="Times New Roman" w:hAnsi="Times New Roman"/>
          <w:b/>
          <w:szCs w:val="24"/>
        </w:rPr>
      </w:pPr>
    </w:p>
    <w:p w:rsidR="00043C32" w:rsidP="00AD381B" w14:paraId="3E448E4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713F29E" w14:textId="77777777">
      <w:pPr>
        <w:pStyle w:val="ListParagraph"/>
        <w:rPr>
          <w:rFonts w:ascii="Times New Roman" w:hAnsi="Times New Roman"/>
          <w:b/>
          <w:szCs w:val="24"/>
        </w:rPr>
      </w:pPr>
    </w:p>
    <w:p w:rsidR="00AD381B" w:rsidRPr="00AF4A8E" w:rsidP="00AF4A8E" w14:paraId="034F7EA7" w14:textId="77777777">
      <w:pPr>
        <w:tabs>
          <w:tab w:val="left" w:pos="-720"/>
          <w:tab w:val="left" w:pos="0"/>
        </w:tabs>
        <w:suppressAutoHyphens/>
        <w:rPr>
          <w:rFonts w:ascii="Times New Roman" w:hAnsi="Times New Roman"/>
          <w:iCs/>
          <w:szCs w:val="24"/>
        </w:rPr>
      </w:pPr>
      <w:r>
        <w:rPr>
          <w:rFonts w:ascii="Times New Roman" w:hAnsi="Times New Roman"/>
          <w:iCs/>
          <w:szCs w:val="24"/>
        </w:rPr>
        <w:tab/>
      </w:r>
      <w:r w:rsidR="00AF4A8E">
        <w:rPr>
          <w:rFonts w:ascii="Times New Roman" w:hAnsi="Times New Roman"/>
          <w:iCs/>
          <w:szCs w:val="24"/>
        </w:rPr>
        <w:t xml:space="preserve">No such </w:t>
      </w:r>
      <w:r w:rsidRPr="00196A81" w:rsidR="00AF4A8E">
        <w:rPr>
          <w:rFonts w:ascii="Times New Roman" w:hAnsi="Times New Roman"/>
          <w:iCs/>
          <w:szCs w:val="24"/>
        </w:rPr>
        <w:t>circumstances</w:t>
      </w:r>
      <w:r w:rsidR="00AF4A8E">
        <w:rPr>
          <w:rFonts w:ascii="Times New Roman" w:hAnsi="Times New Roman"/>
          <w:iCs/>
          <w:szCs w:val="24"/>
        </w:rPr>
        <w:t xml:space="preserve"> exist</w:t>
      </w:r>
      <w:r w:rsidRPr="00196A81" w:rsidR="00AF4A8E">
        <w:rPr>
          <w:rFonts w:ascii="Times New Roman" w:hAnsi="Times New Roman"/>
          <w:iCs/>
          <w:szCs w:val="24"/>
        </w:rPr>
        <w:t>.</w:t>
      </w:r>
    </w:p>
    <w:p w:rsidR="00AF4A8E" w:rsidRPr="00AD381B" w:rsidP="00AD381B" w14:paraId="1BBA8BAF" w14:textId="77777777">
      <w:pPr>
        <w:tabs>
          <w:tab w:val="left" w:pos="-720"/>
        </w:tabs>
        <w:suppressAutoHyphens/>
        <w:rPr>
          <w:rFonts w:ascii="Times New Roman" w:hAnsi="Times New Roman"/>
          <w:szCs w:val="24"/>
        </w:rPr>
      </w:pPr>
    </w:p>
    <w:p w:rsidR="00D75313" w:rsidP="00AD381B" w14:paraId="5E8D893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76D54516"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EC85BD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w:t>
      </w:r>
      <w:r>
        <w:rPr>
          <w:rFonts w:ascii="Times New Roman" w:hAnsi="Times New Roman"/>
          <w:b/>
          <w:szCs w:val="24"/>
        </w:rPr>
        <w:t>ic comments received.</w:t>
      </w:r>
    </w:p>
    <w:p w:rsidR="00D75313" w:rsidP="00D75313" w14:paraId="17785B3E"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F51110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07C3B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w:t>
      </w:r>
      <w:r w:rsidRPr="00AD381B">
        <w:rPr>
          <w:rStyle w:val="a"/>
          <w:rFonts w:ascii="Times New Roman" w:hAnsi="Times New Roman"/>
          <w:b/>
          <w:szCs w:val="24"/>
        </w:rPr>
        <w:t>instruction and record keeping, disclosure, or reporting format (if any), and on the data elements to be recorded, disclosed, or reported.</w:t>
      </w:r>
    </w:p>
    <w:p w:rsidR="00043C32" w:rsidRPr="00AD381B" w:rsidP="00AD381B" w14:paraId="18EB17F9" w14:textId="77777777">
      <w:pPr>
        <w:tabs>
          <w:tab w:val="left" w:pos="-720"/>
        </w:tabs>
        <w:suppressAutoHyphens/>
        <w:rPr>
          <w:rStyle w:val="a"/>
          <w:rFonts w:ascii="Times New Roman" w:hAnsi="Times New Roman"/>
          <w:b/>
          <w:szCs w:val="24"/>
        </w:rPr>
      </w:pPr>
    </w:p>
    <w:p w:rsidR="00043C32" w:rsidP="00AD381B" w14:paraId="0E03678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3A859A0" w14:textId="77777777">
      <w:pPr>
        <w:tabs>
          <w:tab w:val="left" w:pos="-720"/>
        </w:tabs>
        <w:suppressAutoHyphens/>
        <w:ind w:left="720"/>
        <w:rPr>
          <w:rFonts w:ascii="Times New Roman" w:hAnsi="Times New Roman"/>
          <w:b/>
          <w:szCs w:val="24"/>
        </w:rPr>
      </w:pPr>
    </w:p>
    <w:p w:rsidR="00ED139B" w:rsidP="00ED139B" w14:paraId="5C831AF3" w14:textId="77777777">
      <w:pPr>
        <w:tabs>
          <w:tab w:val="left" w:pos="-720"/>
        </w:tabs>
        <w:suppressAutoHyphens/>
        <w:ind w:left="720"/>
        <w:rPr>
          <w:rFonts w:ascii="Times New Roman" w:hAnsi="Times New Roman"/>
          <w:b/>
          <w:szCs w:val="24"/>
        </w:rPr>
      </w:pPr>
      <w:r w:rsidRPr="00662194">
        <w:rPr>
          <w:rFonts w:ascii="Times New Roman" w:eastAsia="Arial Unicode MS" w:hAnsi="Times New Roman"/>
        </w:rPr>
        <w:t xml:space="preserve">On </w:t>
      </w:r>
      <w:r>
        <w:rPr>
          <w:rFonts w:ascii="Times New Roman" w:eastAsia="Arial Unicode MS" w:hAnsi="Times New Roman"/>
        </w:rPr>
        <w:t xml:space="preserve">July </w:t>
      </w:r>
      <w:r w:rsidR="00CA786F">
        <w:rPr>
          <w:rFonts w:ascii="Times New Roman" w:eastAsia="Arial Unicode MS" w:hAnsi="Times New Roman"/>
        </w:rPr>
        <w:t>24</w:t>
      </w:r>
      <w:r w:rsidRPr="00662194">
        <w:rPr>
          <w:rFonts w:ascii="Times New Roman" w:eastAsia="Arial Unicode MS" w:hAnsi="Times New Roman"/>
        </w:rPr>
        <w:t>, 202</w:t>
      </w:r>
      <w:r>
        <w:rPr>
          <w:rFonts w:ascii="Times New Roman" w:eastAsia="Arial Unicode MS" w:hAnsi="Times New Roman"/>
        </w:rPr>
        <w:t>4</w:t>
      </w:r>
      <w:r w:rsidRPr="00662194">
        <w:rPr>
          <w:rFonts w:ascii="Times New Roman" w:eastAsia="Arial Unicode MS" w:hAnsi="Times New Roman"/>
        </w:rPr>
        <w:t xml:space="preserve">, a Federal Register Notice requesting public comment was published (Vol. </w:t>
      </w:r>
      <w:r>
        <w:rPr>
          <w:rFonts w:ascii="Times New Roman" w:eastAsia="Arial Unicode MS" w:hAnsi="Times New Roman"/>
        </w:rPr>
        <w:t>89</w:t>
      </w:r>
      <w:r w:rsidRPr="00662194">
        <w:rPr>
          <w:rFonts w:ascii="Times New Roman" w:eastAsia="Arial Unicode MS" w:hAnsi="Times New Roman"/>
        </w:rPr>
        <w:t xml:space="preserve">, No. </w:t>
      </w:r>
      <w:r>
        <w:rPr>
          <w:rFonts w:ascii="Times New Roman" w:eastAsia="Arial Unicode MS" w:hAnsi="Times New Roman"/>
        </w:rPr>
        <w:t>1</w:t>
      </w:r>
      <w:r w:rsidR="00CA786F">
        <w:rPr>
          <w:rFonts w:ascii="Times New Roman" w:eastAsia="Arial Unicode MS" w:hAnsi="Times New Roman"/>
        </w:rPr>
        <w:t>42</w:t>
      </w:r>
      <w:r w:rsidRPr="00662194">
        <w:rPr>
          <w:rFonts w:ascii="Times New Roman" w:eastAsia="Arial Unicode MS" w:hAnsi="Times New Roman"/>
        </w:rPr>
        <w:t xml:space="preserve">, page </w:t>
      </w:r>
      <w:r>
        <w:rPr>
          <w:rFonts w:ascii="Times New Roman" w:eastAsia="Arial Unicode MS" w:hAnsi="Times New Roman"/>
        </w:rPr>
        <w:t>5</w:t>
      </w:r>
      <w:r w:rsidR="00CA786F">
        <w:rPr>
          <w:rFonts w:ascii="Times New Roman" w:eastAsia="Arial Unicode MS" w:hAnsi="Times New Roman"/>
        </w:rPr>
        <w:t>9907</w:t>
      </w:r>
      <w:r w:rsidRPr="00662194">
        <w:rPr>
          <w:rFonts w:ascii="Times New Roman" w:eastAsia="Arial Unicode MS" w:hAnsi="Times New Roman"/>
        </w:rPr>
        <w:t>). No comments were received during the 60-day comment period. The Department is publishing the applicable 30-day Federal Register notice to request public comment.</w:t>
      </w:r>
    </w:p>
    <w:p w:rsidR="00E66550" w:rsidP="005175B7" w14:paraId="2CADD596" w14:textId="77777777">
      <w:pPr>
        <w:tabs>
          <w:tab w:val="left" w:pos="-720"/>
        </w:tabs>
        <w:suppressAutoHyphens/>
        <w:rPr>
          <w:rFonts w:ascii="Times New Roman" w:hAnsi="Times New Roman"/>
          <w:szCs w:val="24"/>
        </w:rPr>
      </w:pPr>
    </w:p>
    <w:p w:rsidR="00043C32" w:rsidP="00AD381B" w14:paraId="23E7B84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44D63" w:rsidP="00C44D63" w14:paraId="0B946A83" w14:textId="77777777">
      <w:pPr>
        <w:tabs>
          <w:tab w:val="left" w:pos="0"/>
        </w:tabs>
        <w:suppressAutoHyphens/>
        <w:rPr>
          <w:rFonts w:ascii="Times New Roman" w:hAnsi="Times New Roman"/>
        </w:rPr>
      </w:pPr>
    </w:p>
    <w:p w:rsidR="00C44D63" w:rsidRPr="00C44D63" w:rsidP="00C44D63" w14:paraId="57C6CF59" w14:textId="77777777">
      <w:pPr>
        <w:tabs>
          <w:tab w:val="left" w:pos="0"/>
        </w:tabs>
        <w:suppressAutoHyphens/>
        <w:rPr>
          <w:rFonts w:ascii="Times New Roman" w:hAnsi="Times New Roman"/>
        </w:rPr>
      </w:pPr>
      <w:r>
        <w:rPr>
          <w:rFonts w:ascii="Times New Roman" w:hAnsi="Times New Roman"/>
        </w:rPr>
        <w:tab/>
      </w:r>
      <w:r w:rsidRPr="00C44D63">
        <w:rPr>
          <w:rFonts w:ascii="Times New Roman" w:hAnsi="Times New Roman"/>
        </w:rPr>
        <w:t>No payments or gifts will be provided to respondents.</w:t>
      </w:r>
    </w:p>
    <w:p w:rsidR="00920F63" w:rsidRPr="00C44D63" w:rsidP="00C44D63" w14:paraId="010D662C" w14:textId="77777777">
      <w:pPr>
        <w:tabs>
          <w:tab w:val="left" w:pos="-720"/>
        </w:tabs>
        <w:suppressAutoHyphens/>
        <w:rPr>
          <w:rFonts w:ascii="Times New Roman" w:hAnsi="Times New Roman"/>
          <w:b/>
          <w:szCs w:val="24"/>
        </w:rPr>
      </w:pPr>
    </w:p>
    <w:p w:rsidR="00920F63" w:rsidRPr="00920F63" w:rsidP="00920F63" w14:paraId="7A155B7B" w14:textId="77777777">
      <w:pPr>
        <w:pStyle w:val="ListParagraph"/>
        <w:tabs>
          <w:tab w:val="left" w:pos="-720"/>
        </w:tabs>
        <w:suppressAutoHyphens/>
        <w:contextualSpacing w:val="0"/>
        <w:rPr>
          <w:rFonts w:ascii="Times New Roman" w:hAnsi="Times New Roman"/>
          <w:b/>
          <w:szCs w:val="24"/>
        </w:rPr>
      </w:pPr>
    </w:p>
    <w:p w:rsidR="00043C32" w:rsidRPr="00D75313" w:rsidP="00AD381B" w14:paraId="2063720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w:t>
      </w:r>
      <w:r w:rsidRPr="00920F63">
        <w:rPr>
          <w:rFonts w:ascii="Times New Roman" w:hAnsi="Times New Roman"/>
          <w:b/>
          <w:szCs w:val="24"/>
        </w:rPr>
        <w:t>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w:t>
      </w:r>
      <w:r w:rsidRPr="00920F63">
        <w:rPr>
          <w:rFonts w:ascii="Times New Roman" w:hAnsi="Times New Roman"/>
          <w:b/>
          <w:szCs w:val="24"/>
        </w:rPr>
        <w:t>ided.</w:t>
      </w:r>
      <w:r>
        <w:rPr>
          <w:rStyle w:val="FootnoteReference"/>
          <w:rFonts w:ascii="Times New Roman" w:hAnsi="Times New Roman"/>
          <w:b/>
          <w:szCs w:val="24"/>
        </w:rPr>
        <w:footnoteReference w:id="4"/>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221B1F30" w14:textId="77777777">
      <w:pPr>
        <w:tabs>
          <w:tab w:val="left" w:pos="-720"/>
        </w:tabs>
        <w:suppressAutoHyphens/>
        <w:rPr>
          <w:rFonts w:ascii="Times New Roman" w:hAnsi="Times New Roman"/>
          <w:b/>
          <w:szCs w:val="24"/>
        </w:rPr>
      </w:pPr>
    </w:p>
    <w:p w:rsidR="00E56B60" w:rsidP="00E56B60" w14:paraId="05882C57"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Pr>
          <w:rFonts w:ascii="Times New Roman" w:hAnsi="Times New Roman"/>
          <w:iCs/>
          <w:szCs w:val="24"/>
        </w:rPr>
        <w:t>.</w:t>
      </w:r>
    </w:p>
    <w:p w:rsidR="00920F63" w:rsidRPr="00920F63" w:rsidP="00E25EBC" w14:paraId="5419A60C" w14:textId="77777777">
      <w:pPr>
        <w:tabs>
          <w:tab w:val="left" w:pos="-720"/>
        </w:tabs>
        <w:suppressAutoHyphens/>
        <w:rPr>
          <w:rFonts w:ascii="Times New Roman" w:hAnsi="Times New Roman"/>
          <w:szCs w:val="24"/>
        </w:rPr>
      </w:pPr>
    </w:p>
    <w:p w:rsidR="00043C32" w:rsidP="00AD381B" w14:paraId="77040D2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71794F22" w14:textId="77777777">
      <w:pPr>
        <w:tabs>
          <w:tab w:val="left" w:pos="-720"/>
        </w:tabs>
        <w:suppressAutoHyphens/>
        <w:rPr>
          <w:rFonts w:ascii="Times New Roman" w:hAnsi="Times New Roman"/>
          <w:b/>
          <w:szCs w:val="24"/>
        </w:rPr>
      </w:pPr>
    </w:p>
    <w:p w:rsidR="00196E4C" w:rsidRPr="00196A81" w:rsidP="00196E4C" w14:paraId="55DDAD95"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00920F63" w:rsidRPr="00920F63" w:rsidP="00920F63" w14:paraId="34590C10" w14:textId="77777777">
      <w:pPr>
        <w:tabs>
          <w:tab w:val="left" w:pos="-720"/>
        </w:tabs>
        <w:suppressAutoHyphens/>
        <w:ind w:left="180"/>
        <w:rPr>
          <w:rFonts w:ascii="Times New Roman" w:hAnsi="Times New Roman"/>
          <w:szCs w:val="24"/>
        </w:rPr>
      </w:pPr>
    </w:p>
    <w:p w:rsidR="00043C32" w:rsidRPr="00920F63" w:rsidP="00AD381B" w14:paraId="5730A0F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F9C3E27" w14:textId="77777777">
      <w:pPr>
        <w:tabs>
          <w:tab w:val="left" w:pos="-720"/>
        </w:tabs>
        <w:suppressAutoHyphens/>
        <w:rPr>
          <w:rStyle w:val="a"/>
          <w:rFonts w:ascii="Times New Roman" w:hAnsi="Times New Roman"/>
          <w:b/>
          <w:szCs w:val="24"/>
        </w:rPr>
      </w:pPr>
    </w:p>
    <w:p w:rsidR="00C224FD" w:rsidP="00C224FD" w14:paraId="28096C3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 xml:space="preserve">Provide an </w:t>
      </w:r>
      <w:r w:rsidRPr="00756FD3">
        <w:rPr>
          <w:rStyle w:val="a"/>
          <w:rFonts w:ascii="Times New Roman" w:hAnsi="Times New Roman"/>
          <w:b/>
          <w:szCs w:val="24"/>
        </w:rPr>
        <w:t>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C89FC43"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249F4E3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w:t>
      </w:r>
      <w:r w:rsidRPr="00C224FD">
        <w:rPr>
          <w:rStyle w:val="a"/>
          <w:rFonts w:ascii="Times New Roman" w:hAnsi="Times New Roman"/>
          <w:b/>
          <w:szCs w:val="24"/>
        </w:rPr>
        <w:t>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w:t>
      </w:r>
      <w:r w:rsidRPr="00C224FD">
        <w:rPr>
          <w:rStyle w:val="a"/>
          <w:rFonts w:ascii="Times New Roman" w:hAnsi="Times New Roman"/>
          <w:b/>
          <w:szCs w:val="24"/>
        </w:rPr>
        <w:t xml:space="preserve">do so, agencies should not conduct special surveys to obtain information on which to base hour burden estimates.  Consultation with a sample (fewer than 10) of potential respondents is desirable. </w:t>
      </w:r>
    </w:p>
    <w:p w:rsidR="00043C32" w:rsidRPr="00920F63" w:rsidP="00AD381B" w14:paraId="0E8940F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28E368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2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CE70A5" w14:textId="77777777">
      <w:pPr>
        <w:tabs>
          <w:tab w:val="left" w:pos="-720"/>
          <w:tab w:val="left" w:pos="1247"/>
        </w:tabs>
        <w:suppressAutoHyphens/>
        <w:rPr>
          <w:rStyle w:val="a"/>
          <w:rFonts w:ascii="Times New Roman" w:hAnsi="Times New Roman"/>
          <w:b/>
          <w:szCs w:val="24"/>
        </w:rPr>
      </w:pPr>
    </w:p>
    <w:p w:rsidR="00946126" w:rsidRPr="00756FD3" w:rsidP="00946126" w14:paraId="5EC44C1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2BA832F9" w14:textId="77777777">
      <w:pPr>
        <w:pStyle w:val="ListParagraph"/>
        <w:tabs>
          <w:tab w:val="left" w:pos="-720"/>
        </w:tabs>
        <w:suppressAutoHyphens/>
        <w:rPr>
          <w:rStyle w:val="a"/>
          <w:rFonts w:ascii="Times New Roman" w:hAnsi="Times New Roman"/>
          <w:szCs w:val="24"/>
        </w:rPr>
      </w:pPr>
    </w:p>
    <w:p w:rsidR="00232AA1" w:rsidP="00232AA1" w14:paraId="6EB856C4" w14:textId="77777777">
      <w:pPr>
        <w:rPr>
          <w:rFonts w:ascii="Times New Roman" w:hAnsi="Times New Roman"/>
        </w:rPr>
      </w:pPr>
      <w:r w:rsidRPr="7F414E6E">
        <w:rPr>
          <w:rFonts w:ascii="Times New Roman" w:hAnsi="Times New Roman"/>
        </w:rPr>
        <w:t>The GEER instrument is targeted to a total of 56 State agencies and</w:t>
      </w:r>
      <w:r w:rsidR="00B82643">
        <w:rPr>
          <w:rFonts w:ascii="Times New Roman" w:hAnsi="Times New Roman"/>
        </w:rPr>
        <w:t xml:space="preserve"> approximately</w:t>
      </w:r>
      <w:r w:rsidRPr="7F414E6E">
        <w:rPr>
          <w:rFonts w:ascii="Times New Roman" w:hAnsi="Times New Roman"/>
        </w:rPr>
        <w:t xml:space="preserve"> 3,270 local public and private subgrantees. The response burden is shown in Table 1. The burden estimates are based on estimates from the original collection, discussions with experts in the Office of Elementary and Secondary Education in the Department, and the estimated time spent to report the uses of GEER funds under both the CARES and CRRSA Acts. </w:t>
      </w:r>
    </w:p>
    <w:p w:rsidR="00232AA1" w:rsidRPr="00196A81" w:rsidP="00232AA1" w14:paraId="30E59504" w14:textId="77777777">
      <w:pPr>
        <w:pStyle w:val="ListParagraph"/>
        <w:tabs>
          <w:tab w:val="left" w:pos="-720"/>
          <w:tab w:val="left" w:pos="0"/>
        </w:tabs>
        <w:suppressAutoHyphens/>
        <w:ind w:left="0"/>
        <w:contextualSpacing w:val="0"/>
        <w:rPr>
          <w:rFonts w:ascii="Times New Roman" w:hAnsi="Times New Roman"/>
          <w:b/>
          <w:sz w:val="26"/>
          <w:szCs w:val="26"/>
        </w:rPr>
      </w:pPr>
    </w:p>
    <w:p w:rsidR="00232AA1" w:rsidRPr="00C076C3" w:rsidP="00232AA1" w14:paraId="72927F02" w14:textId="77777777">
      <w:pPr>
        <w:pStyle w:val="Caption"/>
        <w:tabs>
          <w:tab w:val="left" w:pos="0"/>
        </w:tabs>
        <w:jc w:val="center"/>
        <w:rPr>
          <w:rFonts w:ascii="Times New Roman" w:hAnsi="Times New Roman"/>
          <w:color w:val="FF0000"/>
          <w:sz w:val="24"/>
          <w:szCs w:val="24"/>
        </w:rPr>
      </w:pPr>
      <w:r>
        <w:rPr>
          <w:rFonts w:ascii="Times New Roman" w:hAnsi="Times New Roman"/>
          <w:color w:val="000000" w:themeColor="text1"/>
          <w:sz w:val="24"/>
          <w:szCs w:val="24"/>
        </w:rPr>
        <w:t xml:space="preserve">Table 1: </w:t>
      </w:r>
      <w:r w:rsidRPr="00196A81">
        <w:rPr>
          <w:rFonts w:ascii="Times New Roman" w:hAnsi="Times New Roman"/>
          <w:color w:val="000000" w:themeColor="text1"/>
          <w:sz w:val="24"/>
          <w:szCs w:val="24"/>
        </w:rPr>
        <w:t>Estimated Annual Burden and Respondent Costs Table</w:t>
      </w:r>
      <w:r>
        <w:rPr>
          <w:rFonts w:ascii="Times New Roman" w:hAnsi="Times New Roman"/>
          <w:color w:val="000000" w:themeColor="text1"/>
          <w:sz w:val="24"/>
          <w:szCs w:val="24"/>
        </w:rPr>
        <w:t xml:space="preserve"> </w:t>
      </w:r>
    </w:p>
    <w:tbl>
      <w:tblPr>
        <w:tblStyle w:val="GridTableLight"/>
        <w:tblpPr w:leftFromText="180" w:rightFromText="180" w:vertAnchor="text" w:horzAnchor="margin" w:tblpXSpec="center" w:tblpY="174"/>
        <w:tblW w:w="9625" w:type="dxa"/>
        <w:tblLayout w:type="fixed"/>
        <w:tblLook w:val="0020"/>
      </w:tblPr>
      <w:tblGrid>
        <w:gridCol w:w="1245"/>
        <w:gridCol w:w="640"/>
        <w:gridCol w:w="810"/>
        <w:gridCol w:w="1170"/>
        <w:gridCol w:w="1530"/>
        <w:gridCol w:w="1710"/>
        <w:gridCol w:w="1170"/>
        <w:gridCol w:w="1350"/>
      </w:tblGrid>
      <w:tr w14:paraId="3B93886E" w14:textId="77777777" w:rsidTr="00437C84">
        <w:tblPrEx>
          <w:tblW w:w="9625" w:type="dxa"/>
          <w:tblLayout w:type="fixed"/>
          <w:tblLook w:val="0020"/>
        </w:tblPrEx>
        <w:trPr>
          <w:tblHeader/>
        </w:trPr>
        <w:tc>
          <w:tcPr>
            <w:tcW w:w="1245" w:type="dxa"/>
            <w:vAlign w:val="center"/>
          </w:tcPr>
          <w:p w:rsidR="00437C84" w:rsidRPr="00196A81" w:rsidP="00014B53" w14:paraId="791F77A5"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640" w:type="dxa"/>
            <w:vAlign w:val="center"/>
          </w:tcPr>
          <w:p w:rsidR="00437C84" w:rsidRPr="00196A81" w:rsidP="00014B53" w14:paraId="473DE1F6"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810" w:type="dxa"/>
            <w:vAlign w:val="center"/>
          </w:tcPr>
          <w:p w:rsidR="00437C84" w:rsidRPr="00196A81" w:rsidP="00014B53" w14:paraId="2C127F4C"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170" w:type="dxa"/>
            <w:vAlign w:val="center"/>
          </w:tcPr>
          <w:p w:rsidR="00437C84" w:rsidRPr="00196A81" w:rsidP="00014B53" w14:paraId="5CAA53C9"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530" w:type="dxa"/>
            <w:vAlign w:val="center"/>
          </w:tcPr>
          <w:p w:rsidR="00437C84" w:rsidRPr="00196A81" w:rsidP="00014B53" w14:paraId="0D5D234F"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710" w:type="dxa"/>
            <w:vAlign w:val="center"/>
          </w:tcPr>
          <w:p w:rsidR="00437C84" w:rsidRPr="00196A81" w:rsidP="00014B53" w14:paraId="492046A5" w14:textId="77777777">
            <w:pPr>
              <w:tabs>
                <w:tab w:val="left" w:pos="0"/>
              </w:tabs>
              <w:jc w:val="center"/>
              <w:rPr>
                <w:rFonts w:ascii="Times New Roman" w:hAnsi="Times New Roman"/>
                <w:sz w:val="20"/>
              </w:rPr>
            </w:pPr>
            <w:r w:rsidRPr="00196A81">
              <w:rPr>
                <w:rFonts w:ascii="Times New Roman" w:hAnsi="Times New Roman"/>
                <w:sz w:val="20"/>
              </w:rPr>
              <w:t>Total Annual Burden Hours</w:t>
            </w:r>
          </w:p>
        </w:tc>
        <w:tc>
          <w:tcPr>
            <w:tcW w:w="1170" w:type="dxa"/>
            <w:vAlign w:val="center"/>
          </w:tcPr>
          <w:p w:rsidR="00437C84" w:rsidRPr="00196A81" w:rsidP="00014B53" w14:paraId="76430393"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350" w:type="dxa"/>
            <w:vAlign w:val="center"/>
          </w:tcPr>
          <w:p w:rsidR="00437C84" w:rsidRPr="00196A81" w:rsidP="00014B53" w14:paraId="03ED243A"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14:paraId="628E5869" w14:textId="77777777" w:rsidTr="00437C84">
        <w:tblPrEx>
          <w:tblW w:w="9625" w:type="dxa"/>
          <w:tblLayout w:type="fixed"/>
          <w:tblLook w:val="0020"/>
        </w:tblPrEx>
        <w:tc>
          <w:tcPr>
            <w:tcW w:w="1245" w:type="dxa"/>
          </w:tcPr>
          <w:p w:rsidR="00856901" w:rsidRPr="00AE3F9D" w:rsidP="00856901" w14:paraId="25E5C91E" w14:textId="77777777">
            <w:pPr>
              <w:tabs>
                <w:tab w:val="left" w:pos="0"/>
              </w:tabs>
              <w:rPr>
                <w:rFonts w:ascii="Times New Roman" w:hAnsi="Times New Roman"/>
                <w:sz w:val="20"/>
              </w:rPr>
            </w:pPr>
            <w:r w:rsidRPr="00AE3F9D">
              <w:rPr>
                <w:rFonts w:ascii="Times New Roman" w:hAnsi="Times New Roman"/>
                <w:iCs/>
                <w:sz w:val="20"/>
              </w:rPr>
              <w:t>Public State/Local Grantees and Subgrantees</w:t>
            </w:r>
          </w:p>
        </w:tc>
        <w:tc>
          <w:tcPr>
            <w:tcW w:w="640" w:type="dxa"/>
          </w:tcPr>
          <w:p w:rsidR="00856901" w:rsidRPr="00196A81" w:rsidP="00856901" w14:paraId="7B613F9D" w14:textId="77777777">
            <w:pPr>
              <w:tabs>
                <w:tab w:val="left" w:pos="0"/>
              </w:tabs>
              <w:rPr>
                <w:rFonts w:ascii="Times New Roman" w:hAnsi="Times New Roman"/>
                <w:szCs w:val="24"/>
              </w:rPr>
            </w:pPr>
          </w:p>
        </w:tc>
        <w:tc>
          <w:tcPr>
            <w:tcW w:w="810" w:type="dxa"/>
          </w:tcPr>
          <w:p w:rsidR="00856901" w:rsidRPr="00196A81" w:rsidP="00856901" w14:paraId="5CD26152" w14:textId="77777777">
            <w:pPr>
              <w:tabs>
                <w:tab w:val="left" w:pos="0"/>
              </w:tabs>
              <w:rPr>
                <w:rFonts w:ascii="Times New Roman" w:hAnsi="Times New Roman"/>
                <w:szCs w:val="24"/>
              </w:rPr>
            </w:pPr>
          </w:p>
        </w:tc>
        <w:tc>
          <w:tcPr>
            <w:tcW w:w="1170" w:type="dxa"/>
          </w:tcPr>
          <w:p w:rsidR="00856901" w:rsidP="00856901" w14:paraId="0DEC673A" w14:textId="77777777">
            <w:pPr>
              <w:tabs>
                <w:tab w:val="left" w:pos="0"/>
              </w:tabs>
              <w:jc w:val="center"/>
              <w:rPr>
                <w:rFonts w:ascii="Times New Roman" w:hAnsi="Times New Roman"/>
                <w:szCs w:val="24"/>
              </w:rPr>
            </w:pPr>
            <w:r>
              <w:rPr>
                <w:rFonts w:ascii="Times New Roman" w:hAnsi="Times New Roman"/>
                <w:szCs w:val="24"/>
              </w:rPr>
              <w:t>2,508</w:t>
            </w:r>
          </w:p>
          <w:p w:rsidR="00856901" w:rsidRPr="00196A81" w:rsidP="00856901" w14:paraId="4140C6C8" w14:textId="77777777">
            <w:pPr>
              <w:tabs>
                <w:tab w:val="left" w:pos="0"/>
              </w:tabs>
              <w:jc w:val="center"/>
              <w:rPr>
                <w:rFonts w:ascii="Times New Roman" w:hAnsi="Times New Roman"/>
                <w:szCs w:val="24"/>
              </w:rPr>
            </w:pPr>
          </w:p>
        </w:tc>
        <w:tc>
          <w:tcPr>
            <w:tcW w:w="1530" w:type="dxa"/>
          </w:tcPr>
          <w:p w:rsidR="00856901" w:rsidRPr="00AE3F9D" w:rsidP="00856901" w14:paraId="6D16AEA9" w14:textId="77777777">
            <w:pPr>
              <w:tabs>
                <w:tab w:val="left" w:pos="0"/>
              </w:tabs>
              <w:jc w:val="center"/>
              <w:rPr>
                <w:rFonts w:ascii="Times New Roman" w:hAnsi="Times New Roman"/>
                <w:sz w:val="20"/>
              </w:rPr>
            </w:pPr>
            <w:r w:rsidRPr="00AE3F9D">
              <w:rPr>
                <w:rFonts w:ascii="Times New Roman" w:hAnsi="Times New Roman"/>
                <w:sz w:val="20"/>
              </w:rPr>
              <w:t>Grantees=</w:t>
            </w:r>
            <w:r>
              <w:rPr>
                <w:rFonts w:ascii="Times New Roman" w:hAnsi="Times New Roman"/>
                <w:sz w:val="20"/>
              </w:rPr>
              <w:t>24</w:t>
            </w:r>
            <w:r w:rsidRPr="00AE3F9D">
              <w:rPr>
                <w:rFonts w:ascii="Times New Roman" w:hAnsi="Times New Roman"/>
                <w:sz w:val="20"/>
              </w:rPr>
              <w:t xml:space="preserve"> Subgrantees=</w:t>
            </w:r>
            <w:r>
              <w:rPr>
                <w:rFonts w:ascii="Times New Roman" w:hAnsi="Times New Roman"/>
                <w:sz w:val="20"/>
              </w:rPr>
              <w:t>12</w:t>
            </w:r>
          </w:p>
        </w:tc>
        <w:tc>
          <w:tcPr>
            <w:tcW w:w="1710" w:type="dxa"/>
          </w:tcPr>
          <w:p w:rsidR="00856901" w:rsidP="00856901" w14:paraId="1A377897" w14:textId="77777777">
            <w:pPr>
              <w:jc w:val="center"/>
              <w:rPr>
                <w:rFonts w:ascii="Times New Roman" w:hAnsi="Times New Roman"/>
                <w:sz w:val="20"/>
              </w:rPr>
            </w:pPr>
            <w:r>
              <w:rPr>
                <w:rFonts w:ascii="Times New Roman" w:hAnsi="Times New Roman"/>
                <w:sz w:val="20"/>
              </w:rPr>
              <w:t>Grantees=1,344</w:t>
            </w:r>
          </w:p>
          <w:p w:rsidR="00856901" w:rsidP="00856901" w14:paraId="5D1A019C" w14:textId="77777777">
            <w:pPr>
              <w:jc w:val="center"/>
              <w:rPr>
                <w:rFonts w:ascii="Times New Roman" w:hAnsi="Times New Roman"/>
                <w:sz w:val="20"/>
              </w:rPr>
            </w:pPr>
          </w:p>
          <w:p w:rsidR="00856901" w:rsidP="00856901" w14:paraId="49BCA5D2" w14:textId="77777777">
            <w:pPr>
              <w:jc w:val="center"/>
              <w:rPr>
                <w:rFonts w:ascii="Times New Roman" w:hAnsi="Times New Roman"/>
                <w:sz w:val="20"/>
              </w:rPr>
            </w:pPr>
            <w:r>
              <w:rPr>
                <w:rFonts w:ascii="Times New Roman" w:hAnsi="Times New Roman"/>
                <w:sz w:val="20"/>
              </w:rPr>
              <w:t>Subgrantees=29,424</w:t>
            </w:r>
          </w:p>
          <w:p w:rsidR="00856901" w:rsidRPr="00146E42" w:rsidP="00856901" w14:paraId="6532558F" w14:textId="77777777">
            <w:pPr>
              <w:jc w:val="center"/>
              <w:rPr>
                <w:rFonts w:ascii="Times New Roman" w:hAnsi="Times New Roman"/>
                <w:sz w:val="20"/>
              </w:rPr>
            </w:pPr>
            <w:r w:rsidRPr="00146E42">
              <w:rPr>
                <w:rFonts w:ascii="Times New Roman" w:hAnsi="Times New Roman"/>
                <w:sz w:val="20"/>
              </w:rPr>
              <w:t>Total=</w:t>
            </w:r>
            <w:r>
              <w:rPr>
                <w:rFonts w:ascii="Times New Roman" w:hAnsi="Times New Roman"/>
                <w:sz w:val="20"/>
              </w:rPr>
              <w:t>30,768</w:t>
            </w:r>
          </w:p>
        </w:tc>
        <w:tc>
          <w:tcPr>
            <w:tcW w:w="1170" w:type="dxa"/>
          </w:tcPr>
          <w:p w:rsidR="00856901" w:rsidRPr="00196A81" w:rsidP="00856901" w14:paraId="57093AD8" w14:textId="77777777">
            <w:pPr>
              <w:tabs>
                <w:tab w:val="left" w:pos="0"/>
              </w:tabs>
              <w:jc w:val="center"/>
              <w:rPr>
                <w:rFonts w:ascii="Times New Roman" w:hAnsi="Times New Roman"/>
                <w:szCs w:val="24"/>
              </w:rPr>
            </w:pPr>
            <w:r>
              <w:rPr>
                <w:rFonts w:ascii="Times New Roman" w:hAnsi="Times New Roman"/>
                <w:szCs w:val="24"/>
              </w:rPr>
              <w:t>$48.42</w:t>
            </w:r>
          </w:p>
        </w:tc>
        <w:tc>
          <w:tcPr>
            <w:tcW w:w="1350" w:type="dxa"/>
          </w:tcPr>
          <w:p w:rsidR="00856901" w:rsidP="00856901" w14:paraId="18235FE4" w14:textId="77777777">
            <w:pPr>
              <w:tabs>
                <w:tab w:val="left" w:pos="0"/>
              </w:tabs>
              <w:jc w:val="center"/>
              <w:rPr>
                <w:rFonts w:ascii="Times New Roman" w:hAnsi="Times New Roman"/>
                <w:szCs w:val="24"/>
              </w:rPr>
            </w:pPr>
            <w:r>
              <w:rPr>
                <w:rFonts w:ascii="Times New Roman" w:hAnsi="Times New Roman"/>
                <w:szCs w:val="24"/>
              </w:rPr>
              <w:t>$1,489,787</w:t>
            </w:r>
          </w:p>
          <w:p w:rsidR="00856901" w:rsidRPr="00196A81" w:rsidP="00856901" w14:paraId="20226521" w14:textId="77777777">
            <w:pPr>
              <w:tabs>
                <w:tab w:val="left" w:pos="0"/>
              </w:tabs>
              <w:jc w:val="center"/>
              <w:rPr>
                <w:rFonts w:ascii="Times New Roman" w:hAnsi="Times New Roman"/>
                <w:szCs w:val="24"/>
              </w:rPr>
            </w:pPr>
          </w:p>
        </w:tc>
      </w:tr>
      <w:tr w14:paraId="4B431115" w14:textId="77777777" w:rsidTr="00437C84">
        <w:tblPrEx>
          <w:tblW w:w="9625" w:type="dxa"/>
          <w:tblLayout w:type="fixed"/>
          <w:tblLook w:val="0020"/>
        </w:tblPrEx>
        <w:tc>
          <w:tcPr>
            <w:tcW w:w="1245" w:type="dxa"/>
          </w:tcPr>
          <w:p w:rsidR="00856901" w:rsidRPr="00C65903" w:rsidP="00856901" w14:paraId="09E2A18B" w14:textId="77777777">
            <w:pPr>
              <w:tabs>
                <w:tab w:val="left" w:pos="0"/>
              </w:tabs>
              <w:rPr>
                <w:rFonts w:ascii="Times New Roman" w:hAnsi="Times New Roman"/>
                <w:sz w:val="20"/>
              </w:rPr>
            </w:pPr>
            <w:r>
              <w:rPr>
                <w:rFonts w:ascii="Times New Roman" w:hAnsi="Times New Roman"/>
                <w:sz w:val="20"/>
              </w:rPr>
              <w:t>P</w:t>
            </w:r>
            <w:r w:rsidRPr="00C65903">
              <w:rPr>
                <w:rFonts w:ascii="Times New Roman" w:hAnsi="Times New Roman"/>
                <w:sz w:val="20"/>
              </w:rPr>
              <w:t>rivate Subgrantees</w:t>
            </w:r>
          </w:p>
        </w:tc>
        <w:tc>
          <w:tcPr>
            <w:tcW w:w="640" w:type="dxa"/>
          </w:tcPr>
          <w:p w:rsidR="00856901" w:rsidRPr="00196A81" w:rsidP="00856901" w14:paraId="565C0C77" w14:textId="77777777">
            <w:pPr>
              <w:tabs>
                <w:tab w:val="left" w:pos="0"/>
              </w:tabs>
              <w:rPr>
                <w:rFonts w:ascii="Times New Roman" w:hAnsi="Times New Roman"/>
                <w:szCs w:val="24"/>
              </w:rPr>
            </w:pPr>
          </w:p>
        </w:tc>
        <w:tc>
          <w:tcPr>
            <w:tcW w:w="810" w:type="dxa"/>
          </w:tcPr>
          <w:p w:rsidR="00856901" w:rsidRPr="00196A81" w:rsidP="00856901" w14:paraId="24570933" w14:textId="77777777">
            <w:pPr>
              <w:tabs>
                <w:tab w:val="left" w:pos="0"/>
              </w:tabs>
              <w:rPr>
                <w:rFonts w:ascii="Times New Roman" w:hAnsi="Times New Roman"/>
                <w:szCs w:val="24"/>
              </w:rPr>
            </w:pPr>
          </w:p>
        </w:tc>
        <w:tc>
          <w:tcPr>
            <w:tcW w:w="1170" w:type="dxa"/>
          </w:tcPr>
          <w:p w:rsidR="00856901" w:rsidP="00856901" w14:paraId="3A08A672" w14:textId="77777777">
            <w:pPr>
              <w:tabs>
                <w:tab w:val="left" w:pos="0"/>
              </w:tabs>
              <w:jc w:val="center"/>
              <w:rPr>
                <w:rFonts w:ascii="Times New Roman" w:hAnsi="Times New Roman"/>
                <w:szCs w:val="24"/>
              </w:rPr>
            </w:pPr>
            <w:r>
              <w:rPr>
                <w:rFonts w:ascii="Times New Roman" w:hAnsi="Times New Roman"/>
                <w:szCs w:val="24"/>
              </w:rPr>
              <w:t>818</w:t>
            </w:r>
          </w:p>
        </w:tc>
        <w:tc>
          <w:tcPr>
            <w:tcW w:w="1530" w:type="dxa"/>
          </w:tcPr>
          <w:p w:rsidR="00856901" w:rsidRPr="008A1394" w:rsidP="00856901" w14:paraId="78E630BD" w14:textId="77777777">
            <w:pPr>
              <w:tabs>
                <w:tab w:val="left" w:pos="0"/>
              </w:tabs>
              <w:jc w:val="center"/>
              <w:rPr>
                <w:rFonts w:ascii="Times New Roman" w:hAnsi="Times New Roman"/>
                <w:szCs w:val="24"/>
              </w:rPr>
            </w:pPr>
            <w:r>
              <w:rPr>
                <w:rFonts w:ascii="Times New Roman" w:hAnsi="Times New Roman"/>
                <w:szCs w:val="24"/>
              </w:rPr>
              <w:t>12 hours</w:t>
            </w:r>
          </w:p>
        </w:tc>
        <w:tc>
          <w:tcPr>
            <w:tcW w:w="1710" w:type="dxa"/>
          </w:tcPr>
          <w:p w:rsidR="00856901" w:rsidP="00856901" w14:paraId="31E8ADE2" w14:textId="77777777">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9,816</w:t>
            </w:r>
          </w:p>
          <w:p w:rsidR="00856901" w:rsidP="00856901" w14:paraId="46638E3E" w14:textId="77777777">
            <w:pPr>
              <w:pStyle w:val="EndnoteText"/>
              <w:tabs>
                <w:tab w:val="clear" w:pos="-720"/>
                <w:tab w:val="left" w:pos="0"/>
              </w:tabs>
              <w:suppressAutoHyphens w:val="0"/>
              <w:jc w:val="center"/>
              <w:rPr>
                <w:rFonts w:ascii="Times New Roman" w:hAnsi="Times New Roman"/>
                <w:szCs w:val="24"/>
              </w:rPr>
            </w:pPr>
          </w:p>
        </w:tc>
        <w:tc>
          <w:tcPr>
            <w:tcW w:w="1170" w:type="dxa"/>
          </w:tcPr>
          <w:p w:rsidR="00856901" w:rsidRPr="00EF534B" w:rsidP="00856901" w14:paraId="7454C3E0" w14:textId="77777777">
            <w:pPr>
              <w:tabs>
                <w:tab w:val="left" w:pos="0"/>
              </w:tabs>
              <w:jc w:val="center"/>
              <w:rPr>
                <w:rFonts w:ascii="Times New Roman" w:hAnsi="Times New Roman"/>
                <w:szCs w:val="24"/>
              </w:rPr>
            </w:pPr>
            <w:r>
              <w:rPr>
                <w:rFonts w:ascii="Times New Roman" w:hAnsi="Times New Roman"/>
                <w:szCs w:val="24"/>
              </w:rPr>
              <w:t>$48.42</w:t>
            </w:r>
          </w:p>
        </w:tc>
        <w:tc>
          <w:tcPr>
            <w:tcW w:w="1350" w:type="dxa"/>
          </w:tcPr>
          <w:p w:rsidR="00856901" w:rsidP="00856901" w14:paraId="72EB6308" w14:textId="77777777">
            <w:pPr>
              <w:tabs>
                <w:tab w:val="left" w:pos="0"/>
              </w:tabs>
              <w:jc w:val="center"/>
              <w:rPr>
                <w:rFonts w:ascii="Times New Roman" w:hAnsi="Times New Roman"/>
                <w:szCs w:val="24"/>
              </w:rPr>
            </w:pPr>
            <w:r>
              <w:rPr>
                <w:rFonts w:ascii="Times New Roman" w:hAnsi="Times New Roman"/>
                <w:szCs w:val="24"/>
              </w:rPr>
              <w:t>$475,291</w:t>
            </w:r>
          </w:p>
        </w:tc>
      </w:tr>
      <w:tr w14:paraId="4BFB31F7" w14:textId="77777777" w:rsidTr="00437C84">
        <w:tblPrEx>
          <w:tblW w:w="9625" w:type="dxa"/>
          <w:tblLayout w:type="fixed"/>
          <w:tblLook w:val="0020"/>
        </w:tblPrEx>
        <w:tc>
          <w:tcPr>
            <w:tcW w:w="1245" w:type="dxa"/>
          </w:tcPr>
          <w:p w:rsidR="00856901" w:rsidRPr="00C65903" w:rsidP="00856901" w14:paraId="66F3311D" w14:textId="77777777">
            <w:pPr>
              <w:tabs>
                <w:tab w:val="left" w:pos="0"/>
              </w:tabs>
              <w:rPr>
                <w:rFonts w:ascii="Times New Roman" w:hAnsi="Times New Roman"/>
                <w:sz w:val="20"/>
              </w:rPr>
            </w:pPr>
            <w:r w:rsidRPr="00C65903">
              <w:rPr>
                <w:rFonts w:ascii="Times New Roman" w:hAnsi="Times New Roman"/>
                <w:sz w:val="20"/>
              </w:rPr>
              <w:t>Annualized Totals</w:t>
            </w:r>
          </w:p>
        </w:tc>
        <w:tc>
          <w:tcPr>
            <w:tcW w:w="640" w:type="dxa"/>
          </w:tcPr>
          <w:p w:rsidR="00856901" w:rsidRPr="00196A81" w:rsidP="00856901" w14:paraId="1AB00140" w14:textId="77777777">
            <w:pPr>
              <w:tabs>
                <w:tab w:val="left" w:pos="0"/>
              </w:tabs>
              <w:rPr>
                <w:rFonts w:ascii="Times New Roman" w:hAnsi="Times New Roman"/>
                <w:szCs w:val="24"/>
              </w:rPr>
            </w:pPr>
          </w:p>
        </w:tc>
        <w:tc>
          <w:tcPr>
            <w:tcW w:w="810" w:type="dxa"/>
          </w:tcPr>
          <w:p w:rsidR="00856901" w:rsidRPr="00196A81" w:rsidP="00856901" w14:paraId="6D2CB450" w14:textId="77777777">
            <w:pPr>
              <w:tabs>
                <w:tab w:val="left" w:pos="0"/>
              </w:tabs>
              <w:rPr>
                <w:rFonts w:ascii="Times New Roman" w:hAnsi="Times New Roman"/>
                <w:szCs w:val="24"/>
              </w:rPr>
            </w:pPr>
          </w:p>
        </w:tc>
        <w:tc>
          <w:tcPr>
            <w:tcW w:w="1170" w:type="dxa"/>
          </w:tcPr>
          <w:p w:rsidR="00856901" w:rsidRPr="008A1394" w:rsidP="00856901" w14:paraId="670E4683" w14:textId="77777777">
            <w:pPr>
              <w:tabs>
                <w:tab w:val="left" w:pos="0"/>
              </w:tabs>
              <w:jc w:val="center"/>
              <w:rPr>
                <w:rFonts w:ascii="Times New Roman" w:hAnsi="Times New Roman"/>
                <w:szCs w:val="24"/>
              </w:rPr>
            </w:pPr>
            <w:r>
              <w:rPr>
                <w:rFonts w:ascii="Times New Roman" w:hAnsi="Times New Roman"/>
                <w:szCs w:val="24"/>
              </w:rPr>
              <w:t>3,326</w:t>
            </w:r>
          </w:p>
        </w:tc>
        <w:tc>
          <w:tcPr>
            <w:tcW w:w="1530" w:type="dxa"/>
          </w:tcPr>
          <w:p w:rsidR="00856901" w:rsidRPr="008A1394" w:rsidP="00856901" w14:paraId="29B40DB2" w14:textId="77777777">
            <w:pPr>
              <w:tabs>
                <w:tab w:val="left" w:pos="0"/>
              </w:tabs>
              <w:jc w:val="center"/>
              <w:rPr>
                <w:rFonts w:ascii="Times New Roman" w:hAnsi="Times New Roman"/>
                <w:szCs w:val="24"/>
              </w:rPr>
            </w:pPr>
          </w:p>
        </w:tc>
        <w:tc>
          <w:tcPr>
            <w:tcW w:w="1710" w:type="dxa"/>
          </w:tcPr>
          <w:p w:rsidR="00856901" w:rsidRPr="008A1394" w:rsidP="00856901" w14:paraId="7B7E3409" w14:textId="77777777">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40,584</w:t>
            </w:r>
          </w:p>
        </w:tc>
        <w:tc>
          <w:tcPr>
            <w:tcW w:w="1170" w:type="dxa"/>
          </w:tcPr>
          <w:p w:rsidR="00856901" w:rsidRPr="00196A81" w:rsidP="00856901" w14:paraId="339F3D53" w14:textId="77777777">
            <w:pPr>
              <w:tabs>
                <w:tab w:val="left" w:pos="0"/>
              </w:tabs>
              <w:jc w:val="center"/>
              <w:rPr>
                <w:rFonts w:ascii="Times New Roman" w:hAnsi="Times New Roman"/>
                <w:szCs w:val="24"/>
              </w:rPr>
            </w:pPr>
            <w:r>
              <w:rPr>
                <w:rFonts w:ascii="Times New Roman" w:hAnsi="Times New Roman"/>
                <w:szCs w:val="24"/>
              </w:rPr>
              <w:t>$48.42</w:t>
            </w:r>
          </w:p>
        </w:tc>
        <w:tc>
          <w:tcPr>
            <w:tcW w:w="1350" w:type="dxa"/>
          </w:tcPr>
          <w:p w:rsidR="00856901" w:rsidRPr="008A1394" w:rsidP="00856901" w14:paraId="7F005CF5" w14:textId="77777777">
            <w:pPr>
              <w:tabs>
                <w:tab w:val="left" w:pos="0"/>
              </w:tabs>
              <w:jc w:val="center"/>
              <w:rPr>
                <w:rFonts w:ascii="Times New Roman" w:hAnsi="Times New Roman"/>
                <w:szCs w:val="24"/>
              </w:rPr>
            </w:pPr>
            <w:r>
              <w:rPr>
                <w:rFonts w:ascii="Times New Roman" w:hAnsi="Times New Roman"/>
                <w:szCs w:val="24"/>
              </w:rPr>
              <w:t>$1,965,077</w:t>
            </w:r>
          </w:p>
        </w:tc>
      </w:tr>
    </w:tbl>
    <w:p w:rsidR="00232AA1" w:rsidP="00232AA1" w14:paraId="7EB8C072"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00232AA1" w:rsidRPr="00196A81" w:rsidP="00232AA1" w14:paraId="10BBCEF3"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920F63" w:rsidP="00920F63" w14:paraId="0FFF0BBC" w14:textId="77777777">
      <w:pPr>
        <w:pStyle w:val="ListParagraph"/>
        <w:tabs>
          <w:tab w:val="left" w:pos="-720"/>
        </w:tabs>
        <w:suppressAutoHyphens/>
        <w:rPr>
          <w:rStyle w:val="a"/>
          <w:rFonts w:ascii="Times New Roman" w:hAnsi="Times New Roman"/>
          <w:szCs w:val="24"/>
        </w:rPr>
      </w:pPr>
    </w:p>
    <w:p w:rsidR="00043C32" w:rsidRPr="00ED7195" w:rsidP="00AD381B" w14:paraId="4671DB67"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 xml:space="preserve">Provide an </w:t>
      </w:r>
      <w:r w:rsidRPr="00ED7195">
        <w:rPr>
          <w:rStyle w:val="a"/>
          <w:rFonts w:ascii="Times New Roman" w:hAnsi="Times New Roman"/>
          <w:b/>
          <w:szCs w:val="24"/>
        </w:rPr>
        <w:t>estimate of the total annual cost burden to respondents or record keepers resulting from the collection of information.  (Do not include the cost of any hour burden shown in Items 12 and 14.)</w:t>
      </w:r>
    </w:p>
    <w:p w:rsidR="00043C32" w:rsidRPr="00ED7195" w:rsidP="00AD381B" w14:paraId="18FAC96D" w14:textId="77777777">
      <w:pPr>
        <w:tabs>
          <w:tab w:val="left" w:pos="-720"/>
        </w:tabs>
        <w:suppressAutoHyphens/>
        <w:rPr>
          <w:rFonts w:ascii="Times New Roman" w:hAnsi="Times New Roman"/>
          <w:b/>
          <w:szCs w:val="24"/>
        </w:rPr>
      </w:pPr>
    </w:p>
    <w:p w:rsidR="00043C32" w:rsidRPr="00ED7195" w:rsidP="00AD381B" w14:paraId="680E074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ED7195">
        <w:rPr>
          <w:rFonts w:ascii="Times New Roman" w:hAnsi="Times New Roman"/>
          <w:b/>
          <w:szCs w:val="24"/>
        </w:rPr>
        <w: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7D392C57" w14:textId="77777777">
      <w:pPr>
        <w:numPr>
          <w:ilvl w:val="12"/>
          <w:numId w:val="0"/>
        </w:numPr>
        <w:tabs>
          <w:tab w:val="left" w:pos="-720"/>
        </w:tabs>
        <w:suppressAutoHyphens/>
        <w:ind w:left="340"/>
        <w:rPr>
          <w:rFonts w:ascii="Times New Roman" w:hAnsi="Times New Roman"/>
          <w:szCs w:val="24"/>
        </w:rPr>
      </w:pPr>
    </w:p>
    <w:p w:rsidR="00043C32" w:rsidRPr="00ED7195" w:rsidP="00AD381B" w14:paraId="1566FCB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w:t>
      </w:r>
      <w:r w:rsidRPr="00ED7195">
        <w:rPr>
          <w:rFonts w:ascii="Times New Roman" w:hAnsi="Times New Roman"/>
          <w:b/>
          <w:szCs w:val="24"/>
        </w:rPr>
        <w:t>information collection, as appropriate.</w:t>
      </w:r>
    </w:p>
    <w:p w:rsidR="00043C32" w:rsidRPr="00ED7195" w:rsidP="00AD381B" w14:paraId="2AFAD7AC" w14:textId="77777777">
      <w:pPr>
        <w:tabs>
          <w:tab w:val="left" w:pos="-720"/>
          <w:tab w:val="left" w:pos="1247"/>
        </w:tabs>
        <w:suppressAutoHyphens/>
        <w:ind w:left="340"/>
        <w:rPr>
          <w:rFonts w:ascii="Times New Roman" w:hAnsi="Times New Roman"/>
          <w:b/>
          <w:szCs w:val="24"/>
        </w:rPr>
      </w:pPr>
    </w:p>
    <w:p w:rsidR="00043C32" w:rsidRPr="00ED7195" w:rsidP="00AD381B" w14:paraId="7430A25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08D1FBE5" w14:textId="77777777">
      <w:pPr>
        <w:tabs>
          <w:tab w:val="left" w:pos="-720"/>
        </w:tabs>
        <w:suppressAutoHyphens/>
        <w:rPr>
          <w:rFonts w:ascii="Times New Roman" w:hAnsi="Times New Roman"/>
          <w:b/>
          <w:szCs w:val="24"/>
        </w:rPr>
      </w:pPr>
    </w:p>
    <w:p w:rsidR="00043C32" w:rsidRPr="00ED7195" w:rsidP="00AD381B" w14:paraId="7AB92A8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CA1489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4269E67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73BB9D33" w14:textId="77777777">
      <w:pPr>
        <w:tabs>
          <w:tab w:val="left" w:pos="-720"/>
        </w:tabs>
        <w:suppressAutoHyphens/>
        <w:rPr>
          <w:rFonts w:ascii="Times New Roman" w:hAnsi="Times New Roman"/>
          <w:szCs w:val="24"/>
        </w:rPr>
      </w:pPr>
    </w:p>
    <w:p w:rsidR="00460F4C" w:rsidRPr="004D0F57" w:rsidP="00460F4C" w14:paraId="7F8AA748" w14:textId="77777777">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00460F4C" w:rsidP="00AD381B" w14:paraId="05407BCE" w14:textId="77777777">
      <w:pPr>
        <w:tabs>
          <w:tab w:val="left" w:pos="-720"/>
        </w:tabs>
        <w:suppressAutoHyphens/>
        <w:rPr>
          <w:rFonts w:ascii="Times New Roman" w:hAnsi="Times New Roman"/>
          <w:szCs w:val="24"/>
        </w:rPr>
      </w:pPr>
    </w:p>
    <w:p w:rsidR="00460F4C" w:rsidP="00AD381B" w14:paraId="15DA510D" w14:textId="77777777">
      <w:pPr>
        <w:tabs>
          <w:tab w:val="left" w:pos="-720"/>
        </w:tabs>
        <w:suppressAutoHyphens/>
        <w:rPr>
          <w:rFonts w:ascii="Times New Roman" w:hAnsi="Times New Roman"/>
          <w:szCs w:val="24"/>
        </w:rPr>
      </w:pPr>
    </w:p>
    <w:p w:rsidR="00043C32" w:rsidRPr="00534B4A" w:rsidP="00AD381B" w14:paraId="7364109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w:t>
      </w:r>
      <w:r w:rsidRPr="00534B4A">
        <w:rPr>
          <w:rStyle w:val="a"/>
          <w:rFonts w:ascii="Times New Roman" w:hAnsi="Times New Roman"/>
          <w:b/>
          <w:szCs w:val="24"/>
        </w:rPr>
        <w:t>printing, and support staff), and any other expense that would not have been incurred without this collection of information.  Agencies also may aggregate cost estimates from Items 12, 13, and 14 in a single table.</w:t>
      </w:r>
    </w:p>
    <w:p w:rsidR="00534B4A" w:rsidP="00534B4A" w14:paraId="60DCC1B9" w14:textId="77777777">
      <w:pPr>
        <w:tabs>
          <w:tab w:val="left" w:pos="-720"/>
        </w:tabs>
        <w:suppressAutoHyphens/>
        <w:rPr>
          <w:rFonts w:ascii="Times New Roman" w:hAnsi="Times New Roman"/>
          <w:szCs w:val="24"/>
        </w:rPr>
      </w:pPr>
    </w:p>
    <w:p w:rsidR="004E2351" w:rsidP="004E2351" w14:paraId="1000CCD2" w14:textId="77777777">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would be to review the data that each institution submits.</w:t>
      </w:r>
    </w:p>
    <w:p w:rsidR="004E2351" w:rsidP="004E2351" w14:paraId="09BE5C60" w14:textId="77777777">
      <w:pPr>
        <w:pStyle w:val="ListParagraph"/>
        <w:tabs>
          <w:tab w:val="left" w:pos="-720"/>
        </w:tabs>
        <w:suppressAutoHyphens/>
        <w:ind w:left="0"/>
        <w:rPr>
          <w:rFonts w:ascii="Times New Roman" w:hAnsi="Times New Roman"/>
          <w:iCs/>
          <w:szCs w:val="24"/>
        </w:rPr>
      </w:pPr>
    </w:p>
    <w:p w:rsidR="005B4CA9" w:rsidP="005B4CA9" w14:paraId="66EA784F" w14:textId="77777777">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Pr>
          <w:rFonts w:ascii="Times New Roman" w:hAnsi="Times New Roman"/>
          <w:b/>
          <w:bCs/>
        </w:rPr>
        <w:t>128,378</w:t>
      </w:r>
      <w:r>
        <w:rPr>
          <w:rFonts w:ascii="Times New Roman" w:hAnsi="Times New Roman"/>
        </w:rPr>
        <w:t xml:space="preserve"> which includes:</w:t>
      </w:r>
    </w:p>
    <w:p w:rsidR="005B4CA9" w:rsidP="005B4CA9" w14:paraId="4C1659B2" w14:textId="77777777">
      <w:pPr>
        <w:pStyle w:val="ListParagraph"/>
        <w:numPr>
          <w:ilvl w:val="0"/>
          <w:numId w:val="6"/>
        </w:numPr>
        <w:tabs>
          <w:tab w:val="left" w:pos="-720"/>
        </w:tabs>
        <w:suppressAutoHyphens/>
        <w:rPr>
          <w:rFonts w:ascii="Times New Roman" w:hAnsi="Times New Roman"/>
        </w:rPr>
      </w:pPr>
      <w:r>
        <w:rPr>
          <w:rFonts w:ascii="Times New Roman" w:hAnsi="Times New Roman"/>
        </w:rPr>
        <w:t>Planning</w:t>
      </w:r>
    </w:p>
    <w:p w:rsidR="005B4CA9" w:rsidP="005B4CA9" w14:paraId="107BEA31" w14:textId="77777777">
      <w:pPr>
        <w:pStyle w:val="ListParagraph"/>
        <w:numPr>
          <w:ilvl w:val="0"/>
          <w:numId w:val="6"/>
        </w:numPr>
        <w:tabs>
          <w:tab w:val="left" w:pos="-720"/>
        </w:tabs>
        <w:suppressAutoHyphens/>
        <w:rPr>
          <w:rFonts w:ascii="Times New Roman" w:hAnsi="Times New Roman"/>
        </w:rPr>
      </w:pPr>
      <w:r>
        <w:rPr>
          <w:rFonts w:ascii="Times New Roman" w:hAnsi="Times New Roman"/>
        </w:rPr>
        <w:t>Instrument development</w:t>
      </w:r>
    </w:p>
    <w:p w:rsidR="005B4CA9" w:rsidP="005B4CA9" w14:paraId="7CD41C2F" w14:textId="77777777">
      <w:pPr>
        <w:pStyle w:val="ListParagraph"/>
        <w:numPr>
          <w:ilvl w:val="0"/>
          <w:numId w:val="6"/>
        </w:numPr>
        <w:tabs>
          <w:tab w:val="left" w:pos="-720"/>
        </w:tabs>
        <w:suppressAutoHyphens/>
        <w:rPr>
          <w:rFonts w:ascii="Times New Roman" w:hAnsi="Times New Roman"/>
        </w:rPr>
      </w:pPr>
      <w:r>
        <w:rPr>
          <w:rFonts w:ascii="Times New Roman" w:hAnsi="Times New Roman"/>
        </w:rPr>
        <w:t>Collection</w:t>
      </w:r>
    </w:p>
    <w:p w:rsidR="005B4CA9" w:rsidP="005B4CA9" w14:paraId="704A34BA" w14:textId="77777777">
      <w:pPr>
        <w:pStyle w:val="ListParagraph"/>
        <w:numPr>
          <w:ilvl w:val="0"/>
          <w:numId w:val="6"/>
        </w:numPr>
        <w:tabs>
          <w:tab w:val="left" w:pos="-720"/>
        </w:tabs>
        <w:suppressAutoHyphens/>
        <w:rPr>
          <w:rFonts w:ascii="Times New Roman" w:hAnsi="Times New Roman"/>
        </w:rPr>
      </w:pPr>
      <w:r>
        <w:rPr>
          <w:rFonts w:ascii="Times New Roman" w:hAnsi="Times New Roman"/>
        </w:rPr>
        <w:t xml:space="preserve">Analysis </w:t>
      </w:r>
    </w:p>
    <w:p w:rsidR="005B4CA9" w:rsidP="005B4CA9" w14:paraId="69D5B4EF" w14:textId="77777777">
      <w:pPr>
        <w:pStyle w:val="ListParagraph"/>
        <w:numPr>
          <w:ilvl w:val="0"/>
          <w:numId w:val="6"/>
        </w:numPr>
        <w:tabs>
          <w:tab w:val="left" w:pos="-720"/>
        </w:tabs>
        <w:suppressAutoHyphens/>
        <w:rPr>
          <w:rFonts w:ascii="Times New Roman" w:hAnsi="Times New Roman"/>
        </w:rPr>
      </w:pPr>
      <w:r>
        <w:rPr>
          <w:rFonts w:ascii="Times New Roman" w:hAnsi="Times New Roman"/>
        </w:rPr>
        <w:t>Reporting</w:t>
      </w:r>
    </w:p>
    <w:p w:rsidR="005B4CA9" w:rsidP="005B4CA9" w14:paraId="468B2E48" w14:textId="77777777">
      <w:pPr>
        <w:pStyle w:val="ListParagraph"/>
        <w:suppressAutoHyphens/>
        <w:ind w:left="0"/>
        <w:rPr>
          <w:rFonts w:ascii="Times New Roman" w:hAnsi="Times New Roman"/>
        </w:rPr>
      </w:pPr>
    </w:p>
    <w:p w:rsidR="005B4CA9" w:rsidRPr="00314690" w:rsidP="005B4CA9" w14:paraId="647B6ADA" w14:textId="77777777">
      <w:pPr>
        <w:pStyle w:val="ListParagraph"/>
        <w:suppressAutoHyphens/>
        <w:ind w:left="0"/>
        <w:rPr>
          <w:rFonts w:ascii="Times New Roman" w:hAnsi="Times New Roman"/>
        </w:rPr>
      </w:pPr>
      <w:r>
        <w:rPr>
          <w:rFonts w:ascii="Times New Roman" w:hAnsi="Times New Roman"/>
        </w:rPr>
        <w:t xml:space="preserve">The estimate is based 2080 </w:t>
      </w:r>
      <w:r w:rsidRPr="727A6367">
        <w:rPr>
          <w:rFonts w:ascii="Times New Roman" w:hAnsi="Times New Roman"/>
        </w:rPr>
        <w:t xml:space="preserve">hours X </w:t>
      </w:r>
      <w:r w:rsidRPr="572B3FE9">
        <w:rPr>
          <w:rFonts w:ascii="Times New Roman" w:hAnsi="Times New Roman"/>
        </w:rPr>
        <w:t>$</w:t>
      </w:r>
      <w:r>
        <w:rPr>
          <w:rFonts w:ascii="Times New Roman" w:hAnsi="Times New Roman"/>
        </w:rPr>
        <w:t>61.72</w:t>
      </w:r>
      <w:r w:rsidRPr="01E18958">
        <w:rPr>
          <w:rFonts w:ascii="Times New Roman" w:hAnsi="Times New Roman"/>
        </w:rPr>
        <w:t xml:space="preserve"> per</w:t>
      </w:r>
      <w:r w:rsidRPr="727A6367">
        <w:rPr>
          <w:rFonts w:ascii="Times New Roman" w:hAnsi="Times New Roman"/>
        </w:rPr>
        <w:t xml:space="preserve"> hour</w:t>
      </w:r>
      <w:r>
        <w:rPr>
          <w:rFonts w:ascii="Times New Roman" w:hAnsi="Times New Roman"/>
        </w:rPr>
        <w:t xml:space="preserve"> for the next three years of the data collection.</w:t>
      </w:r>
    </w:p>
    <w:p w:rsidR="004E2351" w:rsidP="004E2351" w14:paraId="6DBF2035" w14:textId="77777777">
      <w:pPr>
        <w:pStyle w:val="ListParagraph"/>
        <w:suppressAutoHyphens/>
        <w:ind w:left="0"/>
        <w:rPr>
          <w:rFonts w:ascii="Times New Roman" w:hAnsi="Times New Roman"/>
        </w:rPr>
      </w:pPr>
    </w:p>
    <w:p w:rsidR="004E2351" w:rsidRPr="00314690" w:rsidP="004E2351" w14:paraId="58438A7D" w14:textId="77777777">
      <w:pPr>
        <w:pStyle w:val="ListParagraph"/>
        <w:suppressAutoHyphens/>
        <w:ind w:left="0"/>
        <w:rPr>
          <w:rFonts w:ascii="Times New Roman" w:hAnsi="Times New Roman"/>
        </w:rPr>
      </w:pPr>
      <w:r>
        <w:rPr>
          <w:rFonts w:ascii="Times New Roman" w:hAnsi="Times New Roman"/>
        </w:rPr>
        <w:t xml:space="preserve">The Department also oversees a contract to support the data collection and the Education Stabilization Fund reporting portal, which includes GEER. The estimated </w:t>
      </w:r>
      <w:r w:rsidRPr="00F00CAB">
        <w:rPr>
          <w:rFonts w:ascii="Times New Roman" w:hAnsi="Times New Roman"/>
          <w:b/>
          <w:bCs/>
        </w:rPr>
        <w:t>annual</w:t>
      </w:r>
      <w:r>
        <w:rPr>
          <w:rFonts w:ascii="Times New Roman" w:hAnsi="Times New Roman"/>
        </w:rPr>
        <w:t xml:space="preserve"> contract cost for GEER-related data collection and reporting is $</w:t>
      </w:r>
      <w:r w:rsidR="00D82449">
        <w:rPr>
          <w:rFonts w:ascii="Times New Roman" w:hAnsi="Times New Roman"/>
          <w:b/>
          <w:bCs/>
        </w:rPr>
        <w:t>158,209</w:t>
      </w:r>
      <w:r>
        <w:rPr>
          <w:rFonts w:ascii="Times New Roman" w:hAnsi="Times New Roman"/>
        </w:rPr>
        <w:t xml:space="preserve"> which includes $</w:t>
      </w:r>
      <w:r w:rsidR="006D1DD2">
        <w:rPr>
          <w:rFonts w:ascii="Times New Roman" w:hAnsi="Times New Roman"/>
        </w:rPr>
        <w:t>1</w:t>
      </w:r>
      <w:r w:rsidR="00325413">
        <w:rPr>
          <w:rFonts w:ascii="Times New Roman" w:hAnsi="Times New Roman"/>
        </w:rPr>
        <w:t xml:space="preserve">53,106 </w:t>
      </w:r>
      <w:r>
        <w:rPr>
          <w:rFonts w:ascii="Times New Roman" w:hAnsi="Times New Roman"/>
        </w:rPr>
        <w:t>in the first year</w:t>
      </w:r>
      <w:r w:rsidR="00325413">
        <w:rPr>
          <w:rFonts w:ascii="Times New Roman" w:hAnsi="Times New Roman"/>
        </w:rPr>
        <w:t xml:space="preserve"> </w:t>
      </w:r>
      <w:r>
        <w:rPr>
          <w:rFonts w:ascii="Times New Roman" w:hAnsi="Times New Roman"/>
        </w:rPr>
        <w:t>and $</w:t>
      </w:r>
      <w:r w:rsidR="00325413">
        <w:rPr>
          <w:rFonts w:ascii="Times New Roman" w:hAnsi="Times New Roman"/>
        </w:rPr>
        <w:t xml:space="preserve">160,761 </w:t>
      </w:r>
      <w:r>
        <w:rPr>
          <w:rFonts w:ascii="Times New Roman" w:hAnsi="Times New Roman"/>
        </w:rPr>
        <w:t>in the subsequent two years.</w:t>
      </w:r>
    </w:p>
    <w:p w:rsidR="004E2351" w:rsidP="00534B4A" w14:paraId="3224B35B" w14:textId="77777777">
      <w:pPr>
        <w:tabs>
          <w:tab w:val="left" w:pos="-720"/>
        </w:tabs>
        <w:suppressAutoHyphens/>
        <w:rPr>
          <w:rFonts w:ascii="Times New Roman" w:hAnsi="Times New Roman"/>
          <w:szCs w:val="24"/>
        </w:rPr>
      </w:pPr>
    </w:p>
    <w:p w:rsidR="00534B4A" w:rsidP="00534B4A" w14:paraId="45016AA6" w14:textId="77777777">
      <w:pPr>
        <w:pStyle w:val="ListParagraph"/>
        <w:tabs>
          <w:tab w:val="left" w:pos="-720"/>
        </w:tabs>
        <w:suppressAutoHyphens/>
        <w:ind w:left="907"/>
        <w:contextualSpacing w:val="0"/>
        <w:rPr>
          <w:rFonts w:ascii="Times New Roman" w:hAnsi="Times New Roman"/>
          <w:szCs w:val="24"/>
        </w:rPr>
      </w:pPr>
    </w:p>
    <w:p w:rsidR="00800D30" w:rsidP="00800D30" w14:paraId="62652BC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w:t>
      </w:r>
      <w:r w:rsidRPr="00800D30">
        <w:rPr>
          <w:rFonts w:ascii="Times New Roman" w:hAnsi="Times New Roman"/>
          <w:b/>
          <w:szCs w:val="24"/>
        </w:rPr>
        <w:t xml:space="preserve">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5E4E854E" w14:textId="77777777">
      <w:pPr>
        <w:pStyle w:val="ListParagraph"/>
        <w:tabs>
          <w:tab w:val="left" w:pos="-720"/>
        </w:tabs>
        <w:suppressAutoHyphens/>
        <w:contextualSpacing w:val="0"/>
        <w:rPr>
          <w:rFonts w:ascii="Times New Roman" w:hAnsi="Times New Roman"/>
          <w:b/>
          <w:szCs w:val="24"/>
        </w:rPr>
      </w:pPr>
    </w:p>
    <w:p w:rsidR="00800D30" w:rsidRPr="00756FD3" w:rsidP="00800D30" w14:paraId="055CEAC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A7041E"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F38FFB6" w14:textId="77777777" w:rsidTr="0052073E">
        <w:tblPrEx>
          <w:tblW w:w="9445" w:type="dxa"/>
          <w:tblLook w:val="04A0"/>
        </w:tblPrEx>
        <w:tc>
          <w:tcPr>
            <w:tcW w:w="2048" w:type="dxa"/>
            <w:shd w:val="clear" w:color="auto" w:fill="D9D9D9" w:themeFill="background1" w:themeFillShade="D9"/>
          </w:tcPr>
          <w:p w:rsidR="0052073E" w:rsidP="00534B4A" w14:paraId="1A55E577" w14:textId="77777777">
            <w:pPr>
              <w:tabs>
                <w:tab w:val="left" w:pos="-720"/>
              </w:tabs>
              <w:suppressAutoHyphens/>
              <w:rPr>
                <w:rFonts w:ascii="Times New Roman" w:hAnsi="Times New Roman"/>
                <w:b/>
                <w:szCs w:val="24"/>
              </w:rPr>
            </w:pPr>
          </w:p>
        </w:tc>
        <w:tc>
          <w:tcPr>
            <w:tcW w:w="2048" w:type="dxa"/>
          </w:tcPr>
          <w:p w:rsidR="0052073E" w:rsidP="00534B4A" w14:paraId="6C50D5A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7421562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3DF446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7431CFB" w14:textId="77777777" w:rsidTr="0052073E">
        <w:tblPrEx>
          <w:tblW w:w="9445" w:type="dxa"/>
          <w:tblLook w:val="04A0"/>
        </w:tblPrEx>
        <w:tc>
          <w:tcPr>
            <w:tcW w:w="2048" w:type="dxa"/>
          </w:tcPr>
          <w:p w:rsidR="0052073E" w:rsidP="00534B4A" w14:paraId="28B6D4D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091103C5" w14:textId="77777777">
            <w:pPr>
              <w:tabs>
                <w:tab w:val="left" w:pos="-720"/>
              </w:tabs>
              <w:suppressAutoHyphens/>
              <w:rPr>
                <w:rFonts w:ascii="Times New Roman" w:hAnsi="Times New Roman"/>
                <w:b/>
                <w:szCs w:val="24"/>
              </w:rPr>
            </w:pPr>
          </w:p>
        </w:tc>
        <w:tc>
          <w:tcPr>
            <w:tcW w:w="2829" w:type="dxa"/>
          </w:tcPr>
          <w:p w:rsidR="0052073E" w:rsidP="00534B4A" w14:paraId="6CCA5C1A" w14:textId="77777777">
            <w:pPr>
              <w:tabs>
                <w:tab w:val="left" w:pos="-720"/>
              </w:tabs>
              <w:suppressAutoHyphens/>
              <w:rPr>
                <w:rFonts w:ascii="Times New Roman" w:hAnsi="Times New Roman"/>
                <w:b/>
                <w:szCs w:val="24"/>
              </w:rPr>
            </w:pPr>
          </w:p>
        </w:tc>
        <w:tc>
          <w:tcPr>
            <w:tcW w:w="2520" w:type="dxa"/>
          </w:tcPr>
          <w:p w:rsidR="0052073E" w:rsidP="00534B4A" w14:paraId="2A3C52D9" w14:textId="77777777">
            <w:pPr>
              <w:tabs>
                <w:tab w:val="left" w:pos="-720"/>
              </w:tabs>
              <w:suppressAutoHyphens/>
              <w:rPr>
                <w:rFonts w:ascii="Times New Roman" w:hAnsi="Times New Roman"/>
                <w:b/>
                <w:szCs w:val="24"/>
              </w:rPr>
            </w:pPr>
          </w:p>
        </w:tc>
      </w:tr>
      <w:tr w14:paraId="7AFE34B1" w14:textId="77777777" w:rsidTr="0052073E">
        <w:tblPrEx>
          <w:tblW w:w="9445" w:type="dxa"/>
          <w:tblLook w:val="04A0"/>
        </w:tblPrEx>
        <w:tc>
          <w:tcPr>
            <w:tcW w:w="2048" w:type="dxa"/>
          </w:tcPr>
          <w:p w:rsidR="0052073E" w:rsidP="00534B4A" w14:paraId="14BBB45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001F0FB" w14:textId="77777777">
            <w:pPr>
              <w:tabs>
                <w:tab w:val="left" w:pos="-720"/>
              </w:tabs>
              <w:suppressAutoHyphens/>
              <w:rPr>
                <w:rFonts w:ascii="Times New Roman" w:hAnsi="Times New Roman"/>
                <w:b/>
                <w:szCs w:val="24"/>
              </w:rPr>
            </w:pPr>
          </w:p>
        </w:tc>
        <w:tc>
          <w:tcPr>
            <w:tcW w:w="2829" w:type="dxa"/>
          </w:tcPr>
          <w:p w:rsidR="0052073E" w:rsidP="00534B4A" w14:paraId="65868753" w14:textId="77777777">
            <w:pPr>
              <w:tabs>
                <w:tab w:val="left" w:pos="-720"/>
              </w:tabs>
              <w:suppressAutoHyphens/>
              <w:rPr>
                <w:rFonts w:ascii="Times New Roman" w:hAnsi="Times New Roman"/>
                <w:b/>
                <w:szCs w:val="24"/>
              </w:rPr>
            </w:pPr>
          </w:p>
        </w:tc>
        <w:tc>
          <w:tcPr>
            <w:tcW w:w="2520" w:type="dxa"/>
          </w:tcPr>
          <w:p w:rsidR="0052073E" w:rsidP="00534B4A" w14:paraId="7502798E" w14:textId="77777777">
            <w:pPr>
              <w:tabs>
                <w:tab w:val="left" w:pos="-720"/>
              </w:tabs>
              <w:suppressAutoHyphens/>
              <w:rPr>
                <w:rFonts w:ascii="Times New Roman" w:hAnsi="Times New Roman"/>
                <w:b/>
                <w:szCs w:val="24"/>
              </w:rPr>
            </w:pPr>
          </w:p>
        </w:tc>
      </w:tr>
      <w:tr w14:paraId="097381C4" w14:textId="77777777" w:rsidTr="0052073E">
        <w:tblPrEx>
          <w:tblW w:w="9445" w:type="dxa"/>
          <w:tblLook w:val="04A0"/>
        </w:tblPrEx>
        <w:tc>
          <w:tcPr>
            <w:tcW w:w="2048" w:type="dxa"/>
          </w:tcPr>
          <w:p w:rsidR="0052073E" w:rsidP="00534B4A" w14:paraId="0538711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1579D3A" w14:textId="77777777">
            <w:pPr>
              <w:tabs>
                <w:tab w:val="left" w:pos="-720"/>
              </w:tabs>
              <w:suppressAutoHyphens/>
              <w:rPr>
                <w:rFonts w:ascii="Times New Roman" w:hAnsi="Times New Roman"/>
                <w:b/>
                <w:szCs w:val="24"/>
              </w:rPr>
            </w:pPr>
          </w:p>
        </w:tc>
        <w:tc>
          <w:tcPr>
            <w:tcW w:w="2829" w:type="dxa"/>
          </w:tcPr>
          <w:p w:rsidR="0052073E" w:rsidP="00534B4A" w14:paraId="7937AF68" w14:textId="77777777">
            <w:pPr>
              <w:tabs>
                <w:tab w:val="left" w:pos="-720"/>
              </w:tabs>
              <w:suppressAutoHyphens/>
              <w:rPr>
                <w:rFonts w:ascii="Times New Roman" w:hAnsi="Times New Roman"/>
                <w:b/>
                <w:szCs w:val="24"/>
              </w:rPr>
            </w:pPr>
          </w:p>
        </w:tc>
        <w:tc>
          <w:tcPr>
            <w:tcW w:w="2520" w:type="dxa"/>
          </w:tcPr>
          <w:p w:rsidR="0052073E" w:rsidP="00534B4A" w14:paraId="685113DA" w14:textId="77777777">
            <w:pPr>
              <w:tabs>
                <w:tab w:val="left" w:pos="-720"/>
              </w:tabs>
              <w:suppressAutoHyphens/>
              <w:rPr>
                <w:rFonts w:ascii="Times New Roman" w:hAnsi="Times New Roman"/>
                <w:b/>
                <w:szCs w:val="24"/>
              </w:rPr>
            </w:pPr>
          </w:p>
        </w:tc>
      </w:tr>
    </w:tbl>
    <w:p w:rsidR="00F27AAF" w:rsidP="00534B4A" w14:paraId="2F460170" w14:textId="77777777">
      <w:pPr>
        <w:tabs>
          <w:tab w:val="left" w:pos="-720"/>
        </w:tabs>
        <w:suppressAutoHyphens/>
        <w:rPr>
          <w:rFonts w:ascii="Times New Roman" w:hAnsi="Times New Roman"/>
          <w:b/>
          <w:szCs w:val="24"/>
        </w:rPr>
      </w:pPr>
    </w:p>
    <w:p w:rsidR="00F25358" w:rsidP="00534B4A" w14:paraId="2BB1F93C" w14:textId="2FE59C1A">
      <w:pPr>
        <w:tabs>
          <w:tab w:val="left" w:pos="-720"/>
        </w:tabs>
        <w:suppressAutoHyphens/>
        <w:rPr>
          <w:rFonts w:ascii="Times New Roman" w:hAnsi="Times New Roman"/>
          <w:szCs w:val="24"/>
        </w:rPr>
      </w:pPr>
      <w:r w:rsidRPr="007E56CB">
        <w:rPr>
          <w:rFonts w:ascii="Times New Roman" w:hAnsi="Times New Roman"/>
          <w:szCs w:val="24"/>
        </w:rPr>
        <w:t xml:space="preserve">We </w:t>
      </w:r>
      <w:r w:rsidRPr="007E56CB">
        <w:rPr>
          <w:rFonts w:ascii="Times New Roman" w:hAnsi="Times New Roman"/>
          <w:szCs w:val="24"/>
        </w:rPr>
        <w:t xml:space="preserve">are </w:t>
      </w:r>
      <w:r>
        <w:rPr>
          <w:rFonts w:ascii="Times New Roman" w:hAnsi="Times New Roman"/>
          <w:szCs w:val="24"/>
        </w:rPr>
        <w:t>requesting to make</w:t>
      </w:r>
      <w:r w:rsidRPr="007E56CB">
        <w:rPr>
          <w:rFonts w:ascii="Times New Roman" w:hAnsi="Times New Roman"/>
          <w:szCs w:val="24"/>
        </w:rPr>
        <w:t xml:space="preserve"> minor </w:t>
      </w:r>
      <w:r w:rsidRPr="007E56CB">
        <w:rPr>
          <w:rFonts w:ascii="Times New Roman" w:hAnsi="Times New Roman"/>
          <w:szCs w:val="24"/>
        </w:rPr>
        <w:t>language changes that do not change the burden of the collection. No new questions have been added.</w:t>
      </w:r>
    </w:p>
    <w:p w:rsidR="007E56CB" w:rsidRPr="00534B4A" w:rsidP="00534B4A" w14:paraId="65B33A94" w14:textId="77777777">
      <w:pPr>
        <w:tabs>
          <w:tab w:val="left" w:pos="-720"/>
        </w:tabs>
        <w:suppressAutoHyphens/>
        <w:rPr>
          <w:rFonts w:ascii="Times New Roman" w:hAnsi="Times New Roman"/>
          <w:szCs w:val="24"/>
        </w:rPr>
      </w:pPr>
    </w:p>
    <w:p w:rsidR="00043C32" w:rsidP="00AD381B" w14:paraId="27DB1A0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34C4B" w:rsidRPr="00334C4B" w:rsidP="00334C4B" w14:paraId="1B836035" w14:textId="77777777">
      <w:pPr>
        <w:tabs>
          <w:tab w:val="left" w:pos="-720"/>
        </w:tabs>
        <w:suppressAutoHyphens/>
        <w:ind w:left="360"/>
        <w:rPr>
          <w:rStyle w:val="a"/>
          <w:rFonts w:ascii="Times New Roman" w:hAnsi="Times New Roman"/>
          <w:b/>
          <w:szCs w:val="24"/>
        </w:rPr>
      </w:pPr>
    </w:p>
    <w:p w:rsidR="00534B4A" w:rsidP="00534B4A" w14:paraId="1A0E91EB" w14:textId="77777777">
      <w:pPr>
        <w:tabs>
          <w:tab w:val="left" w:pos="-720"/>
        </w:tabs>
        <w:suppressAutoHyphens/>
        <w:rPr>
          <w:rFonts w:ascii="Times New Roman" w:hAnsi="Times New Roman"/>
          <w:szCs w:val="24"/>
        </w:rPr>
      </w:pPr>
      <w:r w:rsidRPr="00334C4B">
        <w:rPr>
          <w:rFonts w:ascii="Times New Roman" w:hAnsi="Times New Roman"/>
          <w:szCs w:val="24"/>
        </w:rPr>
        <w:t xml:space="preserve">State agencies will be asked to respond to the information collection in </w:t>
      </w:r>
      <w:r w:rsidR="00EC7ED7">
        <w:rPr>
          <w:rFonts w:ascii="Times New Roman" w:hAnsi="Times New Roman"/>
          <w:szCs w:val="24"/>
        </w:rPr>
        <w:t xml:space="preserve">FY2025 Quarter </w:t>
      </w:r>
      <w:r w:rsidR="007B2D7D">
        <w:rPr>
          <w:rFonts w:ascii="Times New Roman" w:hAnsi="Times New Roman"/>
          <w:szCs w:val="24"/>
        </w:rPr>
        <w:t>3</w:t>
      </w:r>
      <w:r w:rsidR="00EC7ED7">
        <w:rPr>
          <w:rFonts w:ascii="Times New Roman" w:hAnsi="Times New Roman"/>
          <w:szCs w:val="24"/>
        </w:rPr>
        <w:t xml:space="preserve"> and FY2026 Quarter </w:t>
      </w:r>
      <w:r w:rsidR="007B2D7D">
        <w:rPr>
          <w:rFonts w:ascii="Times New Roman" w:hAnsi="Times New Roman"/>
          <w:szCs w:val="24"/>
        </w:rPr>
        <w:t xml:space="preserve">3. </w:t>
      </w:r>
      <w:r w:rsidRPr="00334C4B">
        <w:rPr>
          <w:rFonts w:ascii="Times New Roman" w:hAnsi="Times New Roman"/>
          <w:szCs w:val="24"/>
        </w:rPr>
        <w:t>Data quality will be controlled and reviewed during data collection</w:t>
      </w:r>
      <w:r w:rsidR="00D200A7">
        <w:rPr>
          <w:rFonts w:ascii="Times New Roman" w:hAnsi="Times New Roman"/>
          <w:szCs w:val="24"/>
        </w:rPr>
        <w:t xml:space="preserve"> and</w:t>
      </w:r>
      <w:r w:rsidRPr="00334C4B">
        <w:rPr>
          <w:rFonts w:ascii="Times New Roman" w:hAnsi="Times New Roman"/>
          <w:szCs w:val="24"/>
        </w:rPr>
        <w:t xml:space="preserve"> State agencies will have the opportunity to correct </w:t>
      </w:r>
      <w:r w:rsidR="00863581">
        <w:rPr>
          <w:rFonts w:ascii="Times New Roman" w:hAnsi="Times New Roman"/>
          <w:szCs w:val="24"/>
        </w:rPr>
        <w:t xml:space="preserve">their initial submissions </w:t>
      </w:r>
      <w:r w:rsidRPr="00334C4B">
        <w:rPr>
          <w:rFonts w:ascii="Times New Roman" w:hAnsi="Times New Roman"/>
          <w:szCs w:val="24"/>
        </w:rPr>
        <w:t>and resubmit final data. Once the review is completed, the descriptive statistics based on this information collection will be published on the ESF Public Transparency Portal</w:t>
      </w:r>
      <w:r w:rsidR="00225649">
        <w:rPr>
          <w:rFonts w:ascii="Times New Roman" w:hAnsi="Times New Roman"/>
          <w:szCs w:val="24"/>
        </w:rPr>
        <w:t xml:space="preserve">. </w:t>
      </w:r>
    </w:p>
    <w:p w:rsidR="00534B4A" w:rsidRPr="00534B4A" w:rsidP="00534B4A" w14:paraId="3C00B4D8" w14:textId="77777777">
      <w:pPr>
        <w:tabs>
          <w:tab w:val="left" w:pos="-720"/>
        </w:tabs>
        <w:suppressAutoHyphens/>
        <w:rPr>
          <w:rFonts w:ascii="Times New Roman" w:hAnsi="Times New Roman"/>
          <w:szCs w:val="24"/>
        </w:rPr>
      </w:pPr>
    </w:p>
    <w:p w:rsidR="00043C32" w:rsidRPr="00534B4A" w:rsidP="00AD381B" w14:paraId="02269F7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 xml:space="preserve">If seeking approval to not display the expiration date for OMB </w:t>
      </w:r>
      <w:r w:rsidRPr="00534B4A">
        <w:rPr>
          <w:rStyle w:val="a"/>
          <w:rFonts w:ascii="Times New Roman" w:hAnsi="Times New Roman"/>
          <w:b/>
          <w:szCs w:val="24"/>
        </w:rPr>
        <w:t>approval of the information collection, explain the reasons that display would be inappropriate.</w:t>
      </w:r>
    </w:p>
    <w:p w:rsidR="00C429CD" w:rsidP="00C429CD" w14:paraId="1EC00EF1" w14:textId="77777777">
      <w:pPr>
        <w:tabs>
          <w:tab w:val="left" w:pos="-720"/>
          <w:tab w:val="left" w:pos="0"/>
        </w:tabs>
        <w:suppressAutoHyphens/>
        <w:spacing w:after="120"/>
        <w:rPr>
          <w:rFonts w:ascii="Times New Roman" w:hAnsi="Times New Roman"/>
        </w:rPr>
      </w:pPr>
    </w:p>
    <w:p w:rsidR="00534B4A" w:rsidRPr="00C429CD" w:rsidP="00C429CD" w14:paraId="4909F950" w14:textId="77777777">
      <w:pPr>
        <w:tabs>
          <w:tab w:val="left" w:pos="-720"/>
          <w:tab w:val="left" w:pos="0"/>
        </w:tabs>
        <w:suppressAutoHyphens/>
        <w:spacing w:after="120"/>
        <w:rPr>
          <w:rFonts w:ascii="Times New Roman" w:hAnsi="Times New Roman"/>
        </w:rPr>
      </w:pPr>
      <w:r w:rsidRPr="00C429CD">
        <w:rPr>
          <w:rFonts w:ascii="Times New Roman" w:hAnsi="Times New Roman"/>
        </w:rPr>
        <w:t>The Department is not seeking this approval.</w:t>
      </w:r>
    </w:p>
    <w:p w:rsidR="00534B4A" w:rsidRPr="00534B4A" w:rsidP="00534B4A" w14:paraId="1EAE40AA" w14:textId="77777777">
      <w:pPr>
        <w:tabs>
          <w:tab w:val="left" w:pos="-720"/>
        </w:tabs>
        <w:suppressAutoHyphens/>
        <w:ind w:left="360"/>
        <w:rPr>
          <w:rFonts w:ascii="Times New Roman" w:hAnsi="Times New Roman"/>
          <w:szCs w:val="24"/>
        </w:rPr>
      </w:pPr>
    </w:p>
    <w:p w:rsidR="001C73C0" w:rsidP="00AD381B" w14:paraId="1DF381F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914D4" w:rsidP="00A914D4" w14:paraId="21CEA4A6" w14:textId="77777777">
      <w:pPr>
        <w:tabs>
          <w:tab w:val="left" w:pos="-720"/>
        </w:tabs>
        <w:suppressAutoHyphens/>
        <w:rPr>
          <w:rFonts w:ascii="Times New Roman" w:hAnsi="Times New Roman"/>
          <w:b/>
          <w:szCs w:val="24"/>
        </w:rPr>
      </w:pPr>
    </w:p>
    <w:p w:rsidR="00A914D4" w:rsidRPr="00196A81" w:rsidP="00A914D4" w14:paraId="0F8F30B3" w14:textId="77777777">
      <w:pPr>
        <w:tabs>
          <w:tab w:val="left" w:pos="-720"/>
          <w:tab w:val="left" w:pos="0"/>
        </w:tabs>
        <w:suppressAutoHyphens/>
        <w:rPr>
          <w:rFonts w:ascii="Times New Roman" w:hAnsi="Times New Roman"/>
          <w:b/>
          <w:szCs w:val="24"/>
        </w:rPr>
      </w:pPr>
      <w:r w:rsidRPr="00196A81">
        <w:rPr>
          <w:rFonts w:ascii="Times New Roman" w:hAnsi="Times New Roman"/>
        </w:rPr>
        <w:t xml:space="preserve">The Department is not requesting any exceptions to the </w:t>
      </w:r>
      <w:r>
        <w:rPr>
          <w:rFonts w:ascii="Times New Roman" w:hAnsi="Times New Roman"/>
        </w:rPr>
        <w:t>certification.</w:t>
      </w:r>
    </w:p>
    <w:p w:rsidR="00A914D4" w:rsidRPr="00A914D4" w:rsidP="00A914D4" w14:paraId="034C05F1" w14:textId="77777777">
      <w:pPr>
        <w:tabs>
          <w:tab w:val="left" w:pos="-720"/>
        </w:tabs>
        <w:suppressAutoHyphens/>
        <w:rPr>
          <w:rFonts w:ascii="Times New Roman" w:hAnsi="Times New Roman"/>
          <w:b/>
          <w:szCs w:val="24"/>
        </w:rPr>
      </w:pPr>
    </w:p>
    <w:sectPr w:rsidSect="00043C32">
      <w:footerReference w:type="default" r:id="rId2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537" w14:paraId="0C577F22" w14:textId="77777777">
    <w:pPr>
      <w:spacing w:before="140" w:line="100" w:lineRule="exact"/>
      <w:rPr>
        <w:sz w:val="10"/>
      </w:rPr>
    </w:pPr>
  </w:p>
  <w:p w:rsidR="00EC0537" w14:paraId="13B4E5B0" w14:textId="77777777">
    <w:pPr>
      <w:tabs>
        <w:tab w:val="left" w:pos="0"/>
      </w:tabs>
      <w:suppressAutoHyphens/>
    </w:pPr>
  </w:p>
  <w:p w:rsidR="00EC0537" w14:paraId="1DDC5C78"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C0537"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C0537" w:rsidRPr="00534B4A" w14:paraId="3880E4D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6A3B" w:rsidP="00043C32" w14:paraId="168CA9E6" w14:textId="77777777">
      <w:r>
        <w:separator/>
      </w:r>
    </w:p>
  </w:footnote>
  <w:footnote w:type="continuationSeparator" w:id="1">
    <w:p w:rsidR="005F6A3B" w:rsidP="00043C32" w14:paraId="1EF974E5" w14:textId="77777777">
      <w:r>
        <w:continuationSeparator/>
      </w:r>
    </w:p>
  </w:footnote>
  <w:footnote w:id="2">
    <w:p w:rsidR="00AD38D5" w:rsidRPr="00526A59" w:rsidP="00AD38D5" w14:paraId="76CB081A" w14:textId="77777777">
      <w:pPr>
        <w:pStyle w:val="FootnoteText"/>
        <w:rPr>
          <w:rFonts w:ascii="Times New Roman" w:hAnsi="Times New Roman"/>
        </w:rPr>
      </w:pPr>
      <w:r w:rsidRPr="00526A59">
        <w:rPr>
          <w:rStyle w:val="FootnoteReference"/>
          <w:rFonts w:ascii="Times New Roman" w:hAnsi="Times New Roman"/>
        </w:rPr>
        <w:footnoteRef/>
      </w:r>
      <w:r w:rsidRPr="00526A59">
        <w:rPr>
          <w:rFonts w:ascii="Times New Roman" w:hAnsi="Times New Roman"/>
        </w:rPr>
        <w:t xml:space="preserve"> GEER funds are authorized under both the CARES and the CRRSA Act, but not the ARP Act.</w:t>
      </w:r>
    </w:p>
  </w:footnote>
  <w:footnote w:id="3">
    <w:p w:rsidR="000C5376" w:rsidRPr="00C926D3" w:rsidP="000C5376" w14:paraId="6602C82D" w14:textId="77777777">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4">
    <w:p w:rsidR="00043C32" w:rsidP="00043C32" w14:paraId="13C65492"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w:t>
      </w:r>
      <w:r>
        <w:rPr>
          <w:rFonts w:ascii="Times New Roman" w:hAnsi="Times New Roman"/>
          <w:sz w:val="20"/>
        </w:rPr>
        <w:t>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3AC57E1"/>
    <w:multiLevelType w:val="hybridMultilevel"/>
    <w:tmpl w:val="0D3280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0621620">
    <w:abstractNumId w:val="0"/>
  </w:num>
  <w:num w:numId="2" w16cid:durableId="2043821064">
    <w:abstractNumId w:val="3"/>
  </w:num>
  <w:num w:numId="3" w16cid:durableId="2137989135">
    <w:abstractNumId w:val="2"/>
  </w:num>
  <w:num w:numId="4" w16cid:durableId="41559115">
    <w:abstractNumId w:val="4"/>
  </w:num>
  <w:num w:numId="5" w16cid:durableId="2038041645">
    <w:abstractNumId w:val="5"/>
  </w:num>
  <w:num w:numId="6" w16cid:durableId="8592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B53"/>
    <w:rsid w:val="00017DF9"/>
    <w:rsid w:val="00035ED5"/>
    <w:rsid w:val="00043C32"/>
    <w:rsid w:val="000446F5"/>
    <w:rsid w:val="00074661"/>
    <w:rsid w:val="00093017"/>
    <w:rsid w:val="000C5376"/>
    <w:rsid w:val="00134A71"/>
    <w:rsid w:val="00146E42"/>
    <w:rsid w:val="001604AC"/>
    <w:rsid w:val="001824F3"/>
    <w:rsid w:val="00196A81"/>
    <w:rsid w:val="00196E4C"/>
    <w:rsid w:val="00197F1D"/>
    <w:rsid w:val="001A2965"/>
    <w:rsid w:val="001A6AE0"/>
    <w:rsid w:val="001B35AE"/>
    <w:rsid w:val="001C73C0"/>
    <w:rsid w:val="001E79BD"/>
    <w:rsid w:val="00213A79"/>
    <w:rsid w:val="002225CC"/>
    <w:rsid w:val="00224A3B"/>
    <w:rsid w:val="00225649"/>
    <w:rsid w:val="00231129"/>
    <w:rsid w:val="00232AA1"/>
    <w:rsid w:val="00240A39"/>
    <w:rsid w:val="00246FE9"/>
    <w:rsid w:val="00250100"/>
    <w:rsid w:val="00253A36"/>
    <w:rsid w:val="00262A69"/>
    <w:rsid w:val="00270AF7"/>
    <w:rsid w:val="002A3221"/>
    <w:rsid w:val="002C3520"/>
    <w:rsid w:val="002E14E0"/>
    <w:rsid w:val="002F55E5"/>
    <w:rsid w:val="00314690"/>
    <w:rsid w:val="0032078A"/>
    <w:rsid w:val="0032539E"/>
    <w:rsid w:val="00325413"/>
    <w:rsid w:val="00334C4B"/>
    <w:rsid w:val="0034000A"/>
    <w:rsid w:val="00355924"/>
    <w:rsid w:val="003860E4"/>
    <w:rsid w:val="003B1545"/>
    <w:rsid w:val="003B3C92"/>
    <w:rsid w:val="00412915"/>
    <w:rsid w:val="00437C84"/>
    <w:rsid w:val="00442E07"/>
    <w:rsid w:val="00445EA5"/>
    <w:rsid w:val="00460F4C"/>
    <w:rsid w:val="004D0F57"/>
    <w:rsid w:val="004E2351"/>
    <w:rsid w:val="004F783B"/>
    <w:rsid w:val="005175B7"/>
    <w:rsid w:val="0052073E"/>
    <w:rsid w:val="00523CD7"/>
    <w:rsid w:val="00526A59"/>
    <w:rsid w:val="00534B4A"/>
    <w:rsid w:val="005463E3"/>
    <w:rsid w:val="0058194B"/>
    <w:rsid w:val="00581C11"/>
    <w:rsid w:val="005B4CA9"/>
    <w:rsid w:val="005F6A3B"/>
    <w:rsid w:val="0061248B"/>
    <w:rsid w:val="00662194"/>
    <w:rsid w:val="0068567A"/>
    <w:rsid w:val="006A292A"/>
    <w:rsid w:val="006A38F7"/>
    <w:rsid w:val="006A4EBB"/>
    <w:rsid w:val="006B4172"/>
    <w:rsid w:val="006D1DD2"/>
    <w:rsid w:val="006D344C"/>
    <w:rsid w:val="0074426E"/>
    <w:rsid w:val="00755D99"/>
    <w:rsid w:val="00756FD3"/>
    <w:rsid w:val="00765392"/>
    <w:rsid w:val="00790E3E"/>
    <w:rsid w:val="007932D3"/>
    <w:rsid w:val="007B2D7D"/>
    <w:rsid w:val="007B7BD8"/>
    <w:rsid w:val="007C0A4C"/>
    <w:rsid w:val="007E56CB"/>
    <w:rsid w:val="007F6104"/>
    <w:rsid w:val="00800D30"/>
    <w:rsid w:val="00807D1A"/>
    <w:rsid w:val="00856901"/>
    <w:rsid w:val="00863581"/>
    <w:rsid w:val="008726B7"/>
    <w:rsid w:val="00874EFE"/>
    <w:rsid w:val="00882126"/>
    <w:rsid w:val="00882C51"/>
    <w:rsid w:val="008933F1"/>
    <w:rsid w:val="008A1394"/>
    <w:rsid w:val="008D0601"/>
    <w:rsid w:val="008D1F11"/>
    <w:rsid w:val="008E5919"/>
    <w:rsid w:val="008F61A8"/>
    <w:rsid w:val="00905951"/>
    <w:rsid w:val="00912D2C"/>
    <w:rsid w:val="00916EE4"/>
    <w:rsid w:val="00920F63"/>
    <w:rsid w:val="009243F3"/>
    <w:rsid w:val="0093366B"/>
    <w:rsid w:val="00934185"/>
    <w:rsid w:val="00946126"/>
    <w:rsid w:val="00952DF9"/>
    <w:rsid w:val="0095421D"/>
    <w:rsid w:val="00960C86"/>
    <w:rsid w:val="009767AF"/>
    <w:rsid w:val="00981C65"/>
    <w:rsid w:val="00981F58"/>
    <w:rsid w:val="00986D0A"/>
    <w:rsid w:val="009E3E86"/>
    <w:rsid w:val="009E64DA"/>
    <w:rsid w:val="00A118A2"/>
    <w:rsid w:val="00A23F26"/>
    <w:rsid w:val="00A353E9"/>
    <w:rsid w:val="00A4001C"/>
    <w:rsid w:val="00A40AAB"/>
    <w:rsid w:val="00A40B17"/>
    <w:rsid w:val="00A46D01"/>
    <w:rsid w:val="00A70816"/>
    <w:rsid w:val="00A7636D"/>
    <w:rsid w:val="00A9138E"/>
    <w:rsid w:val="00A914D4"/>
    <w:rsid w:val="00AC1C89"/>
    <w:rsid w:val="00AD381B"/>
    <w:rsid w:val="00AD38D5"/>
    <w:rsid w:val="00AD5C74"/>
    <w:rsid w:val="00AE3F9D"/>
    <w:rsid w:val="00AF4A8E"/>
    <w:rsid w:val="00AF5B5B"/>
    <w:rsid w:val="00AF5D1A"/>
    <w:rsid w:val="00B017F9"/>
    <w:rsid w:val="00B07213"/>
    <w:rsid w:val="00B10A05"/>
    <w:rsid w:val="00B335FA"/>
    <w:rsid w:val="00B54167"/>
    <w:rsid w:val="00B61C04"/>
    <w:rsid w:val="00B62E06"/>
    <w:rsid w:val="00B64B1D"/>
    <w:rsid w:val="00B82643"/>
    <w:rsid w:val="00B9671B"/>
    <w:rsid w:val="00BA1D31"/>
    <w:rsid w:val="00C076C3"/>
    <w:rsid w:val="00C1476D"/>
    <w:rsid w:val="00C164D3"/>
    <w:rsid w:val="00C20670"/>
    <w:rsid w:val="00C224FD"/>
    <w:rsid w:val="00C232C6"/>
    <w:rsid w:val="00C429CD"/>
    <w:rsid w:val="00C44D63"/>
    <w:rsid w:val="00C462A7"/>
    <w:rsid w:val="00C65903"/>
    <w:rsid w:val="00C86713"/>
    <w:rsid w:val="00C875E8"/>
    <w:rsid w:val="00C92035"/>
    <w:rsid w:val="00C926D3"/>
    <w:rsid w:val="00CA786F"/>
    <w:rsid w:val="00CC2A72"/>
    <w:rsid w:val="00CC3FB5"/>
    <w:rsid w:val="00CD2067"/>
    <w:rsid w:val="00CD47BC"/>
    <w:rsid w:val="00D200A7"/>
    <w:rsid w:val="00D34984"/>
    <w:rsid w:val="00D36C35"/>
    <w:rsid w:val="00D713B5"/>
    <w:rsid w:val="00D75313"/>
    <w:rsid w:val="00D82449"/>
    <w:rsid w:val="00D9224B"/>
    <w:rsid w:val="00E16ACD"/>
    <w:rsid w:val="00E17134"/>
    <w:rsid w:val="00E25EBC"/>
    <w:rsid w:val="00E46289"/>
    <w:rsid w:val="00E56B60"/>
    <w:rsid w:val="00E66550"/>
    <w:rsid w:val="00E877BF"/>
    <w:rsid w:val="00EA1767"/>
    <w:rsid w:val="00EB0929"/>
    <w:rsid w:val="00EB0FA5"/>
    <w:rsid w:val="00EC01DD"/>
    <w:rsid w:val="00EC0537"/>
    <w:rsid w:val="00EC0CAF"/>
    <w:rsid w:val="00EC35E3"/>
    <w:rsid w:val="00EC7ED7"/>
    <w:rsid w:val="00ED139B"/>
    <w:rsid w:val="00ED7195"/>
    <w:rsid w:val="00EF0228"/>
    <w:rsid w:val="00EF534B"/>
    <w:rsid w:val="00F00CAB"/>
    <w:rsid w:val="00F0414F"/>
    <w:rsid w:val="00F25358"/>
    <w:rsid w:val="00F27AAF"/>
    <w:rsid w:val="00F31BEC"/>
    <w:rsid w:val="00F5782B"/>
    <w:rsid w:val="00F73131"/>
    <w:rsid w:val="00FB3316"/>
    <w:rsid w:val="00FC669D"/>
    <w:rsid w:val="00FD4F0B"/>
    <w:rsid w:val="00FE02FC"/>
    <w:rsid w:val="00FE1BAE"/>
    <w:rsid w:val="012CE57E"/>
    <w:rsid w:val="01E18958"/>
    <w:rsid w:val="131406FD"/>
    <w:rsid w:val="1B13F897"/>
    <w:rsid w:val="1B70C6A7"/>
    <w:rsid w:val="21B518C9"/>
    <w:rsid w:val="3351D872"/>
    <w:rsid w:val="378D4946"/>
    <w:rsid w:val="3E7241C0"/>
    <w:rsid w:val="50A97AE8"/>
    <w:rsid w:val="54C2EDD0"/>
    <w:rsid w:val="572B3FE9"/>
    <w:rsid w:val="64C1A5AD"/>
    <w:rsid w:val="727A6367"/>
    <w:rsid w:val="7F414E6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D5276F3"/>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section-1">
    <w:name w:val="psection-1"/>
    <w:basedOn w:val="Normal"/>
    <w:rsid w:val="00AD38D5"/>
    <w:pPr>
      <w:spacing w:before="100" w:beforeAutospacing="1" w:after="100" w:afterAutospacing="1"/>
    </w:pPr>
    <w:rPr>
      <w:rFonts w:ascii="Calibri" w:hAnsi="Calibri" w:eastAsiaTheme="minorHAnsi" w:cs="Calibri"/>
      <w:sz w:val="22"/>
      <w:szCs w:val="22"/>
    </w:rPr>
  </w:style>
  <w:style w:type="character" w:customStyle="1" w:styleId="enumxml">
    <w:name w:val="enumxml"/>
    <w:basedOn w:val="DefaultParagraphFont"/>
    <w:rsid w:val="00AD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20/1221e-3" TargetMode="External" /><Relationship Id="rId11" Type="http://schemas.openxmlformats.org/officeDocument/2006/relationships/hyperlink" Target="https://www.law.cornell.edu/uscode/text/20/1231a" TargetMode="External" /><Relationship Id="rId12" Type="http://schemas.openxmlformats.org/officeDocument/2006/relationships/hyperlink" Target="https://www.law.cornell.edu/uscode/text/20/3474" TargetMode="External" /><Relationship Id="rId13" Type="http://schemas.openxmlformats.org/officeDocument/2006/relationships/hyperlink" Target="https://www.law.cornell.edu/rio/citation/72_FR_3702" TargetMode="External" /><Relationship Id="rId14" Type="http://schemas.openxmlformats.org/officeDocument/2006/relationships/hyperlink" Target="https://www.law.cornell.edu/rio/citation/79_FR_76094" TargetMode="External" /><Relationship Id="rId15"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 /><Relationship Id="rId16" Type="http://schemas.openxmlformats.org/officeDocument/2006/relationships/hyperlink" Target="https://www.law.cornell.edu/cfr/text/2/200.327" TargetMode="External" /><Relationship Id="rId17" Type="http://schemas.openxmlformats.org/officeDocument/2006/relationships/hyperlink" Target="https://www.law.cornell.edu/cfr/text/2/200.328" TargetMode="External" /><Relationship Id="rId18" Type="http://schemas.openxmlformats.org/officeDocument/2006/relationships/hyperlink" Target="https://www.law.cornell.edu/topn/paperwork_reduction_act_of_1995" TargetMode="External" /><Relationship Id="rId19" Type="http://schemas.openxmlformats.org/officeDocument/2006/relationships/hyperlink" Target="https://www.law.cornell.edu/uscode/text/44" TargetMode="External" /><Relationship Id="rId2" Type="http://schemas.openxmlformats.org/officeDocument/2006/relationships/settings" Target="settings.xml" /><Relationship Id="rId20" Type="http://schemas.openxmlformats.org/officeDocument/2006/relationships/hyperlink" Target="https://www.law.cornell.edu/uscode/text/44/3501" TargetMode="External" /><Relationship Id="rId21" Type="http://schemas.openxmlformats.org/officeDocument/2006/relationships/hyperlink" Target="https://www.law.cornell.edu/uscode/text/44/3520" TargetMode="External" /><Relationship Id="rId22" Type="http://schemas.openxmlformats.org/officeDocument/2006/relationships/hyperlink" Target="https://www.bls.gov/oes/current/oes_nat.html"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uscode/text/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6D0B000-6E31-401F-856A-41C1DBD27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13fafb8-8ecc-40e4-9d76-36f25eb14c54"/>
    <ds:schemaRef ds:uri="2a2db8c4-56ab-4882-a5d0-0fe8165c6658"/>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3361</Words>
  <Characters>19160</Characters>
  <Application>Microsoft Office Word</Application>
  <DocSecurity>0</DocSecurity>
  <Lines>159</Lines>
  <Paragraphs>44</Paragraphs>
  <ScaleCrop>false</ScaleCrop>
  <Company>U.S. Department of Education</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2024-09-24T20:45:00Z</dcterms:created>
  <dcterms:modified xsi:type="dcterms:W3CDTF">2024-09-24T20:45:00Z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0x010100CF4B222E705DF647AFC9C675A462835C</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