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54C2EDD0" w14:paraId="729839A4" w14:textId="3191F218">
      <w:pPr>
        <w:pStyle w:val="Header"/>
        <w:rPr>
          <w:rFonts w:ascii="Times New Roman" w:hAnsi="Times New Roman"/>
        </w:rPr>
      </w:pPr>
      <w:r w:rsidRPr="1B13F897">
        <w:rPr>
          <w:rFonts w:ascii="Times New Roman" w:hAnsi="Times New Roman"/>
        </w:rPr>
        <w:t xml:space="preserve">Tracking and OMB Number: </w:t>
      </w:r>
      <w:r w:rsidR="003528E9">
        <w:rPr>
          <w:rFonts w:ascii="Times New Roman" w:hAnsi="Times New Roman"/>
        </w:rPr>
        <w:t>1810-0749</w:t>
      </w:r>
    </w:p>
    <w:p w:rsidR="00AA321B" w:rsidP="00AD381B" w14:paraId="30BBF80E" w14:textId="77777777">
      <w:pPr>
        <w:pStyle w:val="Heading1"/>
        <w:rPr>
          <w:sz w:val="24"/>
          <w:szCs w:val="24"/>
        </w:rPr>
      </w:pPr>
    </w:p>
    <w:p w:rsidR="00043C32" w:rsidRPr="00AD381B" w:rsidP="00AD381B" w14:paraId="2C2BCB7B" w14:textId="662B933A">
      <w:pPr>
        <w:pStyle w:val="Heading1"/>
        <w:rPr>
          <w:sz w:val="24"/>
          <w:szCs w:val="24"/>
        </w:rPr>
      </w:pPr>
      <w:r w:rsidRPr="00AD381B">
        <w:rPr>
          <w:sz w:val="24"/>
          <w:szCs w:val="24"/>
        </w:rPr>
        <w:t>SUPPORTING STATEMENT</w:t>
      </w:r>
    </w:p>
    <w:p w:rsidR="00043C32" w:rsidRPr="00AD381B" w:rsidP="00AD381B" w14:paraId="5E73B3D2" w14:textId="77777777">
      <w:pPr>
        <w:pStyle w:val="Heading1"/>
        <w:rPr>
          <w:sz w:val="24"/>
          <w:szCs w:val="24"/>
        </w:rPr>
      </w:pPr>
      <w:r w:rsidRPr="00AD381B">
        <w:rPr>
          <w:sz w:val="24"/>
          <w:szCs w:val="24"/>
        </w:rPr>
        <w:t>FOR PAPERWORK REDUCTION ACT SUBMISSION</w:t>
      </w:r>
    </w:p>
    <w:p w:rsidR="00043C32" w:rsidRPr="00AD381B" w:rsidP="00AD381B" w14:paraId="672A6659" w14:textId="77777777">
      <w:pPr>
        <w:tabs>
          <w:tab w:val="left" w:pos="0"/>
        </w:tabs>
        <w:suppressAutoHyphens/>
        <w:rPr>
          <w:rFonts w:ascii="Times New Roman" w:hAnsi="Times New Roman"/>
          <w:szCs w:val="24"/>
        </w:rPr>
      </w:pPr>
    </w:p>
    <w:p w:rsidR="00EA1767" w:rsidRPr="00AD381B" w:rsidP="00AD381B" w14:paraId="16F8FD91"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0A37501D" w14:textId="77777777">
      <w:pPr>
        <w:pStyle w:val="ListParagraph"/>
        <w:suppressAutoHyphens/>
        <w:spacing w:line="240" w:lineRule="exact"/>
        <w:rPr>
          <w:rFonts w:ascii="Times New Roman" w:hAnsi="Times New Roman"/>
          <w:szCs w:val="24"/>
        </w:rPr>
      </w:pPr>
    </w:p>
    <w:p w:rsidR="00BC3F8D" w:rsidP="00BC3F8D" w14:paraId="6819370E" w14:textId="526382D8">
      <w:pPr>
        <w:rPr>
          <w:rFonts w:ascii="Times New Roman" w:hAnsi="Times New Roman"/>
        </w:rPr>
      </w:pPr>
      <w:r w:rsidRPr="00196A81">
        <w:rPr>
          <w:rFonts w:ascii="Times New Roman" w:hAnsi="Times New Roman"/>
          <w:szCs w:val="24"/>
        </w:rPr>
        <w:t xml:space="preserve">Under the </w:t>
      </w:r>
      <w:r w:rsidR="00F12611">
        <w:rPr>
          <w:rFonts w:ascii="Times New Roman" w:hAnsi="Times New Roman"/>
          <w:szCs w:val="24"/>
        </w:rPr>
        <w:t>COVID</w:t>
      </w:r>
      <w:r w:rsidRPr="00196A81">
        <w:rPr>
          <w:rFonts w:ascii="Times New Roman" w:hAnsi="Times New Roman"/>
          <w:szCs w:val="24"/>
        </w:rPr>
        <w:t xml:space="preserve"> national health emergency, </w:t>
      </w:r>
      <w:r>
        <w:rPr>
          <w:rFonts w:ascii="Times New Roman" w:hAnsi="Times New Roman"/>
          <w:szCs w:val="24"/>
        </w:rPr>
        <w:t xml:space="preserve">the legislative and executive branches of government </w:t>
      </w:r>
      <w:r w:rsidRPr="00196A81">
        <w:rPr>
          <w:rFonts w:ascii="Times New Roman" w:hAnsi="Times New Roman"/>
          <w:szCs w:val="24"/>
        </w:rPr>
        <w:t>have come together to offer relief to those individuals and industries affected by the COVID-19 virus under the Coronavirus Aid, Relief, and Economic Security</w:t>
      </w:r>
      <w:r>
        <w:rPr>
          <w:rFonts w:ascii="Times New Roman" w:hAnsi="Times New Roman"/>
          <w:szCs w:val="24"/>
        </w:rPr>
        <w:t xml:space="preserve"> (</w:t>
      </w:r>
      <w:r w:rsidRPr="00196A81">
        <w:rPr>
          <w:rFonts w:ascii="Times New Roman" w:hAnsi="Times New Roman"/>
          <w:szCs w:val="24"/>
        </w:rPr>
        <w:t>CARES</w:t>
      </w:r>
      <w:r>
        <w:rPr>
          <w:rFonts w:ascii="Times New Roman" w:hAnsi="Times New Roman"/>
          <w:szCs w:val="24"/>
        </w:rPr>
        <w:t>)</w:t>
      </w:r>
      <w:r w:rsidRPr="00196A81">
        <w:rPr>
          <w:rFonts w:ascii="Times New Roman" w:hAnsi="Times New Roman"/>
          <w:szCs w:val="24"/>
        </w:rPr>
        <w:t xml:space="preserve"> Act</w:t>
      </w:r>
      <w:r>
        <w:rPr>
          <w:rFonts w:ascii="Times New Roman" w:hAnsi="Times New Roman"/>
          <w:szCs w:val="24"/>
        </w:rPr>
        <w:t xml:space="preserve"> (P.L. 116-136) authorized on March 27, </w:t>
      </w:r>
      <w:r>
        <w:rPr>
          <w:rFonts w:ascii="Times New Roman" w:hAnsi="Times New Roman"/>
          <w:szCs w:val="24"/>
        </w:rPr>
        <w:t>2020</w:t>
      </w:r>
      <w:r>
        <w:rPr>
          <w:rFonts w:ascii="Times New Roman" w:hAnsi="Times New Roman"/>
          <w:szCs w:val="24"/>
        </w:rPr>
        <w:t xml:space="preserve"> and expanded through the</w:t>
      </w:r>
      <w:r w:rsidRPr="00E3772A">
        <w:rPr>
          <w:rFonts w:ascii="Times New Roman" w:hAnsi="Times New Roman"/>
          <w:szCs w:val="24"/>
        </w:rPr>
        <w:t xml:space="preserve"> Coronavirus Response and Relief Supplemental Appropriations</w:t>
      </w:r>
      <w:r>
        <w:rPr>
          <w:rFonts w:ascii="Times New Roman" w:hAnsi="Times New Roman"/>
          <w:szCs w:val="24"/>
        </w:rPr>
        <w:t xml:space="preserve"> (CRRSA) </w:t>
      </w:r>
      <w:r w:rsidRPr="00E3772A">
        <w:rPr>
          <w:rFonts w:ascii="Times New Roman" w:hAnsi="Times New Roman"/>
          <w:szCs w:val="24"/>
        </w:rPr>
        <w:t>Act</w:t>
      </w:r>
      <w:r>
        <w:rPr>
          <w:rFonts w:ascii="Times New Roman" w:hAnsi="Times New Roman"/>
          <w:szCs w:val="24"/>
        </w:rPr>
        <w:t xml:space="preserve">, and the </w:t>
      </w:r>
      <w:r w:rsidRPr="00397B63">
        <w:rPr>
          <w:rFonts w:ascii="Times New Roman" w:hAnsi="Times New Roman"/>
          <w:szCs w:val="24"/>
        </w:rPr>
        <w:t>American Rescue Plan (ARP)</w:t>
      </w:r>
      <w:r>
        <w:rPr>
          <w:rFonts w:ascii="Times New Roman" w:hAnsi="Times New Roman"/>
          <w:szCs w:val="24"/>
        </w:rPr>
        <w:t xml:space="preserve"> Act</w:t>
      </w:r>
      <w:r w:rsidRPr="00196A81">
        <w:rPr>
          <w:rFonts w:ascii="Times New Roman" w:hAnsi="Times New Roman"/>
          <w:szCs w:val="24"/>
        </w:rPr>
        <w:t>.</w:t>
      </w:r>
      <w:r>
        <w:rPr>
          <w:rFonts w:ascii="Times New Roman" w:hAnsi="Times New Roman"/>
          <w:szCs w:val="24"/>
        </w:rPr>
        <w:t xml:space="preserve"> </w:t>
      </w:r>
      <w:r w:rsidRPr="00E70A78">
        <w:rPr>
          <w:rFonts w:ascii="Times New Roman" w:hAnsi="Times New Roman"/>
        </w:rPr>
        <w:t xml:space="preserve">The </w:t>
      </w:r>
      <w:r>
        <w:rPr>
          <w:rFonts w:ascii="Times New Roman" w:hAnsi="Times New Roman"/>
        </w:rPr>
        <w:t xml:space="preserve">ESSER </w:t>
      </w:r>
      <w:r w:rsidRPr="00E70A78">
        <w:rPr>
          <w:rFonts w:ascii="Times New Roman" w:hAnsi="Times New Roman"/>
        </w:rPr>
        <w:t>Fund awards grants to SEAs</w:t>
      </w:r>
      <w:r>
        <w:rPr>
          <w:rFonts w:ascii="Times New Roman" w:hAnsi="Times New Roman"/>
        </w:rPr>
        <w:t xml:space="preserve"> and </w:t>
      </w:r>
      <w:r w:rsidRPr="00E70A78">
        <w:rPr>
          <w:rFonts w:ascii="Times New Roman" w:hAnsi="Times New Roman"/>
        </w:rPr>
        <w:t>for the purpose of providing local educational agencies (LEAs), including charter schools that are LEAs</w:t>
      </w:r>
      <w:r>
        <w:rPr>
          <w:rFonts w:ascii="Times New Roman" w:hAnsi="Times New Roman"/>
        </w:rPr>
        <w:t>, as well as Outlying Areas</w:t>
      </w:r>
      <w:r w:rsidRPr="00E70A78">
        <w:rPr>
          <w:rFonts w:ascii="Times New Roman" w:hAnsi="Times New Roman"/>
        </w:rPr>
        <w:t xml:space="preserve">, with emergency relief funds to address the impact that Novel Coronavirus Disease 2019 (COVID-19) has had, and continues to have, on elementary and secondary schools across the </w:t>
      </w:r>
      <w:r>
        <w:rPr>
          <w:rFonts w:ascii="Times New Roman" w:hAnsi="Times New Roman"/>
        </w:rPr>
        <w:t>N</w:t>
      </w:r>
      <w:r w:rsidRPr="00E70A78">
        <w:rPr>
          <w:rFonts w:ascii="Times New Roman" w:hAnsi="Times New Roman"/>
        </w:rPr>
        <w:t xml:space="preserve">ation.  </w:t>
      </w:r>
    </w:p>
    <w:p w:rsidR="00BC3F8D" w:rsidP="00BC3F8D" w14:paraId="349A7D8E" w14:textId="77777777">
      <w:pPr>
        <w:shd w:val="clear" w:color="auto" w:fill="FFFFFF"/>
        <w:rPr>
          <w:rFonts w:ascii="Times New Roman" w:hAnsi="Times New Roman"/>
          <w:szCs w:val="24"/>
        </w:rPr>
      </w:pPr>
    </w:p>
    <w:p w:rsidR="00BC3F8D" w:rsidRPr="00445EA5" w:rsidP="00BC3F8D" w14:paraId="25CF83AF" w14:textId="77777777">
      <w:pPr>
        <w:shd w:val="clear" w:color="auto" w:fill="FFFFFF"/>
        <w:rPr>
          <w:rFonts w:ascii="Times New Roman" w:hAnsi="Times New Roman"/>
          <w:color w:val="333333"/>
          <w:szCs w:val="24"/>
        </w:rPr>
      </w:pPr>
      <w:r w:rsidRPr="00445EA5">
        <w:rPr>
          <w:rFonts w:ascii="Times New Roman" w:hAnsi="Times New Roman"/>
          <w:szCs w:val="24"/>
        </w:rPr>
        <w:t xml:space="preserve">This information collection is authorized under </w:t>
      </w:r>
      <w:r w:rsidRPr="00445EA5">
        <w:rPr>
          <w:rFonts w:ascii="Times New Roman" w:hAnsi="Times New Roman"/>
          <w:color w:val="333333"/>
          <w:szCs w:val="24"/>
        </w:rPr>
        <w:t>(Authority: </w:t>
      </w:r>
      <w:hyperlink r:id="rId9" w:history="1">
        <w:r w:rsidRPr="00445EA5">
          <w:rPr>
            <w:rStyle w:val="Hyperlink"/>
            <w:rFonts w:ascii="Times New Roman" w:hAnsi="Times New Roman"/>
            <w:color w:val="0068AC"/>
            <w:szCs w:val="24"/>
          </w:rPr>
          <w:t>20</w:t>
        </w:r>
      </w:hyperlink>
      <w:r w:rsidRPr="00445EA5">
        <w:rPr>
          <w:rFonts w:ascii="Times New Roman" w:hAnsi="Times New Roman"/>
          <w:color w:val="333333"/>
          <w:szCs w:val="24"/>
        </w:rPr>
        <w:t> U.S.C. </w:t>
      </w:r>
      <w:hyperlink r:id="rId10" w:history="1">
        <w:r w:rsidRPr="00445EA5">
          <w:rPr>
            <w:rStyle w:val="Hyperlink"/>
            <w:rFonts w:ascii="Times New Roman" w:hAnsi="Times New Roman"/>
            <w:color w:val="0068AC"/>
            <w:szCs w:val="24"/>
          </w:rPr>
          <w:t>1221e-3</w:t>
        </w:r>
      </w:hyperlink>
      <w:r w:rsidRPr="00445EA5">
        <w:rPr>
          <w:rFonts w:ascii="Times New Roman" w:hAnsi="Times New Roman"/>
          <w:color w:val="333333"/>
          <w:szCs w:val="24"/>
        </w:rPr>
        <w:t>, </w:t>
      </w:r>
      <w:hyperlink r:id="rId11" w:history="1">
        <w:r w:rsidRPr="00445EA5">
          <w:rPr>
            <w:rStyle w:val="Hyperlink"/>
            <w:rFonts w:ascii="Times New Roman" w:hAnsi="Times New Roman"/>
            <w:color w:val="0068AC"/>
            <w:szCs w:val="24"/>
          </w:rPr>
          <w:t>1231a</w:t>
        </w:r>
      </w:hyperlink>
      <w:r w:rsidRPr="00445EA5">
        <w:rPr>
          <w:rFonts w:ascii="Times New Roman" w:hAnsi="Times New Roman"/>
          <w:color w:val="333333"/>
          <w:szCs w:val="24"/>
        </w:rPr>
        <w:t>, and </w:t>
      </w:r>
      <w:hyperlink r:id="rId12" w:history="1">
        <w:r w:rsidRPr="00445EA5">
          <w:rPr>
            <w:rStyle w:val="Hyperlink"/>
            <w:rFonts w:ascii="Times New Roman" w:hAnsi="Times New Roman"/>
            <w:color w:val="0068AC"/>
            <w:szCs w:val="24"/>
          </w:rPr>
          <w:t>3474</w:t>
        </w:r>
      </w:hyperlink>
      <w:r w:rsidRPr="00445EA5">
        <w:rPr>
          <w:rFonts w:ascii="Times New Roman" w:hAnsi="Times New Roman"/>
          <w:color w:val="333333"/>
          <w:szCs w:val="24"/>
        </w:rPr>
        <w:t>)</w:t>
      </w:r>
    </w:p>
    <w:p w:rsidR="00BC3F8D" w:rsidRPr="00445EA5" w:rsidP="00BC3F8D" w14:paraId="24FB94E9" w14:textId="77777777">
      <w:pPr>
        <w:shd w:val="clear" w:color="auto" w:fill="FFFFFF"/>
        <w:rPr>
          <w:rFonts w:ascii="Times New Roman" w:hAnsi="Times New Roman"/>
          <w:color w:val="333333"/>
          <w:szCs w:val="24"/>
        </w:rPr>
      </w:pPr>
      <w:r w:rsidRPr="00445EA5">
        <w:rPr>
          <w:rFonts w:ascii="Times New Roman" w:hAnsi="Times New Roman"/>
          <w:color w:val="333333"/>
          <w:szCs w:val="24"/>
        </w:rPr>
        <w:t>[</w:t>
      </w:r>
      <w:hyperlink r:id="rId13" w:history="1">
        <w:r w:rsidRPr="00445EA5">
          <w:rPr>
            <w:rStyle w:val="Hyperlink"/>
            <w:rFonts w:ascii="Times New Roman" w:hAnsi="Times New Roman"/>
            <w:color w:val="0068AC"/>
            <w:szCs w:val="24"/>
          </w:rPr>
          <w:t>72 FR 3702</w:t>
        </w:r>
      </w:hyperlink>
      <w:r w:rsidRPr="00445EA5">
        <w:rPr>
          <w:rFonts w:ascii="Times New Roman" w:hAnsi="Times New Roman"/>
          <w:color w:val="333333"/>
          <w:szCs w:val="24"/>
        </w:rPr>
        <w:t>, Jan. 25, 2007, as amended at </w:t>
      </w:r>
      <w:hyperlink r:id="rId14" w:history="1">
        <w:r w:rsidRPr="00445EA5">
          <w:rPr>
            <w:rStyle w:val="Hyperlink"/>
            <w:rFonts w:ascii="Times New Roman" w:hAnsi="Times New Roman"/>
            <w:color w:val="0068AC"/>
            <w:szCs w:val="24"/>
          </w:rPr>
          <w:t>79 FR 76094</w:t>
        </w:r>
      </w:hyperlink>
      <w:r w:rsidRPr="00445EA5">
        <w:rPr>
          <w:rFonts w:ascii="Times New Roman" w:hAnsi="Times New Roman"/>
          <w:color w:val="333333"/>
          <w:szCs w:val="24"/>
        </w:rPr>
        <w:t>, Dec. 19, 2014]</w:t>
      </w:r>
    </w:p>
    <w:p w:rsidR="00BC3F8D" w:rsidRPr="00445EA5" w:rsidP="00BC3F8D" w14:paraId="628C7B4B" w14:textId="77777777">
      <w:pPr>
        <w:shd w:val="clear" w:color="auto" w:fill="FFFFFF"/>
        <w:rPr>
          <w:rFonts w:ascii="Times New Roman" w:hAnsi="Times New Roman"/>
          <w:color w:val="333333"/>
          <w:szCs w:val="24"/>
        </w:rPr>
      </w:pPr>
    </w:p>
    <w:p w:rsidR="00BC3F8D" w:rsidRPr="00445EA5" w:rsidP="00BC3F8D" w14:paraId="4262E57B" w14:textId="77777777">
      <w:pPr>
        <w:shd w:val="clear" w:color="auto" w:fill="FFFFFF" w:themeFill="background1"/>
        <w:rPr>
          <w:rFonts w:ascii="Times New Roman" w:hAnsi="Times New Roman"/>
          <w:color w:val="333333"/>
        </w:rPr>
      </w:pPr>
      <w:r w:rsidRPr="2E69BC91">
        <w:rPr>
          <w:rFonts w:ascii="Times New Roman" w:hAnsi="Times New Roman"/>
          <w:color w:val="333333"/>
        </w:rPr>
        <w:t>§ 76.720 </w:t>
      </w:r>
      <w:hyperlink r:id="rId15">
        <w:r w:rsidRPr="2E69BC91">
          <w:rPr>
            <w:rStyle w:val="Hyperlink"/>
            <w:rFonts w:ascii="Times New Roman" w:hAnsi="Times New Roman"/>
            <w:color w:val="0068AC"/>
          </w:rPr>
          <w:t>State</w:t>
        </w:r>
      </w:hyperlink>
      <w:r w:rsidRPr="2E69BC91">
        <w:rPr>
          <w:rFonts w:ascii="Times New Roman" w:hAnsi="Times New Roman"/>
          <w:color w:val="333333"/>
        </w:rPr>
        <w:t> and Outlying Areas reporting requirements.</w:t>
      </w:r>
    </w:p>
    <w:p w:rsidR="00CC7F0E" w:rsidP="00BC3F8D" w14:paraId="23FCA3C8" w14:textId="5768303D">
      <w:pPr>
        <w:pStyle w:val="psection-1"/>
        <w:shd w:val="clear" w:color="auto" w:fill="FFFFFF"/>
        <w:spacing w:before="150" w:beforeAutospacing="0" w:after="150" w:afterAutospacing="0"/>
        <w:rPr>
          <w:rFonts w:ascii="Times New Roman" w:hAnsi="Times New Roman" w:cs="Times New Roman"/>
          <w:color w:val="333333"/>
          <w:sz w:val="24"/>
          <w:szCs w:val="24"/>
        </w:rPr>
      </w:pPr>
      <w:r w:rsidRPr="00445EA5">
        <w:rPr>
          <w:rStyle w:val="enumxml"/>
          <w:rFonts w:ascii="Times New Roman" w:hAnsi="Times New Roman" w:cs="Times New Roman"/>
          <w:color w:val="333333"/>
          <w:sz w:val="24"/>
          <w:szCs w:val="24"/>
        </w:rPr>
        <w:t>(a)</w:t>
      </w:r>
      <w:r w:rsidRPr="00445EA5">
        <w:rPr>
          <w:rFonts w:ascii="Times New Roman" w:hAnsi="Times New Roman" w:cs="Times New Roman"/>
          <w:color w:val="333333"/>
          <w:sz w:val="24"/>
          <w:szCs w:val="24"/>
        </w:rPr>
        <w:t> This section applies to a </w:t>
      </w:r>
      <w:hyperlink r:id="rId15" w:history="1">
        <w:r w:rsidRPr="00445EA5">
          <w:rPr>
            <w:rStyle w:val="Hyperlink"/>
            <w:rFonts w:ascii="Times New Roman" w:hAnsi="Times New Roman" w:cs="Times New Roman"/>
            <w:color w:val="0068AC"/>
            <w:sz w:val="24"/>
            <w:szCs w:val="24"/>
          </w:rPr>
          <w:t>State</w:t>
        </w:r>
      </w:hyperlink>
      <w:r w:rsidRPr="00445EA5">
        <w:rPr>
          <w:rFonts w:ascii="Times New Roman" w:hAnsi="Times New Roman" w:cs="Times New Roman"/>
          <w:color w:val="333333"/>
          <w:sz w:val="24"/>
          <w:szCs w:val="24"/>
        </w:rPr>
        <w:t>'s reports required under </w:t>
      </w:r>
      <w:hyperlink r:id="rId16" w:history="1">
        <w:r w:rsidRPr="00445EA5">
          <w:rPr>
            <w:rStyle w:val="Hyperlink"/>
            <w:rFonts w:ascii="Times New Roman" w:hAnsi="Times New Roman" w:cs="Times New Roman"/>
            <w:color w:val="0068AC"/>
            <w:sz w:val="24"/>
            <w:szCs w:val="24"/>
          </w:rPr>
          <w:t>2 CFR 200.327</w:t>
        </w:r>
      </w:hyperlink>
      <w:r w:rsidRPr="00445EA5">
        <w:rPr>
          <w:rFonts w:ascii="Times New Roman" w:hAnsi="Times New Roman" w:cs="Times New Roman"/>
          <w:color w:val="333333"/>
          <w:sz w:val="24"/>
          <w:szCs w:val="24"/>
        </w:rPr>
        <w:t> (Financial reporting) and </w:t>
      </w:r>
      <w:hyperlink r:id="rId17" w:history="1">
        <w:r w:rsidRPr="00445EA5">
          <w:rPr>
            <w:rStyle w:val="Hyperlink"/>
            <w:rFonts w:ascii="Times New Roman" w:hAnsi="Times New Roman" w:cs="Times New Roman"/>
            <w:color w:val="0068AC"/>
            <w:sz w:val="24"/>
            <w:szCs w:val="24"/>
          </w:rPr>
          <w:t>2 CFR 200.328</w:t>
        </w:r>
      </w:hyperlink>
      <w:r w:rsidRPr="00445EA5">
        <w:rPr>
          <w:rFonts w:ascii="Times New Roman" w:hAnsi="Times New Roman" w:cs="Times New Roman"/>
          <w:color w:val="333333"/>
          <w:sz w:val="24"/>
          <w:szCs w:val="24"/>
        </w:rPr>
        <w:t> (Monitoring and reporting program performance), and other reports required by the Secretary and approved by the Office of Management and Budget (OMB) under the </w:t>
      </w:r>
      <w:hyperlink r:id="rId18" w:history="1">
        <w:r w:rsidRPr="00445EA5">
          <w:rPr>
            <w:rStyle w:val="Hyperlink"/>
            <w:rFonts w:ascii="Times New Roman" w:hAnsi="Times New Roman" w:cs="Times New Roman"/>
            <w:color w:val="0068AC"/>
            <w:sz w:val="24"/>
            <w:szCs w:val="24"/>
          </w:rPr>
          <w:t>Paperwork Reduction Act of 1995</w:t>
        </w:r>
      </w:hyperlink>
      <w:r w:rsidRPr="00445EA5">
        <w:rPr>
          <w:rFonts w:ascii="Times New Roman" w:hAnsi="Times New Roman" w:cs="Times New Roman"/>
          <w:color w:val="333333"/>
          <w:sz w:val="24"/>
          <w:szCs w:val="24"/>
        </w:rPr>
        <w:t>, </w:t>
      </w:r>
      <w:hyperlink r:id="rId19" w:history="1">
        <w:r w:rsidRPr="00445EA5">
          <w:rPr>
            <w:rStyle w:val="Hyperlink"/>
            <w:rFonts w:ascii="Times New Roman" w:hAnsi="Times New Roman" w:cs="Times New Roman"/>
            <w:color w:val="0068AC"/>
            <w:sz w:val="24"/>
            <w:szCs w:val="24"/>
          </w:rPr>
          <w:t>44</w:t>
        </w:r>
      </w:hyperlink>
      <w:r w:rsidRPr="00445EA5">
        <w:rPr>
          <w:rFonts w:ascii="Times New Roman" w:hAnsi="Times New Roman" w:cs="Times New Roman"/>
          <w:color w:val="333333"/>
          <w:sz w:val="24"/>
          <w:szCs w:val="24"/>
        </w:rPr>
        <w:t> U.S.C. </w:t>
      </w:r>
      <w:hyperlink r:id="rId20" w:history="1">
        <w:r w:rsidRPr="00445EA5">
          <w:rPr>
            <w:rStyle w:val="Hyperlink"/>
            <w:rFonts w:ascii="Times New Roman" w:hAnsi="Times New Roman" w:cs="Times New Roman"/>
            <w:color w:val="0068AC"/>
            <w:sz w:val="24"/>
            <w:szCs w:val="24"/>
          </w:rPr>
          <w:t>3501</w:t>
        </w:r>
      </w:hyperlink>
      <w:r w:rsidRPr="00445EA5">
        <w:rPr>
          <w:rFonts w:ascii="Times New Roman" w:hAnsi="Times New Roman" w:cs="Times New Roman"/>
          <w:color w:val="333333"/>
          <w:sz w:val="24"/>
          <w:szCs w:val="24"/>
        </w:rPr>
        <w:t>-</w:t>
      </w:r>
      <w:hyperlink r:id="rId21" w:history="1">
        <w:r w:rsidRPr="00445EA5">
          <w:rPr>
            <w:rStyle w:val="Hyperlink"/>
            <w:rFonts w:ascii="Times New Roman" w:hAnsi="Times New Roman" w:cs="Times New Roman"/>
            <w:color w:val="0068AC"/>
            <w:sz w:val="24"/>
            <w:szCs w:val="24"/>
          </w:rPr>
          <w:t>3520</w:t>
        </w:r>
      </w:hyperlink>
      <w:r w:rsidRPr="00445EA5">
        <w:rPr>
          <w:rFonts w:ascii="Times New Roman" w:hAnsi="Times New Roman" w:cs="Times New Roman"/>
          <w:color w:val="333333"/>
          <w:sz w:val="24"/>
          <w:szCs w:val="24"/>
        </w:rPr>
        <w:t>.</w:t>
      </w:r>
    </w:p>
    <w:p w:rsidR="00CC7F0E" w:rsidRPr="00445EA5" w:rsidP="00BC3F8D" w14:paraId="33C46A64" w14:textId="4EBCE0B1">
      <w:pPr>
        <w:pStyle w:val="psection-1"/>
        <w:shd w:val="clear" w:color="auto" w:fill="FFFFFF"/>
        <w:spacing w:before="150" w:beforeAutospacing="0" w:after="150" w:afterAutospacing="0"/>
        <w:rPr>
          <w:rFonts w:ascii="Times New Roman" w:hAnsi="Times New Roman" w:cs="Times New Roman"/>
          <w:color w:val="333333"/>
          <w:sz w:val="24"/>
          <w:szCs w:val="24"/>
        </w:rPr>
      </w:pPr>
      <w:r>
        <w:rPr>
          <w:rFonts w:ascii="Times New Roman" w:hAnsi="Times New Roman" w:cs="Times New Roman"/>
          <w:color w:val="333333"/>
          <w:sz w:val="24"/>
          <w:szCs w:val="24"/>
        </w:rPr>
        <w:t>We are seeking a revision</w:t>
      </w:r>
      <w:r w:rsidR="00067240">
        <w:rPr>
          <w:rFonts w:ascii="Times New Roman" w:hAnsi="Times New Roman" w:cs="Times New Roman"/>
          <w:color w:val="333333"/>
          <w:sz w:val="24"/>
          <w:szCs w:val="24"/>
        </w:rPr>
        <w:t xml:space="preserve"> the ICR</w:t>
      </w:r>
      <w:r>
        <w:rPr>
          <w:rFonts w:ascii="Times New Roman" w:hAnsi="Times New Roman" w:cs="Times New Roman"/>
          <w:color w:val="333333"/>
          <w:sz w:val="24"/>
          <w:szCs w:val="24"/>
        </w:rPr>
        <w:t xml:space="preserve"> to extend the </w:t>
      </w:r>
      <w:r w:rsidR="00067240">
        <w:rPr>
          <w:rFonts w:ascii="Times New Roman" w:hAnsi="Times New Roman" w:cs="Times New Roman"/>
          <w:color w:val="333333"/>
          <w:sz w:val="24"/>
          <w:szCs w:val="24"/>
        </w:rPr>
        <w:t xml:space="preserve">data </w:t>
      </w:r>
      <w:r>
        <w:rPr>
          <w:rFonts w:ascii="Times New Roman" w:hAnsi="Times New Roman" w:cs="Times New Roman"/>
          <w:color w:val="333333"/>
          <w:sz w:val="24"/>
          <w:szCs w:val="24"/>
        </w:rPr>
        <w:t xml:space="preserve">collection through the end of the </w:t>
      </w:r>
      <w:r w:rsidR="00067240">
        <w:rPr>
          <w:rFonts w:ascii="Times New Roman" w:hAnsi="Times New Roman" w:cs="Times New Roman"/>
          <w:color w:val="333333"/>
          <w:sz w:val="24"/>
          <w:szCs w:val="24"/>
        </w:rPr>
        <w:t>ESSER grant liquidation periods</w:t>
      </w:r>
      <w:r>
        <w:rPr>
          <w:rFonts w:ascii="Times New Roman" w:hAnsi="Times New Roman" w:cs="Times New Roman"/>
          <w:color w:val="333333"/>
          <w:sz w:val="24"/>
          <w:szCs w:val="24"/>
        </w:rPr>
        <w:t xml:space="preserve"> </w:t>
      </w:r>
      <w:r w:rsidR="00067240">
        <w:rPr>
          <w:rFonts w:ascii="Times New Roman" w:hAnsi="Times New Roman" w:cs="Times New Roman"/>
          <w:color w:val="333333"/>
          <w:sz w:val="24"/>
          <w:szCs w:val="24"/>
        </w:rPr>
        <w:t xml:space="preserve">and </w:t>
      </w:r>
      <w:r>
        <w:rPr>
          <w:rFonts w:ascii="Times New Roman" w:hAnsi="Times New Roman" w:cs="Times New Roman"/>
          <w:color w:val="333333"/>
          <w:sz w:val="24"/>
          <w:szCs w:val="24"/>
        </w:rPr>
        <w:t xml:space="preserve">implement minor language changes that do not change the burden of the collection. No new questions have been added. </w:t>
      </w:r>
    </w:p>
    <w:p w:rsidR="00BC3F8D" w:rsidP="00AD381B" w14:paraId="4183607B" w14:textId="77777777">
      <w:pPr>
        <w:pStyle w:val="ListParagraph"/>
        <w:suppressAutoHyphens/>
        <w:spacing w:line="240" w:lineRule="exact"/>
        <w:rPr>
          <w:rFonts w:ascii="Times New Roman" w:hAnsi="Times New Roman"/>
          <w:szCs w:val="24"/>
        </w:rPr>
      </w:pPr>
    </w:p>
    <w:p w:rsidR="00AD381B" w:rsidRPr="00AD381B" w:rsidP="00AD381B" w14:paraId="5DAB6C7B" w14:textId="77777777">
      <w:pPr>
        <w:pStyle w:val="ListParagraph"/>
        <w:suppressAutoHyphens/>
        <w:spacing w:line="240" w:lineRule="exact"/>
        <w:contextualSpacing w:val="0"/>
        <w:rPr>
          <w:rFonts w:ascii="Times New Roman" w:hAnsi="Times New Roman"/>
          <w:szCs w:val="24"/>
        </w:rPr>
      </w:pPr>
    </w:p>
    <w:p w:rsidR="00AD381B" w:rsidRPr="00BF5031" w:rsidP="00AD381B" w14:paraId="0B36EA07"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BF5031" w:rsidP="00BF5031" w14:paraId="5B3AD98D" w14:textId="77777777">
      <w:pPr>
        <w:suppressAutoHyphens/>
        <w:spacing w:line="240" w:lineRule="exact"/>
        <w:ind w:left="360"/>
        <w:rPr>
          <w:rFonts w:ascii="Times New Roman" w:hAnsi="Times New Roman"/>
          <w:szCs w:val="24"/>
        </w:rPr>
      </w:pPr>
    </w:p>
    <w:p w:rsidR="00771903" w:rsidRPr="00FB3316" w:rsidP="00771903" w14:paraId="7F15CD78" w14:textId="5CF13BF9">
      <w:pPr>
        <w:tabs>
          <w:tab w:val="center" w:pos="8505"/>
        </w:tabs>
        <w:rPr>
          <w:rFonts w:ascii="Times New Roman" w:hAnsi="Times New Roman"/>
        </w:rPr>
      </w:pPr>
      <w:r w:rsidRPr="00FB3316">
        <w:rPr>
          <w:rFonts w:ascii="Times New Roman" w:hAnsi="Times New Roman"/>
        </w:rPr>
        <w:t xml:space="preserve">The information will be reviewed by U.S. Department of Education </w:t>
      </w:r>
      <w:r>
        <w:rPr>
          <w:rFonts w:ascii="Times New Roman" w:hAnsi="Times New Roman"/>
        </w:rPr>
        <w:t xml:space="preserve">(Department) </w:t>
      </w:r>
      <w:r w:rsidRPr="00FB3316">
        <w:rPr>
          <w:rFonts w:ascii="Times New Roman" w:hAnsi="Times New Roman"/>
        </w:rPr>
        <w:t xml:space="preserve">employees to </w:t>
      </w:r>
      <w:r>
        <w:rPr>
          <w:rFonts w:ascii="Times New Roman" w:hAnsi="Times New Roman"/>
        </w:rPr>
        <w:t>ensure that ESSER f</w:t>
      </w:r>
      <w:r w:rsidRPr="00FB3316">
        <w:rPr>
          <w:rFonts w:ascii="Times New Roman" w:hAnsi="Times New Roman"/>
        </w:rPr>
        <w:t xml:space="preserve">unds are used in accordance with </w:t>
      </w:r>
      <w:r>
        <w:rPr>
          <w:rFonts w:ascii="Times New Roman" w:hAnsi="Times New Roman"/>
        </w:rPr>
        <w:t xml:space="preserve">applicable requirements under </w:t>
      </w:r>
      <w:r w:rsidRPr="00FB3316">
        <w:rPr>
          <w:rFonts w:ascii="Times New Roman" w:hAnsi="Times New Roman"/>
        </w:rPr>
        <w:t>the CARES Act</w:t>
      </w:r>
      <w:r>
        <w:rPr>
          <w:rFonts w:ascii="Times New Roman" w:hAnsi="Times New Roman"/>
        </w:rPr>
        <w:t xml:space="preserve">, </w:t>
      </w:r>
      <w:r w:rsidRPr="6285A1E1">
        <w:rPr>
          <w:rFonts w:ascii="Times New Roman" w:hAnsi="Times New Roman"/>
        </w:rPr>
        <w:t>CRRSA</w:t>
      </w:r>
      <w:r>
        <w:rPr>
          <w:rFonts w:ascii="Times New Roman" w:hAnsi="Times New Roman"/>
        </w:rPr>
        <w:t xml:space="preserve"> </w:t>
      </w:r>
      <w:r w:rsidRPr="6285A1E1">
        <w:rPr>
          <w:rFonts w:ascii="Times New Roman" w:hAnsi="Times New Roman"/>
        </w:rPr>
        <w:t>A</w:t>
      </w:r>
      <w:r>
        <w:rPr>
          <w:rFonts w:ascii="Times New Roman" w:hAnsi="Times New Roman"/>
        </w:rPr>
        <w:t>ct</w:t>
      </w:r>
      <w:r w:rsidRPr="6285A1E1">
        <w:rPr>
          <w:rFonts w:ascii="Times New Roman" w:hAnsi="Times New Roman"/>
        </w:rPr>
        <w:t>, and ARP</w:t>
      </w:r>
      <w:r>
        <w:rPr>
          <w:rFonts w:ascii="Times New Roman" w:hAnsi="Times New Roman"/>
        </w:rPr>
        <w:t xml:space="preserve"> Act and will be shared with the public to promote transparency regarding the allocation and uses of funds.</w:t>
      </w:r>
      <w:r w:rsidRPr="00FB3316">
        <w:rPr>
          <w:rFonts w:ascii="Times New Roman" w:hAnsi="Times New Roman"/>
        </w:rPr>
        <w:t xml:space="preserve"> </w:t>
      </w:r>
      <w:r>
        <w:rPr>
          <w:rFonts w:ascii="Times New Roman" w:hAnsi="Times New Roman"/>
        </w:rPr>
        <w:t xml:space="preserve">Furthermore, the information collected will be analyzed to provide aggregate statistics on SEA and LEA use of ESF funds to address the impacts of the COVID-19 virus on students and schools. </w:t>
      </w:r>
      <w:r w:rsidRPr="7F414E6E">
        <w:rPr>
          <w:rFonts w:ascii="Times New Roman" w:hAnsi="Times New Roman"/>
        </w:rPr>
        <w:t xml:space="preserve">The collection was used for a similar </w:t>
      </w:r>
      <w:r w:rsidRPr="7F414E6E">
        <w:rPr>
          <w:rFonts w:ascii="Times New Roman" w:hAnsi="Times New Roman"/>
        </w:rPr>
        <w:t xml:space="preserve">purpose in the first </w:t>
      </w:r>
      <w:r w:rsidR="0020209A">
        <w:rPr>
          <w:rFonts w:ascii="Times New Roman" w:hAnsi="Times New Roman"/>
        </w:rPr>
        <w:t>four</w:t>
      </w:r>
      <w:r>
        <w:rPr>
          <w:rFonts w:ascii="Times New Roman" w:hAnsi="Times New Roman"/>
        </w:rPr>
        <w:t xml:space="preserve"> years</w:t>
      </w:r>
      <w:r w:rsidRPr="7F414E6E">
        <w:rPr>
          <w:rFonts w:ascii="Times New Roman" w:hAnsi="Times New Roman"/>
        </w:rPr>
        <w:t xml:space="preserve"> of its administration, with reporting made public in </w:t>
      </w:r>
      <w:r>
        <w:rPr>
          <w:rFonts w:ascii="Times New Roman" w:hAnsi="Times New Roman"/>
        </w:rPr>
        <w:t>2021, 2022, and 2024</w:t>
      </w:r>
      <w:r w:rsidRPr="7F414E6E">
        <w:rPr>
          <w:rFonts w:ascii="Times New Roman" w:hAnsi="Times New Roman"/>
        </w:rPr>
        <w:t xml:space="preserve">. </w:t>
      </w:r>
    </w:p>
    <w:p w:rsidR="00BF5031" w:rsidRPr="00FB3316" w:rsidP="00BF5031" w14:paraId="0A62C034" w14:textId="02787B9E">
      <w:pPr>
        <w:tabs>
          <w:tab w:val="center" w:pos="8505"/>
        </w:tabs>
        <w:rPr>
          <w:rFonts w:ascii="Times New Roman" w:hAnsi="Times New Roman"/>
        </w:rPr>
      </w:pPr>
    </w:p>
    <w:p w:rsidR="00BF5031" w:rsidRPr="00BF5031" w:rsidP="00BF5031" w14:paraId="368794C3" w14:textId="77777777">
      <w:pPr>
        <w:suppressAutoHyphens/>
        <w:spacing w:line="240" w:lineRule="exact"/>
        <w:ind w:left="360"/>
        <w:rPr>
          <w:rFonts w:ascii="Times New Roman" w:hAnsi="Times New Roman"/>
          <w:szCs w:val="24"/>
        </w:rPr>
      </w:pPr>
    </w:p>
    <w:p w:rsidR="00043C32" w:rsidRPr="00AD381B" w:rsidP="00AD381B" w14:paraId="6A05A809" w14:textId="77777777">
      <w:pPr>
        <w:suppressAutoHyphens/>
        <w:spacing w:line="240" w:lineRule="exact"/>
        <w:rPr>
          <w:rFonts w:ascii="Times New Roman" w:hAnsi="Times New Roman"/>
          <w:szCs w:val="24"/>
        </w:rPr>
      </w:pPr>
    </w:p>
    <w:p w:rsidR="00043C32" w:rsidRPr="00AD381B" w:rsidP="00AD381B" w14:paraId="58A09643"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w:t>
      </w:r>
      <w:r w:rsidR="00A23F26">
        <w:rPr>
          <w:rFonts w:ascii="Times New Roman" w:hAnsi="Times New Roman"/>
          <w:b/>
          <w:szCs w:val="24"/>
        </w:rPr>
        <w:t>system</w:t>
      </w:r>
      <w:r w:rsidR="00A23F26">
        <w:rPr>
          <w:rFonts w:ascii="Times New Roman" w:hAnsi="Times New Roman"/>
          <w:b/>
          <w:szCs w:val="24"/>
        </w:rPr>
        <w:t xml:space="preserve"> or website from paper), please explain in number 12.</w:t>
      </w:r>
    </w:p>
    <w:p w:rsidR="00AD381B" w:rsidP="00AD381B" w14:paraId="5A39BBE3" w14:textId="77777777">
      <w:pPr>
        <w:pStyle w:val="ListParagraph"/>
        <w:tabs>
          <w:tab w:val="left" w:pos="-720"/>
        </w:tabs>
        <w:suppressAutoHyphens/>
        <w:contextualSpacing w:val="0"/>
        <w:rPr>
          <w:rFonts w:ascii="Times New Roman" w:hAnsi="Times New Roman"/>
          <w:szCs w:val="24"/>
        </w:rPr>
      </w:pPr>
    </w:p>
    <w:p w:rsidR="00C90B58" w:rsidRPr="00196A81" w:rsidP="00C90B58" w14:paraId="698A116C" w14:textId="77777777">
      <w:pPr>
        <w:tabs>
          <w:tab w:val="left" w:pos="-720"/>
        </w:tabs>
        <w:suppressAutoHyphens/>
        <w:rPr>
          <w:rFonts w:ascii="Times New Roman" w:hAnsi="Times New Roman"/>
          <w:szCs w:val="24"/>
        </w:rPr>
      </w:pPr>
      <w:r w:rsidRPr="21B518C9">
        <w:rPr>
          <w:rFonts w:ascii="Times New Roman" w:hAnsi="Times New Roman"/>
        </w:rPr>
        <w:t xml:space="preserve">Data collection will be conducted through a </w:t>
      </w:r>
      <w:r w:rsidRPr="21B518C9">
        <w:rPr>
          <w:rFonts w:ascii="Times New Roman" w:hAnsi="Times New Roman"/>
        </w:rPr>
        <w:t>Department</w:t>
      </w:r>
      <w:r w:rsidRPr="21B518C9">
        <w:rPr>
          <w:rFonts w:ascii="Times New Roman" w:hAnsi="Times New Roman"/>
        </w:rPr>
        <w:t xml:space="preserve">-provided web portal. Electronic data collection through a web portal was chosen because of its efficiency, cost, and ability to pre-populate certain fields and conduct verification checks on others in an automated manner. The data collection web portal will leverage the existing structure for data collection set up in 2020 </w:t>
      </w:r>
      <w:r>
        <w:rPr>
          <w:rFonts w:ascii="Times New Roman" w:hAnsi="Times New Roman"/>
        </w:rPr>
        <w:t>and updated in 2022. G</w:t>
      </w:r>
      <w:r w:rsidRPr="21B518C9">
        <w:rPr>
          <w:rFonts w:ascii="Times New Roman" w:hAnsi="Times New Roman"/>
        </w:rPr>
        <w:t>rantees already have accounts set up on the system and are familiar with it. The web portal was developed to align with objective 4.4 of the Department’s data strategy.</w:t>
      </w:r>
      <w:r>
        <w:rPr>
          <w:rStyle w:val="FootnoteReference"/>
        </w:rPr>
        <w:footnoteReference w:id="2"/>
      </w:r>
      <w:r w:rsidRPr="21B518C9">
        <w:rPr>
          <w:rFonts w:ascii="Times New Roman" w:hAnsi="Times New Roman"/>
        </w:rPr>
        <w:t xml:space="preserve"> In particular, the web portal conforms to the FAIR (Findable, Accessible, Interoperable, Re-usable) principle because it both collects and publishes data in a format consistent with these guidelines.</w:t>
      </w:r>
    </w:p>
    <w:p w:rsidR="00C90B58" w:rsidP="00AD381B" w14:paraId="654F83EE" w14:textId="77777777">
      <w:pPr>
        <w:pStyle w:val="ListParagraph"/>
        <w:tabs>
          <w:tab w:val="left" w:pos="-720"/>
        </w:tabs>
        <w:suppressAutoHyphens/>
        <w:contextualSpacing w:val="0"/>
        <w:rPr>
          <w:rFonts w:ascii="Times New Roman" w:hAnsi="Times New Roman"/>
          <w:szCs w:val="24"/>
        </w:rPr>
      </w:pPr>
    </w:p>
    <w:p w:rsidR="00C90B58" w:rsidP="00AD381B" w14:paraId="2EB6C524" w14:textId="77777777">
      <w:pPr>
        <w:pStyle w:val="ListParagraph"/>
        <w:tabs>
          <w:tab w:val="left" w:pos="-720"/>
        </w:tabs>
        <w:suppressAutoHyphens/>
        <w:contextualSpacing w:val="0"/>
        <w:rPr>
          <w:rFonts w:ascii="Times New Roman" w:hAnsi="Times New Roman"/>
          <w:szCs w:val="24"/>
        </w:rPr>
      </w:pPr>
    </w:p>
    <w:p w:rsidR="00AD381B" w:rsidP="00AD381B" w14:paraId="5A0FD0D7"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A856E3" w:rsidP="00A856E3" w14:paraId="65BE66C9" w14:textId="77777777">
      <w:pPr>
        <w:ind w:left="360"/>
        <w:rPr>
          <w:rFonts w:ascii="Times New Roman" w:hAnsi="Times New Roman"/>
          <w:iCs/>
          <w:szCs w:val="24"/>
        </w:rPr>
      </w:pPr>
    </w:p>
    <w:p w:rsidR="00A856E3" w:rsidRPr="00A856E3" w:rsidP="00A856E3" w14:paraId="66E6AE33" w14:textId="4FCC2543">
      <w:pPr>
        <w:ind w:left="360"/>
        <w:rPr>
          <w:rFonts w:ascii="Times New Roman" w:hAnsi="Times New Roman"/>
          <w:iCs/>
          <w:szCs w:val="24"/>
        </w:rPr>
      </w:pPr>
      <w:r w:rsidRPr="00A856E3">
        <w:rPr>
          <w:rFonts w:ascii="Times New Roman" w:hAnsi="Times New Roman"/>
          <w:iCs/>
          <w:szCs w:val="24"/>
        </w:rPr>
        <w:t xml:space="preserve">This is a unique collection that responds to reporting requirements in ESSER as authorized under the CARES Act, CRRSA Act and ARP Act. There are no other data collections that seek this information. </w:t>
      </w:r>
    </w:p>
    <w:p w:rsidR="00246FE9" w:rsidRPr="00A856E3" w:rsidP="00A856E3" w14:paraId="72A3D3EC" w14:textId="77777777">
      <w:pPr>
        <w:tabs>
          <w:tab w:val="left" w:pos="-720"/>
        </w:tabs>
        <w:suppressAutoHyphens/>
        <w:ind w:left="360"/>
        <w:rPr>
          <w:rFonts w:ascii="Times New Roman" w:hAnsi="Times New Roman"/>
          <w:b/>
          <w:szCs w:val="24"/>
        </w:rPr>
      </w:pPr>
    </w:p>
    <w:p w:rsidR="00043C32" w:rsidP="00AD381B" w14:paraId="4DB7F1D4"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0D0B940D" w14:textId="77777777">
      <w:pPr>
        <w:pStyle w:val="ListParagraph"/>
        <w:contextualSpacing w:val="0"/>
        <w:rPr>
          <w:rFonts w:ascii="Times New Roman" w:hAnsi="Times New Roman"/>
          <w:szCs w:val="24"/>
        </w:rPr>
      </w:pPr>
    </w:p>
    <w:p w:rsidR="00A83AFC" w:rsidRPr="00196A81" w:rsidP="00A83AFC" w14:paraId="4E007747" w14:textId="77777777">
      <w:pPr>
        <w:pStyle w:val="ListParagraph"/>
        <w:ind w:left="0"/>
        <w:rPr>
          <w:rFonts w:ascii="Times New Roman" w:hAnsi="Times New Roman"/>
          <w:iCs/>
          <w:szCs w:val="24"/>
        </w:rPr>
      </w:pPr>
      <w:r>
        <w:rPr>
          <w:rFonts w:ascii="Times New Roman" w:hAnsi="Times New Roman"/>
          <w:iCs/>
          <w:szCs w:val="24"/>
        </w:rPr>
        <w:t>The collection does not impact small businesses or other small entities</w:t>
      </w:r>
      <w:r w:rsidRPr="00196A81">
        <w:rPr>
          <w:rFonts w:ascii="Times New Roman" w:hAnsi="Times New Roman"/>
          <w:iCs/>
          <w:szCs w:val="24"/>
        </w:rPr>
        <w:t>.</w:t>
      </w:r>
    </w:p>
    <w:p w:rsidR="00AD381B" w:rsidRPr="00A83AFC" w:rsidP="00A83AFC" w14:paraId="0E27B00A" w14:textId="77777777">
      <w:pPr>
        <w:rPr>
          <w:rFonts w:ascii="Times New Roman" w:hAnsi="Times New Roman"/>
          <w:szCs w:val="24"/>
        </w:rPr>
      </w:pPr>
    </w:p>
    <w:p w:rsidR="00043C32" w:rsidP="00AD381B" w14:paraId="4E28CEBA"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004C57" w:rsidP="00004C57" w14:paraId="227D5B66" w14:textId="77777777">
      <w:pPr>
        <w:tabs>
          <w:tab w:val="left" w:pos="-720"/>
        </w:tabs>
        <w:suppressAutoHyphens/>
        <w:rPr>
          <w:rFonts w:ascii="Times New Roman" w:hAnsi="Times New Roman"/>
          <w:b/>
          <w:szCs w:val="24"/>
        </w:rPr>
      </w:pPr>
    </w:p>
    <w:p w:rsidR="00004C57" w:rsidRPr="00AD5C74" w:rsidP="00004C57" w14:paraId="50630598" w14:textId="77777777">
      <w:pPr>
        <w:tabs>
          <w:tab w:val="left" w:pos="-720"/>
        </w:tabs>
        <w:suppressAutoHyphens/>
        <w:rPr>
          <w:rFonts w:ascii="Times New Roman" w:hAnsi="Times New Roman"/>
          <w:color w:val="FF0000"/>
          <w:szCs w:val="24"/>
        </w:rPr>
      </w:pPr>
      <w:r w:rsidRPr="00196A81">
        <w:rPr>
          <w:rFonts w:ascii="Times New Roman" w:hAnsi="Times New Roman"/>
          <w:szCs w:val="24"/>
        </w:rPr>
        <w:t xml:space="preserve">If this collection is not allowed to proceed, the Department will not be able to </w:t>
      </w:r>
      <w:r>
        <w:rPr>
          <w:rFonts w:ascii="Times New Roman" w:hAnsi="Times New Roman"/>
          <w:szCs w:val="24"/>
        </w:rPr>
        <w:t>collect information to inform monitoring oversight and public transparency regarding the uses of funds under ESSER.</w:t>
      </w:r>
    </w:p>
    <w:p w:rsidR="00004C57" w:rsidRPr="00004C57" w:rsidP="00004C57" w14:paraId="6FBA1275" w14:textId="77777777">
      <w:pPr>
        <w:tabs>
          <w:tab w:val="left" w:pos="-720"/>
        </w:tabs>
        <w:suppressAutoHyphens/>
        <w:rPr>
          <w:rFonts w:ascii="Times New Roman" w:hAnsi="Times New Roman"/>
          <w:b/>
          <w:szCs w:val="24"/>
        </w:rPr>
      </w:pPr>
    </w:p>
    <w:p w:rsidR="00043C32" w:rsidRPr="00AD381B" w:rsidP="00AD381B" w14:paraId="74BEDF83"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0061E4C" w14:textId="77777777">
      <w:pPr>
        <w:tabs>
          <w:tab w:val="left" w:pos="-720"/>
        </w:tabs>
        <w:suppressAutoHyphens/>
        <w:rPr>
          <w:rFonts w:ascii="Times New Roman" w:hAnsi="Times New Roman"/>
          <w:b/>
          <w:szCs w:val="24"/>
        </w:rPr>
      </w:pPr>
    </w:p>
    <w:p w:rsidR="00043C32" w:rsidRPr="00AD381B" w:rsidP="00AD381B" w14:paraId="29B1D7A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44EAFD9C" w14:textId="77777777">
      <w:pPr>
        <w:numPr>
          <w:ilvl w:val="12"/>
          <w:numId w:val="0"/>
        </w:numPr>
        <w:tabs>
          <w:tab w:val="left" w:pos="-720"/>
        </w:tabs>
        <w:suppressAutoHyphens/>
        <w:ind w:left="340"/>
        <w:rPr>
          <w:rFonts w:ascii="Times New Roman" w:hAnsi="Times New Roman"/>
          <w:b/>
          <w:szCs w:val="24"/>
        </w:rPr>
      </w:pPr>
    </w:p>
    <w:p w:rsidR="00043C32" w:rsidRPr="00AD381B" w:rsidP="00AD381B" w14:paraId="1CA4CE5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4B94D5A5" w14:textId="77777777">
      <w:pPr>
        <w:numPr>
          <w:ilvl w:val="12"/>
          <w:numId w:val="0"/>
        </w:numPr>
        <w:tabs>
          <w:tab w:val="left" w:pos="-720"/>
        </w:tabs>
        <w:suppressAutoHyphens/>
        <w:rPr>
          <w:rFonts w:ascii="Times New Roman" w:hAnsi="Times New Roman"/>
          <w:b/>
          <w:szCs w:val="24"/>
        </w:rPr>
      </w:pPr>
    </w:p>
    <w:p w:rsidR="00043C32" w:rsidRPr="00AD381B" w:rsidP="00AD381B" w14:paraId="10AA5D5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3DEEC669" w14:textId="77777777">
      <w:pPr>
        <w:numPr>
          <w:ilvl w:val="12"/>
          <w:numId w:val="0"/>
        </w:numPr>
        <w:tabs>
          <w:tab w:val="left" w:pos="-720"/>
        </w:tabs>
        <w:suppressAutoHyphens/>
        <w:rPr>
          <w:rFonts w:ascii="Times New Roman" w:hAnsi="Times New Roman"/>
          <w:b/>
          <w:szCs w:val="24"/>
        </w:rPr>
      </w:pPr>
    </w:p>
    <w:p w:rsidR="00043C32" w:rsidRPr="00AD381B" w:rsidP="00AD381B" w14:paraId="2844D2A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3656B9AB" w14:textId="77777777">
      <w:pPr>
        <w:numPr>
          <w:ilvl w:val="12"/>
          <w:numId w:val="0"/>
        </w:numPr>
        <w:tabs>
          <w:tab w:val="left" w:pos="-720"/>
        </w:tabs>
        <w:suppressAutoHyphens/>
        <w:rPr>
          <w:rFonts w:ascii="Times New Roman" w:hAnsi="Times New Roman"/>
          <w:b/>
          <w:szCs w:val="24"/>
        </w:rPr>
      </w:pPr>
    </w:p>
    <w:p w:rsidR="00043C32" w:rsidRPr="00AD381B" w:rsidP="00AD381B" w14:paraId="25303A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45FB0818" w14:textId="77777777">
      <w:pPr>
        <w:numPr>
          <w:ilvl w:val="12"/>
          <w:numId w:val="0"/>
        </w:numPr>
        <w:tabs>
          <w:tab w:val="left" w:pos="-720"/>
        </w:tabs>
        <w:suppressAutoHyphens/>
        <w:rPr>
          <w:rFonts w:ascii="Times New Roman" w:hAnsi="Times New Roman"/>
          <w:b/>
          <w:szCs w:val="24"/>
        </w:rPr>
      </w:pPr>
    </w:p>
    <w:p w:rsidR="00043C32" w:rsidRPr="00AD381B" w:rsidP="00AD381B" w14:paraId="032EB8F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049F31CB" w14:textId="77777777">
      <w:pPr>
        <w:numPr>
          <w:ilvl w:val="12"/>
          <w:numId w:val="0"/>
        </w:numPr>
        <w:tabs>
          <w:tab w:val="left" w:pos="-720"/>
        </w:tabs>
        <w:suppressAutoHyphens/>
        <w:rPr>
          <w:rFonts w:ascii="Times New Roman" w:hAnsi="Times New Roman"/>
          <w:b/>
          <w:szCs w:val="24"/>
        </w:rPr>
      </w:pPr>
    </w:p>
    <w:p w:rsidR="00043C32" w:rsidRPr="00AD381B" w:rsidP="00AD381B" w14:paraId="26BD20C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3128261" w14:textId="77777777">
      <w:pPr>
        <w:numPr>
          <w:ilvl w:val="12"/>
          <w:numId w:val="0"/>
        </w:numPr>
        <w:tabs>
          <w:tab w:val="left" w:pos="-720"/>
        </w:tabs>
        <w:suppressAutoHyphens/>
        <w:rPr>
          <w:rFonts w:ascii="Times New Roman" w:hAnsi="Times New Roman"/>
          <w:b/>
          <w:szCs w:val="24"/>
        </w:rPr>
      </w:pPr>
    </w:p>
    <w:p w:rsidR="00043C32" w:rsidP="00AD381B" w14:paraId="47767B1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721AEB" w:rsidRPr="00721AEB" w:rsidP="00721AEB" w14:paraId="5CF51C66" w14:textId="0C1A2206">
      <w:pPr>
        <w:tabs>
          <w:tab w:val="left" w:pos="-720"/>
          <w:tab w:val="left" w:pos="0"/>
        </w:tabs>
        <w:suppressAutoHyphens/>
        <w:rPr>
          <w:rFonts w:ascii="Times New Roman" w:hAnsi="Times New Roman"/>
          <w:iCs/>
          <w:szCs w:val="24"/>
        </w:rPr>
      </w:pPr>
      <w:r w:rsidRPr="00721AEB">
        <w:rPr>
          <w:rFonts w:ascii="Times New Roman" w:hAnsi="Times New Roman"/>
          <w:iCs/>
          <w:szCs w:val="24"/>
        </w:rPr>
        <w:t>No such circumstances exist.</w:t>
      </w:r>
    </w:p>
    <w:p w:rsidR="00AD381B" w:rsidP="00AD381B" w14:paraId="62486C05" w14:textId="77777777">
      <w:pPr>
        <w:pStyle w:val="ListParagraph"/>
        <w:rPr>
          <w:rFonts w:ascii="Times New Roman" w:hAnsi="Times New Roman"/>
          <w:b/>
          <w:szCs w:val="24"/>
        </w:rPr>
      </w:pPr>
    </w:p>
    <w:p w:rsidR="00AD381B" w:rsidRPr="00AD381B" w:rsidP="00AD381B" w14:paraId="4101652C" w14:textId="77777777">
      <w:pPr>
        <w:tabs>
          <w:tab w:val="left" w:pos="-720"/>
        </w:tabs>
        <w:suppressAutoHyphens/>
        <w:rPr>
          <w:rFonts w:ascii="Times New Roman" w:hAnsi="Times New Roman"/>
          <w:szCs w:val="24"/>
        </w:rPr>
      </w:pPr>
    </w:p>
    <w:p w:rsidR="00D75313" w:rsidP="00AD381B" w14:paraId="53C6C85B"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4B99056E"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F5C5A0C"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1299C43A"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24E60415"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120E5E19"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4DDBEF00" w14:textId="77777777">
      <w:pPr>
        <w:tabs>
          <w:tab w:val="left" w:pos="-720"/>
        </w:tabs>
        <w:suppressAutoHyphens/>
        <w:rPr>
          <w:rStyle w:val="a"/>
          <w:rFonts w:ascii="Times New Roman" w:hAnsi="Times New Roman"/>
          <w:b/>
          <w:szCs w:val="24"/>
        </w:rPr>
      </w:pPr>
    </w:p>
    <w:p w:rsidR="00043C32" w:rsidP="00AD381B" w14:paraId="0680590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66550" w:rsidP="00AC659E" w14:paraId="3CF2D8B6" w14:textId="77777777">
      <w:pPr>
        <w:tabs>
          <w:tab w:val="left" w:pos="-720"/>
        </w:tabs>
        <w:suppressAutoHyphens/>
        <w:rPr>
          <w:rFonts w:ascii="Times New Roman" w:hAnsi="Times New Roman"/>
          <w:b/>
          <w:szCs w:val="24"/>
        </w:rPr>
      </w:pPr>
    </w:p>
    <w:p w:rsidR="00AC659E" w:rsidP="00AC659E" w14:paraId="350381DD" w14:textId="4988EDAA">
      <w:pPr>
        <w:pStyle w:val="CommentText"/>
        <w:rPr>
          <w:rFonts w:ascii="Times New Roman" w:hAnsi="Times New Roman"/>
          <w:sz w:val="24"/>
          <w:szCs w:val="24"/>
        </w:rPr>
      </w:pPr>
      <w:r w:rsidRPr="00760765">
        <w:rPr>
          <w:rFonts w:ascii="Times New Roman" w:hAnsi="Times New Roman"/>
          <w:sz w:val="24"/>
          <w:szCs w:val="24"/>
        </w:rPr>
        <w:t xml:space="preserve">To comply with the Paperwork Reduction Act, the Department </w:t>
      </w:r>
      <w:r w:rsidRPr="00FF0C89">
        <w:rPr>
          <w:rFonts w:ascii="Times New Roman" w:hAnsi="Times New Roman"/>
          <w:sz w:val="24"/>
          <w:szCs w:val="24"/>
        </w:rPr>
        <w:t xml:space="preserve">considers comments from the public when developing the currently approved forms. </w:t>
      </w:r>
      <w:r w:rsidR="00E7755B">
        <w:rPr>
          <w:rFonts w:ascii="Times New Roman" w:hAnsi="Times New Roman"/>
          <w:sz w:val="24"/>
          <w:szCs w:val="24"/>
        </w:rPr>
        <w:t>T</w:t>
      </w:r>
      <w:r w:rsidRPr="00FF0C89">
        <w:rPr>
          <w:rFonts w:ascii="Times New Roman" w:hAnsi="Times New Roman"/>
          <w:sz w:val="24"/>
          <w:szCs w:val="24"/>
        </w:rPr>
        <w:t>he Department request</w:t>
      </w:r>
      <w:r w:rsidR="00BB66F9">
        <w:rPr>
          <w:rFonts w:ascii="Times New Roman" w:hAnsi="Times New Roman"/>
          <w:sz w:val="24"/>
          <w:szCs w:val="24"/>
        </w:rPr>
        <w:t>ed</w:t>
      </w:r>
      <w:r w:rsidRPr="00FF0C89">
        <w:rPr>
          <w:rFonts w:ascii="Times New Roman" w:hAnsi="Times New Roman"/>
          <w:sz w:val="24"/>
          <w:szCs w:val="24"/>
        </w:rPr>
        <w:t xml:space="preserve"> a 60-day </w:t>
      </w:r>
      <w:r w:rsidR="00B460DB">
        <w:rPr>
          <w:rFonts w:ascii="Times New Roman" w:hAnsi="Times New Roman"/>
          <w:sz w:val="24"/>
          <w:szCs w:val="24"/>
        </w:rPr>
        <w:t xml:space="preserve">comment </w:t>
      </w:r>
      <w:r w:rsidR="0006065D">
        <w:rPr>
          <w:rFonts w:ascii="Times New Roman" w:hAnsi="Times New Roman"/>
          <w:sz w:val="24"/>
          <w:szCs w:val="24"/>
        </w:rPr>
        <w:t xml:space="preserve">period, which was </w:t>
      </w:r>
      <w:r w:rsidRPr="00FF0C89">
        <w:rPr>
          <w:rFonts w:ascii="Times New Roman" w:hAnsi="Times New Roman"/>
          <w:sz w:val="24"/>
          <w:szCs w:val="24"/>
        </w:rPr>
        <w:t xml:space="preserve">published in the </w:t>
      </w:r>
      <w:r w:rsidRPr="002F695B">
        <w:rPr>
          <w:rFonts w:ascii="Times New Roman" w:hAnsi="Times New Roman"/>
          <w:i/>
          <w:iCs/>
          <w:sz w:val="24"/>
          <w:szCs w:val="24"/>
        </w:rPr>
        <w:t>Federal Register</w:t>
      </w:r>
      <w:r w:rsidR="0006065D">
        <w:rPr>
          <w:rFonts w:ascii="Times New Roman" w:hAnsi="Times New Roman"/>
          <w:i/>
          <w:iCs/>
          <w:sz w:val="24"/>
          <w:szCs w:val="24"/>
        </w:rPr>
        <w:t xml:space="preserve"> </w:t>
      </w:r>
      <w:r w:rsidR="001E34DF">
        <w:rPr>
          <w:rFonts w:ascii="Times New Roman" w:hAnsi="Times New Roman"/>
          <w:sz w:val="24"/>
          <w:szCs w:val="24"/>
        </w:rPr>
        <w:t>on August 6, 2024</w:t>
      </w:r>
      <w:r w:rsidR="00E17E92">
        <w:rPr>
          <w:rFonts w:ascii="Times New Roman" w:hAnsi="Times New Roman"/>
          <w:sz w:val="24"/>
          <w:szCs w:val="24"/>
        </w:rPr>
        <w:t xml:space="preserve"> (vol</w:t>
      </w:r>
      <w:r w:rsidR="00CA4ACD">
        <w:rPr>
          <w:rFonts w:ascii="Times New Roman" w:hAnsi="Times New Roman"/>
          <w:sz w:val="24"/>
          <w:szCs w:val="24"/>
        </w:rPr>
        <w:t>. 89, No.151,</w:t>
      </w:r>
      <w:r w:rsidR="001E34DF">
        <w:rPr>
          <w:rFonts w:ascii="Times New Roman" w:hAnsi="Times New Roman"/>
          <w:sz w:val="24"/>
          <w:szCs w:val="24"/>
        </w:rPr>
        <w:t xml:space="preserve"> </w:t>
      </w:r>
      <w:r w:rsidRPr="0078643F" w:rsidR="0078643F">
        <w:rPr>
          <w:rFonts w:ascii="Melior-Bold" w:hAnsi="Melior-Bold" w:cs="Melior-Bold"/>
          <w:sz w:val="22"/>
          <w:szCs w:val="22"/>
        </w:rPr>
        <w:t>63931</w:t>
      </w:r>
      <w:r w:rsidRPr="00FF0C89">
        <w:rPr>
          <w:rFonts w:ascii="Times New Roman" w:hAnsi="Times New Roman"/>
          <w:sz w:val="24"/>
          <w:szCs w:val="24"/>
        </w:rPr>
        <w:t>. Th</w:t>
      </w:r>
      <w:r w:rsidR="00E7755B">
        <w:rPr>
          <w:rFonts w:ascii="Times New Roman" w:hAnsi="Times New Roman"/>
          <w:sz w:val="24"/>
          <w:szCs w:val="24"/>
        </w:rPr>
        <w:t xml:space="preserve">e Department </w:t>
      </w:r>
      <w:r w:rsidR="00386E6E">
        <w:rPr>
          <w:rFonts w:ascii="Times New Roman" w:hAnsi="Times New Roman"/>
          <w:sz w:val="24"/>
          <w:szCs w:val="24"/>
        </w:rPr>
        <w:t xml:space="preserve">received one substantive comment </w:t>
      </w:r>
      <w:r w:rsidR="00597333">
        <w:rPr>
          <w:rFonts w:ascii="Times New Roman" w:hAnsi="Times New Roman"/>
          <w:sz w:val="24"/>
          <w:szCs w:val="24"/>
        </w:rPr>
        <w:t xml:space="preserve">to which it provided responses.  The Department </w:t>
      </w:r>
      <w:r w:rsidR="00386E6E">
        <w:rPr>
          <w:rFonts w:ascii="Times New Roman" w:hAnsi="Times New Roman"/>
          <w:sz w:val="24"/>
          <w:szCs w:val="24"/>
        </w:rPr>
        <w:t xml:space="preserve">is </w:t>
      </w:r>
      <w:r w:rsidR="00597333">
        <w:rPr>
          <w:rFonts w:ascii="Times New Roman" w:hAnsi="Times New Roman"/>
          <w:sz w:val="24"/>
          <w:szCs w:val="24"/>
        </w:rPr>
        <w:t xml:space="preserve">now requesting </w:t>
      </w:r>
      <w:r w:rsidRPr="00FF0C89" w:rsidR="002F695B">
        <w:rPr>
          <w:rFonts w:ascii="Times New Roman" w:hAnsi="Times New Roman"/>
          <w:sz w:val="24"/>
          <w:szCs w:val="24"/>
        </w:rPr>
        <w:t>a 30-day public comment period</w:t>
      </w:r>
      <w:r w:rsidR="00597333">
        <w:rPr>
          <w:rFonts w:ascii="Times New Roman" w:hAnsi="Times New Roman"/>
          <w:sz w:val="24"/>
          <w:szCs w:val="24"/>
        </w:rPr>
        <w:t>.</w:t>
      </w:r>
    </w:p>
    <w:p w:rsidR="00AC659E" w:rsidP="00AC659E" w14:paraId="66E8E3C1" w14:textId="77777777">
      <w:pPr>
        <w:tabs>
          <w:tab w:val="left" w:pos="-720"/>
        </w:tabs>
        <w:suppressAutoHyphens/>
        <w:rPr>
          <w:rFonts w:ascii="Times New Roman" w:hAnsi="Times New Roman"/>
          <w:b/>
          <w:szCs w:val="24"/>
        </w:rPr>
      </w:pPr>
    </w:p>
    <w:p w:rsidR="00AC659E" w:rsidP="00AC659E" w14:paraId="4B73D01B" w14:textId="77777777">
      <w:pPr>
        <w:tabs>
          <w:tab w:val="left" w:pos="-720"/>
        </w:tabs>
        <w:suppressAutoHyphens/>
        <w:rPr>
          <w:rFonts w:ascii="Times New Roman" w:hAnsi="Times New Roman"/>
          <w:szCs w:val="24"/>
        </w:rPr>
      </w:pPr>
    </w:p>
    <w:p w:rsidR="00043C32" w:rsidP="00AD381B" w14:paraId="037CC6BD"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1C27F4" w:rsidP="001C27F4" w14:paraId="15F827EC" w14:textId="77777777">
      <w:pPr>
        <w:tabs>
          <w:tab w:val="left" w:pos="0"/>
        </w:tabs>
        <w:suppressAutoHyphens/>
        <w:ind w:left="360"/>
        <w:rPr>
          <w:rFonts w:ascii="Times New Roman" w:hAnsi="Times New Roman"/>
        </w:rPr>
      </w:pPr>
    </w:p>
    <w:p w:rsidR="001C27F4" w:rsidRPr="001C27F4" w:rsidP="001C27F4" w14:paraId="4E69CFD4" w14:textId="1385FAEE">
      <w:pPr>
        <w:tabs>
          <w:tab w:val="left" w:pos="0"/>
        </w:tabs>
        <w:suppressAutoHyphens/>
        <w:ind w:left="360"/>
        <w:rPr>
          <w:rFonts w:ascii="Times New Roman" w:hAnsi="Times New Roman"/>
        </w:rPr>
      </w:pPr>
      <w:r w:rsidRPr="001C27F4">
        <w:rPr>
          <w:rFonts w:ascii="Times New Roman" w:hAnsi="Times New Roman"/>
        </w:rPr>
        <w:t>No payments or gifts will be provided to respondents.</w:t>
      </w:r>
    </w:p>
    <w:p w:rsidR="00920F63" w:rsidRPr="001C27F4" w:rsidP="001C27F4" w14:paraId="0FB78278" w14:textId="77777777">
      <w:pPr>
        <w:tabs>
          <w:tab w:val="left" w:pos="-720"/>
        </w:tabs>
        <w:suppressAutoHyphens/>
        <w:rPr>
          <w:rFonts w:ascii="Times New Roman" w:hAnsi="Times New Roman"/>
          <w:b/>
          <w:szCs w:val="24"/>
        </w:rPr>
      </w:pPr>
    </w:p>
    <w:p w:rsidR="00920F63" w:rsidRPr="00920F63" w:rsidP="00920F63" w14:paraId="1FC39945" w14:textId="77777777">
      <w:pPr>
        <w:pStyle w:val="ListParagraph"/>
        <w:tabs>
          <w:tab w:val="left" w:pos="-720"/>
        </w:tabs>
        <w:suppressAutoHyphens/>
        <w:contextualSpacing w:val="0"/>
        <w:rPr>
          <w:rFonts w:ascii="Times New Roman" w:hAnsi="Times New Roman"/>
          <w:b/>
          <w:szCs w:val="24"/>
        </w:rPr>
      </w:pPr>
    </w:p>
    <w:p w:rsidR="00043C32" w:rsidRPr="00D75313" w:rsidP="00AD381B" w14:paraId="78E1985C"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w:t>
      </w:r>
      <w:r w:rsidRPr="00920F63">
        <w:rPr>
          <w:rFonts w:ascii="Times New Roman" w:hAnsi="Times New Roman"/>
          <w:b/>
          <w:szCs w:val="24"/>
        </w:rPr>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F75F5B" w:rsidP="00F75F5B" w14:paraId="75436507" w14:textId="77777777">
      <w:pPr>
        <w:tabs>
          <w:tab w:val="left" w:pos="-720"/>
          <w:tab w:val="left" w:pos="0"/>
        </w:tabs>
        <w:suppressAutoHyphens/>
        <w:ind w:left="173"/>
        <w:rPr>
          <w:rFonts w:ascii="Times New Roman" w:hAnsi="Times New Roman"/>
          <w:iCs/>
          <w:szCs w:val="24"/>
        </w:rPr>
      </w:pPr>
    </w:p>
    <w:p w:rsidR="00F75F5B" w:rsidRPr="00F75F5B" w:rsidP="00F75F5B" w14:paraId="6A892FCE" w14:textId="5AC2910C">
      <w:pPr>
        <w:tabs>
          <w:tab w:val="left" w:pos="-720"/>
          <w:tab w:val="left" w:pos="0"/>
        </w:tabs>
        <w:suppressAutoHyphens/>
        <w:ind w:left="173"/>
        <w:rPr>
          <w:rFonts w:ascii="Times New Roman" w:hAnsi="Times New Roman"/>
          <w:iCs/>
          <w:szCs w:val="24"/>
        </w:rPr>
      </w:pPr>
      <w:r w:rsidRPr="00F75F5B">
        <w:rPr>
          <w:rFonts w:ascii="Times New Roman" w:hAnsi="Times New Roman"/>
          <w:iCs/>
          <w:szCs w:val="24"/>
        </w:rPr>
        <w:t>There are no assurances of confidentiality.</w:t>
      </w:r>
    </w:p>
    <w:p w:rsidR="00920F63" w:rsidRPr="00D75313" w:rsidP="00920F63" w14:paraId="0562CB0E" w14:textId="77777777">
      <w:pPr>
        <w:tabs>
          <w:tab w:val="left" w:pos="-720"/>
        </w:tabs>
        <w:suppressAutoHyphens/>
        <w:rPr>
          <w:rFonts w:ascii="Times New Roman" w:hAnsi="Times New Roman"/>
          <w:b/>
          <w:szCs w:val="24"/>
        </w:rPr>
      </w:pPr>
    </w:p>
    <w:p w:rsidR="00920F63" w:rsidRPr="00920F63" w:rsidP="00E25EBC" w14:paraId="34CE0A41" w14:textId="77777777">
      <w:pPr>
        <w:tabs>
          <w:tab w:val="left" w:pos="-720"/>
        </w:tabs>
        <w:suppressAutoHyphens/>
        <w:rPr>
          <w:rFonts w:ascii="Times New Roman" w:hAnsi="Times New Roman"/>
          <w:szCs w:val="24"/>
        </w:rPr>
      </w:pPr>
    </w:p>
    <w:p w:rsidR="00043C32" w:rsidP="00AD381B" w14:paraId="1E0DF3AC"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62EBF3C5" w14:textId="77777777">
      <w:pPr>
        <w:tabs>
          <w:tab w:val="left" w:pos="-720"/>
        </w:tabs>
        <w:suppressAutoHyphens/>
        <w:rPr>
          <w:rFonts w:ascii="Times New Roman" w:hAnsi="Times New Roman"/>
          <w:b/>
          <w:szCs w:val="24"/>
        </w:rPr>
      </w:pPr>
    </w:p>
    <w:p w:rsidR="007E5DAC" w:rsidRPr="00196A81" w:rsidP="007E5DAC" w14:paraId="5641FA3B"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00920F63" w:rsidRPr="00920F63" w:rsidP="00920F63" w14:paraId="6D98A12B" w14:textId="77777777">
      <w:pPr>
        <w:tabs>
          <w:tab w:val="left" w:pos="-720"/>
        </w:tabs>
        <w:suppressAutoHyphens/>
        <w:ind w:left="180"/>
        <w:rPr>
          <w:rFonts w:ascii="Times New Roman" w:hAnsi="Times New Roman"/>
          <w:szCs w:val="24"/>
        </w:rPr>
      </w:pPr>
    </w:p>
    <w:p w:rsidR="00043C32" w:rsidRPr="00920F63" w:rsidP="00AD381B" w14:paraId="72C71AD8"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2946DB82" w14:textId="77777777">
      <w:pPr>
        <w:tabs>
          <w:tab w:val="left" w:pos="-720"/>
        </w:tabs>
        <w:suppressAutoHyphens/>
        <w:rPr>
          <w:rStyle w:val="a"/>
          <w:rFonts w:ascii="Times New Roman" w:hAnsi="Times New Roman"/>
          <w:b/>
          <w:szCs w:val="24"/>
        </w:rPr>
      </w:pPr>
    </w:p>
    <w:p w:rsidR="00C224FD" w:rsidP="00C224FD" w14:paraId="56192A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39BC69A7"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194EBB21"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035FD454"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r w:rsidRPr="00920F63">
        <w:rPr>
          <w:rStyle w:val="a"/>
          <w:rFonts w:ascii="Times New Roman" w:hAnsi="Times New Roman"/>
          <w:b/>
          <w:szCs w:val="24"/>
        </w:rPr>
        <w:t>form</w:t>
      </w:r>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00043C32" w:rsidRPr="00756FD3" w:rsidP="00AD381B" w14:paraId="446A621B"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22"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w:t>
      </w:r>
      <w:r w:rsidR="00D75313">
        <w:rPr>
          <w:rStyle w:val="a"/>
          <w:rFonts w:ascii="Times New Roman" w:hAnsi="Times New Roman"/>
          <w:b/>
          <w:szCs w:val="24"/>
        </w:rPr>
        <w:t>there is no cost to respondents, indicate by entering 0 in the chart below and/or provide a statement.</w:t>
      </w:r>
    </w:p>
    <w:p w:rsidR="00756FD3" w:rsidP="00756FD3" w14:paraId="5997CC1D" w14:textId="77777777">
      <w:pPr>
        <w:tabs>
          <w:tab w:val="left" w:pos="-720"/>
          <w:tab w:val="left" w:pos="1247"/>
        </w:tabs>
        <w:suppressAutoHyphens/>
        <w:rPr>
          <w:rStyle w:val="a"/>
          <w:rFonts w:ascii="Times New Roman" w:hAnsi="Times New Roman"/>
          <w:b/>
          <w:szCs w:val="24"/>
        </w:rPr>
      </w:pPr>
    </w:p>
    <w:p w:rsidR="00946126" w:rsidRPr="00756FD3" w:rsidP="00946126" w14:paraId="19B4F9DA"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110FFD37" w14:textId="77777777">
      <w:pPr>
        <w:pStyle w:val="ListParagraph"/>
        <w:tabs>
          <w:tab w:val="left" w:pos="-720"/>
        </w:tabs>
        <w:suppressAutoHyphens/>
        <w:rPr>
          <w:rStyle w:val="a"/>
          <w:rFonts w:ascii="Times New Roman" w:hAnsi="Times New Roman"/>
          <w:szCs w:val="24"/>
        </w:rPr>
      </w:pPr>
    </w:p>
    <w:p w:rsidR="00BE2718" w:rsidP="00BE2718" w14:paraId="4CC9F260" w14:textId="63F45E08">
      <w:pPr>
        <w:rPr>
          <w:rFonts w:ascii="Times New Roman" w:hAnsi="Times New Roman"/>
        </w:rPr>
      </w:pPr>
      <w:r w:rsidRPr="2F3CB29D">
        <w:rPr>
          <w:rFonts w:ascii="Times New Roman" w:hAnsi="Times New Roman"/>
        </w:rPr>
        <w:t xml:space="preserve">The ESSER instrument is targeted to a total of 52 SEAs, and 14,600 LEAs. The response burden is shown in Table 1. The burden estimates are based on </w:t>
      </w:r>
      <w:r w:rsidRPr="2FC163A4">
        <w:rPr>
          <w:rFonts w:ascii="Times New Roman" w:hAnsi="Times New Roman"/>
        </w:rPr>
        <w:t>the previously approved collection</w:t>
      </w:r>
      <w:r w:rsidR="00BE16DA">
        <w:rPr>
          <w:rFonts w:ascii="Times New Roman" w:hAnsi="Times New Roman"/>
        </w:rPr>
        <w:t xml:space="preserve">, </w:t>
      </w:r>
      <w:r w:rsidRPr="2FC163A4">
        <w:rPr>
          <w:rFonts w:ascii="Times New Roman" w:hAnsi="Times New Roman"/>
        </w:rPr>
        <w:t xml:space="preserve">public feedback provided during </w:t>
      </w:r>
      <w:r w:rsidR="00BE16DA">
        <w:rPr>
          <w:rFonts w:ascii="Times New Roman" w:hAnsi="Times New Roman"/>
        </w:rPr>
        <w:t xml:space="preserve">previous public </w:t>
      </w:r>
      <w:r w:rsidRPr="2FC163A4">
        <w:rPr>
          <w:rFonts w:ascii="Times New Roman" w:hAnsi="Times New Roman"/>
        </w:rPr>
        <w:t>comment period</w:t>
      </w:r>
      <w:r w:rsidR="00BE16DA">
        <w:rPr>
          <w:rFonts w:ascii="Times New Roman" w:hAnsi="Times New Roman"/>
        </w:rPr>
        <w:t>s</w:t>
      </w:r>
      <w:r w:rsidRPr="2FC163A4">
        <w:rPr>
          <w:rFonts w:ascii="Times New Roman" w:hAnsi="Times New Roman"/>
        </w:rPr>
        <w:t xml:space="preserve">; </w:t>
      </w:r>
      <w:r w:rsidRPr="2F3CB29D">
        <w:rPr>
          <w:rFonts w:ascii="Times New Roman" w:hAnsi="Times New Roman"/>
        </w:rPr>
        <w:t>discussions with experts in the Office of Elementary and Secondary Education</w:t>
      </w:r>
      <w:r w:rsidRPr="2FC163A4">
        <w:rPr>
          <w:rFonts w:ascii="Times New Roman" w:hAnsi="Times New Roman"/>
        </w:rPr>
        <w:t>, the Office of Planning, Evaluation and Policy Development and the Office of the General Counsel in the Department</w:t>
      </w:r>
      <w:r w:rsidR="00B460B3">
        <w:rPr>
          <w:rFonts w:ascii="Times New Roman" w:hAnsi="Times New Roman"/>
        </w:rPr>
        <w:t xml:space="preserve">, </w:t>
      </w:r>
      <w:r w:rsidRPr="7F414E6E" w:rsidR="00B460B3">
        <w:rPr>
          <w:rFonts w:ascii="Times New Roman" w:hAnsi="Times New Roman"/>
        </w:rPr>
        <w:t xml:space="preserve">and the estimated time spent to report the uses of </w:t>
      </w:r>
      <w:r w:rsidR="00B460B3">
        <w:rPr>
          <w:rFonts w:ascii="Times New Roman" w:hAnsi="Times New Roman"/>
        </w:rPr>
        <w:t>ESSER</w:t>
      </w:r>
      <w:r w:rsidRPr="7F414E6E" w:rsidR="00B460B3">
        <w:rPr>
          <w:rFonts w:ascii="Times New Roman" w:hAnsi="Times New Roman"/>
        </w:rPr>
        <w:t xml:space="preserve"> funds under the CARES</w:t>
      </w:r>
      <w:r w:rsidR="00B460B3">
        <w:rPr>
          <w:rFonts w:ascii="Times New Roman" w:hAnsi="Times New Roman"/>
        </w:rPr>
        <w:t>,</w:t>
      </w:r>
      <w:r w:rsidRPr="7F414E6E" w:rsidR="00B460B3">
        <w:rPr>
          <w:rFonts w:ascii="Times New Roman" w:hAnsi="Times New Roman"/>
        </w:rPr>
        <w:t xml:space="preserve"> CRRSA</w:t>
      </w:r>
      <w:r w:rsidR="00B460B3">
        <w:rPr>
          <w:rFonts w:ascii="Times New Roman" w:hAnsi="Times New Roman"/>
        </w:rPr>
        <w:t>, and ARP</w:t>
      </w:r>
      <w:r w:rsidRPr="7F414E6E" w:rsidR="00B460B3">
        <w:rPr>
          <w:rFonts w:ascii="Times New Roman" w:hAnsi="Times New Roman"/>
        </w:rPr>
        <w:t xml:space="preserve"> Acts.</w:t>
      </w:r>
    </w:p>
    <w:p w:rsidR="00BE2718" w:rsidP="00920F63" w14:paraId="62DBD8FC" w14:textId="77777777">
      <w:pPr>
        <w:pStyle w:val="ListParagraph"/>
        <w:tabs>
          <w:tab w:val="left" w:pos="-720"/>
        </w:tabs>
        <w:suppressAutoHyphens/>
        <w:rPr>
          <w:rStyle w:val="a"/>
          <w:rFonts w:ascii="Times New Roman" w:hAnsi="Times New Roman"/>
          <w:szCs w:val="24"/>
        </w:rPr>
      </w:pPr>
    </w:p>
    <w:p w:rsidR="00BE2718" w:rsidP="00920F63" w14:paraId="1981935B" w14:textId="77777777">
      <w:pPr>
        <w:pStyle w:val="ListParagraph"/>
        <w:tabs>
          <w:tab w:val="left" w:pos="-720"/>
        </w:tabs>
        <w:suppressAutoHyphens/>
        <w:rPr>
          <w:rStyle w:val="a"/>
          <w:rFonts w:ascii="Times New Roman" w:hAnsi="Times New Roman"/>
          <w:szCs w:val="24"/>
        </w:rPr>
      </w:pPr>
    </w:p>
    <w:p w:rsidR="00F126F0" w:rsidRPr="000B4BC1" w:rsidP="000B4BC1" w14:paraId="377438CC" w14:textId="6B8447F8">
      <w:pPr>
        <w:ind w:left="1440" w:firstLine="720"/>
        <w:rPr>
          <w:rFonts w:ascii="Times New Roman" w:hAnsi="Times New Roman"/>
          <w:b/>
          <w:bCs/>
          <w:color w:val="FF0000"/>
          <w:szCs w:val="24"/>
        </w:rPr>
      </w:pPr>
      <w:r>
        <w:rPr>
          <w:rFonts w:ascii="Times New Roman" w:hAnsi="Times New Roman"/>
          <w:b/>
          <w:bCs/>
          <w:color w:val="000000" w:themeColor="text1"/>
          <w:szCs w:val="24"/>
        </w:rPr>
        <w:t xml:space="preserve">Table 1: </w:t>
      </w:r>
      <w:r w:rsidRPr="000B4BC1">
        <w:rPr>
          <w:rFonts w:ascii="Times New Roman" w:hAnsi="Times New Roman"/>
          <w:b/>
          <w:bCs/>
          <w:color w:val="000000" w:themeColor="text1"/>
          <w:szCs w:val="24"/>
        </w:rPr>
        <w:t xml:space="preserve">Estimated Annual Burden and Respondent Costs Table </w:t>
      </w:r>
    </w:p>
    <w:tbl>
      <w:tblPr>
        <w:tblStyle w:val="GridTableLight"/>
        <w:tblpPr w:leftFromText="180" w:rightFromText="180" w:vertAnchor="text" w:horzAnchor="margin" w:tblpXSpec="center" w:tblpY="174"/>
        <w:tblW w:w="11515" w:type="dxa"/>
        <w:tblLayout w:type="fixed"/>
        <w:tblLook w:val="0020"/>
      </w:tblPr>
      <w:tblGrid>
        <w:gridCol w:w="1345"/>
        <w:gridCol w:w="1248"/>
        <w:gridCol w:w="1182"/>
        <w:gridCol w:w="1260"/>
        <w:gridCol w:w="1080"/>
        <w:gridCol w:w="1620"/>
        <w:gridCol w:w="1102"/>
        <w:gridCol w:w="1249"/>
        <w:gridCol w:w="1429"/>
      </w:tblGrid>
      <w:tr w14:paraId="77AAFE5F" w14:textId="77777777" w:rsidTr="00014B53">
        <w:tblPrEx>
          <w:tblW w:w="11515" w:type="dxa"/>
          <w:tblLayout w:type="fixed"/>
          <w:tblLook w:val="0020"/>
        </w:tblPrEx>
        <w:trPr>
          <w:tblHeader/>
        </w:trPr>
        <w:tc>
          <w:tcPr>
            <w:tcW w:w="1345" w:type="dxa"/>
            <w:vAlign w:val="center"/>
          </w:tcPr>
          <w:p w:rsidR="00F126F0" w:rsidRPr="00196A81" w:rsidP="00014B53" w14:paraId="00B3AEF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00F126F0" w:rsidRPr="00196A81" w:rsidP="00014B53" w14:paraId="084C372A"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182" w:type="dxa"/>
            <w:vAlign w:val="center"/>
          </w:tcPr>
          <w:p w:rsidR="00F126F0" w:rsidRPr="00196A81" w:rsidP="00014B53" w14:paraId="6EECFC48"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60" w:type="dxa"/>
            <w:vAlign w:val="center"/>
          </w:tcPr>
          <w:p w:rsidR="00F126F0" w:rsidRPr="00196A81" w:rsidP="00014B53" w14:paraId="14973A13"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080" w:type="dxa"/>
            <w:vAlign w:val="center"/>
          </w:tcPr>
          <w:p w:rsidR="00F126F0" w:rsidRPr="00196A81" w:rsidP="00014B53" w14:paraId="089BB9F5"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620" w:type="dxa"/>
            <w:vAlign w:val="center"/>
          </w:tcPr>
          <w:p w:rsidR="00F126F0" w:rsidRPr="00196A81" w:rsidP="00014B53" w14:paraId="59399151"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102" w:type="dxa"/>
            <w:vAlign w:val="center"/>
          </w:tcPr>
          <w:p w:rsidR="00F126F0" w:rsidRPr="00196A81" w:rsidP="00014B53" w14:paraId="1088BBCD" w14:textId="77777777">
            <w:pPr>
              <w:tabs>
                <w:tab w:val="left" w:pos="0"/>
              </w:tabs>
              <w:jc w:val="center"/>
              <w:rPr>
                <w:rFonts w:ascii="Times New Roman" w:hAnsi="Times New Roman"/>
                <w:sz w:val="20"/>
              </w:rPr>
            </w:pPr>
            <w:r w:rsidRPr="00196A81">
              <w:rPr>
                <w:rFonts w:ascii="Times New Roman" w:hAnsi="Times New Roman"/>
                <w:sz w:val="20"/>
              </w:rPr>
              <w:t>Total Annual Burden Hours</w:t>
            </w:r>
          </w:p>
        </w:tc>
        <w:tc>
          <w:tcPr>
            <w:tcW w:w="1249" w:type="dxa"/>
            <w:vAlign w:val="center"/>
          </w:tcPr>
          <w:p w:rsidR="00F126F0" w:rsidRPr="00196A81" w:rsidP="00014B53" w14:paraId="6899661C"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429" w:type="dxa"/>
            <w:vAlign w:val="center"/>
          </w:tcPr>
          <w:p w:rsidR="00F126F0" w:rsidRPr="00196A81" w:rsidP="00014B53" w14:paraId="5FEF3AAE"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14:paraId="05D68735" w14:textId="77777777" w:rsidTr="00014B53">
        <w:tblPrEx>
          <w:tblW w:w="11515" w:type="dxa"/>
          <w:tblLayout w:type="fixed"/>
          <w:tblLook w:val="0020"/>
        </w:tblPrEx>
        <w:tc>
          <w:tcPr>
            <w:tcW w:w="1345" w:type="dxa"/>
          </w:tcPr>
          <w:p w:rsidR="00F126F0" w:rsidRPr="00DB3DCA" w:rsidP="00014B53" w14:paraId="75ED888E" w14:textId="77777777">
            <w:pPr>
              <w:tabs>
                <w:tab w:val="left" w:pos="0"/>
              </w:tabs>
              <w:rPr>
                <w:rFonts w:ascii="Times New Roman" w:hAnsi="Times New Roman"/>
                <w:sz w:val="20"/>
              </w:rPr>
            </w:pPr>
            <w:r w:rsidRPr="00AE3F9D">
              <w:rPr>
                <w:rFonts w:ascii="Times New Roman" w:hAnsi="Times New Roman"/>
                <w:iCs/>
                <w:sz w:val="20"/>
              </w:rPr>
              <w:t>Public State/Local Grantees and Subgrantees</w:t>
            </w:r>
            <w:r w:rsidRPr="00DB3DCA">
              <w:rPr>
                <w:rFonts w:ascii="Times New Roman" w:hAnsi="Times New Roman"/>
                <w:sz w:val="20"/>
              </w:rPr>
              <w:t xml:space="preserve"> </w:t>
            </w:r>
          </w:p>
        </w:tc>
        <w:tc>
          <w:tcPr>
            <w:tcW w:w="1248" w:type="dxa"/>
          </w:tcPr>
          <w:p w:rsidR="00F126F0" w:rsidRPr="00196A81" w:rsidP="00014B53" w14:paraId="349CAE24" w14:textId="77777777">
            <w:pPr>
              <w:tabs>
                <w:tab w:val="left" w:pos="0"/>
              </w:tabs>
              <w:rPr>
                <w:rFonts w:ascii="Times New Roman" w:hAnsi="Times New Roman"/>
                <w:szCs w:val="24"/>
              </w:rPr>
            </w:pPr>
          </w:p>
        </w:tc>
        <w:tc>
          <w:tcPr>
            <w:tcW w:w="1182" w:type="dxa"/>
          </w:tcPr>
          <w:p w:rsidR="00F126F0" w:rsidRPr="00196A81" w:rsidP="00014B53" w14:paraId="79D16CF9" w14:textId="77777777">
            <w:pPr>
              <w:tabs>
                <w:tab w:val="left" w:pos="0"/>
              </w:tabs>
              <w:rPr>
                <w:rFonts w:ascii="Times New Roman" w:hAnsi="Times New Roman"/>
                <w:szCs w:val="24"/>
              </w:rPr>
            </w:pPr>
          </w:p>
        </w:tc>
        <w:tc>
          <w:tcPr>
            <w:tcW w:w="1260" w:type="dxa"/>
          </w:tcPr>
          <w:p w:rsidR="00F126F0" w:rsidRPr="00196A81" w:rsidP="00014B53" w14:paraId="724E7AC0" w14:textId="77777777">
            <w:pPr>
              <w:tabs>
                <w:tab w:val="left" w:pos="0"/>
              </w:tabs>
              <w:rPr>
                <w:rFonts w:ascii="Times New Roman" w:hAnsi="Times New Roman"/>
                <w:szCs w:val="24"/>
              </w:rPr>
            </w:pPr>
            <w:r>
              <w:rPr>
                <w:rFonts w:ascii="Times New Roman" w:hAnsi="Times New Roman"/>
                <w:szCs w:val="24"/>
              </w:rPr>
              <w:t>14,652</w:t>
            </w:r>
          </w:p>
        </w:tc>
        <w:tc>
          <w:tcPr>
            <w:tcW w:w="1080" w:type="dxa"/>
          </w:tcPr>
          <w:p w:rsidR="00F126F0" w:rsidRPr="00196A81" w:rsidP="00014B53" w14:paraId="47C7FFFA" w14:textId="77777777">
            <w:pPr>
              <w:tabs>
                <w:tab w:val="left" w:pos="0"/>
              </w:tabs>
              <w:rPr>
                <w:rFonts w:ascii="Times New Roman" w:hAnsi="Times New Roman"/>
                <w:szCs w:val="24"/>
              </w:rPr>
            </w:pPr>
            <w:r>
              <w:rPr>
                <w:rFonts w:ascii="Times New Roman" w:hAnsi="Times New Roman"/>
                <w:szCs w:val="24"/>
              </w:rPr>
              <w:t>14,652</w:t>
            </w:r>
          </w:p>
        </w:tc>
        <w:tc>
          <w:tcPr>
            <w:tcW w:w="1620" w:type="dxa"/>
          </w:tcPr>
          <w:p w:rsidR="00F126F0" w:rsidRPr="00196A81" w:rsidP="00014B53" w14:paraId="5EB3E6C5" w14:textId="77777777">
            <w:pPr>
              <w:tabs>
                <w:tab w:val="left" w:pos="0"/>
              </w:tabs>
              <w:rPr>
                <w:rFonts w:ascii="Times New Roman" w:hAnsi="Times New Roman"/>
                <w:szCs w:val="24"/>
              </w:rPr>
            </w:pPr>
            <w:r w:rsidRPr="00AE3F9D">
              <w:rPr>
                <w:rFonts w:ascii="Times New Roman" w:hAnsi="Times New Roman"/>
                <w:sz w:val="20"/>
              </w:rPr>
              <w:t>Grantees=</w:t>
            </w:r>
            <w:r>
              <w:rPr>
                <w:rFonts w:ascii="Times New Roman" w:hAnsi="Times New Roman"/>
                <w:sz w:val="20"/>
              </w:rPr>
              <w:t>140</w:t>
            </w:r>
            <w:r w:rsidRPr="00AE3F9D">
              <w:rPr>
                <w:rFonts w:ascii="Times New Roman" w:hAnsi="Times New Roman"/>
                <w:sz w:val="20"/>
              </w:rPr>
              <w:t>; Subgrantees=</w:t>
            </w:r>
            <w:r>
              <w:rPr>
                <w:rFonts w:ascii="Times New Roman" w:hAnsi="Times New Roman"/>
                <w:sz w:val="20"/>
              </w:rPr>
              <w:t>140</w:t>
            </w:r>
          </w:p>
        </w:tc>
        <w:tc>
          <w:tcPr>
            <w:tcW w:w="1102" w:type="dxa"/>
          </w:tcPr>
          <w:p w:rsidR="00F126F0" w:rsidRPr="00124CF0" w:rsidP="00014B53" w14:paraId="36A90250" w14:textId="77777777">
            <w:pPr>
              <w:tabs>
                <w:tab w:val="left" w:pos="0"/>
              </w:tabs>
              <w:rPr>
                <w:rFonts w:ascii="Times New Roman" w:hAnsi="Times New Roman"/>
                <w:sz w:val="22"/>
                <w:szCs w:val="22"/>
              </w:rPr>
            </w:pPr>
            <w:r>
              <w:rPr>
                <w:rFonts w:ascii="Times New Roman" w:hAnsi="Times New Roman"/>
                <w:sz w:val="22"/>
                <w:szCs w:val="22"/>
              </w:rPr>
              <w:t>2,051,280</w:t>
            </w:r>
          </w:p>
        </w:tc>
        <w:tc>
          <w:tcPr>
            <w:tcW w:w="1249" w:type="dxa"/>
          </w:tcPr>
          <w:p w:rsidR="00F126F0" w:rsidRPr="00196A81" w:rsidP="00014B53" w14:paraId="0CCA7C60" w14:textId="58C07637">
            <w:pPr>
              <w:tabs>
                <w:tab w:val="left" w:pos="0"/>
              </w:tabs>
              <w:rPr>
                <w:rFonts w:ascii="Times New Roman" w:hAnsi="Times New Roman"/>
                <w:szCs w:val="24"/>
              </w:rPr>
            </w:pPr>
            <w:r>
              <w:rPr>
                <w:rFonts w:ascii="Times New Roman" w:hAnsi="Times New Roman"/>
                <w:szCs w:val="24"/>
              </w:rPr>
              <w:t>$4</w:t>
            </w:r>
            <w:r w:rsidR="000B5E6B">
              <w:rPr>
                <w:rFonts w:ascii="Times New Roman" w:hAnsi="Times New Roman"/>
                <w:szCs w:val="24"/>
              </w:rPr>
              <w:t>8</w:t>
            </w:r>
            <w:r>
              <w:rPr>
                <w:rFonts w:ascii="Times New Roman" w:hAnsi="Times New Roman"/>
                <w:szCs w:val="24"/>
              </w:rPr>
              <w:t>.</w:t>
            </w:r>
            <w:r w:rsidR="000B5E6B">
              <w:rPr>
                <w:rFonts w:ascii="Times New Roman" w:hAnsi="Times New Roman"/>
                <w:szCs w:val="24"/>
              </w:rPr>
              <w:t>4</w:t>
            </w:r>
            <w:r>
              <w:rPr>
                <w:rFonts w:ascii="Times New Roman" w:hAnsi="Times New Roman"/>
                <w:szCs w:val="24"/>
              </w:rPr>
              <w:t>2</w:t>
            </w:r>
          </w:p>
        </w:tc>
        <w:tc>
          <w:tcPr>
            <w:tcW w:w="1429" w:type="dxa"/>
          </w:tcPr>
          <w:p w:rsidR="00F126F0" w:rsidRPr="00196A81" w:rsidP="00014B53" w14:paraId="4F122306" w14:textId="756C3D8B">
            <w:pPr>
              <w:tabs>
                <w:tab w:val="left" w:pos="0"/>
              </w:tabs>
              <w:rPr>
                <w:rFonts w:ascii="Times New Roman" w:hAnsi="Times New Roman"/>
                <w:szCs w:val="24"/>
              </w:rPr>
            </w:pPr>
            <w:r>
              <w:rPr>
                <w:rFonts w:ascii="Times New Roman" w:hAnsi="Times New Roman"/>
                <w:szCs w:val="24"/>
              </w:rPr>
              <w:t>$</w:t>
            </w:r>
            <w:r w:rsidRPr="005144B7">
              <w:rPr>
                <w:rFonts w:ascii="Times New Roman" w:hAnsi="Times New Roman"/>
                <w:szCs w:val="24"/>
              </w:rPr>
              <w:t>99,322,97</w:t>
            </w:r>
            <w:r>
              <w:rPr>
                <w:rFonts w:ascii="Times New Roman" w:hAnsi="Times New Roman"/>
                <w:szCs w:val="24"/>
              </w:rPr>
              <w:t>8</w:t>
            </w:r>
          </w:p>
        </w:tc>
      </w:tr>
      <w:tr w14:paraId="25DEF437" w14:textId="77777777" w:rsidTr="00014B53">
        <w:tblPrEx>
          <w:tblW w:w="11515" w:type="dxa"/>
          <w:tblLayout w:type="fixed"/>
          <w:tblLook w:val="0020"/>
        </w:tblPrEx>
        <w:tc>
          <w:tcPr>
            <w:tcW w:w="1345" w:type="dxa"/>
          </w:tcPr>
          <w:p w:rsidR="005144B7" w:rsidRPr="00DB3DCA" w:rsidP="005144B7" w14:paraId="120DB08F" w14:textId="77777777">
            <w:pPr>
              <w:tabs>
                <w:tab w:val="left" w:pos="0"/>
              </w:tabs>
              <w:rPr>
                <w:rFonts w:ascii="Times New Roman" w:hAnsi="Times New Roman"/>
                <w:sz w:val="20"/>
              </w:rPr>
            </w:pPr>
            <w:r w:rsidRPr="00DB3DCA">
              <w:rPr>
                <w:rFonts w:ascii="Times New Roman" w:hAnsi="Times New Roman"/>
                <w:sz w:val="20"/>
              </w:rPr>
              <w:t>Annualized Totals</w:t>
            </w:r>
          </w:p>
        </w:tc>
        <w:tc>
          <w:tcPr>
            <w:tcW w:w="1248" w:type="dxa"/>
          </w:tcPr>
          <w:p w:rsidR="005144B7" w:rsidRPr="00196A81" w:rsidP="005144B7" w14:paraId="323B092F" w14:textId="77777777">
            <w:pPr>
              <w:tabs>
                <w:tab w:val="left" w:pos="0"/>
              </w:tabs>
              <w:rPr>
                <w:rFonts w:ascii="Times New Roman" w:hAnsi="Times New Roman"/>
                <w:szCs w:val="24"/>
              </w:rPr>
            </w:pPr>
          </w:p>
        </w:tc>
        <w:tc>
          <w:tcPr>
            <w:tcW w:w="1182" w:type="dxa"/>
          </w:tcPr>
          <w:p w:rsidR="005144B7" w:rsidRPr="00196A81" w:rsidP="005144B7" w14:paraId="1DDC227F" w14:textId="77777777">
            <w:pPr>
              <w:tabs>
                <w:tab w:val="left" w:pos="0"/>
              </w:tabs>
              <w:rPr>
                <w:rFonts w:ascii="Times New Roman" w:hAnsi="Times New Roman"/>
                <w:szCs w:val="24"/>
              </w:rPr>
            </w:pPr>
          </w:p>
        </w:tc>
        <w:tc>
          <w:tcPr>
            <w:tcW w:w="1260" w:type="dxa"/>
          </w:tcPr>
          <w:p w:rsidR="005144B7" w:rsidRPr="008A1394" w:rsidP="005144B7" w14:paraId="2124347C" w14:textId="77777777">
            <w:pPr>
              <w:tabs>
                <w:tab w:val="left" w:pos="0"/>
              </w:tabs>
              <w:rPr>
                <w:rFonts w:ascii="Times New Roman" w:hAnsi="Times New Roman"/>
                <w:szCs w:val="24"/>
              </w:rPr>
            </w:pPr>
            <w:r>
              <w:rPr>
                <w:rFonts w:ascii="Times New Roman" w:hAnsi="Times New Roman"/>
                <w:szCs w:val="24"/>
              </w:rPr>
              <w:t>14,652</w:t>
            </w:r>
          </w:p>
        </w:tc>
        <w:tc>
          <w:tcPr>
            <w:tcW w:w="1080" w:type="dxa"/>
          </w:tcPr>
          <w:p w:rsidR="005144B7" w:rsidRPr="008A1394" w:rsidP="005144B7" w14:paraId="04FE446E" w14:textId="77777777">
            <w:pPr>
              <w:tabs>
                <w:tab w:val="left" w:pos="0"/>
              </w:tabs>
              <w:rPr>
                <w:rFonts w:ascii="Times New Roman" w:hAnsi="Times New Roman"/>
                <w:szCs w:val="24"/>
              </w:rPr>
            </w:pPr>
            <w:r>
              <w:rPr>
                <w:rFonts w:ascii="Times New Roman" w:hAnsi="Times New Roman"/>
                <w:szCs w:val="24"/>
              </w:rPr>
              <w:t>14,652</w:t>
            </w:r>
          </w:p>
        </w:tc>
        <w:tc>
          <w:tcPr>
            <w:tcW w:w="1620" w:type="dxa"/>
          </w:tcPr>
          <w:p w:rsidR="005144B7" w:rsidRPr="008A1394" w:rsidP="005144B7" w14:paraId="2993D919" w14:textId="77777777">
            <w:pPr>
              <w:tabs>
                <w:tab w:val="left" w:pos="0"/>
              </w:tabs>
              <w:rPr>
                <w:rFonts w:ascii="Times New Roman" w:hAnsi="Times New Roman"/>
                <w:szCs w:val="24"/>
              </w:rPr>
            </w:pPr>
            <w:r w:rsidRPr="00AE3F9D">
              <w:rPr>
                <w:rFonts w:ascii="Times New Roman" w:hAnsi="Times New Roman"/>
                <w:sz w:val="20"/>
              </w:rPr>
              <w:t>Grantees=</w:t>
            </w:r>
            <w:r>
              <w:rPr>
                <w:rFonts w:ascii="Times New Roman" w:hAnsi="Times New Roman"/>
                <w:sz w:val="20"/>
              </w:rPr>
              <w:t>140</w:t>
            </w:r>
            <w:r w:rsidRPr="00AE3F9D">
              <w:rPr>
                <w:rFonts w:ascii="Times New Roman" w:hAnsi="Times New Roman"/>
                <w:sz w:val="20"/>
              </w:rPr>
              <w:t>; Subgrantees=</w:t>
            </w:r>
            <w:r>
              <w:rPr>
                <w:rFonts w:ascii="Times New Roman" w:hAnsi="Times New Roman"/>
                <w:sz w:val="20"/>
              </w:rPr>
              <w:t>140</w:t>
            </w:r>
          </w:p>
        </w:tc>
        <w:tc>
          <w:tcPr>
            <w:tcW w:w="1102" w:type="dxa"/>
          </w:tcPr>
          <w:p w:rsidR="005144B7" w:rsidRPr="008A1394" w:rsidP="005144B7" w14:paraId="27FC6335" w14:textId="77777777">
            <w:pPr>
              <w:pStyle w:val="EndnoteText"/>
              <w:tabs>
                <w:tab w:val="clear" w:pos="-720"/>
                <w:tab w:val="left" w:pos="0"/>
              </w:tabs>
              <w:suppressAutoHyphens w:val="0"/>
              <w:rPr>
                <w:rFonts w:ascii="Times New Roman" w:hAnsi="Times New Roman"/>
                <w:szCs w:val="24"/>
              </w:rPr>
            </w:pPr>
            <w:r>
              <w:rPr>
                <w:rFonts w:ascii="Times New Roman" w:hAnsi="Times New Roman"/>
                <w:sz w:val="22"/>
                <w:szCs w:val="22"/>
              </w:rPr>
              <w:t>2,051,280</w:t>
            </w:r>
          </w:p>
        </w:tc>
        <w:tc>
          <w:tcPr>
            <w:tcW w:w="1249" w:type="dxa"/>
          </w:tcPr>
          <w:p w:rsidR="005144B7" w:rsidRPr="00196A81" w:rsidP="005144B7" w14:paraId="1876BAE7" w14:textId="2D327B30">
            <w:pPr>
              <w:tabs>
                <w:tab w:val="left" w:pos="0"/>
              </w:tabs>
              <w:rPr>
                <w:rFonts w:ascii="Times New Roman" w:hAnsi="Times New Roman"/>
                <w:szCs w:val="24"/>
              </w:rPr>
            </w:pPr>
            <w:r w:rsidRPr="00B04933">
              <w:rPr>
                <w:rFonts w:ascii="Times New Roman" w:hAnsi="Times New Roman"/>
                <w:szCs w:val="24"/>
              </w:rPr>
              <w:t>$4</w:t>
            </w:r>
            <w:r>
              <w:rPr>
                <w:rFonts w:ascii="Times New Roman" w:hAnsi="Times New Roman"/>
                <w:szCs w:val="24"/>
              </w:rPr>
              <w:t>8</w:t>
            </w:r>
            <w:r w:rsidRPr="00B04933">
              <w:rPr>
                <w:rFonts w:ascii="Times New Roman" w:hAnsi="Times New Roman"/>
                <w:szCs w:val="24"/>
              </w:rPr>
              <w:t>.</w:t>
            </w:r>
            <w:r>
              <w:rPr>
                <w:rFonts w:ascii="Times New Roman" w:hAnsi="Times New Roman"/>
                <w:szCs w:val="24"/>
              </w:rPr>
              <w:t>4</w:t>
            </w:r>
            <w:r w:rsidRPr="00B04933">
              <w:rPr>
                <w:rFonts w:ascii="Times New Roman" w:hAnsi="Times New Roman"/>
                <w:szCs w:val="24"/>
              </w:rPr>
              <w:t>2</w:t>
            </w:r>
          </w:p>
        </w:tc>
        <w:tc>
          <w:tcPr>
            <w:tcW w:w="1429" w:type="dxa"/>
          </w:tcPr>
          <w:p w:rsidR="005144B7" w:rsidRPr="008A1394" w:rsidP="005144B7" w14:paraId="1DECF0CF" w14:textId="4D848FAC">
            <w:pPr>
              <w:tabs>
                <w:tab w:val="left" w:pos="0"/>
              </w:tabs>
              <w:rPr>
                <w:rFonts w:ascii="Times New Roman" w:hAnsi="Times New Roman"/>
                <w:szCs w:val="24"/>
              </w:rPr>
            </w:pPr>
            <w:r>
              <w:rPr>
                <w:rFonts w:ascii="Times New Roman" w:hAnsi="Times New Roman"/>
                <w:szCs w:val="24"/>
              </w:rPr>
              <w:t>$</w:t>
            </w:r>
            <w:r w:rsidRPr="005144B7">
              <w:rPr>
                <w:rFonts w:ascii="Times New Roman" w:hAnsi="Times New Roman"/>
                <w:szCs w:val="24"/>
              </w:rPr>
              <w:t>99,322,97</w:t>
            </w:r>
            <w:r>
              <w:rPr>
                <w:rFonts w:ascii="Times New Roman" w:hAnsi="Times New Roman"/>
                <w:szCs w:val="24"/>
              </w:rPr>
              <w:t>8</w:t>
            </w:r>
          </w:p>
        </w:tc>
      </w:tr>
    </w:tbl>
    <w:p w:rsidR="00F126F0" w:rsidP="00F126F0" w14:paraId="754BB29A" w14:textId="77777777">
      <w:pPr>
        <w:pStyle w:val="ListParagraph"/>
        <w:tabs>
          <w:tab w:val="left" w:pos="-720"/>
          <w:tab w:val="left" w:pos="0"/>
        </w:tabs>
        <w:suppressAutoHyphens/>
        <w:ind w:left="-864" w:right="-864"/>
        <w:rPr>
          <w:rStyle w:val="a"/>
          <w:rFonts w:ascii="Times New Roman" w:hAnsi="Times New Roman"/>
          <w:b/>
          <w:bCs/>
          <w:i/>
          <w:iCs/>
          <w:sz w:val="22"/>
          <w:szCs w:val="22"/>
        </w:rPr>
      </w:pPr>
    </w:p>
    <w:p w:rsidR="00F31BEC" w:rsidRPr="00AF5D1A" w:rsidP="000446F5" w14:paraId="6309960B"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3041E394" w14:textId="77777777">
      <w:pPr>
        <w:pStyle w:val="ListParagraph"/>
        <w:tabs>
          <w:tab w:val="left" w:pos="-720"/>
        </w:tabs>
        <w:suppressAutoHyphens/>
        <w:rPr>
          <w:rStyle w:val="a"/>
          <w:rFonts w:ascii="Times New Roman" w:hAnsi="Times New Roman"/>
          <w:szCs w:val="24"/>
        </w:rPr>
      </w:pPr>
    </w:p>
    <w:p w:rsidR="00043C32" w:rsidRPr="00ED7195" w:rsidP="00AD381B" w14:paraId="54EA893E"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722B00AE" w14:textId="77777777">
      <w:pPr>
        <w:tabs>
          <w:tab w:val="left" w:pos="-720"/>
        </w:tabs>
        <w:suppressAutoHyphens/>
        <w:rPr>
          <w:rFonts w:ascii="Times New Roman" w:hAnsi="Times New Roman"/>
          <w:b/>
          <w:szCs w:val="24"/>
        </w:rPr>
      </w:pPr>
    </w:p>
    <w:p w:rsidR="00043C32" w:rsidRPr="00ED7195" w:rsidP="00AD381B" w14:paraId="4B522C91"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AD381B" w14:paraId="42C6D796" w14:textId="77777777">
      <w:pPr>
        <w:numPr>
          <w:ilvl w:val="12"/>
          <w:numId w:val="0"/>
        </w:numPr>
        <w:tabs>
          <w:tab w:val="left" w:pos="-720"/>
        </w:tabs>
        <w:suppressAutoHyphens/>
        <w:ind w:left="340"/>
        <w:rPr>
          <w:rFonts w:ascii="Times New Roman" w:hAnsi="Times New Roman"/>
          <w:szCs w:val="24"/>
        </w:rPr>
      </w:pPr>
    </w:p>
    <w:p w:rsidR="00043C32" w:rsidRPr="00ED7195" w:rsidP="00AD381B" w14:paraId="2DA0F50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AD381B" w14:paraId="6E1831B3" w14:textId="77777777">
      <w:pPr>
        <w:tabs>
          <w:tab w:val="left" w:pos="-720"/>
          <w:tab w:val="left" w:pos="1247"/>
        </w:tabs>
        <w:suppressAutoHyphens/>
        <w:ind w:left="340"/>
        <w:rPr>
          <w:rFonts w:ascii="Times New Roman" w:hAnsi="Times New Roman"/>
          <w:b/>
          <w:szCs w:val="24"/>
        </w:rPr>
      </w:pPr>
    </w:p>
    <w:p w:rsidR="00043C32" w:rsidRPr="00ED7195" w:rsidP="00AD381B" w14:paraId="3AC59D55"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4E11D2A" w14:textId="77777777">
      <w:pPr>
        <w:tabs>
          <w:tab w:val="left" w:pos="-720"/>
        </w:tabs>
        <w:suppressAutoHyphens/>
        <w:rPr>
          <w:rFonts w:ascii="Times New Roman" w:hAnsi="Times New Roman"/>
          <w:b/>
          <w:szCs w:val="24"/>
        </w:rPr>
      </w:pPr>
    </w:p>
    <w:p w:rsidR="00043C32" w:rsidRPr="00ED7195" w:rsidP="00AD381B" w14:paraId="7203562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17C51E68"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62F4E372"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31126E5D" w14:textId="77777777">
      <w:pPr>
        <w:tabs>
          <w:tab w:val="left" w:pos="-720"/>
        </w:tabs>
        <w:suppressAutoHyphens/>
        <w:rPr>
          <w:rFonts w:ascii="Times New Roman" w:hAnsi="Times New Roman"/>
          <w:szCs w:val="24"/>
        </w:rPr>
      </w:pPr>
    </w:p>
    <w:p w:rsidR="00B460B3" w:rsidRPr="00196A81" w:rsidP="00B460B3" w14:paraId="2369FA0F" w14:textId="77777777">
      <w:pPr>
        <w:tabs>
          <w:tab w:val="left" w:pos="-720"/>
        </w:tabs>
        <w:suppressAutoHyphens/>
        <w:rPr>
          <w:rFonts w:ascii="Times New Roman" w:hAnsi="Times New Roman"/>
          <w:szCs w:val="24"/>
        </w:rPr>
      </w:pPr>
    </w:p>
    <w:p w:rsidR="00B460B3" w:rsidRPr="004D0F57" w:rsidP="00B460B3" w14:paraId="33AAD15D" w14:textId="3DB93907">
      <w:pPr>
        <w:tabs>
          <w:tab w:val="left" w:pos="-720"/>
        </w:tabs>
        <w:suppressAutoHyphens/>
        <w:contextualSpacing/>
        <w:rPr>
          <w:rFonts w:ascii="Times New Roman" w:hAnsi="Times New Roman"/>
        </w:rPr>
      </w:pPr>
      <w:r>
        <w:rPr>
          <w:rFonts w:ascii="Times New Roman" w:hAnsi="Times New Roman"/>
        </w:rPr>
        <w:t xml:space="preserve">There are no capital startup costs. </w:t>
      </w:r>
      <w:r w:rsidRPr="004D0F57">
        <w:rPr>
          <w:rFonts w:ascii="Times New Roman" w:hAnsi="Times New Roman"/>
        </w:rPr>
        <w:t>The information collection will not create costs associated with generating, maintaining, and disclosing or providing the information that is not already identified in question 12 of this supporting statement.</w:t>
      </w:r>
    </w:p>
    <w:p w:rsidR="00B460B3" w:rsidP="00AD381B" w14:paraId="0A32CBF6" w14:textId="77777777">
      <w:pPr>
        <w:tabs>
          <w:tab w:val="left" w:pos="-720"/>
        </w:tabs>
        <w:suppressAutoHyphens/>
        <w:rPr>
          <w:rFonts w:ascii="Times New Roman" w:hAnsi="Times New Roman"/>
          <w:szCs w:val="24"/>
        </w:rPr>
      </w:pPr>
    </w:p>
    <w:p w:rsidR="00B460B3" w:rsidP="00AD381B" w14:paraId="5154205A" w14:textId="77777777">
      <w:pPr>
        <w:tabs>
          <w:tab w:val="left" w:pos="-720"/>
        </w:tabs>
        <w:suppressAutoHyphens/>
        <w:rPr>
          <w:rFonts w:ascii="Times New Roman" w:hAnsi="Times New Roman"/>
          <w:szCs w:val="24"/>
        </w:rPr>
      </w:pPr>
    </w:p>
    <w:p w:rsidR="00043C32" w:rsidP="00AD381B" w14:paraId="5EEEB32B"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460B3" w:rsidRPr="00534B4A" w:rsidP="00B460B3" w14:paraId="61234FAD" w14:textId="77777777">
      <w:pPr>
        <w:pStyle w:val="ListParagraph"/>
        <w:tabs>
          <w:tab w:val="left" w:pos="-720"/>
        </w:tabs>
        <w:suppressAutoHyphens/>
        <w:ind w:left="900"/>
        <w:contextualSpacing w:val="0"/>
        <w:rPr>
          <w:rStyle w:val="a"/>
          <w:rFonts w:ascii="Times New Roman" w:hAnsi="Times New Roman"/>
          <w:b/>
          <w:szCs w:val="24"/>
        </w:rPr>
      </w:pPr>
    </w:p>
    <w:p w:rsidR="00976C15" w:rsidP="00976C15" w14:paraId="7AB22B11" w14:textId="3F725134">
      <w:pPr>
        <w:pStyle w:val="ListParagraph"/>
        <w:tabs>
          <w:tab w:val="left" w:pos="-720"/>
        </w:tabs>
        <w:suppressAutoHyphens/>
        <w:ind w:left="0"/>
        <w:rPr>
          <w:rFonts w:ascii="Times New Roman" w:hAnsi="Times New Roman"/>
          <w:iCs/>
          <w:szCs w:val="24"/>
        </w:rPr>
      </w:pPr>
      <w:r>
        <w:rPr>
          <w:rFonts w:ascii="Times New Roman" w:hAnsi="Times New Roman"/>
          <w:iCs/>
          <w:szCs w:val="24"/>
        </w:rPr>
        <w:t>The</w:t>
      </w:r>
      <w:r w:rsidRPr="00196A81">
        <w:rPr>
          <w:rFonts w:ascii="Times New Roman" w:hAnsi="Times New Roman"/>
          <w:iCs/>
          <w:szCs w:val="24"/>
        </w:rPr>
        <w:t xml:space="preserve"> </w:t>
      </w:r>
      <w:r w:rsidRPr="003A037E">
        <w:rPr>
          <w:rFonts w:ascii="Times New Roman" w:hAnsi="Times New Roman"/>
          <w:b/>
          <w:bCs/>
          <w:iCs/>
          <w:szCs w:val="24"/>
        </w:rPr>
        <w:t>annual</w:t>
      </w:r>
      <w:r>
        <w:rPr>
          <w:rFonts w:ascii="Times New Roman" w:hAnsi="Times New Roman"/>
          <w:iCs/>
          <w:szCs w:val="24"/>
        </w:rPr>
        <w:t xml:space="preserve"> </w:t>
      </w:r>
      <w:r w:rsidRPr="00196A81">
        <w:rPr>
          <w:rFonts w:ascii="Times New Roman" w:hAnsi="Times New Roman"/>
          <w:iCs/>
          <w:szCs w:val="24"/>
        </w:rPr>
        <w:t>cost</w:t>
      </w:r>
      <w:r>
        <w:rPr>
          <w:rFonts w:ascii="Times New Roman" w:hAnsi="Times New Roman"/>
          <w:iCs/>
          <w:szCs w:val="24"/>
        </w:rPr>
        <w:t>s</w:t>
      </w:r>
      <w:r w:rsidRPr="00196A81">
        <w:rPr>
          <w:rFonts w:ascii="Times New Roman" w:hAnsi="Times New Roman"/>
          <w:iCs/>
          <w:szCs w:val="24"/>
        </w:rPr>
        <w:t xml:space="preserve"> to the Federal government</w:t>
      </w:r>
      <w:r>
        <w:rPr>
          <w:rFonts w:ascii="Times New Roman" w:hAnsi="Times New Roman"/>
          <w:iCs/>
          <w:szCs w:val="24"/>
        </w:rPr>
        <w:t>, beyond the efforts normally associated with Department staff conducting monitoring, include both Federal and contractor staff time and resources totaling $</w:t>
      </w:r>
      <w:r w:rsidR="00232C66">
        <w:rPr>
          <w:rFonts w:ascii="Times New Roman" w:hAnsi="Times New Roman"/>
          <w:b/>
          <w:bCs/>
          <w:iCs/>
          <w:szCs w:val="24"/>
        </w:rPr>
        <w:t>294,058</w:t>
      </w:r>
      <w:r>
        <w:rPr>
          <w:rFonts w:ascii="Times New Roman" w:hAnsi="Times New Roman"/>
          <w:iCs/>
          <w:szCs w:val="24"/>
        </w:rPr>
        <w:t>.</w:t>
      </w:r>
    </w:p>
    <w:p w:rsidR="00B460B3" w:rsidP="00B460B3" w14:paraId="18CBC0D8" w14:textId="77777777">
      <w:pPr>
        <w:pStyle w:val="ListParagraph"/>
        <w:tabs>
          <w:tab w:val="left" w:pos="-720"/>
        </w:tabs>
        <w:suppressAutoHyphens/>
        <w:ind w:left="0"/>
        <w:rPr>
          <w:rFonts w:ascii="Times New Roman" w:hAnsi="Times New Roman"/>
          <w:iCs/>
          <w:szCs w:val="24"/>
        </w:rPr>
      </w:pPr>
    </w:p>
    <w:p w:rsidR="00976C15" w:rsidP="00B460B3" w14:paraId="7775BBCA" w14:textId="77777777">
      <w:pPr>
        <w:pStyle w:val="ListParagraph"/>
        <w:tabs>
          <w:tab w:val="left" w:pos="-720"/>
        </w:tabs>
        <w:suppressAutoHyphens/>
        <w:ind w:left="0"/>
        <w:rPr>
          <w:rFonts w:ascii="Times New Roman" w:hAnsi="Times New Roman"/>
          <w:iCs/>
          <w:szCs w:val="24"/>
        </w:rPr>
      </w:pPr>
    </w:p>
    <w:p w:rsidR="00B460B3" w:rsidP="00B460B3" w14:paraId="5BB1EAF8" w14:textId="04B0F695">
      <w:pPr>
        <w:pStyle w:val="ListParagraph"/>
        <w:suppressAutoHyphens/>
        <w:ind w:left="0"/>
        <w:rPr>
          <w:rFonts w:ascii="Times New Roman" w:hAnsi="Times New Roman"/>
        </w:rPr>
      </w:pPr>
      <w:r w:rsidRPr="727A6367">
        <w:rPr>
          <w:rFonts w:ascii="Times New Roman" w:hAnsi="Times New Roman"/>
        </w:rPr>
        <w:t xml:space="preserve">The Department estimates the </w:t>
      </w:r>
      <w:r w:rsidRPr="00A40B17">
        <w:rPr>
          <w:rFonts w:ascii="Times New Roman" w:hAnsi="Times New Roman"/>
          <w:b/>
          <w:bCs/>
        </w:rPr>
        <w:t>annual</w:t>
      </w:r>
      <w:r>
        <w:rPr>
          <w:rFonts w:ascii="Times New Roman" w:hAnsi="Times New Roman"/>
        </w:rPr>
        <w:t xml:space="preserve"> cost for Federal staff time at an average GS-13 level to be </w:t>
      </w:r>
      <w:r w:rsidRPr="00A40B17">
        <w:rPr>
          <w:rFonts w:ascii="Times New Roman" w:hAnsi="Times New Roman"/>
          <w:b/>
          <w:bCs/>
        </w:rPr>
        <w:t>$</w:t>
      </w:r>
      <w:r w:rsidR="00876E1E">
        <w:rPr>
          <w:rFonts w:ascii="Times New Roman" w:hAnsi="Times New Roman"/>
          <w:b/>
          <w:bCs/>
        </w:rPr>
        <w:t>128,378</w:t>
      </w:r>
      <w:r>
        <w:rPr>
          <w:rFonts w:ascii="Times New Roman" w:hAnsi="Times New Roman"/>
        </w:rPr>
        <w:t xml:space="preserve"> which includes:</w:t>
      </w:r>
    </w:p>
    <w:p w:rsidR="00B460B3" w:rsidP="00B460B3" w14:paraId="53901764" w14:textId="77777777">
      <w:pPr>
        <w:pStyle w:val="ListParagraph"/>
        <w:numPr>
          <w:ilvl w:val="0"/>
          <w:numId w:val="6"/>
        </w:numPr>
        <w:tabs>
          <w:tab w:val="left" w:pos="-720"/>
        </w:tabs>
        <w:suppressAutoHyphens/>
        <w:rPr>
          <w:rFonts w:ascii="Times New Roman" w:hAnsi="Times New Roman"/>
        </w:rPr>
      </w:pPr>
      <w:r>
        <w:rPr>
          <w:rFonts w:ascii="Times New Roman" w:hAnsi="Times New Roman"/>
        </w:rPr>
        <w:t>Planning</w:t>
      </w:r>
    </w:p>
    <w:p w:rsidR="00B460B3" w:rsidP="00B460B3" w14:paraId="59DE355D" w14:textId="77777777">
      <w:pPr>
        <w:pStyle w:val="ListParagraph"/>
        <w:numPr>
          <w:ilvl w:val="0"/>
          <w:numId w:val="6"/>
        </w:numPr>
        <w:tabs>
          <w:tab w:val="left" w:pos="-720"/>
        </w:tabs>
        <w:suppressAutoHyphens/>
        <w:rPr>
          <w:rFonts w:ascii="Times New Roman" w:hAnsi="Times New Roman"/>
        </w:rPr>
      </w:pPr>
      <w:r>
        <w:rPr>
          <w:rFonts w:ascii="Times New Roman" w:hAnsi="Times New Roman"/>
        </w:rPr>
        <w:t>Instrument development</w:t>
      </w:r>
    </w:p>
    <w:p w:rsidR="00B460B3" w:rsidP="00B460B3" w14:paraId="3CB2090D" w14:textId="77777777">
      <w:pPr>
        <w:pStyle w:val="ListParagraph"/>
        <w:numPr>
          <w:ilvl w:val="0"/>
          <w:numId w:val="6"/>
        </w:numPr>
        <w:tabs>
          <w:tab w:val="left" w:pos="-720"/>
        </w:tabs>
        <w:suppressAutoHyphens/>
        <w:rPr>
          <w:rFonts w:ascii="Times New Roman" w:hAnsi="Times New Roman"/>
        </w:rPr>
      </w:pPr>
      <w:r>
        <w:rPr>
          <w:rFonts w:ascii="Times New Roman" w:hAnsi="Times New Roman"/>
        </w:rPr>
        <w:t>Collection</w:t>
      </w:r>
    </w:p>
    <w:p w:rsidR="00B460B3" w:rsidP="00B460B3" w14:paraId="15121084" w14:textId="77777777">
      <w:pPr>
        <w:pStyle w:val="ListParagraph"/>
        <w:numPr>
          <w:ilvl w:val="0"/>
          <w:numId w:val="6"/>
        </w:numPr>
        <w:tabs>
          <w:tab w:val="left" w:pos="-720"/>
        </w:tabs>
        <w:suppressAutoHyphens/>
        <w:rPr>
          <w:rFonts w:ascii="Times New Roman" w:hAnsi="Times New Roman"/>
        </w:rPr>
      </w:pPr>
      <w:r>
        <w:rPr>
          <w:rFonts w:ascii="Times New Roman" w:hAnsi="Times New Roman"/>
        </w:rPr>
        <w:t xml:space="preserve">Analysis </w:t>
      </w:r>
    </w:p>
    <w:p w:rsidR="00B460B3" w:rsidP="00B460B3" w14:paraId="711054CB" w14:textId="77777777">
      <w:pPr>
        <w:pStyle w:val="ListParagraph"/>
        <w:numPr>
          <w:ilvl w:val="0"/>
          <w:numId w:val="6"/>
        </w:numPr>
        <w:tabs>
          <w:tab w:val="left" w:pos="-720"/>
        </w:tabs>
        <w:suppressAutoHyphens/>
        <w:rPr>
          <w:rFonts w:ascii="Times New Roman" w:hAnsi="Times New Roman"/>
        </w:rPr>
      </w:pPr>
      <w:r>
        <w:rPr>
          <w:rFonts w:ascii="Times New Roman" w:hAnsi="Times New Roman"/>
        </w:rPr>
        <w:t>Reporting</w:t>
      </w:r>
    </w:p>
    <w:p w:rsidR="00B460B3" w:rsidP="00B460B3" w14:paraId="1A91DC78" w14:textId="77777777">
      <w:pPr>
        <w:pStyle w:val="ListParagraph"/>
        <w:suppressAutoHyphens/>
        <w:ind w:left="0"/>
        <w:rPr>
          <w:rFonts w:ascii="Times New Roman" w:hAnsi="Times New Roman"/>
        </w:rPr>
      </w:pPr>
    </w:p>
    <w:p w:rsidR="00B460B3" w:rsidRPr="00314690" w:rsidP="00B460B3" w14:paraId="68C3B0A6" w14:textId="4922E29E">
      <w:pPr>
        <w:pStyle w:val="ListParagraph"/>
        <w:suppressAutoHyphens/>
        <w:ind w:left="0"/>
        <w:rPr>
          <w:rFonts w:ascii="Times New Roman" w:hAnsi="Times New Roman"/>
        </w:rPr>
      </w:pPr>
      <w:r>
        <w:rPr>
          <w:rFonts w:ascii="Times New Roman" w:hAnsi="Times New Roman"/>
        </w:rPr>
        <w:t>The estimate</w:t>
      </w:r>
      <w:r w:rsidR="0021390C">
        <w:rPr>
          <w:rFonts w:ascii="Times New Roman" w:hAnsi="Times New Roman"/>
        </w:rPr>
        <w:t xml:space="preserve"> is</w:t>
      </w:r>
      <w:r>
        <w:rPr>
          <w:rFonts w:ascii="Times New Roman" w:hAnsi="Times New Roman"/>
        </w:rPr>
        <w:t xml:space="preserve"> based </w:t>
      </w:r>
      <w:r w:rsidR="000242E9">
        <w:rPr>
          <w:rFonts w:ascii="Times New Roman" w:hAnsi="Times New Roman"/>
        </w:rPr>
        <w:t>2080</w:t>
      </w:r>
      <w:r>
        <w:rPr>
          <w:rFonts w:ascii="Times New Roman" w:hAnsi="Times New Roman"/>
        </w:rPr>
        <w:t xml:space="preserve"> </w:t>
      </w:r>
      <w:r w:rsidRPr="727A6367">
        <w:rPr>
          <w:rFonts w:ascii="Times New Roman" w:hAnsi="Times New Roman"/>
        </w:rPr>
        <w:t xml:space="preserve">hours X </w:t>
      </w:r>
      <w:r w:rsidRPr="572B3FE9">
        <w:rPr>
          <w:rFonts w:ascii="Times New Roman" w:hAnsi="Times New Roman"/>
        </w:rPr>
        <w:t>$</w:t>
      </w:r>
      <w:r w:rsidR="00107C02">
        <w:rPr>
          <w:rFonts w:ascii="Times New Roman" w:hAnsi="Times New Roman"/>
        </w:rPr>
        <w:t>61.72</w:t>
      </w:r>
      <w:r w:rsidRPr="01E18958">
        <w:rPr>
          <w:rFonts w:ascii="Times New Roman" w:hAnsi="Times New Roman"/>
        </w:rPr>
        <w:t xml:space="preserve"> per</w:t>
      </w:r>
      <w:r w:rsidRPr="727A6367">
        <w:rPr>
          <w:rFonts w:ascii="Times New Roman" w:hAnsi="Times New Roman"/>
        </w:rPr>
        <w:t xml:space="preserve"> hour</w:t>
      </w:r>
      <w:r>
        <w:rPr>
          <w:rFonts w:ascii="Times New Roman" w:hAnsi="Times New Roman"/>
        </w:rPr>
        <w:t xml:space="preserve"> </w:t>
      </w:r>
      <w:r w:rsidR="0021390C">
        <w:rPr>
          <w:rFonts w:ascii="Times New Roman" w:hAnsi="Times New Roman"/>
        </w:rPr>
        <w:t>for the next three years of the data collection.</w:t>
      </w:r>
    </w:p>
    <w:p w:rsidR="00B460B3" w:rsidP="00B460B3" w14:paraId="365CADF7" w14:textId="77777777">
      <w:pPr>
        <w:pStyle w:val="ListParagraph"/>
        <w:suppressAutoHyphens/>
        <w:ind w:left="0"/>
        <w:rPr>
          <w:rFonts w:ascii="Times New Roman" w:hAnsi="Times New Roman"/>
        </w:rPr>
      </w:pPr>
    </w:p>
    <w:p w:rsidR="00B460B3" w:rsidRPr="00314690" w:rsidP="00B460B3" w14:paraId="1C8AB885" w14:textId="411C8312">
      <w:pPr>
        <w:pStyle w:val="ListParagraph"/>
        <w:suppressAutoHyphens/>
        <w:ind w:left="0"/>
        <w:rPr>
          <w:rFonts w:ascii="Times New Roman" w:hAnsi="Times New Roman"/>
        </w:rPr>
      </w:pPr>
      <w:r>
        <w:rPr>
          <w:rFonts w:ascii="Times New Roman" w:hAnsi="Times New Roman"/>
        </w:rPr>
        <w:t>The Department also oversees a contract to support the data collection and the Education Stabilization Fund reporting portal, which includes ESSER. The estimated</w:t>
      </w:r>
      <w:r w:rsidR="00641F4E">
        <w:rPr>
          <w:rFonts w:ascii="Times New Roman" w:hAnsi="Times New Roman"/>
        </w:rPr>
        <w:t xml:space="preserve"> average</w:t>
      </w:r>
      <w:r>
        <w:rPr>
          <w:rFonts w:ascii="Times New Roman" w:hAnsi="Times New Roman"/>
        </w:rPr>
        <w:t xml:space="preserve"> </w:t>
      </w:r>
      <w:r w:rsidRPr="00F00CAB">
        <w:rPr>
          <w:rFonts w:ascii="Times New Roman" w:hAnsi="Times New Roman"/>
          <w:b/>
          <w:bCs/>
        </w:rPr>
        <w:t>annual</w:t>
      </w:r>
      <w:r>
        <w:rPr>
          <w:rFonts w:ascii="Times New Roman" w:hAnsi="Times New Roman"/>
        </w:rPr>
        <w:t xml:space="preserve"> contract cost for </w:t>
      </w:r>
      <w:r w:rsidR="00567787">
        <w:rPr>
          <w:rFonts w:ascii="Times New Roman" w:hAnsi="Times New Roman"/>
        </w:rPr>
        <w:t xml:space="preserve">the next three years of </w:t>
      </w:r>
      <w:r>
        <w:rPr>
          <w:rFonts w:ascii="Times New Roman" w:hAnsi="Times New Roman"/>
        </w:rPr>
        <w:t>ESSER-related data collection and reporting is $</w:t>
      </w:r>
      <w:r w:rsidR="001D580A">
        <w:rPr>
          <w:rFonts w:ascii="Times New Roman" w:hAnsi="Times New Roman"/>
          <w:b/>
          <w:bCs/>
        </w:rPr>
        <w:t>165,680</w:t>
      </w:r>
      <w:r>
        <w:rPr>
          <w:rFonts w:ascii="Times New Roman" w:hAnsi="Times New Roman"/>
        </w:rPr>
        <w:t>, which includes $</w:t>
      </w:r>
      <w:r w:rsidR="009F5482">
        <w:rPr>
          <w:rFonts w:ascii="Times New Roman" w:hAnsi="Times New Roman"/>
        </w:rPr>
        <w:t>160,909</w:t>
      </w:r>
      <w:r>
        <w:rPr>
          <w:rFonts w:ascii="Times New Roman" w:hAnsi="Times New Roman"/>
        </w:rPr>
        <w:t xml:space="preserve"> in the first year</w:t>
      </w:r>
      <w:r w:rsidR="009F5482">
        <w:rPr>
          <w:rFonts w:ascii="Times New Roman" w:hAnsi="Times New Roman"/>
        </w:rPr>
        <w:t xml:space="preserve">, </w:t>
      </w:r>
      <w:r w:rsidR="00F80952">
        <w:rPr>
          <w:rFonts w:ascii="Times New Roman" w:hAnsi="Times New Roman"/>
        </w:rPr>
        <w:t xml:space="preserve">163,966 in the second, and </w:t>
      </w:r>
      <w:r>
        <w:rPr>
          <w:rFonts w:ascii="Times New Roman" w:hAnsi="Times New Roman"/>
        </w:rPr>
        <w:t>$</w:t>
      </w:r>
      <w:r w:rsidR="00F80952">
        <w:rPr>
          <w:rFonts w:ascii="Times New Roman" w:hAnsi="Times New Roman"/>
        </w:rPr>
        <w:t>172,164</w:t>
      </w:r>
      <w:r>
        <w:rPr>
          <w:rFonts w:ascii="Times New Roman" w:hAnsi="Times New Roman"/>
        </w:rPr>
        <w:t xml:space="preserve"> </w:t>
      </w:r>
      <w:r w:rsidR="00F80952">
        <w:rPr>
          <w:rFonts w:ascii="Times New Roman" w:hAnsi="Times New Roman"/>
        </w:rPr>
        <w:t>in the third</w:t>
      </w:r>
      <w:r w:rsidR="00567787">
        <w:rPr>
          <w:rFonts w:ascii="Times New Roman" w:hAnsi="Times New Roman"/>
        </w:rPr>
        <w:t xml:space="preserve"> year of the data collection.</w:t>
      </w:r>
    </w:p>
    <w:p w:rsidR="00534B4A" w:rsidP="00534B4A" w14:paraId="2DE403A5" w14:textId="77777777">
      <w:pPr>
        <w:tabs>
          <w:tab w:val="left" w:pos="-720"/>
        </w:tabs>
        <w:suppressAutoHyphens/>
        <w:rPr>
          <w:rFonts w:ascii="Times New Roman" w:hAnsi="Times New Roman"/>
          <w:szCs w:val="24"/>
        </w:rPr>
      </w:pPr>
    </w:p>
    <w:p w:rsidR="00534B4A" w:rsidP="00534B4A" w14:paraId="62431CDC" w14:textId="77777777">
      <w:pPr>
        <w:pStyle w:val="ListParagraph"/>
        <w:tabs>
          <w:tab w:val="left" w:pos="-720"/>
        </w:tabs>
        <w:suppressAutoHyphens/>
        <w:ind w:left="907"/>
        <w:contextualSpacing w:val="0"/>
        <w:rPr>
          <w:rFonts w:ascii="Times New Roman" w:hAnsi="Times New Roman"/>
          <w:szCs w:val="24"/>
        </w:rPr>
      </w:pPr>
    </w:p>
    <w:p w:rsidR="00800D30" w:rsidP="00800D30" w14:paraId="7FDF7F79"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800D30" w14:paraId="49E398E2" w14:textId="77777777">
      <w:pPr>
        <w:pStyle w:val="ListParagraph"/>
        <w:tabs>
          <w:tab w:val="left" w:pos="-720"/>
        </w:tabs>
        <w:suppressAutoHyphens/>
        <w:contextualSpacing w:val="0"/>
        <w:rPr>
          <w:rFonts w:ascii="Times New Roman" w:hAnsi="Times New Roman"/>
          <w:b/>
          <w:szCs w:val="24"/>
        </w:rPr>
      </w:pPr>
    </w:p>
    <w:p w:rsidR="00800D30" w:rsidRPr="00756FD3" w:rsidP="00800D30" w14:paraId="1745115A"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16287F21"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40706618" w14:textId="77777777" w:rsidTr="0052073E">
        <w:tblPrEx>
          <w:tblW w:w="9445" w:type="dxa"/>
          <w:tblLook w:val="04A0"/>
        </w:tblPrEx>
        <w:tc>
          <w:tcPr>
            <w:tcW w:w="2048" w:type="dxa"/>
            <w:shd w:val="clear" w:color="auto" w:fill="D9D9D9" w:themeFill="background1" w:themeFillShade="D9"/>
          </w:tcPr>
          <w:p w:rsidR="0052073E" w:rsidP="00534B4A" w14:paraId="5BE93A62" w14:textId="77777777">
            <w:pPr>
              <w:tabs>
                <w:tab w:val="left" w:pos="-720"/>
              </w:tabs>
              <w:suppressAutoHyphens/>
              <w:rPr>
                <w:rFonts w:ascii="Times New Roman" w:hAnsi="Times New Roman"/>
                <w:b/>
                <w:szCs w:val="24"/>
              </w:rPr>
            </w:pPr>
          </w:p>
        </w:tc>
        <w:tc>
          <w:tcPr>
            <w:tcW w:w="2048" w:type="dxa"/>
          </w:tcPr>
          <w:p w:rsidR="0052073E" w:rsidP="00534B4A" w14:paraId="340BE274"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066D911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29E0758E"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7A99DE56" w14:textId="77777777" w:rsidTr="0052073E">
        <w:tblPrEx>
          <w:tblW w:w="9445" w:type="dxa"/>
          <w:tblLook w:val="04A0"/>
        </w:tblPrEx>
        <w:tc>
          <w:tcPr>
            <w:tcW w:w="2048" w:type="dxa"/>
          </w:tcPr>
          <w:p w:rsidR="0052073E" w:rsidP="00534B4A" w14:paraId="454680F7"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384BA73E" w14:textId="77777777">
            <w:pPr>
              <w:tabs>
                <w:tab w:val="left" w:pos="-720"/>
              </w:tabs>
              <w:suppressAutoHyphens/>
              <w:rPr>
                <w:rFonts w:ascii="Times New Roman" w:hAnsi="Times New Roman"/>
                <w:b/>
                <w:szCs w:val="24"/>
              </w:rPr>
            </w:pPr>
          </w:p>
        </w:tc>
        <w:tc>
          <w:tcPr>
            <w:tcW w:w="2829" w:type="dxa"/>
          </w:tcPr>
          <w:p w:rsidR="0052073E" w:rsidP="00534B4A" w14:paraId="34B3F2EB" w14:textId="77777777">
            <w:pPr>
              <w:tabs>
                <w:tab w:val="left" w:pos="-720"/>
              </w:tabs>
              <w:suppressAutoHyphens/>
              <w:rPr>
                <w:rFonts w:ascii="Times New Roman" w:hAnsi="Times New Roman"/>
                <w:b/>
                <w:szCs w:val="24"/>
              </w:rPr>
            </w:pPr>
          </w:p>
        </w:tc>
        <w:tc>
          <w:tcPr>
            <w:tcW w:w="2520" w:type="dxa"/>
          </w:tcPr>
          <w:p w:rsidR="0052073E" w:rsidP="00534B4A" w14:paraId="7D34F5C7" w14:textId="75802A19">
            <w:pPr>
              <w:tabs>
                <w:tab w:val="left" w:pos="-720"/>
              </w:tabs>
              <w:suppressAutoHyphens/>
              <w:rPr>
                <w:rFonts w:ascii="Times New Roman" w:hAnsi="Times New Roman"/>
                <w:b/>
                <w:szCs w:val="24"/>
              </w:rPr>
            </w:pPr>
            <w:r>
              <w:rPr>
                <w:rFonts w:ascii="Times New Roman" w:hAnsi="Times New Roman"/>
                <w:b/>
                <w:szCs w:val="24"/>
              </w:rPr>
              <w:t>-663</w:t>
            </w:r>
          </w:p>
        </w:tc>
      </w:tr>
      <w:tr w14:paraId="5D36BA98" w14:textId="77777777" w:rsidTr="0052073E">
        <w:tblPrEx>
          <w:tblW w:w="9445" w:type="dxa"/>
          <w:tblLook w:val="04A0"/>
        </w:tblPrEx>
        <w:tc>
          <w:tcPr>
            <w:tcW w:w="2048" w:type="dxa"/>
          </w:tcPr>
          <w:p w:rsidR="0052073E" w:rsidP="00534B4A" w14:paraId="64C7048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0B4020A7" w14:textId="77777777">
            <w:pPr>
              <w:tabs>
                <w:tab w:val="left" w:pos="-720"/>
              </w:tabs>
              <w:suppressAutoHyphens/>
              <w:rPr>
                <w:rFonts w:ascii="Times New Roman" w:hAnsi="Times New Roman"/>
                <w:b/>
                <w:szCs w:val="24"/>
              </w:rPr>
            </w:pPr>
          </w:p>
        </w:tc>
        <w:tc>
          <w:tcPr>
            <w:tcW w:w="2829" w:type="dxa"/>
          </w:tcPr>
          <w:p w:rsidR="0052073E" w:rsidP="00534B4A" w14:paraId="1D7B270A" w14:textId="77777777">
            <w:pPr>
              <w:tabs>
                <w:tab w:val="left" w:pos="-720"/>
              </w:tabs>
              <w:suppressAutoHyphens/>
              <w:rPr>
                <w:rFonts w:ascii="Times New Roman" w:hAnsi="Times New Roman"/>
                <w:b/>
                <w:szCs w:val="24"/>
              </w:rPr>
            </w:pPr>
          </w:p>
        </w:tc>
        <w:tc>
          <w:tcPr>
            <w:tcW w:w="2520" w:type="dxa"/>
          </w:tcPr>
          <w:p w:rsidR="0052073E" w:rsidP="00534B4A" w14:paraId="4F904CB7" w14:textId="77777777">
            <w:pPr>
              <w:tabs>
                <w:tab w:val="left" w:pos="-720"/>
              </w:tabs>
              <w:suppressAutoHyphens/>
              <w:rPr>
                <w:rFonts w:ascii="Times New Roman" w:hAnsi="Times New Roman"/>
                <w:b/>
                <w:szCs w:val="24"/>
              </w:rPr>
            </w:pPr>
          </w:p>
        </w:tc>
      </w:tr>
      <w:tr w14:paraId="7E8063BB" w14:textId="77777777" w:rsidTr="0052073E">
        <w:tblPrEx>
          <w:tblW w:w="9445" w:type="dxa"/>
          <w:tblLook w:val="04A0"/>
        </w:tblPrEx>
        <w:tc>
          <w:tcPr>
            <w:tcW w:w="2048" w:type="dxa"/>
          </w:tcPr>
          <w:p w:rsidR="0052073E" w:rsidP="00534B4A" w14:paraId="0D0CB5BE"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06971CD3" w14:textId="77777777">
            <w:pPr>
              <w:tabs>
                <w:tab w:val="left" w:pos="-720"/>
              </w:tabs>
              <w:suppressAutoHyphens/>
              <w:rPr>
                <w:rFonts w:ascii="Times New Roman" w:hAnsi="Times New Roman"/>
                <w:b/>
                <w:szCs w:val="24"/>
              </w:rPr>
            </w:pPr>
          </w:p>
        </w:tc>
        <w:tc>
          <w:tcPr>
            <w:tcW w:w="2829" w:type="dxa"/>
          </w:tcPr>
          <w:p w:rsidR="0052073E" w:rsidP="00534B4A" w14:paraId="2A1F701D" w14:textId="77777777">
            <w:pPr>
              <w:tabs>
                <w:tab w:val="left" w:pos="-720"/>
              </w:tabs>
              <w:suppressAutoHyphens/>
              <w:rPr>
                <w:rFonts w:ascii="Times New Roman" w:hAnsi="Times New Roman"/>
                <w:b/>
                <w:szCs w:val="24"/>
              </w:rPr>
            </w:pPr>
          </w:p>
        </w:tc>
        <w:tc>
          <w:tcPr>
            <w:tcW w:w="2520" w:type="dxa"/>
          </w:tcPr>
          <w:p w:rsidR="0052073E" w:rsidP="00534B4A" w14:paraId="03EFCA41" w14:textId="77777777">
            <w:pPr>
              <w:tabs>
                <w:tab w:val="left" w:pos="-720"/>
              </w:tabs>
              <w:suppressAutoHyphens/>
              <w:rPr>
                <w:rFonts w:ascii="Times New Roman" w:hAnsi="Times New Roman"/>
                <w:b/>
                <w:szCs w:val="24"/>
              </w:rPr>
            </w:pPr>
          </w:p>
        </w:tc>
      </w:tr>
    </w:tbl>
    <w:p w:rsidR="00F27AAF" w:rsidP="00534B4A" w14:paraId="5F96A722" w14:textId="77777777">
      <w:pPr>
        <w:tabs>
          <w:tab w:val="left" w:pos="-720"/>
        </w:tabs>
        <w:suppressAutoHyphens/>
        <w:rPr>
          <w:rFonts w:ascii="Times New Roman" w:hAnsi="Times New Roman"/>
          <w:b/>
          <w:szCs w:val="24"/>
        </w:rPr>
      </w:pPr>
    </w:p>
    <w:p w:rsidR="001C1B36" w:rsidP="001C1B36" w14:paraId="45561276" w14:textId="502A29C3">
      <w:pPr>
        <w:tabs>
          <w:tab w:val="left" w:pos="-720"/>
        </w:tabs>
        <w:suppressAutoHyphens/>
        <w:rPr>
          <w:rFonts w:ascii="Times New Roman" w:hAnsi="Times New Roman"/>
          <w:szCs w:val="24"/>
        </w:rPr>
      </w:pPr>
      <w:r w:rsidRPr="007E56CB">
        <w:rPr>
          <w:rFonts w:ascii="Times New Roman" w:hAnsi="Times New Roman"/>
          <w:szCs w:val="24"/>
        </w:rPr>
        <w:t>We are seeking a revision to the ICR to implement minor language changes that do not change the burden of the collection. No new questions have been added.</w:t>
      </w:r>
      <w:r w:rsidR="00C75F8E">
        <w:rPr>
          <w:rFonts w:ascii="Times New Roman" w:hAnsi="Times New Roman"/>
          <w:szCs w:val="24"/>
        </w:rPr>
        <w:t xml:space="preserve"> </w:t>
      </w:r>
      <w:r w:rsidRPr="00A37D9A" w:rsidR="00A37D9A">
        <w:rPr>
          <w:rFonts w:ascii="Times New Roman" w:hAnsi="Times New Roman"/>
          <w:szCs w:val="24"/>
        </w:rPr>
        <w:t xml:space="preserve">There has been a correction to the calculation of the burden estimate that results in a </w:t>
      </w:r>
      <w:r w:rsidRPr="00A37D9A" w:rsidR="00A37D9A">
        <w:rPr>
          <w:rFonts w:ascii="Times New Roman" w:hAnsi="Times New Roman"/>
          <w:szCs w:val="24"/>
        </w:rPr>
        <w:t>663 hour</w:t>
      </w:r>
      <w:r w:rsidRPr="00A37D9A" w:rsidR="00A37D9A">
        <w:rPr>
          <w:rFonts w:ascii="Times New Roman" w:hAnsi="Times New Roman"/>
          <w:szCs w:val="24"/>
        </w:rPr>
        <w:t xml:space="preserve"> reduction to the total burden</w:t>
      </w:r>
      <w:r w:rsidR="006E7FC9">
        <w:rPr>
          <w:rFonts w:ascii="Times New Roman" w:hAnsi="Times New Roman"/>
          <w:szCs w:val="24"/>
        </w:rPr>
        <w:t>.</w:t>
      </w:r>
    </w:p>
    <w:p w:rsidR="00534B4A" w:rsidRPr="00534B4A" w:rsidP="00534B4A" w14:paraId="5B95CD12" w14:textId="77777777">
      <w:pPr>
        <w:tabs>
          <w:tab w:val="left" w:pos="-720"/>
        </w:tabs>
        <w:suppressAutoHyphens/>
        <w:rPr>
          <w:rFonts w:ascii="Times New Roman" w:hAnsi="Times New Roman"/>
          <w:szCs w:val="24"/>
        </w:rPr>
      </w:pPr>
    </w:p>
    <w:p w:rsidR="00B56EB6" w:rsidP="00185A9D" w14:paraId="0C91F36E" w14:textId="7022A8F3">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85A9D" w:rsidRPr="00185A9D" w:rsidP="00185A9D" w14:paraId="4A46536E" w14:textId="77777777">
      <w:pPr>
        <w:pStyle w:val="ListParagraph"/>
        <w:tabs>
          <w:tab w:val="left" w:pos="-720"/>
        </w:tabs>
        <w:suppressAutoHyphens/>
        <w:ind w:left="806"/>
        <w:contextualSpacing w:val="0"/>
        <w:rPr>
          <w:rStyle w:val="a"/>
          <w:rFonts w:ascii="Times New Roman" w:hAnsi="Times New Roman"/>
          <w:b/>
          <w:szCs w:val="24"/>
        </w:rPr>
      </w:pPr>
    </w:p>
    <w:p w:rsidR="00B56EB6" w:rsidRPr="00B56EB6" w:rsidP="00B56EB6" w14:paraId="0C7C3E76" w14:textId="059EC69A">
      <w:pPr>
        <w:tabs>
          <w:tab w:val="left" w:pos="-720"/>
        </w:tabs>
        <w:suppressAutoHyphens/>
        <w:rPr>
          <w:rFonts w:ascii="Times New Roman" w:hAnsi="Times New Roman"/>
          <w:szCs w:val="24"/>
        </w:rPr>
      </w:pPr>
      <w:r w:rsidRPr="00B56EB6">
        <w:rPr>
          <w:rFonts w:ascii="Times New Roman" w:hAnsi="Times New Roman"/>
          <w:szCs w:val="24"/>
        </w:rPr>
        <w:t>State agencies will be asked to respond to the information collection in FY2025 Quarter 3</w:t>
      </w:r>
      <w:r>
        <w:rPr>
          <w:rFonts w:ascii="Times New Roman" w:hAnsi="Times New Roman"/>
          <w:szCs w:val="24"/>
        </w:rPr>
        <w:t xml:space="preserve">, </w:t>
      </w:r>
      <w:r w:rsidRPr="00B56EB6">
        <w:rPr>
          <w:rFonts w:ascii="Times New Roman" w:hAnsi="Times New Roman"/>
          <w:szCs w:val="24"/>
        </w:rPr>
        <w:t>FY2026 Quarter 3</w:t>
      </w:r>
      <w:r>
        <w:rPr>
          <w:rFonts w:ascii="Times New Roman" w:hAnsi="Times New Roman"/>
          <w:szCs w:val="24"/>
        </w:rPr>
        <w:t>, and FY2027 Quarter 3</w:t>
      </w:r>
      <w:r w:rsidRPr="00B56EB6">
        <w:rPr>
          <w:rFonts w:ascii="Times New Roman" w:hAnsi="Times New Roman"/>
          <w:szCs w:val="24"/>
        </w:rPr>
        <w:t xml:space="preserve">. Data quality will be controlled and reviewed during </w:t>
      </w:r>
      <w:r w:rsidRPr="00B56EB6">
        <w:rPr>
          <w:rFonts w:ascii="Times New Roman" w:hAnsi="Times New Roman"/>
          <w:szCs w:val="24"/>
        </w:rPr>
        <w:t xml:space="preserve">data collection and State agencies will have the opportunity to correct their initial submissions and resubmit final data. Once the review is completed, the descriptive statistics based on this information collection will be published on the ESF Public Transparency Portal. </w:t>
      </w:r>
    </w:p>
    <w:p w:rsidR="00534B4A" w:rsidP="00534B4A" w14:paraId="5220BBB2" w14:textId="77777777">
      <w:pPr>
        <w:tabs>
          <w:tab w:val="left" w:pos="-720"/>
        </w:tabs>
        <w:suppressAutoHyphens/>
        <w:rPr>
          <w:rFonts w:ascii="Times New Roman" w:hAnsi="Times New Roman"/>
          <w:szCs w:val="24"/>
        </w:rPr>
      </w:pPr>
    </w:p>
    <w:p w:rsidR="00534B4A" w:rsidRPr="00534B4A" w:rsidP="00534B4A" w14:paraId="13CB595B" w14:textId="77777777">
      <w:pPr>
        <w:tabs>
          <w:tab w:val="left" w:pos="-720"/>
        </w:tabs>
        <w:suppressAutoHyphens/>
        <w:rPr>
          <w:rFonts w:ascii="Times New Roman" w:hAnsi="Times New Roman"/>
          <w:szCs w:val="24"/>
        </w:rPr>
      </w:pPr>
    </w:p>
    <w:p w:rsidR="00043C32" w:rsidRPr="00534B4A" w:rsidP="00AD381B" w14:paraId="18D08025"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6D9C8D39" w14:textId="77777777">
      <w:pPr>
        <w:tabs>
          <w:tab w:val="left" w:pos="-720"/>
        </w:tabs>
        <w:suppressAutoHyphens/>
        <w:ind w:left="360"/>
        <w:rPr>
          <w:rFonts w:ascii="Times New Roman" w:hAnsi="Times New Roman"/>
          <w:b/>
          <w:szCs w:val="24"/>
        </w:rPr>
      </w:pPr>
    </w:p>
    <w:p w:rsidR="00185A9D" w:rsidRPr="00C429CD" w:rsidP="00185A9D" w14:paraId="1F9998A8" w14:textId="77777777">
      <w:pPr>
        <w:tabs>
          <w:tab w:val="left" w:pos="-720"/>
          <w:tab w:val="left" w:pos="0"/>
        </w:tabs>
        <w:suppressAutoHyphens/>
        <w:spacing w:after="120"/>
        <w:rPr>
          <w:rFonts w:ascii="Times New Roman" w:hAnsi="Times New Roman"/>
        </w:rPr>
      </w:pPr>
      <w:r w:rsidRPr="00C429CD">
        <w:rPr>
          <w:rFonts w:ascii="Times New Roman" w:hAnsi="Times New Roman"/>
        </w:rPr>
        <w:t>The Department is not seeking this approval.</w:t>
      </w:r>
    </w:p>
    <w:p w:rsidR="00534B4A" w:rsidRPr="00534B4A" w:rsidP="00185A9D" w14:paraId="675E05EE" w14:textId="77777777">
      <w:pPr>
        <w:tabs>
          <w:tab w:val="left" w:pos="-720"/>
        </w:tabs>
        <w:suppressAutoHyphens/>
        <w:rPr>
          <w:rFonts w:ascii="Times New Roman" w:hAnsi="Times New Roman"/>
          <w:szCs w:val="24"/>
        </w:rPr>
      </w:pPr>
    </w:p>
    <w:p w:rsidR="001C73C0" w:rsidP="00AD381B" w14:paraId="62116B3F"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24137A" w:rsidP="0024137A" w14:paraId="0E1EBAEF" w14:textId="77777777">
      <w:pPr>
        <w:pStyle w:val="ListParagraph"/>
        <w:tabs>
          <w:tab w:val="left" w:pos="-720"/>
        </w:tabs>
        <w:suppressAutoHyphens/>
        <w:ind w:left="900"/>
        <w:rPr>
          <w:rStyle w:val="a"/>
          <w:rFonts w:ascii="Times New Roman" w:hAnsi="Times New Roman"/>
          <w:b/>
          <w:szCs w:val="24"/>
        </w:rPr>
      </w:pPr>
    </w:p>
    <w:p w:rsidR="0024137A" w:rsidRPr="0024137A" w:rsidP="0024137A" w14:paraId="4A7B413E" w14:textId="77777777">
      <w:pPr>
        <w:tabs>
          <w:tab w:val="left" w:pos="-720"/>
          <w:tab w:val="left" w:pos="0"/>
        </w:tabs>
        <w:suppressAutoHyphens/>
        <w:rPr>
          <w:rFonts w:ascii="Times New Roman" w:hAnsi="Times New Roman"/>
          <w:b/>
          <w:szCs w:val="24"/>
        </w:rPr>
      </w:pPr>
      <w:r w:rsidRPr="0024137A">
        <w:rPr>
          <w:rFonts w:ascii="Times New Roman" w:hAnsi="Times New Roman"/>
        </w:rPr>
        <w:t>The Department is not requesting any exceptions to the certification.</w:t>
      </w:r>
    </w:p>
    <w:p w:rsidR="0024137A" w:rsidRPr="0024137A" w:rsidP="0024137A" w14:paraId="113A8B3D" w14:textId="77777777">
      <w:pPr>
        <w:tabs>
          <w:tab w:val="left" w:pos="-720"/>
        </w:tabs>
        <w:suppressAutoHyphens/>
        <w:rPr>
          <w:rFonts w:ascii="Times New Roman" w:hAnsi="Times New Roman"/>
          <w:b/>
          <w:szCs w:val="24"/>
        </w:rPr>
      </w:pPr>
    </w:p>
    <w:sectPr w:rsidSect="00043C32">
      <w:footerReference w:type="default" r:id="rId2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elior-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37A" w14:paraId="2FC17F8B" w14:textId="77777777">
    <w:pPr>
      <w:spacing w:before="140" w:line="100" w:lineRule="exact"/>
      <w:rPr>
        <w:sz w:val="10"/>
      </w:rPr>
    </w:pPr>
  </w:p>
  <w:p w:rsidR="0024137A" w14:paraId="0A4F7224" w14:textId="77777777">
    <w:pPr>
      <w:tabs>
        <w:tab w:val="left" w:pos="0"/>
      </w:tabs>
      <w:suppressAutoHyphens/>
    </w:pPr>
  </w:p>
  <w:p w:rsidR="0024137A" w14:paraId="3B377C64"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24137A"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24137A"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60CB" w:rsidP="00043C32" w14:paraId="1CE0DB95" w14:textId="77777777">
      <w:r>
        <w:separator/>
      </w:r>
    </w:p>
  </w:footnote>
  <w:footnote w:type="continuationSeparator" w:id="1">
    <w:p w:rsidR="00B460CB" w:rsidP="00043C32" w14:paraId="3CC0CE61" w14:textId="77777777">
      <w:r>
        <w:continuationSeparator/>
      </w:r>
    </w:p>
  </w:footnote>
  <w:footnote w:id="2">
    <w:p w:rsidR="00C90B58" w:rsidRPr="00C926D3" w:rsidP="00C90B58" w14:paraId="70CB3938" w14:textId="1EED45E5">
      <w:pPr>
        <w:pStyle w:val="FootnoteText"/>
        <w:rPr>
          <w:rFonts w:ascii="Times New Roman" w:hAnsi="Times New Roman"/>
        </w:rPr>
      </w:pPr>
      <w:r w:rsidRPr="00C926D3">
        <w:rPr>
          <w:rStyle w:val="FootnoteReference"/>
          <w:rFonts w:ascii="Times New Roman" w:hAnsi="Times New Roman"/>
        </w:rPr>
        <w:footnoteRef/>
      </w:r>
      <w:r w:rsidRPr="00C926D3">
        <w:rPr>
          <w:rFonts w:ascii="Times New Roman" w:hAnsi="Times New Roman"/>
        </w:rPr>
        <w:t xml:space="preserve"> See </w:t>
      </w:r>
      <w:hyperlink r:id="rId1" w:history="1">
        <w:r w:rsidRPr="009545AC" w:rsidR="00DD0942">
          <w:rPr>
            <w:rStyle w:val="Hyperlink"/>
            <w:rFonts w:ascii="Times New Roman" w:hAnsi="Times New Roman"/>
          </w:rPr>
          <w:t>https://www.ed.gov/sites/default/files/cdo/ed-data-strategy.pdf</w:t>
        </w:r>
      </w:hyperlink>
      <w:r w:rsidR="00DD0942">
        <w:rPr>
          <w:rFonts w:ascii="Times New Roman" w:hAnsi="Times New Roman"/>
        </w:rPr>
        <w:t xml:space="preserve"> </w:t>
      </w:r>
    </w:p>
  </w:footnote>
  <w:footnote w:id="3">
    <w:p w:rsidR="00043C32" w:rsidP="00043C32" w14:paraId="4EB37557"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3AC57E1"/>
    <w:multiLevelType w:val="hybridMultilevel"/>
    <w:tmpl w:val="0D32809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9916679">
    <w:abstractNumId w:val="0"/>
  </w:num>
  <w:num w:numId="2" w16cid:durableId="895044026">
    <w:abstractNumId w:val="3"/>
  </w:num>
  <w:num w:numId="3" w16cid:durableId="26416731">
    <w:abstractNumId w:val="2"/>
  </w:num>
  <w:num w:numId="4" w16cid:durableId="285307900">
    <w:abstractNumId w:val="4"/>
  </w:num>
  <w:num w:numId="5" w16cid:durableId="1561553534">
    <w:abstractNumId w:val="5"/>
  </w:num>
  <w:num w:numId="6" w16cid:durableId="1888295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C57"/>
    <w:rsid w:val="00010D85"/>
    <w:rsid w:val="00014B53"/>
    <w:rsid w:val="000242E9"/>
    <w:rsid w:val="00035ED5"/>
    <w:rsid w:val="00043C32"/>
    <w:rsid w:val="000446F5"/>
    <w:rsid w:val="0006065D"/>
    <w:rsid w:val="00067240"/>
    <w:rsid w:val="00093017"/>
    <w:rsid w:val="000B4BC1"/>
    <w:rsid w:val="000B5E6B"/>
    <w:rsid w:val="000C7D6B"/>
    <w:rsid w:val="00107C02"/>
    <w:rsid w:val="00124CF0"/>
    <w:rsid w:val="001824F3"/>
    <w:rsid w:val="00185A9D"/>
    <w:rsid w:val="00196A81"/>
    <w:rsid w:val="001A6AE0"/>
    <w:rsid w:val="001C1B36"/>
    <w:rsid w:val="001C27F4"/>
    <w:rsid w:val="001C73C0"/>
    <w:rsid w:val="001D580A"/>
    <w:rsid w:val="001E34DF"/>
    <w:rsid w:val="001E79BD"/>
    <w:rsid w:val="0020209A"/>
    <w:rsid w:val="002026DC"/>
    <w:rsid w:val="0021390C"/>
    <w:rsid w:val="002225CC"/>
    <w:rsid w:val="00224A3B"/>
    <w:rsid w:val="00232C66"/>
    <w:rsid w:val="00240A39"/>
    <w:rsid w:val="0024137A"/>
    <w:rsid w:val="00246FE9"/>
    <w:rsid w:val="00250100"/>
    <w:rsid w:val="00262A69"/>
    <w:rsid w:val="00270AF7"/>
    <w:rsid w:val="002A3221"/>
    <w:rsid w:val="002C3520"/>
    <w:rsid w:val="002E14E0"/>
    <w:rsid w:val="002F55E5"/>
    <w:rsid w:val="002F695B"/>
    <w:rsid w:val="00314690"/>
    <w:rsid w:val="0032078A"/>
    <w:rsid w:val="0032539E"/>
    <w:rsid w:val="003528E9"/>
    <w:rsid w:val="003860E4"/>
    <w:rsid w:val="00386E6E"/>
    <w:rsid w:val="00397B63"/>
    <w:rsid w:val="003A037E"/>
    <w:rsid w:val="003B1545"/>
    <w:rsid w:val="00412915"/>
    <w:rsid w:val="00442E07"/>
    <w:rsid w:val="00445EA5"/>
    <w:rsid w:val="004D0F57"/>
    <w:rsid w:val="005144B7"/>
    <w:rsid w:val="0052073E"/>
    <w:rsid w:val="00534B4A"/>
    <w:rsid w:val="005463E3"/>
    <w:rsid w:val="00567787"/>
    <w:rsid w:val="00581C11"/>
    <w:rsid w:val="00597333"/>
    <w:rsid w:val="00641F4E"/>
    <w:rsid w:val="0068567A"/>
    <w:rsid w:val="006A292A"/>
    <w:rsid w:val="006A38F7"/>
    <w:rsid w:val="006A4EBB"/>
    <w:rsid w:val="006A69F3"/>
    <w:rsid w:val="006B4172"/>
    <w:rsid w:val="006E7FC9"/>
    <w:rsid w:val="00721AEB"/>
    <w:rsid w:val="00755D99"/>
    <w:rsid w:val="00756FD3"/>
    <w:rsid w:val="00760765"/>
    <w:rsid w:val="00765392"/>
    <w:rsid w:val="00771903"/>
    <w:rsid w:val="0078643F"/>
    <w:rsid w:val="00790E3E"/>
    <w:rsid w:val="007C0A4C"/>
    <w:rsid w:val="007E56CB"/>
    <w:rsid w:val="007E5DAC"/>
    <w:rsid w:val="007F6104"/>
    <w:rsid w:val="00800D30"/>
    <w:rsid w:val="00807D1A"/>
    <w:rsid w:val="00874EFE"/>
    <w:rsid w:val="00876E1E"/>
    <w:rsid w:val="00882126"/>
    <w:rsid w:val="008933F1"/>
    <w:rsid w:val="008A1394"/>
    <w:rsid w:val="008D0601"/>
    <w:rsid w:val="008D1F11"/>
    <w:rsid w:val="008E5919"/>
    <w:rsid w:val="00905951"/>
    <w:rsid w:val="00912D2C"/>
    <w:rsid w:val="00916EE4"/>
    <w:rsid w:val="00920F63"/>
    <w:rsid w:val="009243F3"/>
    <w:rsid w:val="0093366B"/>
    <w:rsid w:val="00934185"/>
    <w:rsid w:val="00946126"/>
    <w:rsid w:val="00952DF9"/>
    <w:rsid w:val="0095421D"/>
    <w:rsid w:val="009545AC"/>
    <w:rsid w:val="00960C86"/>
    <w:rsid w:val="009767AF"/>
    <w:rsid w:val="00976C15"/>
    <w:rsid w:val="00981F58"/>
    <w:rsid w:val="00986D0A"/>
    <w:rsid w:val="009E3E86"/>
    <w:rsid w:val="009F5482"/>
    <w:rsid w:val="00A118A2"/>
    <w:rsid w:val="00A23F26"/>
    <w:rsid w:val="00A37D9A"/>
    <w:rsid w:val="00A4001C"/>
    <w:rsid w:val="00A40AAB"/>
    <w:rsid w:val="00A40B17"/>
    <w:rsid w:val="00A46D01"/>
    <w:rsid w:val="00A70816"/>
    <w:rsid w:val="00A7636D"/>
    <w:rsid w:val="00A83AFC"/>
    <w:rsid w:val="00A856E3"/>
    <w:rsid w:val="00A9138E"/>
    <w:rsid w:val="00AA321B"/>
    <w:rsid w:val="00AC1C89"/>
    <w:rsid w:val="00AC659E"/>
    <w:rsid w:val="00AD381B"/>
    <w:rsid w:val="00AD5C74"/>
    <w:rsid w:val="00AE3F9D"/>
    <w:rsid w:val="00AF5B5B"/>
    <w:rsid w:val="00AF5D1A"/>
    <w:rsid w:val="00B017F9"/>
    <w:rsid w:val="00B04933"/>
    <w:rsid w:val="00B07213"/>
    <w:rsid w:val="00B10A05"/>
    <w:rsid w:val="00B460B3"/>
    <w:rsid w:val="00B460CB"/>
    <w:rsid w:val="00B460DB"/>
    <w:rsid w:val="00B54167"/>
    <w:rsid w:val="00B56EB6"/>
    <w:rsid w:val="00B62E06"/>
    <w:rsid w:val="00B64B1D"/>
    <w:rsid w:val="00B775F2"/>
    <w:rsid w:val="00B9671B"/>
    <w:rsid w:val="00BA1D31"/>
    <w:rsid w:val="00BB66F9"/>
    <w:rsid w:val="00BC3F8D"/>
    <w:rsid w:val="00BE16DA"/>
    <w:rsid w:val="00BE2718"/>
    <w:rsid w:val="00BF5031"/>
    <w:rsid w:val="00C04276"/>
    <w:rsid w:val="00C164D3"/>
    <w:rsid w:val="00C20670"/>
    <w:rsid w:val="00C224FD"/>
    <w:rsid w:val="00C429CD"/>
    <w:rsid w:val="00C53E21"/>
    <w:rsid w:val="00C75F8E"/>
    <w:rsid w:val="00C8367A"/>
    <w:rsid w:val="00C86713"/>
    <w:rsid w:val="00C875E8"/>
    <w:rsid w:val="00C90B58"/>
    <w:rsid w:val="00C92035"/>
    <w:rsid w:val="00C926D3"/>
    <w:rsid w:val="00C97187"/>
    <w:rsid w:val="00CA4ACD"/>
    <w:rsid w:val="00CC2A72"/>
    <w:rsid w:val="00CC3FB5"/>
    <w:rsid w:val="00CC7F0E"/>
    <w:rsid w:val="00CD2067"/>
    <w:rsid w:val="00CD47BC"/>
    <w:rsid w:val="00D204FF"/>
    <w:rsid w:val="00D34984"/>
    <w:rsid w:val="00D36C35"/>
    <w:rsid w:val="00D75313"/>
    <w:rsid w:val="00DA7019"/>
    <w:rsid w:val="00DB3DCA"/>
    <w:rsid w:val="00DD0942"/>
    <w:rsid w:val="00E16ACD"/>
    <w:rsid w:val="00E17134"/>
    <w:rsid w:val="00E17E92"/>
    <w:rsid w:val="00E25EBC"/>
    <w:rsid w:val="00E3772A"/>
    <w:rsid w:val="00E60A07"/>
    <w:rsid w:val="00E64B2E"/>
    <w:rsid w:val="00E66550"/>
    <w:rsid w:val="00E70A78"/>
    <w:rsid w:val="00E7755B"/>
    <w:rsid w:val="00E877BF"/>
    <w:rsid w:val="00EA1767"/>
    <w:rsid w:val="00EB0929"/>
    <w:rsid w:val="00EB0FA5"/>
    <w:rsid w:val="00EC01DD"/>
    <w:rsid w:val="00EC35E3"/>
    <w:rsid w:val="00ED4FBF"/>
    <w:rsid w:val="00ED7195"/>
    <w:rsid w:val="00F00CAB"/>
    <w:rsid w:val="00F0414F"/>
    <w:rsid w:val="00F12611"/>
    <w:rsid w:val="00F126F0"/>
    <w:rsid w:val="00F27AAF"/>
    <w:rsid w:val="00F31BEC"/>
    <w:rsid w:val="00F4199E"/>
    <w:rsid w:val="00F5782B"/>
    <w:rsid w:val="00F73131"/>
    <w:rsid w:val="00F75F5B"/>
    <w:rsid w:val="00F80952"/>
    <w:rsid w:val="00F851C8"/>
    <w:rsid w:val="00FB3316"/>
    <w:rsid w:val="00FC669D"/>
    <w:rsid w:val="00FD4F0B"/>
    <w:rsid w:val="00FE02FC"/>
    <w:rsid w:val="00FE1BAE"/>
    <w:rsid w:val="00FF0C89"/>
    <w:rsid w:val="012CE57E"/>
    <w:rsid w:val="01E18958"/>
    <w:rsid w:val="131406FD"/>
    <w:rsid w:val="1B13F897"/>
    <w:rsid w:val="21B518C9"/>
    <w:rsid w:val="2E69BC91"/>
    <w:rsid w:val="2F3CB29D"/>
    <w:rsid w:val="2FC163A4"/>
    <w:rsid w:val="3351D872"/>
    <w:rsid w:val="378D4946"/>
    <w:rsid w:val="3E7241C0"/>
    <w:rsid w:val="50A97AE8"/>
    <w:rsid w:val="54C2EDD0"/>
    <w:rsid w:val="572B3FE9"/>
    <w:rsid w:val="6285A1E1"/>
    <w:rsid w:val="64C1A5AD"/>
    <w:rsid w:val="727A6367"/>
    <w:rsid w:val="7F414E6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D5B1AAA"/>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section-1">
    <w:name w:val="psection-1"/>
    <w:basedOn w:val="Normal"/>
    <w:rsid w:val="00BC3F8D"/>
    <w:pPr>
      <w:spacing w:before="100" w:beforeAutospacing="1" w:after="100" w:afterAutospacing="1"/>
    </w:pPr>
    <w:rPr>
      <w:rFonts w:ascii="Calibri" w:hAnsi="Calibri" w:eastAsiaTheme="minorHAnsi" w:cs="Calibri"/>
      <w:sz w:val="22"/>
      <w:szCs w:val="22"/>
    </w:rPr>
  </w:style>
  <w:style w:type="character" w:customStyle="1" w:styleId="enumxml">
    <w:name w:val="enumxml"/>
    <w:basedOn w:val="DefaultParagraphFont"/>
    <w:rsid w:val="00BC3F8D"/>
  </w:style>
  <w:style w:type="character" w:styleId="FollowedHyperlink">
    <w:name w:val="FollowedHyperlink"/>
    <w:basedOn w:val="DefaultParagraphFont"/>
    <w:uiPriority w:val="99"/>
    <w:semiHidden/>
    <w:unhideWhenUsed/>
    <w:rsid w:val="00DD09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uscode/text/20/1221e-3" TargetMode="External" /><Relationship Id="rId11" Type="http://schemas.openxmlformats.org/officeDocument/2006/relationships/hyperlink" Target="https://www.law.cornell.edu/uscode/text/20/1231a" TargetMode="External" /><Relationship Id="rId12" Type="http://schemas.openxmlformats.org/officeDocument/2006/relationships/hyperlink" Target="https://www.law.cornell.edu/uscode/text/20/3474" TargetMode="External" /><Relationship Id="rId13" Type="http://schemas.openxmlformats.org/officeDocument/2006/relationships/hyperlink" Target="https://www.law.cornell.edu/rio/citation/72_FR_3702" TargetMode="External" /><Relationship Id="rId14" Type="http://schemas.openxmlformats.org/officeDocument/2006/relationships/hyperlink" Target="https://www.law.cornell.edu/rio/citation/79_FR_76094" TargetMode="External" /><Relationship Id="rId15" Type="http://schemas.openxmlformats.org/officeDocument/2006/relationships/hyperlink" Target="https://www.law.cornell.edu/definitions/index.php?width=840&amp;height=800&amp;iframe=true&amp;def_id=b4eeb9315ff8940e74eb3fba08f877cb&amp;term_occur=999&amp;term_src=Title:34:Subtitle:A:Part:76:Subpart:G:Subjgrp:109:76.720" TargetMode="External" /><Relationship Id="rId16" Type="http://schemas.openxmlformats.org/officeDocument/2006/relationships/hyperlink" Target="https://www.law.cornell.edu/cfr/text/2/200.327" TargetMode="External" /><Relationship Id="rId17" Type="http://schemas.openxmlformats.org/officeDocument/2006/relationships/hyperlink" Target="https://www.law.cornell.edu/cfr/text/2/200.328" TargetMode="External" /><Relationship Id="rId18" Type="http://schemas.openxmlformats.org/officeDocument/2006/relationships/hyperlink" Target="https://www.law.cornell.edu/topn/paperwork_reduction_act_of_1995" TargetMode="External" /><Relationship Id="rId19" Type="http://schemas.openxmlformats.org/officeDocument/2006/relationships/hyperlink" Target="https://www.law.cornell.edu/uscode/text/44" TargetMode="External" /><Relationship Id="rId2" Type="http://schemas.openxmlformats.org/officeDocument/2006/relationships/settings" Target="settings.xml" /><Relationship Id="rId20" Type="http://schemas.openxmlformats.org/officeDocument/2006/relationships/hyperlink" Target="https://www.law.cornell.edu/uscode/text/44/3501" TargetMode="External" /><Relationship Id="rId21" Type="http://schemas.openxmlformats.org/officeDocument/2006/relationships/hyperlink" Target="https://www.law.cornell.edu/uscode/text/44/3520" TargetMode="External" /><Relationship Id="rId22" Type="http://schemas.openxmlformats.org/officeDocument/2006/relationships/hyperlink" Target="https://www.bls.gov/oes/current/oes_nat.html" TargetMode="Externa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law.cornell.edu/uscode/text/20"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ed.gov/sites/default/files/cdo/ed-data-strategy.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5" ma:contentTypeDescription="Create a new document." ma:contentTypeScope="" ma:versionID="f207d5c65c56b848a1893b4ac6c3d3c4">
  <xsd:schema xmlns:xsd="http://www.w3.org/2001/XMLSchema" xmlns:xs="http://www.w3.org/2001/XMLSchema" xmlns:p="http://schemas.microsoft.com/office/2006/metadata/properties" xmlns:ns2="913fafb8-8ecc-40e4-9d76-36f25eb14c54" xmlns:ns3="ab9b5319-1185-4140-9a26-9cb9df080838" xmlns:ns4="2a2db8c4-56ab-4882-a5d0-0fe8165c6658" targetNamespace="http://schemas.microsoft.com/office/2006/metadata/properties" ma:root="true" ma:fieldsID="92e48bcae8144a2c04c0d52722d893ef" ns2:_="" ns3:_="" ns4:_="">
    <xsd:import namespace="913fafb8-8ecc-40e4-9d76-36f25eb14c54"/>
    <xsd:import namespace="ab9b5319-1185-4140-9a26-9cb9df080838"/>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8667cfc-95b1-462a-8189-7c2eb66ebd97}" ma:internalName="TaxCatchAll" ma:showField="CatchAllData" ma:web="ab9b5319-1185-4140-9a26-9cb9df080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3fafb8-8ecc-40e4-9d76-36f25eb14c54">
      <Terms xmlns="http://schemas.microsoft.com/office/infopath/2007/PartnerControls"/>
    </lcf76f155ced4ddcb4097134ff3c332f>
    <TaxCatchAll xmlns="2a2db8c4-56ab-4882-a5d0-0fe8165c665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BA028-4172-45EA-AC3B-99A666184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913fafb8-8ecc-40e4-9d76-36f25eb14c54"/>
    <ds:schemaRef ds:uri="2a2db8c4-56ab-4882-a5d0-0fe8165c6658"/>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3321</Words>
  <Characters>18931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2024-10-16T14:20:00Z</dcterms:created>
  <dcterms:modified xsi:type="dcterms:W3CDTF">2024-10-16T14:20:00Z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0x010100CF4B222E705DF647AFC9C675A462835C</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Order">
    <vt:r8>700</vt:r8>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