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P="00AD381B" w14:paraId="64280E55" w14:textId="0545FCE7">
      <w:pPr>
        <w:pStyle w:val="Heading1"/>
        <w:rPr>
          <w:b/>
          <w:bCs/>
          <w:sz w:val="24"/>
          <w:szCs w:val="24"/>
        </w:rPr>
      </w:pPr>
      <w:r w:rsidRPr="00F74288">
        <w:rPr>
          <w:b/>
          <w:bCs/>
          <w:sz w:val="24"/>
          <w:szCs w:val="24"/>
        </w:rPr>
        <w:t>FOR PAPERWORK REDUCTION ACT SUBMISSION</w:t>
      </w:r>
    </w:p>
    <w:p w:rsidR="006D7CB4" w:rsidRPr="006D7CB4" w:rsidP="006D7CB4" w14:paraId="6903D18E" w14:textId="77777777"/>
    <w:p w:rsidR="007610FD" w:rsidP="009717BD" w14:paraId="4757F612" w14:textId="2216B7C1">
      <w:pPr>
        <w:tabs>
          <w:tab w:val="left" w:pos="0"/>
        </w:tabs>
        <w:suppressAutoHyphens/>
        <w:jc w:val="center"/>
        <w:rPr>
          <w:rFonts w:asciiTheme="minorHAnsi" w:hAnsiTheme="minorHAnsi" w:cstheme="minorHAnsi"/>
          <w:szCs w:val="24"/>
        </w:rPr>
      </w:pPr>
      <w:r w:rsidRPr="009016E2">
        <w:rPr>
          <w:rFonts w:asciiTheme="minorHAnsi" w:hAnsiTheme="minorHAnsi" w:cstheme="minorHAnsi"/>
          <w:bCs/>
          <w:szCs w:val="24"/>
        </w:rPr>
        <w:t>Federal Family Education Loan Program, William D. Ford Federal Direct Loan Program and Federal Perkins Loan Program</w:t>
      </w:r>
      <w:r w:rsidRPr="00656B4E" w:rsidR="009717BD">
        <w:rPr>
          <w:rFonts w:asciiTheme="minorHAnsi" w:hAnsiTheme="minorHAnsi" w:cstheme="minorHAnsi"/>
          <w:szCs w:val="24"/>
        </w:rPr>
        <w:t xml:space="preserve">: </w:t>
      </w:r>
    </w:p>
    <w:p w:rsidR="00156D8A" w:rsidRPr="005911AF" w:rsidP="005911AF" w14:paraId="7AF3B50B" w14:textId="400E5969">
      <w:pPr>
        <w:pStyle w:val="ListParagraph"/>
        <w:numPr>
          <w:ilvl w:val="0"/>
          <w:numId w:val="7"/>
        </w:numPr>
        <w:tabs>
          <w:tab w:val="left" w:pos="0"/>
        </w:tabs>
        <w:suppressAutoHyphens/>
        <w:rPr>
          <w:rFonts w:asciiTheme="minorHAnsi" w:hAnsiTheme="minorHAnsi" w:cstheme="minorHAnsi"/>
          <w:szCs w:val="24"/>
        </w:rPr>
      </w:pPr>
      <w:r w:rsidRPr="005911AF">
        <w:rPr>
          <w:rFonts w:asciiTheme="minorHAnsi" w:hAnsiTheme="minorHAnsi" w:cstheme="minorHAnsi"/>
          <w:bCs/>
          <w:szCs w:val="24"/>
        </w:rPr>
        <w:t>General Forbearance</w:t>
      </w:r>
      <w:r w:rsidR="00E45115">
        <w:rPr>
          <w:rFonts w:asciiTheme="minorHAnsi" w:hAnsiTheme="minorHAnsi" w:cstheme="minorHAnsi"/>
          <w:bCs/>
          <w:szCs w:val="24"/>
        </w:rPr>
        <w:t xml:space="preserve"> (GEN)</w:t>
      </w:r>
      <w:r w:rsidR="008A1E80">
        <w:rPr>
          <w:rFonts w:asciiTheme="minorHAnsi" w:hAnsiTheme="minorHAnsi" w:cstheme="minorHAnsi"/>
          <w:bCs/>
          <w:szCs w:val="24"/>
        </w:rPr>
        <w:t>,</w:t>
      </w:r>
    </w:p>
    <w:p w:rsidR="00646846" w:rsidRPr="005911AF" w:rsidP="005911AF" w14:paraId="5E21515E" w14:textId="32904FB0">
      <w:pPr>
        <w:pStyle w:val="ListParagraph"/>
        <w:numPr>
          <w:ilvl w:val="0"/>
          <w:numId w:val="7"/>
        </w:numPr>
        <w:tabs>
          <w:tab w:val="left" w:pos="0"/>
        </w:tabs>
        <w:suppressAutoHyphens/>
        <w:rPr>
          <w:rFonts w:asciiTheme="minorHAnsi" w:hAnsiTheme="minorHAnsi" w:cstheme="minorHAnsi"/>
          <w:szCs w:val="24"/>
        </w:rPr>
      </w:pPr>
      <w:r w:rsidRPr="005911AF">
        <w:rPr>
          <w:rFonts w:asciiTheme="minorHAnsi" w:hAnsiTheme="minorHAnsi" w:cstheme="minorHAnsi"/>
          <w:szCs w:val="24"/>
        </w:rPr>
        <w:t xml:space="preserve">Internship/Residency, National Guard Duty, </w:t>
      </w:r>
      <w:r w:rsidRPr="005911AF" w:rsidR="0023776E">
        <w:rPr>
          <w:rFonts w:asciiTheme="minorHAnsi" w:hAnsiTheme="minorHAnsi" w:cstheme="minorHAnsi"/>
          <w:szCs w:val="24"/>
        </w:rPr>
        <w:t xml:space="preserve">or </w:t>
      </w:r>
      <w:r w:rsidRPr="005911AF">
        <w:rPr>
          <w:rFonts w:asciiTheme="minorHAnsi" w:hAnsiTheme="minorHAnsi" w:cstheme="minorHAnsi"/>
          <w:szCs w:val="24"/>
        </w:rPr>
        <w:t>DOD Repayment Plan</w:t>
      </w:r>
      <w:r w:rsidRPr="005911AF" w:rsidR="007610FD">
        <w:rPr>
          <w:rFonts w:asciiTheme="minorHAnsi" w:hAnsiTheme="minorHAnsi" w:cstheme="minorHAnsi"/>
          <w:szCs w:val="24"/>
        </w:rPr>
        <w:t xml:space="preserve"> Forbearance</w:t>
      </w:r>
      <w:r w:rsidR="00E45115">
        <w:rPr>
          <w:rFonts w:asciiTheme="minorHAnsi" w:hAnsiTheme="minorHAnsi" w:cstheme="minorHAnsi"/>
          <w:szCs w:val="24"/>
        </w:rPr>
        <w:t xml:space="preserve"> (SERV)</w:t>
      </w:r>
      <w:r w:rsidR="008A1E80">
        <w:rPr>
          <w:rFonts w:asciiTheme="minorHAnsi" w:hAnsiTheme="minorHAnsi" w:cstheme="minorHAnsi"/>
          <w:szCs w:val="24"/>
        </w:rPr>
        <w:t>, and</w:t>
      </w:r>
      <w:r w:rsidRPr="005911AF" w:rsidR="007610FD">
        <w:rPr>
          <w:rFonts w:asciiTheme="minorHAnsi" w:hAnsiTheme="minorHAnsi" w:cstheme="minorHAnsi"/>
          <w:szCs w:val="24"/>
        </w:rPr>
        <w:t xml:space="preserve"> </w:t>
      </w:r>
    </w:p>
    <w:p w:rsidR="0023776E" w:rsidRPr="005911AF" w:rsidP="005911AF" w14:paraId="59EFB937" w14:textId="5FFE3102">
      <w:pPr>
        <w:pStyle w:val="ListParagraph"/>
        <w:numPr>
          <w:ilvl w:val="0"/>
          <w:numId w:val="7"/>
        </w:numPr>
        <w:tabs>
          <w:tab w:val="left" w:pos="0"/>
        </w:tabs>
        <w:suppressAutoHyphens/>
        <w:rPr>
          <w:rFonts w:asciiTheme="minorHAnsi" w:hAnsiTheme="minorHAnsi" w:cstheme="minorHAnsi"/>
          <w:szCs w:val="24"/>
        </w:rPr>
      </w:pPr>
      <w:r w:rsidRPr="005911AF">
        <w:rPr>
          <w:rFonts w:asciiTheme="minorHAnsi" w:hAnsiTheme="minorHAnsi" w:cstheme="minorHAnsi"/>
          <w:szCs w:val="24"/>
        </w:rPr>
        <w:t>Loan Debt Burden Forbearance</w:t>
      </w:r>
      <w:r w:rsidR="00E45115">
        <w:rPr>
          <w:rFonts w:asciiTheme="minorHAnsi" w:hAnsiTheme="minorHAnsi" w:cstheme="minorHAnsi"/>
          <w:szCs w:val="24"/>
        </w:rPr>
        <w:t xml:space="preserve"> (S</w:t>
      </w:r>
      <w:r w:rsidR="00E420B7">
        <w:rPr>
          <w:rFonts w:asciiTheme="minorHAnsi" w:hAnsiTheme="minorHAnsi" w:cstheme="minorHAnsi"/>
          <w:szCs w:val="24"/>
        </w:rPr>
        <w:t>LDB)</w:t>
      </w:r>
    </w:p>
    <w:p w:rsidR="00043C32" w:rsidRPr="00AD381B" w:rsidP="00AD381B" w14:paraId="64280E56" w14:textId="77777777">
      <w:pPr>
        <w:tabs>
          <w:tab w:val="left" w:pos="0"/>
        </w:tabs>
        <w:suppressAutoHyphens/>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F032BA" w:rsidP="00F032BA" w14:paraId="2AF73157" w14:textId="07294114">
      <w:pPr>
        <w:tabs>
          <w:tab w:val="left" w:pos="0"/>
        </w:tabs>
        <w:suppressAutoHyphens/>
        <w:ind w:left="720"/>
        <w:rPr>
          <w:rFonts w:asciiTheme="minorHAnsi" w:hAnsiTheme="minorHAnsi" w:cstheme="minorHAnsi"/>
          <w:szCs w:val="24"/>
        </w:rPr>
      </w:pPr>
      <w:r w:rsidRPr="001C1992">
        <w:rPr>
          <w:rFonts w:asciiTheme="minorHAnsi" w:hAnsiTheme="minorHAnsi" w:cstheme="minorHAnsi"/>
          <w:szCs w:val="24"/>
        </w:rPr>
        <w:t>Section 455(a)(1) of the Higher Education Act of 1965, as amended (the HEA) provides that unless otherwise specified, loans made under the William D. Ford Federal Direct Loan (Direct Loan) Program are to have the same terms, conditions, and benefits as loans made under the Federal Family Education Loan (FFEL) Program.  The benefits available to borrowers under the FFEL Program include provisions for</w:t>
      </w:r>
      <w:r w:rsidR="00211430">
        <w:rPr>
          <w:rFonts w:asciiTheme="minorHAnsi" w:hAnsiTheme="minorHAnsi" w:cstheme="minorHAnsi"/>
          <w:szCs w:val="24"/>
        </w:rPr>
        <w:t xml:space="preserve"> a general forbearance</w:t>
      </w:r>
      <w:r w:rsidR="00400EB5">
        <w:rPr>
          <w:rFonts w:asciiTheme="minorHAnsi" w:hAnsiTheme="minorHAnsi" w:cstheme="minorHAnsi"/>
          <w:szCs w:val="24"/>
        </w:rPr>
        <w:t xml:space="preserve"> (see </w:t>
      </w:r>
      <w:r w:rsidRPr="001C1992" w:rsidR="00400EB5">
        <w:rPr>
          <w:rFonts w:asciiTheme="minorHAnsi" w:hAnsiTheme="minorHAnsi" w:cstheme="minorHAnsi"/>
          <w:szCs w:val="24"/>
        </w:rPr>
        <w:t>§428(c)(3) of the HEA and 34 CFR</w:t>
      </w:r>
      <w:r w:rsidR="00196904">
        <w:rPr>
          <w:rFonts w:asciiTheme="minorHAnsi" w:hAnsiTheme="minorHAnsi" w:cstheme="minorHAnsi"/>
          <w:szCs w:val="24"/>
        </w:rPr>
        <w:t xml:space="preserve"> 685.205(a)(1))</w:t>
      </w:r>
      <w:r w:rsidR="00400EB5">
        <w:rPr>
          <w:rFonts w:asciiTheme="minorHAnsi" w:hAnsiTheme="minorHAnsi" w:cstheme="minorHAnsi"/>
          <w:szCs w:val="24"/>
        </w:rPr>
        <w:t xml:space="preserve"> </w:t>
      </w:r>
      <w:r w:rsidR="00196904">
        <w:rPr>
          <w:rFonts w:asciiTheme="minorHAnsi" w:hAnsiTheme="minorHAnsi" w:cstheme="minorHAnsi"/>
          <w:szCs w:val="24"/>
        </w:rPr>
        <w:t>or</w:t>
      </w:r>
      <w:r w:rsidRPr="001C1992">
        <w:rPr>
          <w:rFonts w:asciiTheme="minorHAnsi" w:hAnsiTheme="minorHAnsi" w:cstheme="minorHAnsi"/>
          <w:szCs w:val="24"/>
        </w:rPr>
        <w:t xml:space="preserve"> forbearance based on service in a medical or dental internship or residency program, national guard duty, and having loans repaid under the Department of Defense’s (DOD) Student Loan Repayment Program and federal education loan debt burden (see §428(c)(3) of the HEA and 34 CFR 682.211(h)(1) or 685.205(a)(3), 682.211(h)(2)(iii) or 685.205(a)(7), or 682.211(h)(2)(ii)(B)</w:t>
      </w:r>
      <w:r>
        <w:rPr>
          <w:rFonts w:asciiTheme="minorHAnsi" w:hAnsiTheme="minorHAnsi" w:cstheme="minorHAnsi"/>
          <w:szCs w:val="24"/>
        </w:rPr>
        <w:t>)</w:t>
      </w:r>
      <w:r w:rsidRPr="001C1992">
        <w:rPr>
          <w:rFonts w:asciiTheme="minorHAnsi" w:hAnsiTheme="minorHAnsi" w:cstheme="minorHAnsi"/>
          <w:szCs w:val="24"/>
        </w:rPr>
        <w:t>.  In addition, forbearance of repayment based on federal education loan debt burden is available to borrowers from the Federal Perkins Loan (Perkins Loan) Program (see 34 CFR 674.33).</w:t>
      </w:r>
    </w:p>
    <w:p w:rsidR="00CD6973" w:rsidP="00F032BA" w14:paraId="2320E344" w14:textId="77777777">
      <w:pPr>
        <w:tabs>
          <w:tab w:val="left" w:pos="0"/>
        </w:tabs>
        <w:suppressAutoHyphens/>
        <w:ind w:left="720"/>
        <w:rPr>
          <w:rFonts w:asciiTheme="minorHAnsi" w:hAnsiTheme="minorHAnsi" w:cstheme="minorHAnsi"/>
          <w:szCs w:val="24"/>
        </w:rPr>
      </w:pPr>
    </w:p>
    <w:p w:rsidR="00F032BA" w:rsidP="00F032BA" w14:paraId="682C9E03" w14:textId="0AFC172D">
      <w:pPr>
        <w:tabs>
          <w:tab w:val="left" w:pos="0"/>
        </w:tabs>
        <w:suppressAutoHyphens/>
        <w:ind w:left="720"/>
        <w:rPr>
          <w:rFonts w:asciiTheme="minorHAnsi" w:hAnsiTheme="minorHAnsi" w:cstheme="minorHAnsi"/>
          <w:szCs w:val="24"/>
        </w:rPr>
      </w:pPr>
      <w:r w:rsidRPr="00CD6973">
        <w:rPr>
          <w:rFonts w:asciiTheme="minorHAnsi" w:hAnsiTheme="minorHAnsi" w:cstheme="minorHAnsi"/>
          <w:szCs w:val="24"/>
        </w:rPr>
        <w:t>In this Supporting Statement, we use the term “</w:t>
      </w:r>
      <w:r>
        <w:rPr>
          <w:rFonts w:asciiTheme="minorHAnsi" w:hAnsiTheme="minorHAnsi" w:cstheme="minorHAnsi"/>
          <w:szCs w:val="24"/>
        </w:rPr>
        <w:t>forbearance form</w:t>
      </w:r>
      <w:r w:rsidR="00A34847">
        <w:rPr>
          <w:rFonts w:asciiTheme="minorHAnsi" w:hAnsiTheme="minorHAnsi" w:cstheme="minorHAnsi"/>
          <w:szCs w:val="24"/>
        </w:rPr>
        <w:t>s</w:t>
      </w:r>
      <w:r w:rsidRPr="00CD6973">
        <w:rPr>
          <w:rFonts w:asciiTheme="minorHAnsi" w:hAnsiTheme="minorHAnsi" w:cstheme="minorHAnsi"/>
          <w:szCs w:val="24"/>
        </w:rPr>
        <w:t xml:space="preserve">” to refer collectively to the </w:t>
      </w:r>
      <w:r w:rsidR="004E5710">
        <w:rPr>
          <w:rFonts w:asciiTheme="minorHAnsi" w:hAnsiTheme="minorHAnsi" w:cstheme="minorHAnsi"/>
          <w:szCs w:val="24"/>
        </w:rPr>
        <w:t xml:space="preserve">three forbearance forms included in this collection and use </w:t>
      </w:r>
      <w:r w:rsidR="00E52BFC">
        <w:rPr>
          <w:rFonts w:asciiTheme="minorHAnsi" w:hAnsiTheme="minorHAnsi" w:cstheme="minorHAnsi"/>
          <w:szCs w:val="24"/>
        </w:rPr>
        <w:t>“</w:t>
      </w:r>
      <w:r w:rsidR="004E5710">
        <w:rPr>
          <w:rFonts w:asciiTheme="minorHAnsi" w:hAnsiTheme="minorHAnsi" w:cstheme="minorHAnsi"/>
          <w:szCs w:val="24"/>
        </w:rPr>
        <w:t>GEN Forb</w:t>
      </w:r>
      <w:r w:rsidR="00E52BFC">
        <w:rPr>
          <w:rFonts w:asciiTheme="minorHAnsi" w:hAnsiTheme="minorHAnsi" w:cstheme="minorHAnsi"/>
          <w:szCs w:val="24"/>
        </w:rPr>
        <w:t>”</w:t>
      </w:r>
      <w:r w:rsidR="004E5710">
        <w:rPr>
          <w:rFonts w:asciiTheme="minorHAnsi" w:hAnsiTheme="minorHAnsi" w:cstheme="minorHAnsi"/>
          <w:szCs w:val="24"/>
        </w:rPr>
        <w:t xml:space="preserve"> to refer to the </w:t>
      </w:r>
      <w:r w:rsidR="00E52BFC">
        <w:rPr>
          <w:rFonts w:asciiTheme="minorHAnsi" w:hAnsiTheme="minorHAnsi" w:cstheme="minorHAnsi"/>
          <w:szCs w:val="24"/>
        </w:rPr>
        <w:t xml:space="preserve">General Forbearance </w:t>
      </w:r>
      <w:r w:rsidR="00CE2245">
        <w:rPr>
          <w:rFonts w:asciiTheme="minorHAnsi" w:hAnsiTheme="minorHAnsi" w:cstheme="minorHAnsi"/>
          <w:szCs w:val="24"/>
        </w:rPr>
        <w:t xml:space="preserve">Request </w:t>
      </w:r>
      <w:r w:rsidR="00CC3747">
        <w:rPr>
          <w:rFonts w:asciiTheme="minorHAnsi" w:hAnsiTheme="minorHAnsi" w:cstheme="minorHAnsi"/>
          <w:szCs w:val="24"/>
        </w:rPr>
        <w:t>f</w:t>
      </w:r>
      <w:r w:rsidR="00E52BFC">
        <w:rPr>
          <w:rFonts w:asciiTheme="minorHAnsi" w:hAnsiTheme="minorHAnsi" w:cstheme="minorHAnsi"/>
          <w:szCs w:val="24"/>
        </w:rPr>
        <w:t>orm</w:t>
      </w:r>
      <w:r w:rsidRPr="00CD6973">
        <w:rPr>
          <w:rFonts w:asciiTheme="minorHAnsi" w:hAnsiTheme="minorHAnsi" w:cstheme="minorHAnsi"/>
          <w:szCs w:val="24"/>
        </w:rPr>
        <w:t xml:space="preserve">, </w:t>
      </w:r>
      <w:r w:rsidR="00E52BFC">
        <w:rPr>
          <w:rFonts w:asciiTheme="minorHAnsi" w:hAnsiTheme="minorHAnsi" w:cstheme="minorHAnsi"/>
          <w:szCs w:val="24"/>
        </w:rPr>
        <w:t xml:space="preserve">“SERV Forb” </w:t>
      </w:r>
      <w:r w:rsidR="001A6956">
        <w:rPr>
          <w:rFonts w:asciiTheme="minorHAnsi" w:hAnsiTheme="minorHAnsi" w:cstheme="minorHAnsi"/>
          <w:szCs w:val="24"/>
        </w:rPr>
        <w:t xml:space="preserve">to refer to the </w:t>
      </w:r>
      <w:r w:rsidRPr="004B4E9A" w:rsidR="00CE2245">
        <w:rPr>
          <w:rFonts w:asciiTheme="minorHAnsi" w:hAnsiTheme="minorHAnsi" w:cstheme="minorHAnsi"/>
          <w:szCs w:val="24"/>
        </w:rPr>
        <w:t>Internship/Residency, National Guard Duty, or DOD Repayment Plan Forbearance</w:t>
      </w:r>
      <w:r w:rsidR="00CC3747">
        <w:rPr>
          <w:rFonts w:asciiTheme="minorHAnsi" w:hAnsiTheme="minorHAnsi" w:cstheme="minorHAnsi"/>
          <w:szCs w:val="24"/>
        </w:rPr>
        <w:t xml:space="preserve"> form</w:t>
      </w:r>
      <w:r w:rsidR="001A6956">
        <w:rPr>
          <w:rFonts w:asciiTheme="minorHAnsi" w:hAnsiTheme="minorHAnsi" w:cstheme="minorHAnsi"/>
          <w:szCs w:val="24"/>
        </w:rPr>
        <w:t xml:space="preserve">, and “SLDB Forb" to refer to </w:t>
      </w:r>
      <w:r w:rsidRPr="00CD6973">
        <w:rPr>
          <w:rFonts w:asciiTheme="minorHAnsi" w:hAnsiTheme="minorHAnsi" w:cstheme="minorHAnsi"/>
          <w:szCs w:val="24"/>
        </w:rPr>
        <w:t xml:space="preserve">the </w:t>
      </w:r>
      <w:r w:rsidRPr="004B4E9A" w:rsidR="00CC3747">
        <w:rPr>
          <w:rFonts w:asciiTheme="minorHAnsi" w:hAnsiTheme="minorHAnsi" w:cstheme="minorHAnsi"/>
          <w:szCs w:val="24"/>
        </w:rPr>
        <w:t>Loan Debt Burden Forbearance</w:t>
      </w:r>
      <w:r w:rsidR="00CC3747">
        <w:rPr>
          <w:rFonts w:asciiTheme="minorHAnsi" w:hAnsiTheme="minorHAnsi" w:cstheme="minorHAnsi"/>
          <w:szCs w:val="24"/>
        </w:rPr>
        <w:t xml:space="preserve"> form</w:t>
      </w:r>
      <w:r w:rsidR="00150479">
        <w:rPr>
          <w:rFonts w:asciiTheme="minorHAnsi" w:hAnsiTheme="minorHAnsi" w:cstheme="minorHAnsi"/>
          <w:szCs w:val="24"/>
        </w:rPr>
        <w:t xml:space="preserve"> when describing each form independently</w:t>
      </w:r>
      <w:r w:rsidR="00CE2245">
        <w:rPr>
          <w:rFonts w:asciiTheme="minorHAnsi" w:hAnsiTheme="minorHAnsi" w:cstheme="minorHAnsi"/>
          <w:szCs w:val="24"/>
        </w:rPr>
        <w:t>.</w:t>
      </w:r>
    </w:p>
    <w:p w:rsidR="00CD6973" w:rsidRPr="001C1992" w:rsidP="00F032BA" w14:paraId="5DDE3A1F" w14:textId="77777777">
      <w:pPr>
        <w:tabs>
          <w:tab w:val="left" w:pos="0"/>
        </w:tabs>
        <w:suppressAutoHyphens/>
        <w:ind w:left="720"/>
        <w:rPr>
          <w:rFonts w:asciiTheme="minorHAnsi" w:hAnsiTheme="minorHAnsi" w:cstheme="minorHAnsi"/>
          <w:szCs w:val="24"/>
        </w:rPr>
      </w:pPr>
    </w:p>
    <w:p w:rsidR="00F032BA" w:rsidP="00F032BA" w14:paraId="12B6B6E7" w14:textId="2E7A2BD0">
      <w:pPr>
        <w:tabs>
          <w:tab w:val="left" w:pos="0"/>
        </w:tabs>
        <w:suppressAutoHyphens/>
        <w:ind w:left="720"/>
        <w:rPr>
          <w:rFonts w:asciiTheme="minorHAnsi" w:hAnsiTheme="minorHAnsi" w:cstheme="minorHAnsi"/>
          <w:szCs w:val="24"/>
        </w:rPr>
      </w:pPr>
      <w:r w:rsidRPr="001C1992">
        <w:rPr>
          <w:rFonts w:asciiTheme="minorHAnsi" w:hAnsiTheme="minorHAnsi" w:cstheme="minorHAnsi"/>
          <w:szCs w:val="24"/>
        </w:rPr>
        <w:t>The HEA requires borrowers to agree to the terms of</w:t>
      </w:r>
      <w:r w:rsidR="00943688">
        <w:rPr>
          <w:rFonts w:asciiTheme="minorHAnsi" w:hAnsiTheme="minorHAnsi" w:cstheme="minorHAnsi"/>
          <w:szCs w:val="24"/>
        </w:rPr>
        <w:t xml:space="preserve"> a </w:t>
      </w:r>
      <w:r w:rsidR="00BE3D89">
        <w:rPr>
          <w:rFonts w:asciiTheme="minorHAnsi" w:hAnsiTheme="minorHAnsi" w:cstheme="minorHAnsi"/>
          <w:szCs w:val="24"/>
        </w:rPr>
        <w:t xml:space="preserve">GEN </w:t>
      </w:r>
      <w:r w:rsidR="005911AF">
        <w:rPr>
          <w:rFonts w:asciiTheme="minorHAnsi" w:hAnsiTheme="minorHAnsi" w:cstheme="minorHAnsi"/>
          <w:szCs w:val="24"/>
        </w:rPr>
        <w:t>F</w:t>
      </w:r>
      <w:r w:rsidR="00BE3D89">
        <w:rPr>
          <w:rFonts w:asciiTheme="minorHAnsi" w:hAnsiTheme="minorHAnsi" w:cstheme="minorHAnsi"/>
          <w:szCs w:val="24"/>
        </w:rPr>
        <w:t>orb</w:t>
      </w:r>
      <w:r w:rsidR="00943688">
        <w:rPr>
          <w:rFonts w:asciiTheme="minorHAnsi" w:hAnsiTheme="minorHAnsi" w:cstheme="minorHAnsi"/>
          <w:szCs w:val="24"/>
        </w:rPr>
        <w:t>, a</w:t>
      </w:r>
      <w:r w:rsidRPr="001C1992">
        <w:rPr>
          <w:rFonts w:asciiTheme="minorHAnsi" w:hAnsiTheme="minorHAnsi" w:cstheme="minorHAnsi"/>
          <w:szCs w:val="24"/>
        </w:rPr>
        <w:t xml:space="preserve"> </w:t>
      </w:r>
      <w:r w:rsidR="00926B14">
        <w:rPr>
          <w:rFonts w:asciiTheme="minorHAnsi" w:hAnsiTheme="minorHAnsi" w:cstheme="minorHAnsi"/>
          <w:szCs w:val="24"/>
        </w:rPr>
        <w:t xml:space="preserve">SERV </w:t>
      </w:r>
      <w:r w:rsidR="005911AF">
        <w:rPr>
          <w:rFonts w:asciiTheme="minorHAnsi" w:hAnsiTheme="minorHAnsi" w:cstheme="minorHAnsi"/>
          <w:szCs w:val="24"/>
        </w:rPr>
        <w:t>F</w:t>
      </w:r>
      <w:r w:rsidR="00926B14">
        <w:rPr>
          <w:rFonts w:asciiTheme="minorHAnsi" w:hAnsiTheme="minorHAnsi" w:cstheme="minorHAnsi"/>
          <w:szCs w:val="24"/>
        </w:rPr>
        <w:t>orb</w:t>
      </w:r>
      <w:r w:rsidR="00DB1614">
        <w:rPr>
          <w:rFonts w:asciiTheme="minorHAnsi" w:hAnsiTheme="minorHAnsi" w:cstheme="minorHAnsi"/>
          <w:szCs w:val="24"/>
        </w:rPr>
        <w:t>,</w:t>
      </w:r>
      <w:r w:rsidRPr="001C1992">
        <w:rPr>
          <w:rFonts w:asciiTheme="minorHAnsi" w:hAnsiTheme="minorHAnsi" w:cstheme="minorHAnsi"/>
          <w:szCs w:val="24"/>
        </w:rPr>
        <w:t xml:space="preserve"> or </w:t>
      </w:r>
      <w:r w:rsidR="00926B14">
        <w:rPr>
          <w:rFonts w:asciiTheme="minorHAnsi" w:hAnsiTheme="minorHAnsi" w:cstheme="minorHAnsi"/>
          <w:szCs w:val="24"/>
        </w:rPr>
        <w:t>SLDB Forb</w:t>
      </w:r>
      <w:r w:rsidRPr="001C1992">
        <w:rPr>
          <w:rFonts w:asciiTheme="minorHAnsi" w:hAnsiTheme="minorHAnsi" w:cstheme="minorHAnsi"/>
          <w:szCs w:val="24"/>
        </w:rPr>
        <w:t xml:space="preserve"> in writing.  In addition, the Direct Loan, FFEL, and Perkins Loan Program regulations require borrowers to provide sufficient documentation to establish that they meet the statutory and regulatory criteria for a forbearance.  </w:t>
      </w:r>
      <w:r w:rsidR="00DA6407">
        <w:rPr>
          <w:rFonts w:asciiTheme="minorHAnsi" w:hAnsiTheme="minorHAnsi" w:cstheme="minorHAnsi"/>
          <w:szCs w:val="24"/>
        </w:rPr>
        <w:t xml:space="preserve">The </w:t>
      </w:r>
      <w:r w:rsidR="00570CD5">
        <w:rPr>
          <w:rFonts w:asciiTheme="minorHAnsi" w:hAnsiTheme="minorHAnsi" w:cstheme="minorHAnsi"/>
          <w:szCs w:val="24"/>
        </w:rPr>
        <w:t>GEN</w:t>
      </w:r>
      <w:r w:rsidR="00DA6407">
        <w:rPr>
          <w:rFonts w:asciiTheme="minorHAnsi" w:hAnsiTheme="minorHAnsi" w:cstheme="minorHAnsi"/>
          <w:szCs w:val="24"/>
        </w:rPr>
        <w:t xml:space="preserve"> Forb</w:t>
      </w:r>
      <w:r w:rsidR="00B16525">
        <w:rPr>
          <w:rFonts w:asciiTheme="minorHAnsi" w:hAnsiTheme="minorHAnsi" w:cstheme="minorHAnsi"/>
          <w:szCs w:val="24"/>
        </w:rPr>
        <w:t>, t</w:t>
      </w:r>
      <w:r w:rsidRPr="001C1992">
        <w:rPr>
          <w:rFonts w:asciiTheme="minorHAnsi" w:hAnsiTheme="minorHAnsi" w:cstheme="minorHAnsi"/>
          <w:szCs w:val="24"/>
        </w:rPr>
        <w:t xml:space="preserve">he </w:t>
      </w:r>
      <w:r w:rsidR="00570CD5">
        <w:rPr>
          <w:rFonts w:asciiTheme="minorHAnsi" w:hAnsiTheme="minorHAnsi" w:cstheme="minorHAnsi"/>
          <w:szCs w:val="24"/>
        </w:rPr>
        <w:t>SERV Forb</w:t>
      </w:r>
      <w:r w:rsidR="00B16525">
        <w:rPr>
          <w:rFonts w:asciiTheme="minorHAnsi" w:hAnsiTheme="minorHAnsi" w:cstheme="minorHAnsi"/>
          <w:szCs w:val="24"/>
        </w:rPr>
        <w:t>, and</w:t>
      </w:r>
      <w:r w:rsidRPr="001C1992">
        <w:rPr>
          <w:rFonts w:asciiTheme="minorHAnsi" w:hAnsiTheme="minorHAnsi" w:cstheme="minorHAnsi"/>
          <w:szCs w:val="24"/>
        </w:rPr>
        <w:t xml:space="preserve"> </w:t>
      </w:r>
      <w:r w:rsidR="00B16525">
        <w:rPr>
          <w:rFonts w:asciiTheme="minorHAnsi" w:hAnsiTheme="minorHAnsi" w:cstheme="minorHAnsi"/>
          <w:szCs w:val="24"/>
        </w:rPr>
        <w:t>t</w:t>
      </w:r>
      <w:r w:rsidRPr="001C1992" w:rsidR="00B16525">
        <w:rPr>
          <w:rFonts w:asciiTheme="minorHAnsi" w:hAnsiTheme="minorHAnsi" w:cstheme="minorHAnsi"/>
          <w:szCs w:val="24"/>
        </w:rPr>
        <w:t xml:space="preserve">he </w:t>
      </w:r>
      <w:r w:rsidR="00570CD5">
        <w:rPr>
          <w:rFonts w:asciiTheme="minorHAnsi" w:hAnsiTheme="minorHAnsi" w:cstheme="minorHAnsi"/>
          <w:szCs w:val="24"/>
        </w:rPr>
        <w:t>SLD</w:t>
      </w:r>
      <w:r w:rsidR="009812C3">
        <w:rPr>
          <w:rFonts w:asciiTheme="minorHAnsi" w:hAnsiTheme="minorHAnsi" w:cstheme="minorHAnsi"/>
          <w:szCs w:val="24"/>
        </w:rPr>
        <w:t>B Forb</w:t>
      </w:r>
      <w:r w:rsidRPr="001C1992">
        <w:rPr>
          <w:rFonts w:asciiTheme="minorHAnsi" w:hAnsiTheme="minorHAnsi" w:cstheme="minorHAnsi"/>
          <w:szCs w:val="24"/>
        </w:rPr>
        <w:t xml:space="preserve"> form</w:t>
      </w:r>
      <w:r w:rsidR="00B16525">
        <w:rPr>
          <w:rFonts w:asciiTheme="minorHAnsi" w:hAnsiTheme="minorHAnsi" w:cstheme="minorHAnsi"/>
          <w:szCs w:val="24"/>
        </w:rPr>
        <w:t>s</w:t>
      </w:r>
      <w:r w:rsidRPr="001C1992">
        <w:rPr>
          <w:rFonts w:asciiTheme="minorHAnsi" w:hAnsiTheme="minorHAnsi" w:cstheme="minorHAnsi"/>
          <w:szCs w:val="24"/>
        </w:rPr>
        <w:t xml:space="preserve"> serve as the means by which Direct Loan, FFEL, and Perkins Loan borrowers fulfill these requirements. </w:t>
      </w:r>
    </w:p>
    <w:p w:rsidR="00F032BA" w:rsidRPr="001C1992" w:rsidP="00F032BA" w14:paraId="06937F48" w14:textId="77777777">
      <w:pPr>
        <w:tabs>
          <w:tab w:val="left" w:pos="0"/>
        </w:tabs>
        <w:suppressAutoHyphens/>
        <w:ind w:left="720"/>
        <w:rPr>
          <w:rFonts w:asciiTheme="minorHAnsi" w:hAnsiTheme="minorHAnsi" w:cstheme="minorHAnsi"/>
          <w:szCs w:val="24"/>
        </w:rPr>
      </w:pPr>
    </w:p>
    <w:p w:rsidR="00951B90" w:rsidRPr="00951B90" w:rsidP="00951B90" w14:paraId="2AB90EC0" w14:textId="1B69A7A5">
      <w:pPr>
        <w:tabs>
          <w:tab w:val="left" w:pos="0"/>
        </w:tabs>
        <w:suppressAutoHyphens/>
        <w:ind w:left="720"/>
        <w:rPr>
          <w:rFonts w:asciiTheme="minorHAnsi" w:hAnsiTheme="minorHAnsi" w:cstheme="minorHAnsi"/>
          <w:szCs w:val="24"/>
        </w:rPr>
      </w:pPr>
      <w:r w:rsidRPr="00951B90">
        <w:rPr>
          <w:rFonts w:asciiTheme="minorHAnsi" w:hAnsiTheme="minorHAnsi" w:cstheme="minorHAnsi"/>
          <w:szCs w:val="24"/>
        </w:rPr>
        <w:t xml:space="preserve">The </w:t>
      </w:r>
      <w:r w:rsidR="009812C3">
        <w:rPr>
          <w:rFonts w:asciiTheme="minorHAnsi" w:hAnsiTheme="minorHAnsi" w:cstheme="minorHAnsi"/>
          <w:szCs w:val="24"/>
        </w:rPr>
        <w:t>SERV Forb</w:t>
      </w:r>
      <w:r w:rsidRPr="001C1992" w:rsidR="0069303D">
        <w:rPr>
          <w:rFonts w:asciiTheme="minorHAnsi" w:hAnsiTheme="minorHAnsi" w:cstheme="minorHAnsi"/>
          <w:szCs w:val="24"/>
        </w:rPr>
        <w:t xml:space="preserve"> </w:t>
      </w:r>
      <w:r w:rsidR="0069303D">
        <w:rPr>
          <w:rFonts w:asciiTheme="minorHAnsi" w:hAnsiTheme="minorHAnsi" w:cstheme="minorHAnsi"/>
          <w:szCs w:val="24"/>
        </w:rPr>
        <w:t xml:space="preserve">and the </w:t>
      </w:r>
      <w:r w:rsidR="0036556B">
        <w:rPr>
          <w:rFonts w:asciiTheme="minorHAnsi" w:hAnsiTheme="minorHAnsi" w:cstheme="minorHAnsi"/>
          <w:szCs w:val="24"/>
        </w:rPr>
        <w:t>SLDB Forb</w:t>
      </w:r>
      <w:r w:rsidRPr="001C1992" w:rsidR="0069303D">
        <w:rPr>
          <w:rFonts w:asciiTheme="minorHAnsi" w:hAnsiTheme="minorHAnsi" w:cstheme="minorHAnsi"/>
          <w:szCs w:val="24"/>
        </w:rPr>
        <w:t xml:space="preserve"> form</w:t>
      </w:r>
      <w:r w:rsidR="00CA4D7E">
        <w:rPr>
          <w:rFonts w:asciiTheme="minorHAnsi" w:hAnsiTheme="minorHAnsi" w:cstheme="minorHAnsi"/>
          <w:szCs w:val="24"/>
        </w:rPr>
        <w:t>s</w:t>
      </w:r>
      <w:r w:rsidRPr="001C1992" w:rsidR="0069303D">
        <w:rPr>
          <w:rFonts w:asciiTheme="minorHAnsi" w:hAnsiTheme="minorHAnsi" w:cstheme="minorHAnsi"/>
          <w:szCs w:val="24"/>
        </w:rPr>
        <w:t xml:space="preserve"> </w:t>
      </w:r>
      <w:r w:rsidR="0069303D">
        <w:rPr>
          <w:rFonts w:asciiTheme="minorHAnsi" w:hAnsiTheme="minorHAnsi" w:cstheme="minorHAnsi"/>
          <w:szCs w:val="24"/>
        </w:rPr>
        <w:t>are</w:t>
      </w:r>
      <w:r w:rsidRPr="00951B90">
        <w:rPr>
          <w:rFonts w:asciiTheme="minorHAnsi" w:hAnsiTheme="minorHAnsi" w:cstheme="minorHAnsi"/>
          <w:szCs w:val="24"/>
        </w:rPr>
        <w:t xml:space="preserve"> currently approved under OMB No. 1845-00</w:t>
      </w:r>
      <w:r w:rsidR="0069303D">
        <w:rPr>
          <w:rFonts w:asciiTheme="minorHAnsi" w:hAnsiTheme="minorHAnsi" w:cstheme="minorHAnsi"/>
          <w:szCs w:val="24"/>
        </w:rPr>
        <w:t>18</w:t>
      </w:r>
      <w:r w:rsidRPr="00951B90">
        <w:rPr>
          <w:rFonts w:asciiTheme="minorHAnsi" w:hAnsiTheme="minorHAnsi" w:cstheme="minorHAnsi"/>
          <w:szCs w:val="24"/>
        </w:rPr>
        <w:t xml:space="preserve">. The </w:t>
      </w:r>
      <w:r w:rsidR="0036556B">
        <w:rPr>
          <w:rFonts w:asciiTheme="minorHAnsi" w:hAnsiTheme="minorHAnsi" w:cstheme="minorHAnsi"/>
          <w:szCs w:val="24"/>
        </w:rPr>
        <w:t>GEN Forb</w:t>
      </w:r>
      <w:r w:rsidRPr="00CC36B9" w:rsidR="00CC36B9">
        <w:rPr>
          <w:rFonts w:asciiTheme="minorHAnsi" w:hAnsiTheme="minorHAnsi" w:cstheme="minorHAnsi"/>
          <w:szCs w:val="24"/>
        </w:rPr>
        <w:t xml:space="preserve"> form</w:t>
      </w:r>
      <w:r w:rsidRPr="00951B90">
        <w:rPr>
          <w:rFonts w:asciiTheme="minorHAnsi" w:hAnsiTheme="minorHAnsi" w:cstheme="minorHAnsi"/>
          <w:szCs w:val="24"/>
        </w:rPr>
        <w:t xml:space="preserve"> </w:t>
      </w:r>
      <w:r w:rsidR="00CC36B9">
        <w:rPr>
          <w:rFonts w:asciiTheme="minorHAnsi" w:hAnsiTheme="minorHAnsi" w:cstheme="minorHAnsi"/>
          <w:szCs w:val="24"/>
        </w:rPr>
        <w:t>is</w:t>
      </w:r>
      <w:r w:rsidRPr="00951B90">
        <w:rPr>
          <w:rFonts w:asciiTheme="minorHAnsi" w:hAnsiTheme="minorHAnsi" w:cstheme="minorHAnsi"/>
          <w:szCs w:val="24"/>
        </w:rPr>
        <w:t xml:space="preserve"> currently approved under OMB No. 1845-00</w:t>
      </w:r>
      <w:r w:rsidR="0076777A">
        <w:rPr>
          <w:rFonts w:asciiTheme="minorHAnsi" w:hAnsiTheme="minorHAnsi" w:cstheme="minorHAnsi"/>
          <w:szCs w:val="24"/>
        </w:rPr>
        <w:t>31</w:t>
      </w:r>
      <w:r w:rsidRPr="00951B90">
        <w:rPr>
          <w:rFonts w:asciiTheme="minorHAnsi" w:hAnsiTheme="minorHAnsi" w:cstheme="minorHAnsi"/>
          <w:szCs w:val="24"/>
        </w:rPr>
        <w:t xml:space="preserve">. For greater simplicity and to make it easier to maintain consistency among the various </w:t>
      </w:r>
      <w:r w:rsidR="0076777A">
        <w:rPr>
          <w:rFonts w:asciiTheme="minorHAnsi" w:hAnsiTheme="minorHAnsi" w:cstheme="minorHAnsi"/>
          <w:szCs w:val="24"/>
        </w:rPr>
        <w:t>forbearance forms</w:t>
      </w:r>
      <w:r w:rsidRPr="00951B90">
        <w:rPr>
          <w:rFonts w:asciiTheme="minorHAnsi" w:hAnsiTheme="minorHAnsi" w:cstheme="minorHAnsi"/>
          <w:szCs w:val="24"/>
        </w:rPr>
        <w:t xml:space="preserve">, the Department is consolidating the </w:t>
      </w:r>
      <w:r w:rsidR="004007B5">
        <w:rPr>
          <w:rFonts w:asciiTheme="minorHAnsi" w:hAnsiTheme="minorHAnsi" w:cstheme="minorHAnsi"/>
          <w:szCs w:val="24"/>
        </w:rPr>
        <w:t>two</w:t>
      </w:r>
      <w:r w:rsidRPr="00951B90">
        <w:rPr>
          <w:rFonts w:asciiTheme="minorHAnsi" w:hAnsiTheme="minorHAnsi" w:cstheme="minorHAnsi"/>
          <w:szCs w:val="24"/>
        </w:rPr>
        <w:t xml:space="preserve"> current collections into a single collection under OMB No. 1845-00</w:t>
      </w:r>
      <w:r w:rsidR="004007B5">
        <w:rPr>
          <w:rFonts w:asciiTheme="minorHAnsi" w:hAnsiTheme="minorHAnsi" w:cstheme="minorHAnsi"/>
          <w:szCs w:val="24"/>
        </w:rPr>
        <w:t>18</w:t>
      </w:r>
      <w:r w:rsidRPr="00951B90">
        <w:rPr>
          <w:rFonts w:asciiTheme="minorHAnsi" w:hAnsiTheme="minorHAnsi" w:cstheme="minorHAnsi"/>
          <w:szCs w:val="24"/>
        </w:rPr>
        <w:t xml:space="preserve">. </w:t>
      </w:r>
    </w:p>
    <w:p w:rsidR="005B7760" w:rsidP="00951B90" w14:paraId="7377569F" w14:textId="77777777">
      <w:pPr>
        <w:tabs>
          <w:tab w:val="left" w:pos="0"/>
        </w:tabs>
        <w:suppressAutoHyphens/>
        <w:ind w:left="720"/>
        <w:rPr>
          <w:rFonts w:asciiTheme="minorHAnsi" w:hAnsiTheme="minorHAnsi" w:cstheme="minorHAnsi"/>
          <w:szCs w:val="24"/>
        </w:rPr>
      </w:pPr>
    </w:p>
    <w:p w:rsidR="00951B90" w:rsidRPr="00951B90" w:rsidP="00951B90" w14:paraId="42BABC52" w14:textId="05968612">
      <w:pPr>
        <w:tabs>
          <w:tab w:val="left" w:pos="0"/>
        </w:tabs>
        <w:suppressAutoHyphens/>
        <w:ind w:left="720"/>
        <w:rPr>
          <w:rFonts w:asciiTheme="minorHAnsi" w:hAnsiTheme="minorHAnsi" w:cstheme="minorHAnsi"/>
          <w:szCs w:val="24"/>
        </w:rPr>
      </w:pPr>
      <w:r w:rsidRPr="00951B90">
        <w:rPr>
          <w:rFonts w:asciiTheme="minorHAnsi" w:hAnsiTheme="minorHAnsi" w:cstheme="minorHAnsi"/>
          <w:szCs w:val="24"/>
        </w:rPr>
        <w:t xml:space="preserve">The Department is requesting a revision of the currently approved </w:t>
      </w:r>
      <w:r w:rsidR="000D15C1">
        <w:rPr>
          <w:rFonts w:asciiTheme="minorHAnsi" w:hAnsiTheme="minorHAnsi" w:cstheme="minorHAnsi"/>
          <w:szCs w:val="24"/>
        </w:rPr>
        <w:t>forbearance</w:t>
      </w:r>
      <w:r w:rsidRPr="00951B90">
        <w:rPr>
          <w:rFonts w:asciiTheme="minorHAnsi" w:hAnsiTheme="minorHAnsi" w:cstheme="minorHAnsi"/>
          <w:szCs w:val="24"/>
        </w:rPr>
        <w:t xml:space="preserve"> forms. The proposed changes include the following:</w:t>
      </w:r>
    </w:p>
    <w:p w:rsidR="00951B90" w:rsidRPr="005911AF" w:rsidP="005911AF" w14:paraId="10D77ADF" w14:textId="4BEF3C8F">
      <w:pPr>
        <w:pStyle w:val="ListParagraph"/>
        <w:numPr>
          <w:ilvl w:val="0"/>
          <w:numId w:val="6"/>
        </w:numPr>
        <w:tabs>
          <w:tab w:val="left" w:pos="0"/>
        </w:tabs>
        <w:suppressAutoHyphens/>
        <w:rPr>
          <w:rFonts w:asciiTheme="minorHAnsi" w:hAnsiTheme="minorHAnsi" w:cstheme="minorHAnsi"/>
          <w:szCs w:val="24"/>
        </w:rPr>
      </w:pPr>
      <w:r w:rsidRPr="005911AF">
        <w:rPr>
          <w:rFonts w:asciiTheme="minorHAnsi" w:hAnsiTheme="minorHAnsi" w:cstheme="minorHAnsi"/>
          <w:szCs w:val="24"/>
        </w:rPr>
        <w:t>Streamlining the forms by eliminating duplicative and obsolete information.</w:t>
      </w:r>
    </w:p>
    <w:p w:rsidR="00951B90" w:rsidRPr="005911AF" w:rsidP="005911AF" w14:paraId="359171C3" w14:textId="4BA27622">
      <w:pPr>
        <w:pStyle w:val="ListParagraph"/>
        <w:numPr>
          <w:ilvl w:val="0"/>
          <w:numId w:val="6"/>
        </w:numPr>
        <w:tabs>
          <w:tab w:val="left" w:pos="0"/>
        </w:tabs>
        <w:suppressAutoHyphens/>
        <w:rPr>
          <w:rFonts w:asciiTheme="minorHAnsi" w:hAnsiTheme="minorHAnsi" w:cstheme="minorHAnsi"/>
          <w:szCs w:val="24"/>
        </w:rPr>
      </w:pPr>
      <w:r w:rsidRPr="005911AF">
        <w:rPr>
          <w:rFonts w:asciiTheme="minorHAnsi" w:hAnsiTheme="minorHAnsi" w:cstheme="minorHAnsi"/>
          <w:szCs w:val="24"/>
        </w:rPr>
        <w:t>Reordering items to present information in a more logical order</w:t>
      </w:r>
      <w:r w:rsidRPr="005911AF" w:rsidR="00E23F05">
        <w:rPr>
          <w:rFonts w:asciiTheme="minorHAnsi" w:hAnsiTheme="minorHAnsi" w:cstheme="minorHAnsi"/>
          <w:szCs w:val="24"/>
        </w:rPr>
        <w:t xml:space="preserve"> that is consistent between forms</w:t>
      </w:r>
      <w:r w:rsidRPr="005911AF">
        <w:rPr>
          <w:rFonts w:asciiTheme="minorHAnsi" w:hAnsiTheme="minorHAnsi" w:cstheme="minorHAnsi"/>
          <w:szCs w:val="24"/>
        </w:rPr>
        <w:t>.</w:t>
      </w:r>
    </w:p>
    <w:p w:rsidR="00951B90" w:rsidRPr="005911AF" w:rsidP="005911AF" w14:paraId="27C61AE3" w14:textId="0F9B561C">
      <w:pPr>
        <w:pStyle w:val="ListParagraph"/>
        <w:numPr>
          <w:ilvl w:val="0"/>
          <w:numId w:val="6"/>
        </w:numPr>
        <w:tabs>
          <w:tab w:val="left" w:pos="0"/>
        </w:tabs>
        <w:suppressAutoHyphens/>
        <w:rPr>
          <w:rFonts w:asciiTheme="minorHAnsi" w:hAnsiTheme="minorHAnsi" w:cstheme="minorHAnsi"/>
          <w:szCs w:val="24"/>
        </w:rPr>
      </w:pPr>
      <w:r w:rsidRPr="005911AF">
        <w:rPr>
          <w:rFonts w:asciiTheme="minorHAnsi" w:hAnsiTheme="minorHAnsi" w:cstheme="minorHAnsi"/>
          <w:szCs w:val="24"/>
        </w:rPr>
        <w:t>Using “plain language” to present information more clearly</w:t>
      </w:r>
      <w:r w:rsidR="004A25FD">
        <w:rPr>
          <w:rFonts w:asciiTheme="minorHAnsi" w:hAnsiTheme="minorHAnsi" w:cstheme="minorHAnsi"/>
          <w:szCs w:val="24"/>
        </w:rPr>
        <w:t xml:space="preserve"> and consistently</w:t>
      </w:r>
      <w:r w:rsidRPr="005911AF">
        <w:rPr>
          <w:rFonts w:asciiTheme="minorHAnsi" w:hAnsiTheme="minorHAnsi" w:cstheme="minorHAnsi"/>
          <w:szCs w:val="24"/>
        </w:rPr>
        <w:t>.</w:t>
      </w:r>
    </w:p>
    <w:p w:rsidR="007815B2" w:rsidRPr="005422DF" w:rsidP="005422DF" w14:paraId="166016CF" w14:textId="50631087">
      <w:pPr>
        <w:pStyle w:val="ListParagraph"/>
        <w:numPr>
          <w:ilvl w:val="0"/>
          <w:numId w:val="6"/>
        </w:numPr>
        <w:tabs>
          <w:tab w:val="left" w:pos="0"/>
        </w:tabs>
        <w:suppressAutoHyphens/>
        <w:rPr>
          <w:rFonts w:asciiTheme="minorHAnsi" w:hAnsiTheme="minorHAnsi" w:cstheme="minorHAnsi"/>
          <w:szCs w:val="24"/>
        </w:rPr>
      </w:pPr>
      <w:r w:rsidRPr="005422DF">
        <w:rPr>
          <w:rFonts w:asciiTheme="minorHAnsi" w:hAnsiTheme="minorHAnsi" w:cstheme="minorHAnsi"/>
          <w:szCs w:val="24"/>
        </w:rPr>
        <w:t>Revising language as necessary to reflect regulatory changes made by the Final Rule published on November 1, 2022 (87 FR 65904) that that eliminated the capitalization of unpaid interest following periods of forbearance effective July 1, 2023.</w:t>
      </w:r>
    </w:p>
    <w:p w:rsidR="007C700A" w:rsidRPr="00AD381B" w:rsidP="00AD381B" w14:paraId="5182F308" w14:textId="77777777">
      <w:pPr>
        <w:pStyle w:val="ListParagraph"/>
        <w:suppressAutoHyphens/>
        <w:spacing w:line="240" w:lineRule="exact"/>
        <w:contextualSpacing w:val="0"/>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7A48BC" w:rsidP="00EA3F32" w14:paraId="142EEA73" w14:textId="4B7E06F7">
      <w:pPr>
        <w:suppressAutoHyphens/>
        <w:ind w:left="720"/>
        <w:rPr>
          <w:rFonts w:asciiTheme="minorHAnsi" w:hAnsiTheme="minorHAnsi" w:cstheme="minorHAnsi"/>
          <w:snapToGrid w:val="0"/>
        </w:rPr>
      </w:pPr>
      <w:r w:rsidRPr="00B243E8">
        <w:rPr>
          <w:rFonts w:asciiTheme="minorHAnsi" w:hAnsiTheme="minorHAnsi" w:cstheme="minorHAnsi"/>
          <w:snapToGrid w:val="0"/>
        </w:rPr>
        <w:t xml:space="preserve">The currently approved </w:t>
      </w:r>
      <w:r w:rsidR="0009731A">
        <w:rPr>
          <w:rFonts w:asciiTheme="minorHAnsi" w:hAnsiTheme="minorHAnsi" w:cstheme="minorHAnsi"/>
          <w:snapToGrid w:val="0"/>
        </w:rPr>
        <w:t>forbearance</w:t>
      </w:r>
      <w:r w:rsidRPr="00B243E8">
        <w:rPr>
          <w:rFonts w:asciiTheme="minorHAnsi" w:hAnsiTheme="minorHAnsi" w:cstheme="minorHAnsi"/>
          <w:snapToGrid w:val="0"/>
        </w:rPr>
        <w:t xml:space="preserve"> request forms are used by borrowers to request </w:t>
      </w:r>
      <w:r w:rsidR="007F58B8">
        <w:rPr>
          <w:rFonts w:asciiTheme="minorHAnsi" w:hAnsiTheme="minorHAnsi" w:cstheme="minorHAnsi"/>
          <w:snapToGrid w:val="0"/>
        </w:rPr>
        <w:t>forbearance</w:t>
      </w:r>
      <w:r w:rsidRPr="00B243E8">
        <w:rPr>
          <w:rFonts w:asciiTheme="minorHAnsi" w:hAnsiTheme="minorHAnsi" w:cstheme="minorHAnsi"/>
          <w:snapToGrid w:val="0"/>
        </w:rPr>
        <w:t xml:space="preserve"> on their loans.  The forms also collect the information that is required for the loan holder to determine whether the borrower meets the eligibility requirements for the requested </w:t>
      </w:r>
      <w:r w:rsidR="007F58B8">
        <w:rPr>
          <w:rFonts w:asciiTheme="minorHAnsi" w:hAnsiTheme="minorHAnsi" w:cstheme="minorHAnsi"/>
          <w:snapToGrid w:val="0"/>
        </w:rPr>
        <w:t>forbearance</w:t>
      </w:r>
      <w:r w:rsidRPr="00B243E8">
        <w:rPr>
          <w:rFonts w:asciiTheme="minorHAnsi" w:hAnsiTheme="minorHAnsi" w:cstheme="minorHAnsi"/>
          <w:snapToGrid w:val="0"/>
        </w:rPr>
        <w:t xml:space="preserve">.  The </w:t>
      </w:r>
      <w:r w:rsidR="007F58B8">
        <w:rPr>
          <w:rFonts w:asciiTheme="minorHAnsi" w:hAnsiTheme="minorHAnsi" w:cstheme="minorHAnsi"/>
          <w:snapToGrid w:val="0"/>
        </w:rPr>
        <w:t>forbearance</w:t>
      </w:r>
      <w:r w:rsidRPr="00B243E8">
        <w:rPr>
          <w:rFonts w:asciiTheme="minorHAnsi" w:hAnsiTheme="minorHAnsi" w:cstheme="minorHAnsi"/>
          <w:snapToGrid w:val="0"/>
        </w:rPr>
        <w:t xml:space="preserve"> request forms continue to be used for these purposes.  </w:t>
      </w:r>
    </w:p>
    <w:p w:rsidR="00F11F7B" w:rsidRPr="00AD381B" w:rsidP="00BC1A67" w14:paraId="052D56B8" w14:textId="090C19DB">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AE3C52" w:rsidP="00AE3C52" w14:paraId="4880C5F4" w14:textId="1B4C0CC5">
      <w:pPr>
        <w:widowControl w:val="0"/>
        <w:ind w:left="720"/>
        <w:rPr>
          <w:rFonts w:asciiTheme="minorHAnsi" w:hAnsiTheme="minorHAnsi" w:cstheme="minorHAnsi"/>
          <w:snapToGrid w:val="0"/>
        </w:rPr>
      </w:pPr>
      <w:r>
        <w:rPr>
          <w:rFonts w:asciiTheme="minorHAnsi" w:hAnsiTheme="minorHAnsi" w:cstheme="minorHAnsi"/>
          <w:snapToGrid w:val="0"/>
        </w:rPr>
        <w:t xml:space="preserve">The three forbearance forms are available electronically to be printed and completed for processing. </w:t>
      </w:r>
      <w:r w:rsidR="00866DB6">
        <w:rPr>
          <w:rFonts w:asciiTheme="minorHAnsi" w:hAnsiTheme="minorHAnsi" w:cstheme="minorHAnsi"/>
          <w:snapToGrid w:val="0"/>
        </w:rPr>
        <w:t>However,</w:t>
      </w:r>
      <w:r>
        <w:rPr>
          <w:rFonts w:asciiTheme="minorHAnsi" w:hAnsiTheme="minorHAnsi" w:cstheme="minorHAnsi"/>
          <w:snapToGrid w:val="0"/>
        </w:rPr>
        <w:t xml:space="preserve"> </w:t>
      </w:r>
      <w:r w:rsidR="00866DB6">
        <w:rPr>
          <w:rFonts w:asciiTheme="minorHAnsi" w:hAnsiTheme="minorHAnsi" w:cstheme="minorHAnsi"/>
          <w:snapToGrid w:val="0"/>
        </w:rPr>
        <w:t>t</w:t>
      </w:r>
      <w:r w:rsidRPr="001C1992">
        <w:rPr>
          <w:rFonts w:asciiTheme="minorHAnsi" w:hAnsiTheme="minorHAnsi" w:cstheme="minorHAnsi"/>
          <w:snapToGrid w:val="0"/>
        </w:rPr>
        <w:t xml:space="preserve">his </w:t>
      </w:r>
      <w:r w:rsidR="00B61E03">
        <w:rPr>
          <w:rFonts w:asciiTheme="minorHAnsi" w:hAnsiTheme="minorHAnsi" w:cstheme="minorHAnsi"/>
          <w:snapToGrid w:val="0"/>
        </w:rPr>
        <w:t xml:space="preserve">information </w:t>
      </w:r>
      <w:r w:rsidRPr="001C1992">
        <w:rPr>
          <w:rFonts w:asciiTheme="minorHAnsi" w:hAnsiTheme="minorHAnsi" w:cstheme="minorHAnsi"/>
          <w:snapToGrid w:val="0"/>
        </w:rPr>
        <w:t xml:space="preserve">collection  does not </w:t>
      </w:r>
      <w:r w:rsidR="00B61E03">
        <w:rPr>
          <w:rFonts w:asciiTheme="minorHAnsi" w:hAnsiTheme="minorHAnsi" w:cstheme="minorHAnsi"/>
          <w:snapToGrid w:val="0"/>
        </w:rPr>
        <w:t>allow</w:t>
      </w:r>
      <w:r w:rsidRPr="001C1992" w:rsidR="00B61E03">
        <w:rPr>
          <w:rFonts w:asciiTheme="minorHAnsi" w:hAnsiTheme="minorHAnsi" w:cstheme="minorHAnsi"/>
          <w:snapToGrid w:val="0"/>
        </w:rPr>
        <w:t xml:space="preserve"> </w:t>
      </w:r>
      <w:r w:rsidRPr="001C1992">
        <w:rPr>
          <w:rFonts w:asciiTheme="minorHAnsi" w:hAnsiTheme="minorHAnsi" w:cstheme="minorHAnsi"/>
          <w:snapToGrid w:val="0"/>
        </w:rPr>
        <w:t xml:space="preserve">the use of electronic submission of requests.  </w:t>
      </w:r>
      <w:r w:rsidR="00056D8A">
        <w:rPr>
          <w:rFonts w:asciiTheme="minorHAnsi" w:hAnsiTheme="minorHAnsi" w:cstheme="minorHAnsi"/>
          <w:snapToGrid w:val="0"/>
        </w:rPr>
        <w:t>B</w:t>
      </w:r>
      <w:r w:rsidRPr="00B243E8" w:rsidR="00056D8A">
        <w:rPr>
          <w:rFonts w:asciiTheme="minorHAnsi" w:hAnsiTheme="minorHAnsi" w:cstheme="minorHAnsi"/>
          <w:snapToGrid w:val="0"/>
        </w:rPr>
        <w:t xml:space="preserve">orrowers must either submit supporting documentation to establish their eligibility for a </w:t>
      </w:r>
      <w:r w:rsidR="008D08F9">
        <w:rPr>
          <w:rFonts w:asciiTheme="minorHAnsi" w:hAnsiTheme="minorHAnsi" w:cstheme="minorHAnsi"/>
          <w:snapToGrid w:val="0"/>
        </w:rPr>
        <w:t>SERV or SLDB Forb</w:t>
      </w:r>
      <w:r w:rsidRPr="00B243E8" w:rsidR="00056D8A">
        <w:rPr>
          <w:rFonts w:asciiTheme="minorHAnsi" w:hAnsiTheme="minorHAnsi" w:cstheme="minorHAnsi"/>
          <w:snapToGrid w:val="0"/>
        </w:rPr>
        <w:t xml:space="preserve"> or have a third party certify their eligibility for the</w:t>
      </w:r>
      <w:r w:rsidR="008D08F9">
        <w:rPr>
          <w:rFonts w:asciiTheme="minorHAnsi" w:hAnsiTheme="minorHAnsi" w:cstheme="minorHAnsi"/>
          <w:snapToGrid w:val="0"/>
        </w:rPr>
        <w:t>se</w:t>
      </w:r>
      <w:r w:rsidRPr="00B243E8" w:rsidR="00056D8A">
        <w:rPr>
          <w:rFonts w:asciiTheme="minorHAnsi" w:hAnsiTheme="minorHAnsi" w:cstheme="minorHAnsi"/>
          <w:snapToGrid w:val="0"/>
        </w:rPr>
        <w:t xml:space="preserve"> </w:t>
      </w:r>
      <w:r w:rsidR="008D08F9">
        <w:rPr>
          <w:rFonts w:asciiTheme="minorHAnsi" w:hAnsiTheme="minorHAnsi" w:cstheme="minorHAnsi"/>
          <w:snapToGrid w:val="0"/>
        </w:rPr>
        <w:t>forbearances</w:t>
      </w:r>
      <w:r w:rsidRPr="00B243E8" w:rsidR="00056D8A">
        <w:rPr>
          <w:rFonts w:asciiTheme="minorHAnsi" w:hAnsiTheme="minorHAnsi" w:cstheme="minorHAnsi"/>
          <w:snapToGrid w:val="0"/>
        </w:rPr>
        <w:t>.</w:t>
      </w:r>
      <w:r w:rsidRPr="00B00F09" w:rsidR="00B00F09">
        <w:rPr>
          <w:rFonts w:asciiTheme="minorHAnsi" w:hAnsiTheme="minorHAnsi" w:cstheme="minorHAnsi"/>
          <w:snapToGrid w:val="0"/>
        </w:rPr>
        <w:t xml:space="preserve"> </w:t>
      </w:r>
      <w:r w:rsidRPr="00B243E8" w:rsidR="00B00F09">
        <w:rPr>
          <w:rFonts w:asciiTheme="minorHAnsi" w:hAnsiTheme="minorHAnsi" w:cstheme="minorHAnsi"/>
          <w:snapToGrid w:val="0"/>
        </w:rPr>
        <w:t xml:space="preserve">As a result, electronic submission of most </w:t>
      </w:r>
      <w:r w:rsidR="001778DD">
        <w:rPr>
          <w:rFonts w:asciiTheme="minorHAnsi" w:hAnsiTheme="minorHAnsi" w:cstheme="minorHAnsi"/>
          <w:snapToGrid w:val="0"/>
        </w:rPr>
        <w:t>forbearance requests</w:t>
      </w:r>
      <w:r w:rsidRPr="00B243E8" w:rsidR="00B00F09">
        <w:rPr>
          <w:rFonts w:asciiTheme="minorHAnsi" w:hAnsiTheme="minorHAnsi" w:cstheme="minorHAnsi"/>
          <w:snapToGrid w:val="0"/>
        </w:rPr>
        <w:t xml:space="preserve"> is not feasible at this time.</w:t>
      </w:r>
    </w:p>
    <w:p w:rsidR="001778DD" w:rsidP="00AE3C52" w14:paraId="12B9E97B" w14:textId="77777777">
      <w:pPr>
        <w:widowControl w:val="0"/>
        <w:ind w:left="720"/>
        <w:rPr>
          <w:rFonts w:asciiTheme="minorHAnsi" w:hAnsiTheme="minorHAnsi" w:cstheme="minorHAnsi"/>
          <w:snapToGrid w:val="0"/>
        </w:rPr>
      </w:pPr>
    </w:p>
    <w:p w:rsidR="00236BED" w:rsidRPr="0074702A" w:rsidP="00AE3C52" w14:paraId="2720B2CB" w14:textId="12C5EC16">
      <w:pPr>
        <w:widowControl w:val="0"/>
        <w:ind w:left="720"/>
        <w:rPr>
          <w:rFonts w:asciiTheme="minorHAnsi" w:hAnsiTheme="minorHAnsi" w:cstheme="minorHAnsi"/>
          <w:snapToGrid w:val="0"/>
          <w:u w:val="single"/>
        </w:rPr>
      </w:pPr>
      <w:r w:rsidRPr="0074702A">
        <w:rPr>
          <w:rFonts w:asciiTheme="minorHAnsi" w:hAnsiTheme="minorHAnsi" w:cstheme="minorHAnsi"/>
          <w:snapToGrid w:val="0"/>
          <w:u w:val="single"/>
        </w:rPr>
        <w:t>GEN Forb Requests</w:t>
      </w:r>
    </w:p>
    <w:p w:rsidR="00236BED" w:rsidRPr="001C1992" w:rsidP="00AE3C52" w14:paraId="580AC3B8" w14:textId="068DC355">
      <w:pPr>
        <w:widowControl w:val="0"/>
        <w:ind w:left="720"/>
        <w:rPr>
          <w:rFonts w:asciiTheme="minorHAnsi" w:hAnsiTheme="minorHAnsi" w:cstheme="minorHAnsi"/>
          <w:snapToGrid w:val="0"/>
        </w:rPr>
      </w:pPr>
      <w:r w:rsidRPr="00B243E8">
        <w:rPr>
          <w:rFonts w:asciiTheme="minorHAnsi" w:hAnsiTheme="minorHAnsi" w:cstheme="minorHAnsi"/>
          <w:snapToGrid w:val="0"/>
        </w:rPr>
        <w:t xml:space="preserve">Although in most cases a borrower must submit a </w:t>
      </w:r>
      <w:r>
        <w:rPr>
          <w:rFonts w:asciiTheme="minorHAnsi" w:hAnsiTheme="minorHAnsi" w:cstheme="minorHAnsi"/>
          <w:snapToGrid w:val="0"/>
        </w:rPr>
        <w:t>forbearance</w:t>
      </w:r>
      <w:r w:rsidRPr="00B243E8">
        <w:rPr>
          <w:rFonts w:asciiTheme="minorHAnsi" w:hAnsiTheme="minorHAnsi" w:cstheme="minorHAnsi"/>
          <w:snapToGrid w:val="0"/>
        </w:rPr>
        <w:t xml:space="preserve"> request with the appropriate documentation to the loan holder</w:t>
      </w:r>
      <w:r w:rsidR="00EA4C72">
        <w:rPr>
          <w:rFonts w:asciiTheme="minorHAnsi" w:hAnsiTheme="minorHAnsi" w:cstheme="minorHAnsi"/>
          <w:snapToGrid w:val="0"/>
        </w:rPr>
        <w:t xml:space="preserve">, </w:t>
      </w:r>
      <w:r w:rsidR="00626A97">
        <w:rPr>
          <w:rFonts w:asciiTheme="minorHAnsi" w:hAnsiTheme="minorHAnsi" w:cstheme="minorHAnsi"/>
          <w:snapToGrid w:val="0"/>
          <w:szCs w:val="24"/>
        </w:rPr>
        <w:t>b</w:t>
      </w:r>
      <w:r w:rsidRPr="00211226" w:rsidR="00626A97">
        <w:rPr>
          <w:rFonts w:asciiTheme="minorHAnsi" w:hAnsiTheme="minorHAnsi" w:cstheme="minorHAnsi"/>
          <w:snapToGrid w:val="0"/>
          <w:szCs w:val="24"/>
        </w:rPr>
        <w:t xml:space="preserve">orrowers can request </w:t>
      </w:r>
      <w:r w:rsidR="00626A97">
        <w:rPr>
          <w:rFonts w:asciiTheme="minorHAnsi" w:hAnsiTheme="minorHAnsi" w:cstheme="minorHAnsi"/>
          <w:snapToGrid w:val="0"/>
          <w:szCs w:val="24"/>
        </w:rPr>
        <w:t>a GEN F</w:t>
      </w:r>
      <w:r w:rsidRPr="00211226" w:rsidR="00626A97">
        <w:rPr>
          <w:rFonts w:asciiTheme="minorHAnsi" w:hAnsiTheme="minorHAnsi" w:cstheme="minorHAnsi"/>
          <w:snapToGrid w:val="0"/>
          <w:szCs w:val="24"/>
        </w:rPr>
        <w:t>orb, agree to the terms of the forbearance, and provide the required documentation to support the forbearance request through the borrower’s federal loan servicer’s website or on a telephone call.</w:t>
      </w:r>
      <w:r w:rsidRPr="001837E1" w:rsidR="001837E1">
        <w:rPr>
          <w:rFonts w:asciiTheme="minorHAnsi" w:hAnsiTheme="minorHAnsi" w:cstheme="minorHAnsi"/>
          <w:snapToGrid w:val="0"/>
        </w:rPr>
        <w:t xml:space="preserve"> </w:t>
      </w:r>
      <w:r w:rsidRPr="00B243E8" w:rsidR="001837E1">
        <w:rPr>
          <w:rFonts w:asciiTheme="minorHAnsi" w:hAnsiTheme="minorHAnsi" w:cstheme="minorHAnsi"/>
          <w:snapToGrid w:val="0"/>
        </w:rPr>
        <w:t xml:space="preserve">This reduces burden on borrowers.  In such cases, the loan holder notifies the borrower that the </w:t>
      </w:r>
      <w:r w:rsidR="001837E1">
        <w:rPr>
          <w:rFonts w:asciiTheme="minorHAnsi" w:hAnsiTheme="minorHAnsi" w:cstheme="minorHAnsi"/>
          <w:snapToGrid w:val="0"/>
        </w:rPr>
        <w:t>GEN Forb</w:t>
      </w:r>
      <w:r w:rsidRPr="00B243E8" w:rsidR="001837E1">
        <w:rPr>
          <w:rFonts w:asciiTheme="minorHAnsi" w:hAnsiTheme="minorHAnsi" w:cstheme="minorHAnsi"/>
          <w:snapToGrid w:val="0"/>
        </w:rPr>
        <w:t xml:space="preserve"> has been granted.</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444791" w:rsidRPr="001C1992" w:rsidP="00444791" w14:paraId="37404197" w14:textId="226504D8">
      <w:pPr>
        <w:widowControl w:val="0"/>
        <w:ind w:left="720"/>
        <w:rPr>
          <w:rFonts w:asciiTheme="minorHAnsi" w:hAnsiTheme="minorHAnsi" w:cstheme="minorHAnsi"/>
          <w:snapToGrid w:val="0"/>
        </w:rPr>
      </w:pPr>
      <w:r w:rsidRPr="001C1992">
        <w:rPr>
          <w:rFonts w:asciiTheme="minorHAnsi" w:hAnsiTheme="minorHAnsi" w:cstheme="minorHAnsi"/>
          <w:snapToGrid w:val="0"/>
        </w:rPr>
        <w:t xml:space="preserve">There is no information already available from other sources that can be used to establish a borrower’s eligibility for forbearance. </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EF4C67" w:rsidRPr="00FB6309" w:rsidP="00EF4C67" w14:paraId="27DEE347" w14:textId="2A0D5917">
      <w:pPr>
        <w:tabs>
          <w:tab w:val="left" w:pos="0"/>
        </w:tabs>
        <w:suppressAutoHyphens/>
        <w:ind w:left="720"/>
        <w:rPr>
          <w:rFonts w:asciiTheme="minorHAnsi" w:hAnsiTheme="minorHAnsi" w:cstheme="minorHAnsi"/>
          <w:szCs w:val="24"/>
        </w:rPr>
      </w:pPr>
      <w:r w:rsidRPr="001C1992">
        <w:rPr>
          <w:rFonts w:asciiTheme="minorHAnsi" w:hAnsiTheme="minorHAnsi" w:cstheme="minorHAnsi"/>
        </w:rPr>
        <w:t>No small businesses are affected by this information collection</w:t>
      </w:r>
    </w:p>
    <w:p w:rsidR="00EF4C67" w:rsidRPr="005F4E11" w:rsidP="00AD381B" w14:paraId="48B8773E"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EF4C67" w:rsidRPr="0054653F" w:rsidP="0054653F" w14:paraId="33BB654D" w14:textId="7CB712C3">
      <w:pPr>
        <w:widowControl w:val="0"/>
        <w:ind w:left="720"/>
        <w:rPr>
          <w:rFonts w:asciiTheme="minorHAnsi" w:hAnsiTheme="minorHAnsi" w:cstheme="minorHAnsi"/>
          <w:snapToGrid w:val="0"/>
        </w:rPr>
      </w:pPr>
      <w:r w:rsidRPr="001C1992">
        <w:rPr>
          <w:rFonts w:asciiTheme="minorHAnsi" w:hAnsiTheme="minorHAnsi" w:cstheme="minorHAnsi"/>
          <w:snapToGrid w:val="0"/>
        </w:rPr>
        <w:t xml:space="preserve">The frequency with which a borrower must request a forbearance is determined in accordance with statutory and regulatory requirements that are explained on each forbearance request form.  Less frequent data collection would not allow loan holders to process borrower requests for forbearance. </w:t>
      </w:r>
    </w:p>
    <w:p w:rsidR="005F4E11" w:rsidRPr="005F4E11" w:rsidP="005F4E11" w14:paraId="51872AEE"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EF4C67" w:rsidRPr="00093C21" w:rsidP="00093C21" w14:paraId="5837EBEF" w14:textId="3A18A424">
      <w:pPr>
        <w:tabs>
          <w:tab w:val="left" w:pos="0"/>
        </w:tabs>
        <w:suppressAutoHyphens/>
        <w:ind w:left="720"/>
        <w:rPr>
          <w:rFonts w:asciiTheme="minorHAnsi" w:hAnsiTheme="minorHAnsi" w:cstheme="minorHAnsi"/>
        </w:rPr>
      </w:pPr>
      <w:r w:rsidRPr="001C1992">
        <w:rPr>
          <w:rFonts w:asciiTheme="minorHAnsi" w:hAnsiTheme="minorHAnsi" w:cstheme="minorHAnsi"/>
        </w:rPr>
        <w:t>This information collection does not involve any of the above conditions.</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4F78A9" w:rsidRPr="001C1992" w:rsidP="004F78A9" w14:paraId="01BB0AF3" w14:textId="31A1922C">
      <w:pPr>
        <w:tabs>
          <w:tab w:val="left" w:pos="-720"/>
        </w:tabs>
        <w:suppressAutoHyphens/>
        <w:ind w:left="720"/>
        <w:rPr>
          <w:rFonts w:asciiTheme="minorHAnsi" w:hAnsiTheme="minorHAnsi" w:cstheme="minorHAnsi"/>
        </w:rPr>
      </w:pPr>
      <w:r w:rsidRPr="001C1992">
        <w:rPr>
          <w:rFonts w:asciiTheme="minorHAnsi" w:hAnsiTheme="minorHAnsi" w:cstheme="minorHAnsi"/>
        </w:rPr>
        <w:t>The Department considers comments from the public when developing the currently approved forms. The Department will request both a 60-day and a 30-day public comment period to be published in the Federal Register.  This is the 60-day public comment request.</w:t>
      </w:r>
    </w:p>
    <w:p w:rsidR="005F4E11" w:rsidP="004F78A9" w14:paraId="477C84F0" w14:textId="77777777">
      <w:pPr>
        <w:tabs>
          <w:tab w:val="left" w:pos="-720"/>
        </w:tabs>
        <w:suppressAutoHyphens/>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E50BE9" w:rsidRPr="001C1992" w:rsidP="00E50BE9" w14:paraId="0038FE11" w14:textId="5F45CAE4">
      <w:pPr>
        <w:tabs>
          <w:tab w:val="left" w:pos="0"/>
        </w:tabs>
        <w:suppressAutoHyphens/>
        <w:ind w:left="720"/>
        <w:rPr>
          <w:rFonts w:asciiTheme="minorHAnsi" w:hAnsiTheme="minorHAnsi" w:cstheme="minorHAnsi"/>
        </w:rPr>
      </w:pPr>
      <w:r w:rsidRPr="001C1992">
        <w:rPr>
          <w:rFonts w:asciiTheme="minorHAnsi" w:hAnsiTheme="minorHAnsi" w:cstheme="minorHAnsi"/>
        </w:rPr>
        <w:t>No payments or gifts have been or will be provided to respondents.</w:t>
      </w:r>
    </w:p>
    <w:p w:rsidR="00920F63" w:rsidRPr="00E50BE9" w:rsidP="00E50BE9" w14:paraId="64280E85" w14:textId="77777777">
      <w:pPr>
        <w:tabs>
          <w:tab w:val="left" w:pos="-720"/>
        </w:tabs>
        <w:suppressAutoHyphens/>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4F484A" w:rsidRPr="001C1992" w:rsidP="004F484A" w14:paraId="51325C3D" w14:textId="6A8D1BC8">
      <w:pPr>
        <w:tabs>
          <w:tab w:val="left" w:pos="0"/>
        </w:tabs>
        <w:suppressAutoHyphens/>
        <w:ind w:left="720"/>
        <w:rPr>
          <w:rFonts w:asciiTheme="minorHAnsi" w:hAnsiTheme="minorHAnsi" w:cstheme="minorHAnsi"/>
        </w:rPr>
      </w:pPr>
      <w:r w:rsidRPr="001C1992">
        <w:rPr>
          <w:rFonts w:asciiTheme="minorHAnsi" w:hAnsiTheme="minorHAnsi" w:cstheme="minorHAnsi"/>
        </w:rPr>
        <w:t xml:space="preserve">The forms include a Privacy Act Notice that (1) informs borrowers of the statutory authority for the information collection; (2) explains that the disclosure of the information is </w:t>
      </w:r>
      <w:r w:rsidRPr="001C1992" w:rsidR="00AE2BB6">
        <w:rPr>
          <w:rFonts w:asciiTheme="minorHAnsi" w:hAnsiTheme="minorHAnsi" w:cstheme="minorHAnsi"/>
        </w:rPr>
        <w:t>voluntary but</w:t>
      </w:r>
      <w:r w:rsidRPr="001C1992">
        <w:rPr>
          <w:rFonts w:asciiTheme="minorHAnsi" w:hAnsiTheme="minorHAnsi" w:cstheme="minorHAnsi"/>
        </w:rPr>
        <w:t xml:space="preserve"> is required in order to qualify for a loan discharge; and (3) identifies the third parties to whom the information may be disclosed and explains the circumstances under which those disclosures may occur.</w:t>
      </w:r>
      <w:r w:rsidR="005A4B21">
        <w:rPr>
          <w:rFonts w:asciiTheme="minorHAnsi" w:hAnsiTheme="minorHAnsi" w:cstheme="minorHAnsi"/>
        </w:rPr>
        <w:t xml:space="preserve">  The Paperwork Burden Statement and the Privacy Act Statement are included on each form.  This collection is included in the Common Services for Borrowers System of Records Notice (88 FR 48449).  This SORN is included in the Privacy Impact Assessment completed February 13, 2024.</w:t>
      </w:r>
    </w:p>
    <w:p w:rsidR="007C700A" w:rsidRPr="005F4E11" w:rsidP="005F4E11" w14:paraId="7A4EA0F0"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A46631" w:rsidRPr="001C1992" w:rsidP="00A46631" w14:paraId="16BEA3DB" w14:textId="77777777">
      <w:pPr>
        <w:widowControl w:val="0"/>
        <w:ind w:left="720"/>
        <w:rPr>
          <w:rFonts w:asciiTheme="minorHAnsi" w:hAnsiTheme="minorHAnsi" w:cstheme="minorHAnsi"/>
          <w:snapToGrid w:val="0"/>
        </w:rPr>
      </w:pPr>
      <w:r w:rsidRPr="001C1992">
        <w:rPr>
          <w:rFonts w:asciiTheme="minorHAnsi" w:hAnsiTheme="minorHAnsi" w:cstheme="minorHAnsi"/>
          <w:snapToGrid w:val="0"/>
        </w:rPr>
        <w:t>None of the forms request information of a sensitive nature.</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8B71F7" w:rsidP="008B71F7" w14:paraId="6133965A" w14:textId="568E3919">
      <w:pPr>
        <w:tabs>
          <w:tab w:val="left" w:pos="-720"/>
        </w:tabs>
        <w:suppressAutoHyphens/>
        <w:ind w:left="720"/>
        <w:rPr>
          <w:rFonts w:asciiTheme="minorHAnsi" w:hAnsiTheme="minorHAnsi" w:cstheme="minorHAnsi"/>
        </w:rPr>
      </w:pPr>
      <w:r w:rsidRPr="00EB5D03">
        <w:rPr>
          <w:rFonts w:asciiTheme="minorHAnsi" w:hAnsiTheme="minorHAnsi" w:cstheme="minorHAnsi"/>
          <w:szCs w:val="24"/>
        </w:rPr>
        <w:t xml:space="preserve">The Department </w:t>
      </w:r>
      <w:r>
        <w:rPr>
          <w:rFonts w:asciiTheme="minorHAnsi" w:hAnsiTheme="minorHAnsi" w:cstheme="minorHAnsi"/>
          <w:szCs w:val="24"/>
        </w:rPr>
        <w:t>files this request with the same</w:t>
      </w:r>
      <w:r w:rsidRPr="00EB5D03">
        <w:rPr>
          <w:rFonts w:asciiTheme="minorHAnsi" w:hAnsiTheme="minorHAnsi" w:cstheme="minorHAnsi"/>
          <w:szCs w:val="24"/>
        </w:rPr>
        <w:t xml:space="preserve"> total annual number of respondents</w:t>
      </w:r>
      <w:r w:rsidRPr="00FA51DA">
        <w:rPr>
          <w:rFonts w:asciiTheme="minorHAnsi" w:hAnsiTheme="minorHAnsi" w:cstheme="minorHAnsi"/>
          <w:szCs w:val="24"/>
        </w:rPr>
        <w:t xml:space="preserve"> </w:t>
      </w:r>
      <w:r w:rsidRPr="00EB5D03">
        <w:rPr>
          <w:rFonts w:asciiTheme="minorHAnsi" w:hAnsiTheme="minorHAnsi" w:cstheme="minorHAnsi"/>
          <w:szCs w:val="24"/>
        </w:rPr>
        <w:t xml:space="preserve">for this </w:t>
      </w:r>
      <w:r>
        <w:rPr>
          <w:rFonts w:asciiTheme="minorHAnsi" w:hAnsiTheme="minorHAnsi" w:cstheme="minorHAnsi"/>
          <w:szCs w:val="24"/>
        </w:rPr>
        <w:t xml:space="preserve">renewal </w:t>
      </w:r>
      <w:r w:rsidRPr="00EB5D03">
        <w:rPr>
          <w:rFonts w:asciiTheme="minorHAnsi" w:hAnsiTheme="minorHAnsi" w:cstheme="minorHAnsi"/>
          <w:szCs w:val="24"/>
        </w:rPr>
        <w:t>collection</w:t>
      </w:r>
      <w:r>
        <w:rPr>
          <w:rFonts w:asciiTheme="minorHAnsi" w:hAnsiTheme="minorHAnsi" w:cstheme="minorHAnsi"/>
          <w:szCs w:val="24"/>
        </w:rPr>
        <w:t xml:space="preserve"> as was used in the prior filing</w:t>
      </w:r>
      <w:r w:rsidR="00F953B7">
        <w:rPr>
          <w:rFonts w:asciiTheme="minorHAnsi" w:hAnsiTheme="minorHAnsi" w:cstheme="minorHAnsi"/>
          <w:szCs w:val="24"/>
        </w:rPr>
        <w:t>s</w:t>
      </w:r>
      <w:r w:rsidR="00F62F18">
        <w:rPr>
          <w:rFonts w:asciiTheme="minorHAnsi" w:hAnsiTheme="minorHAnsi" w:cstheme="minorHAnsi"/>
          <w:szCs w:val="24"/>
        </w:rPr>
        <w:t xml:space="preserve"> for 1845-0018</w:t>
      </w:r>
      <w:r w:rsidRPr="00EB5D03">
        <w:rPr>
          <w:rFonts w:asciiTheme="minorHAnsi" w:hAnsiTheme="minorHAnsi" w:cstheme="minorHAnsi"/>
          <w:szCs w:val="24"/>
        </w:rPr>
        <w:t xml:space="preserve">. </w:t>
      </w:r>
      <w:r w:rsidR="00F62F18">
        <w:rPr>
          <w:rFonts w:asciiTheme="minorHAnsi" w:hAnsiTheme="minorHAnsi" w:cstheme="minorHAnsi"/>
          <w:szCs w:val="24"/>
        </w:rPr>
        <w:t xml:space="preserve"> The Department adds to this request the same total annual number of respondents that was used in the prior filing 1845-0031.  </w:t>
      </w:r>
      <w:r>
        <w:rPr>
          <w:rFonts w:asciiTheme="minorHAnsi" w:hAnsiTheme="minorHAnsi" w:cstheme="minorHAnsi"/>
          <w:szCs w:val="24"/>
        </w:rPr>
        <w:t xml:space="preserve">Due to the effects of the COVID-19 pandemic and the suspension of the collection of loans, the Department lacks sufficient data to allow for more accurate updates to the usage of these forms.  </w:t>
      </w:r>
      <w:r w:rsidRPr="00EB5D03">
        <w:rPr>
          <w:rFonts w:asciiTheme="minorHAnsi" w:hAnsiTheme="minorHAnsi" w:cstheme="minorHAnsi"/>
        </w:rPr>
        <w:t>There has been no change in the underlying statutes or regulations which support these request forms.</w:t>
      </w:r>
    </w:p>
    <w:p w:rsidR="006D7CB4" w:rsidRPr="00EB5D03" w:rsidP="008B71F7" w14:paraId="687F7B83" w14:textId="77777777">
      <w:pPr>
        <w:tabs>
          <w:tab w:val="left" w:pos="-720"/>
        </w:tabs>
        <w:suppressAutoHyphens/>
        <w:ind w:left="720"/>
        <w:rPr>
          <w:rFonts w:asciiTheme="minorHAnsi" w:hAnsiTheme="minorHAnsi" w:cstheme="minorHAnsi"/>
        </w:rPr>
      </w:pPr>
    </w:p>
    <w:p w:rsidR="008B71F7" w:rsidP="008B71F7" w14:paraId="131BF14F" w14:textId="657B51E7">
      <w:pPr>
        <w:ind w:left="700"/>
        <w:rPr>
          <w:rFonts w:asciiTheme="minorHAnsi" w:hAnsiTheme="minorHAnsi" w:cstheme="minorHAnsi"/>
          <w:szCs w:val="24"/>
        </w:rPr>
      </w:pPr>
      <w:r w:rsidRPr="001C1992">
        <w:rPr>
          <w:rFonts w:asciiTheme="minorHAnsi" w:hAnsiTheme="minorHAnsi" w:cstheme="minorHAnsi"/>
          <w:szCs w:val="24"/>
        </w:rPr>
        <w:t xml:space="preserve">The Department </w:t>
      </w:r>
      <w:r>
        <w:rPr>
          <w:rFonts w:asciiTheme="minorHAnsi" w:hAnsiTheme="minorHAnsi" w:cstheme="minorHAnsi"/>
          <w:szCs w:val="24"/>
        </w:rPr>
        <w:t xml:space="preserve">continues to </w:t>
      </w:r>
      <w:r w:rsidRPr="001C1992">
        <w:rPr>
          <w:rFonts w:asciiTheme="minorHAnsi" w:hAnsiTheme="minorHAnsi" w:cstheme="minorHAnsi"/>
          <w:szCs w:val="24"/>
        </w:rPr>
        <w:t>estimate</w:t>
      </w:r>
      <w:r>
        <w:rPr>
          <w:rFonts w:asciiTheme="minorHAnsi" w:hAnsiTheme="minorHAnsi" w:cstheme="minorHAnsi"/>
          <w:szCs w:val="24"/>
        </w:rPr>
        <w:t xml:space="preserve"> </w:t>
      </w:r>
      <w:r w:rsidRPr="001C1992">
        <w:rPr>
          <w:rFonts w:asciiTheme="minorHAnsi" w:hAnsiTheme="minorHAnsi" w:cstheme="minorHAnsi"/>
          <w:szCs w:val="24"/>
        </w:rPr>
        <w:t xml:space="preserve">the total annual number of respondents for this </w:t>
      </w:r>
      <w:r w:rsidR="00BE3A08">
        <w:rPr>
          <w:rFonts w:asciiTheme="minorHAnsi" w:hAnsiTheme="minorHAnsi" w:cstheme="minorHAnsi"/>
          <w:szCs w:val="24"/>
        </w:rPr>
        <w:t xml:space="preserve">combined </w:t>
      </w:r>
      <w:r w:rsidRPr="001C1992">
        <w:rPr>
          <w:rFonts w:asciiTheme="minorHAnsi" w:hAnsiTheme="minorHAnsi" w:cstheme="minorHAnsi"/>
          <w:szCs w:val="24"/>
        </w:rPr>
        <w:t xml:space="preserve">collection </w:t>
      </w:r>
      <w:r>
        <w:rPr>
          <w:rFonts w:asciiTheme="minorHAnsi" w:hAnsiTheme="minorHAnsi" w:cstheme="minorHAnsi"/>
          <w:szCs w:val="24"/>
        </w:rPr>
        <w:t xml:space="preserve">at </w:t>
      </w:r>
      <w:r w:rsidRPr="00290BBC" w:rsidR="00290BBC">
        <w:rPr>
          <w:rFonts w:asciiTheme="minorHAnsi" w:hAnsiTheme="minorHAnsi" w:cstheme="minorHAnsi"/>
          <w:szCs w:val="24"/>
        </w:rPr>
        <w:t>2,215,812</w:t>
      </w:r>
      <w:r w:rsidR="00F62F18">
        <w:rPr>
          <w:rFonts w:asciiTheme="minorHAnsi" w:hAnsiTheme="minorHAnsi" w:cstheme="minorHAnsi"/>
          <w:szCs w:val="24"/>
        </w:rPr>
        <w:t xml:space="preserve"> </w:t>
      </w:r>
      <w:r w:rsidR="006B38F7">
        <w:rPr>
          <w:rFonts w:asciiTheme="minorHAnsi" w:hAnsiTheme="minorHAnsi" w:cstheme="minorHAnsi"/>
          <w:szCs w:val="24"/>
        </w:rPr>
        <w:t>(representing the total respondents previously included in the two separate collections)</w:t>
      </w:r>
      <w:r w:rsidRPr="001C1992">
        <w:rPr>
          <w:rFonts w:asciiTheme="minorHAnsi" w:hAnsiTheme="minorHAnsi" w:cstheme="minorHAnsi"/>
          <w:szCs w:val="24"/>
        </w:rPr>
        <w:t xml:space="preserve">.  </w:t>
      </w:r>
      <w:r w:rsidR="009A4BE1">
        <w:rPr>
          <w:rFonts w:asciiTheme="minorHAnsi" w:hAnsiTheme="minorHAnsi" w:cstheme="minorHAnsi"/>
          <w:szCs w:val="24"/>
        </w:rPr>
        <w:t>T</w:t>
      </w:r>
      <w:r w:rsidRPr="00211226" w:rsidR="009A4BE1">
        <w:rPr>
          <w:rFonts w:asciiTheme="minorHAnsi" w:hAnsiTheme="minorHAnsi" w:cstheme="minorHAnsi"/>
          <w:szCs w:val="24"/>
        </w:rPr>
        <w:t xml:space="preserve">he </w:t>
      </w:r>
      <w:r w:rsidR="009A4BE1">
        <w:rPr>
          <w:rFonts w:asciiTheme="minorHAnsi" w:hAnsiTheme="minorHAnsi" w:cstheme="minorHAnsi"/>
          <w:szCs w:val="24"/>
        </w:rPr>
        <w:t xml:space="preserve">estimated </w:t>
      </w:r>
      <w:r w:rsidRPr="00211226" w:rsidR="009A4BE1">
        <w:rPr>
          <w:rFonts w:asciiTheme="minorHAnsi" w:hAnsiTheme="minorHAnsi" w:cstheme="minorHAnsi"/>
          <w:szCs w:val="24"/>
        </w:rPr>
        <w:t xml:space="preserve">response time for the </w:t>
      </w:r>
      <w:r w:rsidR="009A4BE1">
        <w:rPr>
          <w:rFonts w:asciiTheme="minorHAnsi" w:hAnsiTheme="minorHAnsi" w:cstheme="minorHAnsi"/>
          <w:szCs w:val="24"/>
        </w:rPr>
        <w:t xml:space="preserve">GEN Forb </w:t>
      </w:r>
      <w:r w:rsidRPr="00211226" w:rsidR="009A4BE1">
        <w:rPr>
          <w:rFonts w:asciiTheme="minorHAnsi" w:hAnsiTheme="minorHAnsi" w:cstheme="minorHAnsi"/>
          <w:szCs w:val="24"/>
        </w:rPr>
        <w:t xml:space="preserve">form </w:t>
      </w:r>
      <w:r w:rsidR="009A4BE1">
        <w:rPr>
          <w:rFonts w:asciiTheme="minorHAnsi" w:hAnsiTheme="minorHAnsi" w:cstheme="minorHAnsi"/>
          <w:szCs w:val="24"/>
        </w:rPr>
        <w:t>is</w:t>
      </w:r>
      <w:r w:rsidRPr="00211226" w:rsidR="009A4BE1">
        <w:rPr>
          <w:rFonts w:asciiTheme="minorHAnsi" w:hAnsiTheme="minorHAnsi" w:cstheme="minorHAnsi"/>
          <w:szCs w:val="24"/>
        </w:rPr>
        <w:t xml:space="preserve"> 0.08 hours (5 minutes), with one response per respondent per year.  </w:t>
      </w:r>
      <w:r w:rsidRPr="001C1992">
        <w:rPr>
          <w:rFonts w:asciiTheme="minorHAnsi" w:hAnsiTheme="minorHAnsi" w:cstheme="minorHAnsi"/>
          <w:szCs w:val="24"/>
        </w:rPr>
        <w:t xml:space="preserve">The estimated response time for the </w:t>
      </w:r>
      <w:r w:rsidR="007D2837">
        <w:rPr>
          <w:rFonts w:asciiTheme="minorHAnsi" w:hAnsiTheme="minorHAnsi" w:cstheme="minorHAnsi"/>
          <w:szCs w:val="24"/>
        </w:rPr>
        <w:t>SERV Forb</w:t>
      </w:r>
      <w:r w:rsidRPr="001C1992">
        <w:rPr>
          <w:rFonts w:asciiTheme="minorHAnsi" w:hAnsiTheme="minorHAnsi" w:cstheme="minorHAnsi"/>
          <w:szCs w:val="24"/>
        </w:rPr>
        <w:t xml:space="preserve"> is .25 hours (15 minutes) with one response per respondent.  The estimated response time for the </w:t>
      </w:r>
      <w:r w:rsidR="009A32EC">
        <w:rPr>
          <w:rFonts w:asciiTheme="minorHAnsi" w:hAnsiTheme="minorHAnsi" w:cstheme="minorHAnsi"/>
          <w:szCs w:val="24"/>
        </w:rPr>
        <w:t>SLDB Forb</w:t>
      </w:r>
      <w:r w:rsidRPr="001C1992">
        <w:rPr>
          <w:rFonts w:asciiTheme="minorHAnsi" w:hAnsiTheme="minorHAnsi" w:cstheme="minorHAnsi"/>
          <w:szCs w:val="24"/>
        </w:rPr>
        <w:t xml:space="preserve"> is .20 hours (12 minutes) with one response per respondent.  This equates to a total estimated reporting burden of </w:t>
      </w:r>
      <w:r w:rsidRPr="0007130B" w:rsidR="0007130B">
        <w:rPr>
          <w:rFonts w:asciiTheme="minorHAnsi" w:hAnsiTheme="minorHAnsi" w:cstheme="minorHAnsi"/>
          <w:szCs w:val="24"/>
        </w:rPr>
        <w:t>181,495</w:t>
      </w:r>
      <w:r w:rsidR="00F62F18">
        <w:rPr>
          <w:rFonts w:asciiTheme="minorHAnsi" w:hAnsiTheme="minorHAnsi" w:cstheme="minorHAnsi"/>
          <w:szCs w:val="24"/>
        </w:rPr>
        <w:t xml:space="preserve"> </w:t>
      </w:r>
      <w:r w:rsidRPr="001C1992">
        <w:rPr>
          <w:rFonts w:asciiTheme="minorHAnsi" w:hAnsiTheme="minorHAnsi" w:cstheme="minorHAnsi"/>
          <w:szCs w:val="24"/>
        </w:rPr>
        <w:t>hours. The burden estimate for each form is calculated as follows:</w:t>
      </w:r>
    </w:p>
    <w:p w:rsidR="00966503" w:rsidRPr="001C1992" w:rsidP="008B71F7" w14:paraId="55B232E9" w14:textId="77777777">
      <w:pPr>
        <w:ind w:left="700"/>
        <w:rPr>
          <w:rFonts w:asciiTheme="minorHAnsi" w:hAnsiTheme="minorHAnsi" w:cstheme="minorHAnsi"/>
          <w:szCs w:val="24"/>
        </w:rPr>
      </w:pPr>
    </w:p>
    <w:tbl>
      <w:tblPr>
        <w:tblW w:w="0" w:type="auto"/>
        <w:tblInd w:w="720" w:type="dxa"/>
        <w:tblLayout w:type="fixed"/>
        <w:tblLook w:val="0000"/>
      </w:tblPr>
      <w:tblGrid>
        <w:gridCol w:w="4428"/>
        <w:gridCol w:w="360"/>
        <w:gridCol w:w="2700"/>
      </w:tblGrid>
      <w:tr w14:paraId="781AE920" w14:textId="77777777" w:rsidTr="00281CA2">
        <w:tblPrEx>
          <w:tblW w:w="0" w:type="auto"/>
          <w:tblInd w:w="720" w:type="dxa"/>
          <w:tblLayout w:type="fixed"/>
          <w:tblLook w:val="0000"/>
        </w:tblPrEx>
        <w:tc>
          <w:tcPr>
            <w:tcW w:w="4428" w:type="dxa"/>
          </w:tcPr>
          <w:p w:rsidR="00281CA2" w:rsidRPr="001C1992" w14:paraId="042A6F25" w14:textId="22ED6044">
            <w:pPr>
              <w:pStyle w:val="Heading2"/>
              <w:rPr>
                <w:rFonts w:asciiTheme="minorHAnsi" w:hAnsiTheme="minorHAnsi" w:cstheme="minorHAnsi"/>
                <w:sz w:val="24"/>
                <w:szCs w:val="24"/>
              </w:rPr>
            </w:pPr>
            <w:r>
              <w:rPr>
                <w:rFonts w:asciiTheme="minorHAnsi" w:hAnsiTheme="minorHAnsi" w:cstheme="minorHAnsi"/>
                <w:sz w:val="24"/>
                <w:szCs w:val="24"/>
              </w:rPr>
              <w:t>GEN Forb</w:t>
            </w:r>
          </w:p>
        </w:tc>
        <w:tc>
          <w:tcPr>
            <w:tcW w:w="360" w:type="dxa"/>
          </w:tcPr>
          <w:p w:rsidR="00281CA2" w:rsidRPr="001C1992" w14:paraId="6AF6888C" w14:textId="77777777">
            <w:pPr>
              <w:rPr>
                <w:rFonts w:asciiTheme="minorHAnsi" w:hAnsiTheme="minorHAnsi" w:cstheme="minorHAnsi"/>
                <w:szCs w:val="24"/>
              </w:rPr>
            </w:pPr>
          </w:p>
        </w:tc>
        <w:tc>
          <w:tcPr>
            <w:tcW w:w="2700" w:type="dxa"/>
          </w:tcPr>
          <w:p w:rsidR="00281CA2" w:rsidRPr="001C1992" w14:paraId="0EE16636" w14:textId="77777777">
            <w:pPr>
              <w:jc w:val="right"/>
              <w:rPr>
                <w:rFonts w:asciiTheme="minorHAnsi" w:hAnsiTheme="minorHAnsi" w:cstheme="minorHAnsi"/>
                <w:szCs w:val="24"/>
              </w:rPr>
            </w:pPr>
          </w:p>
        </w:tc>
      </w:tr>
      <w:tr w14:paraId="750C3C41" w14:textId="77777777" w:rsidTr="00281CA2">
        <w:tblPrEx>
          <w:tblW w:w="0" w:type="auto"/>
          <w:tblInd w:w="720" w:type="dxa"/>
          <w:tblLayout w:type="fixed"/>
          <w:tblLook w:val="0000"/>
        </w:tblPrEx>
        <w:tc>
          <w:tcPr>
            <w:tcW w:w="4428" w:type="dxa"/>
          </w:tcPr>
          <w:p w:rsidR="00281CA2" w:rsidRPr="00281CA2" w:rsidP="005911AF" w14:paraId="3B6E63B7" w14:textId="77777777">
            <w:pPr>
              <w:pStyle w:val="Heading2"/>
              <w:jc w:val="left"/>
              <w:rPr>
                <w:rFonts w:asciiTheme="minorHAnsi" w:hAnsiTheme="minorHAnsi" w:cstheme="minorHAnsi"/>
                <w:sz w:val="24"/>
                <w:szCs w:val="24"/>
              </w:rPr>
            </w:pPr>
            <w:r w:rsidRPr="00281CA2">
              <w:rPr>
                <w:rFonts w:asciiTheme="minorHAnsi" w:hAnsiTheme="minorHAnsi" w:cstheme="minorHAnsi"/>
                <w:sz w:val="24"/>
                <w:szCs w:val="24"/>
              </w:rPr>
              <w:t>Estimated annual number of respondents:</w:t>
            </w:r>
          </w:p>
        </w:tc>
        <w:tc>
          <w:tcPr>
            <w:tcW w:w="360" w:type="dxa"/>
          </w:tcPr>
          <w:p w:rsidR="00281CA2" w:rsidRPr="001C1992" w14:paraId="14F43D53" w14:textId="77777777">
            <w:pPr>
              <w:rPr>
                <w:rFonts w:asciiTheme="minorHAnsi" w:hAnsiTheme="minorHAnsi" w:cstheme="minorHAnsi"/>
                <w:szCs w:val="24"/>
              </w:rPr>
            </w:pPr>
          </w:p>
        </w:tc>
        <w:tc>
          <w:tcPr>
            <w:tcW w:w="2700" w:type="dxa"/>
          </w:tcPr>
          <w:p w:rsidR="00281CA2" w:rsidRPr="001C1992" w14:paraId="78E14475" w14:textId="70B367BE">
            <w:pPr>
              <w:jc w:val="right"/>
              <w:rPr>
                <w:rFonts w:asciiTheme="minorHAnsi" w:hAnsiTheme="minorHAnsi" w:cstheme="minorHAnsi"/>
                <w:szCs w:val="24"/>
              </w:rPr>
            </w:pPr>
            <w:r w:rsidRPr="00211226">
              <w:rPr>
                <w:rFonts w:asciiTheme="minorHAnsi" w:hAnsiTheme="minorHAnsi" w:cstheme="minorHAnsi"/>
                <w:szCs w:val="24"/>
              </w:rPr>
              <w:t>2,188,770</w:t>
            </w:r>
          </w:p>
        </w:tc>
      </w:tr>
      <w:tr w14:paraId="4EAF3F38" w14:textId="77777777" w:rsidTr="005911AF">
        <w:tblPrEx>
          <w:tblW w:w="0" w:type="auto"/>
          <w:tblInd w:w="720" w:type="dxa"/>
          <w:tblLayout w:type="fixed"/>
          <w:tblLook w:val="0000"/>
        </w:tblPrEx>
        <w:tc>
          <w:tcPr>
            <w:tcW w:w="4428" w:type="dxa"/>
          </w:tcPr>
          <w:p w:rsidR="00281CA2" w:rsidRPr="00281CA2" w:rsidP="005911AF" w14:paraId="71707E46" w14:textId="77777777">
            <w:pPr>
              <w:pStyle w:val="Heading2"/>
              <w:jc w:val="left"/>
              <w:rPr>
                <w:rFonts w:asciiTheme="minorHAnsi" w:hAnsiTheme="minorHAnsi" w:cstheme="minorHAnsi"/>
                <w:sz w:val="24"/>
                <w:szCs w:val="24"/>
              </w:rPr>
            </w:pPr>
            <w:r w:rsidRPr="00281CA2">
              <w:rPr>
                <w:rFonts w:asciiTheme="minorHAnsi" w:hAnsiTheme="minorHAnsi" w:cstheme="minorHAnsi"/>
                <w:sz w:val="24"/>
                <w:szCs w:val="24"/>
              </w:rPr>
              <w:t>Number of responses per borrower:</w:t>
            </w:r>
          </w:p>
        </w:tc>
        <w:tc>
          <w:tcPr>
            <w:tcW w:w="360" w:type="dxa"/>
          </w:tcPr>
          <w:p w:rsidR="00281CA2" w:rsidRPr="001C1992" w14:paraId="03A93C98" w14:textId="77777777">
            <w:pPr>
              <w:rPr>
                <w:rFonts w:asciiTheme="minorHAnsi" w:hAnsiTheme="minorHAnsi" w:cstheme="minorHAnsi"/>
                <w:szCs w:val="24"/>
              </w:rPr>
            </w:pPr>
            <w:r w:rsidRPr="001C1992">
              <w:rPr>
                <w:rFonts w:asciiTheme="minorHAnsi" w:hAnsiTheme="minorHAnsi" w:cstheme="minorHAnsi"/>
                <w:szCs w:val="24"/>
              </w:rPr>
              <w:t>x</w:t>
            </w:r>
          </w:p>
        </w:tc>
        <w:tc>
          <w:tcPr>
            <w:tcW w:w="2700" w:type="dxa"/>
          </w:tcPr>
          <w:p w:rsidR="00281CA2" w:rsidRPr="001C1992" w14:paraId="0E863BC2" w14:textId="77777777">
            <w:pPr>
              <w:jc w:val="right"/>
              <w:rPr>
                <w:rFonts w:asciiTheme="minorHAnsi" w:hAnsiTheme="minorHAnsi" w:cstheme="minorHAnsi"/>
                <w:szCs w:val="24"/>
              </w:rPr>
            </w:pPr>
            <w:r w:rsidRPr="001C1992">
              <w:rPr>
                <w:rFonts w:asciiTheme="minorHAnsi" w:hAnsiTheme="minorHAnsi" w:cstheme="minorHAnsi"/>
                <w:szCs w:val="24"/>
              </w:rPr>
              <w:t>1</w:t>
            </w:r>
          </w:p>
        </w:tc>
      </w:tr>
      <w:tr w14:paraId="603FF774" w14:textId="77777777" w:rsidTr="005911AF">
        <w:tblPrEx>
          <w:tblW w:w="0" w:type="auto"/>
          <w:tblInd w:w="720" w:type="dxa"/>
          <w:tblLayout w:type="fixed"/>
          <w:tblLook w:val="0000"/>
        </w:tblPrEx>
        <w:tc>
          <w:tcPr>
            <w:tcW w:w="4428" w:type="dxa"/>
          </w:tcPr>
          <w:p w:rsidR="00281CA2" w:rsidRPr="00281CA2" w:rsidP="005911AF" w14:paraId="34191499" w14:textId="77777777">
            <w:pPr>
              <w:pStyle w:val="Heading2"/>
              <w:jc w:val="left"/>
              <w:rPr>
                <w:rFonts w:asciiTheme="minorHAnsi" w:hAnsiTheme="minorHAnsi" w:cstheme="minorHAnsi"/>
                <w:sz w:val="24"/>
                <w:szCs w:val="24"/>
              </w:rPr>
            </w:pPr>
            <w:r w:rsidRPr="00281CA2">
              <w:rPr>
                <w:rFonts w:asciiTheme="minorHAnsi" w:hAnsiTheme="minorHAnsi" w:cstheme="minorHAnsi"/>
                <w:sz w:val="24"/>
                <w:szCs w:val="24"/>
              </w:rPr>
              <w:t>Hours per response:</w:t>
            </w:r>
          </w:p>
        </w:tc>
        <w:tc>
          <w:tcPr>
            <w:tcW w:w="360" w:type="dxa"/>
          </w:tcPr>
          <w:p w:rsidR="00281CA2" w:rsidRPr="001C1992" w14:paraId="4137EF79" w14:textId="77777777">
            <w:pPr>
              <w:rPr>
                <w:rFonts w:asciiTheme="minorHAnsi" w:hAnsiTheme="minorHAnsi" w:cstheme="minorHAnsi"/>
                <w:szCs w:val="24"/>
              </w:rPr>
            </w:pPr>
            <w:r w:rsidRPr="001C1992">
              <w:rPr>
                <w:rFonts w:asciiTheme="minorHAnsi" w:hAnsiTheme="minorHAnsi" w:cstheme="minorHAnsi"/>
                <w:szCs w:val="24"/>
              </w:rPr>
              <w:t>x</w:t>
            </w:r>
          </w:p>
        </w:tc>
        <w:tc>
          <w:tcPr>
            <w:tcW w:w="2700" w:type="dxa"/>
            <w:tcBorders>
              <w:bottom w:val="single" w:sz="4" w:space="0" w:color="auto"/>
            </w:tcBorders>
          </w:tcPr>
          <w:p w:rsidR="00281CA2" w:rsidRPr="001C1992" w14:paraId="19EAD026" w14:textId="0EC7D434">
            <w:pPr>
              <w:jc w:val="right"/>
              <w:rPr>
                <w:rFonts w:asciiTheme="minorHAnsi" w:hAnsiTheme="minorHAnsi" w:cstheme="minorHAnsi"/>
                <w:szCs w:val="24"/>
              </w:rPr>
            </w:pPr>
            <w:r w:rsidRPr="001C1992">
              <w:rPr>
                <w:rFonts w:asciiTheme="minorHAnsi" w:hAnsiTheme="minorHAnsi" w:cstheme="minorHAnsi"/>
                <w:szCs w:val="24"/>
              </w:rPr>
              <w:t xml:space="preserve"> 0.</w:t>
            </w:r>
            <w:r w:rsidR="00FF3E65">
              <w:rPr>
                <w:rFonts w:asciiTheme="minorHAnsi" w:hAnsiTheme="minorHAnsi" w:cstheme="minorHAnsi"/>
                <w:szCs w:val="24"/>
              </w:rPr>
              <w:t>08</w:t>
            </w:r>
            <w:r w:rsidRPr="001C1992">
              <w:rPr>
                <w:rFonts w:asciiTheme="minorHAnsi" w:hAnsiTheme="minorHAnsi" w:cstheme="minorHAnsi"/>
                <w:szCs w:val="24"/>
              </w:rPr>
              <w:t xml:space="preserve"> </w:t>
            </w:r>
          </w:p>
        </w:tc>
      </w:tr>
      <w:tr w14:paraId="3D73EC2E" w14:textId="77777777" w:rsidTr="005911AF">
        <w:tblPrEx>
          <w:tblW w:w="0" w:type="auto"/>
          <w:tblInd w:w="720" w:type="dxa"/>
          <w:tblLayout w:type="fixed"/>
          <w:tblLook w:val="0000"/>
        </w:tblPrEx>
        <w:tc>
          <w:tcPr>
            <w:tcW w:w="4428" w:type="dxa"/>
          </w:tcPr>
          <w:p w:rsidR="00281CA2" w:rsidRPr="00281CA2" w:rsidP="00281CA2" w14:paraId="1104F915" w14:textId="77777777">
            <w:pPr>
              <w:pStyle w:val="Heading2"/>
              <w:rPr>
                <w:rFonts w:asciiTheme="minorHAnsi" w:hAnsiTheme="minorHAnsi" w:cstheme="minorHAnsi"/>
                <w:sz w:val="24"/>
                <w:szCs w:val="24"/>
              </w:rPr>
            </w:pPr>
          </w:p>
        </w:tc>
        <w:tc>
          <w:tcPr>
            <w:tcW w:w="360" w:type="dxa"/>
          </w:tcPr>
          <w:p w:rsidR="00281CA2" w:rsidRPr="001C1992" w14:paraId="06D4493D" w14:textId="77777777">
            <w:pPr>
              <w:rPr>
                <w:rFonts w:asciiTheme="minorHAnsi" w:hAnsiTheme="minorHAnsi" w:cstheme="minorHAnsi"/>
                <w:szCs w:val="24"/>
              </w:rPr>
            </w:pPr>
          </w:p>
        </w:tc>
        <w:tc>
          <w:tcPr>
            <w:tcW w:w="2700" w:type="dxa"/>
            <w:tcBorders>
              <w:top w:val="single" w:sz="4" w:space="0" w:color="auto"/>
            </w:tcBorders>
          </w:tcPr>
          <w:p w:rsidR="00281CA2" w:rsidRPr="001C1992" w14:paraId="190A5BE4" w14:textId="337B883E">
            <w:pPr>
              <w:jc w:val="right"/>
              <w:rPr>
                <w:rFonts w:asciiTheme="minorHAnsi" w:hAnsiTheme="minorHAnsi" w:cstheme="minorHAnsi"/>
                <w:szCs w:val="24"/>
              </w:rPr>
            </w:pPr>
            <w:r w:rsidRPr="00211226">
              <w:rPr>
                <w:rFonts w:asciiTheme="minorHAnsi" w:hAnsiTheme="minorHAnsi" w:cstheme="minorHAnsi"/>
                <w:szCs w:val="24"/>
              </w:rPr>
              <w:t>175,102</w:t>
            </w:r>
            <w:r>
              <w:rPr>
                <w:rFonts w:asciiTheme="minorHAnsi" w:hAnsiTheme="minorHAnsi" w:cstheme="minorHAnsi"/>
                <w:szCs w:val="24"/>
              </w:rPr>
              <w:t xml:space="preserve"> </w:t>
            </w:r>
            <w:r w:rsidRPr="001C1992">
              <w:rPr>
                <w:rFonts w:asciiTheme="minorHAnsi" w:hAnsiTheme="minorHAnsi" w:cstheme="minorHAnsi"/>
                <w:szCs w:val="24"/>
              </w:rPr>
              <w:t>hours</w:t>
            </w:r>
          </w:p>
        </w:tc>
      </w:tr>
      <w:tr w14:paraId="55B6AFFC" w14:textId="77777777">
        <w:tblPrEx>
          <w:tblW w:w="0" w:type="auto"/>
          <w:tblInd w:w="720" w:type="dxa"/>
          <w:tblLayout w:type="fixed"/>
          <w:tblLook w:val="0000"/>
        </w:tblPrEx>
        <w:tc>
          <w:tcPr>
            <w:tcW w:w="4428" w:type="dxa"/>
          </w:tcPr>
          <w:p w:rsidR="008B71F7" w:rsidRPr="001C1992" w14:paraId="0B6D6775" w14:textId="30FD178C">
            <w:pPr>
              <w:pStyle w:val="Heading2"/>
              <w:rPr>
                <w:rFonts w:asciiTheme="minorHAnsi" w:hAnsiTheme="minorHAnsi" w:cstheme="minorHAnsi"/>
                <w:sz w:val="24"/>
                <w:szCs w:val="24"/>
              </w:rPr>
            </w:pPr>
            <w:r>
              <w:rPr>
                <w:rFonts w:asciiTheme="minorHAnsi" w:hAnsiTheme="minorHAnsi" w:cstheme="minorHAnsi"/>
                <w:sz w:val="24"/>
                <w:szCs w:val="24"/>
              </w:rPr>
              <w:t>SERV Forb</w:t>
            </w:r>
          </w:p>
        </w:tc>
        <w:tc>
          <w:tcPr>
            <w:tcW w:w="360" w:type="dxa"/>
          </w:tcPr>
          <w:p w:rsidR="008B71F7" w:rsidRPr="001C1992" w14:paraId="7F26B822" w14:textId="77777777">
            <w:pPr>
              <w:rPr>
                <w:rFonts w:asciiTheme="minorHAnsi" w:hAnsiTheme="minorHAnsi" w:cstheme="minorHAnsi"/>
                <w:szCs w:val="24"/>
              </w:rPr>
            </w:pPr>
          </w:p>
        </w:tc>
        <w:tc>
          <w:tcPr>
            <w:tcW w:w="2700" w:type="dxa"/>
          </w:tcPr>
          <w:p w:rsidR="008B71F7" w:rsidRPr="001C1992" w14:paraId="0B72FF3E" w14:textId="77777777">
            <w:pPr>
              <w:jc w:val="right"/>
              <w:rPr>
                <w:rFonts w:asciiTheme="minorHAnsi" w:hAnsiTheme="minorHAnsi" w:cstheme="minorHAnsi"/>
                <w:szCs w:val="24"/>
              </w:rPr>
            </w:pPr>
          </w:p>
        </w:tc>
      </w:tr>
      <w:tr w14:paraId="62DD017F" w14:textId="77777777">
        <w:tblPrEx>
          <w:tblW w:w="0" w:type="auto"/>
          <w:tblInd w:w="720" w:type="dxa"/>
          <w:tblLayout w:type="fixed"/>
          <w:tblLook w:val="0000"/>
        </w:tblPrEx>
        <w:tc>
          <w:tcPr>
            <w:tcW w:w="4428" w:type="dxa"/>
          </w:tcPr>
          <w:p w:rsidR="008B71F7" w:rsidRPr="001C1992" w14:paraId="5C8A34CE" w14:textId="77777777">
            <w:pPr>
              <w:rPr>
                <w:rFonts w:asciiTheme="minorHAnsi" w:hAnsiTheme="minorHAnsi" w:cstheme="minorHAnsi"/>
                <w:szCs w:val="24"/>
              </w:rPr>
            </w:pPr>
            <w:r w:rsidRPr="001C1992">
              <w:rPr>
                <w:rFonts w:asciiTheme="minorHAnsi" w:hAnsiTheme="minorHAnsi" w:cstheme="minorHAnsi"/>
                <w:szCs w:val="24"/>
              </w:rPr>
              <w:t>Estimated annual number of respondents:</w:t>
            </w:r>
          </w:p>
        </w:tc>
        <w:tc>
          <w:tcPr>
            <w:tcW w:w="360" w:type="dxa"/>
          </w:tcPr>
          <w:p w:rsidR="008B71F7" w:rsidRPr="001C1992" w14:paraId="3D18B002" w14:textId="77777777">
            <w:pPr>
              <w:rPr>
                <w:rFonts w:asciiTheme="minorHAnsi" w:hAnsiTheme="minorHAnsi" w:cstheme="minorHAnsi"/>
                <w:szCs w:val="24"/>
              </w:rPr>
            </w:pPr>
          </w:p>
        </w:tc>
        <w:tc>
          <w:tcPr>
            <w:tcW w:w="2700" w:type="dxa"/>
          </w:tcPr>
          <w:p w:rsidR="008B71F7" w:rsidRPr="001C1992" w14:paraId="77250926" w14:textId="77777777">
            <w:pPr>
              <w:jc w:val="right"/>
              <w:rPr>
                <w:rFonts w:asciiTheme="minorHAnsi" w:hAnsiTheme="minorHAnsi" w:cstheme="minorHAnsi"/>
                <w:szCs w:val="24"/>
              </w:rPr>
            </w:pPr>
            <w:r w:rsidRPr="001C1992">
              <w:rPr>
                <w:rFonts w:asciiTheme="minorHAnsi" w:hAnsiTheme="minorHAnsi" w:cstheme="minorHAnsi"/>
                <w:szCs w:val="24"/>
              </w:rPr>
              <w:t>19,689</w:t>
            </w:r>
          </w:p>
        </w:tc>
      </w:tr>
      <w:tr w14:paraId="729DDD31" w14:textId="77777777">
        <w:tblPrEx>
          <w:tblW w:w="0" w:type="auto"/>
          <w:tblInd w:w="720" w:type="dxa"/>
          <w:tblLayout w:type="fixed"/>
          <w:tblLook w:val="0000"/>
        </w:tblPrEx>
        <w:tc>
          <w:tcPr>
            <w:tcW w:w="4428" w:type="dxa"/>
          </w:tcPr>
          <w:p w:rsidR="008B71F7" w:rsidRPr="001C1992" w14:paraId="538F475E" w14:textId="77777777">
            <w:pPr>
              <w:rPr>
                <w:rFonts w:asciiTheme="minorHAnsi" w:hAnsiTheme="minorHAnsi" w:cstheme="minorHAnsi"/>
                <w:szCs w:val="24"/>
              </w:rPr>
            </w:pPr>
            <w:r w:rsidRPr="001C1992">
              <w:rPr>
                <w:rFonts w:asciiTheme="minorHAnsi" w:hAnsiTheme="minorHAnsi" w:cstheme="minorHAnsi"/>
                <w:szCs w:val="24"/>
              </w:rPr>
              <w:t>Number of responses per borrower:</w:t>
            </w:r>
          </w:p>
        </w:tc>
        <w:tc>
          <w:tcPr>
            <w:tcW w:w="360" w:type="dxa"/>
          </w:tcPr>
          <w:p w:rsidR="008B71F7" w:rsidRPr="001C1992" w14:paraId="3AB1C002" w14:textId="77777777">
            <w:pPr>
              <w:rPr>
                <w:rFonts w:asciiTheme="minorHAnsi" w:hAnsiTheme="minorHAnsi" w:cstheme="minorHAnsi"/>
                <w:szCs w:val="24"/>
              </w:rPr>
            </w:pPr>
            <w:r w:rsidRPr="001C1992">
              <w:rPr>
                <w:rFonts w:asciiTheme="minorHAnsi" w:hAnsiTheme="minorHAnsi" w:cstheme="minorHAnsi"/>
                <w:szCs w:val="24"/>
              </w:rPr>
              <w:t>x</w:t>
            </w:r>
          </w:p>
        </w:tc>
        <w:tc>
          <w:tcPr>
            <w:tcW w:w="2700" w:type="dxa"/>
          </w:tcPr>
          <w:p w:rsidR="008B71F7" w:rsidRPr="001C1992" w14:paraId="501FE4EB" w14:textId="77777777">
            <w:pPr>
              <w:jc w:val="right"/>
              <w:rPr>
                <w:rFonts w:asciiTheme="minorHAnsi" w:hAnsiTheme="minorHAnsi" w:cstheme="minorHAnsi"/>
                <w:szCs w:val="24"/>
              </w:rPr>
            </w:pPr>
            <w:r w:rsidRPr="001C1992">
              <w:rPr>
                <w:rFonts w:asciiTheme="minorHAnsi" w:hAnsiTheme="minorHAnsi" w:cstheme="minorHAnsi"/>
                <w:szCs w:val="24"/>
              </w:rPr>
              <w:t>1</w:t>
            </w:r>
          </w:p>
        </w:tc>
      </w:tr>
      <w:tr w14:paraId="35418F31" w14:textId="77777777">
        <w:tblPrEx>
          <w:tblW w:w="0" w:type="auto"/>
          <w:tblInd w:w="720" w:type="dxa"/>
          <w:tblLayout w:type="fixed"/>
          <w:tblLook w:val="0000"/>
        </w:tblPrEx>
        <w:tc>
          <w:tcPr>
            <w:tcW w:w="4428" w:type="dxa"/>
          </w:tcPr>
          <w:p w:rsidR="008B71F7" w:rsidRPr="001C1992" w14:paraId="2D3B8821" w14:textId="77777777">
            <w:pPr>
              <w:rPr>
                <w:rFonts w:asciiTheme="minorHAnsi" w:hAnsiTheme="minorHAnsi" w:cstheme="minorHAnsi"/>
                <w:szCs w:val="24"/>
              </w:rPr>
            </w:pPr>
            <w:r w:rsidRPr="001C1992">
              <w:rPr>
                <w:rFonts w:asciiTheme="minorHAnsi" w:hAnsiTheme="minorHAnsi" w:cstheme="minorHAnsi"/>
                <w:szCs w:val="24"/>
              </w:rPr>
              <w:t>Hours per response:</w:t>
            </w:r>
          </w:p>
        </w:tc>
        <w:tc>
          <w:tcPr>
            <w:tcW w:w="360" w:type="dxa"/>
          </w:tcPr>
          <w:p w:rsidR="008B71F7" w:rsidRPr="001C1992" w14:paraId="5FE2200B" w14:textId="77777777">
            <w:pPr>
              <w:rPr>
                <w:rFonts w:asciiTheme="minorHAnsi" w:hAnsiTheme="minorHAnsi" w:cstheme="minorHAnsi"/>
                <w:szCs w:val="24"/>
              </w:rPr>
            </w:pPr>
            <w:r w:rsidRPr="001C1992">
              <w:rPr>
                <w:rFonts w:asciiTheme="minorHAnsi" w:hAnsiTheme="minorHAnsi" w:cstheme="minorHAnsi"/>
                <w:szCs w:val="24"/>
              </w:rPr>
              <w:t>x</w:t>
            </w:r>
          </w:p>
        </w:tc>
        <w:tc>
          <w:tcPr>
            <w:tcW w:w="2700" w:type="dxa"/>
            <w:tcBorders>
              <w:bottom w:val="single" w:sz="4" w:space="0" w:color="auto"/>
            </w:tcBorders>
          </w:tcPr>
          <w:p w:rsidR="008B71F7" w:rsidRPr="001C1992" w14:paraId="00F43FD5" w14:textId="77777777">
            <w:pPr>
              <w:jc w:val="right"/>
              <w:rPr>
                <w:rFonts w:asciiTheme="minorHAnsi" w:hAnsiTheme="minorHAnsi" w:cstheme="minorHAnsi"/>
                <w:szCs w:val="24"/>
              </w:rPr>
            </w:pPr>
            <w:r w:rsidRPr="001C1992">
              <w:rPr>
                <w:rFonts w:asciiTheme="minorHAnsi" w:hAnsiTheme="minorHAnsi" w:cstheme="minorHAnsi"/>
                <w:szCs w:val="24"/>
              </w:rPr>
              <w:t xml:space="preserve"> 0.25 </w:t>
            </w:r>
          </w:p>
        </w:tc>
      </w:tr>
      <w:tr w14:paraId="61FCAD59" w14:textId="77777777">
        <w:tblPrEx>
          <w:tblW w:w="0" w:type="auto"/>
          <w:tblInd w:w="720" w:type="dxa"/>
          <w:tblLayout w:type="fixed"/>
          <w:tblLook w:val="0000"/>
        </w:tblPrEx>
        <w:tc>
          <w:tcPr>
            <w:tcW w:w="4428" w:type="dxa"/>
          </w:tcPr>
          <w:p w:rsidR="008B71F7" w:rsidRPr="001C1992" w14:paraId="2F1F2937" w14:textId="77777777">
            <w:pPr>
              <w:rPr>
                <w:rFonts w:asciiTheme="minorHAnsi" w:hAnsiTheme="minorHAnsi" w:cstheme="minorHAnsi"/>
                <w:szCs w:val="24"/>
              </w:rPr>
            </w:pPr>
          </w:p>
        </w:tc>
        <w:tc>
          <w:tcPr>
            <w:tcW w:w="360" w:type="dxa"/>
          </w:tcPr>
          <w:p w:rsidR="008B71F7" w:rsidRPr="001C1992" w14:paraId="597CDCDD" w14:textId="77777777">
            <w:pPr>
              <w:rPr>
                <w:rFonts w:asciiTheme="minorHAnsi" w:hAnsiTheme="minorHAnsi" w:cstheme="minorHAnsi"/>
                <w:szCs w:val="24"/>
              </w:rPr>
            </w:pPr>
          </w:p>
        </w:tc>
        <w:tc>
          <w:tcPr>
            <w:tcW w:w="2700" w:type="dxa"/>
            <w:tcBorders>
              <w:top w:val="single" w:sz="4" w:space="0" w:color="auto"/>
            </w:tcBorders>
          </w:tcPr>
          <w:p w:rsidR="008B71F7" w:rsidRPr="001C1992" w14:paraId="2631DD1F" w14:textId="77777777">
            <w:pPr>
              <w:jc w:val="right"/>
              <w:rPr>
                <w:rFonts w:asciiTheme="minorHAnsi" w:hAnsiTheme="minorHAnsi" w:cstheme="minorHAnsi"/>
                <w:szCs w:val="24"/>
              </w:rPr>
            </w:pPr>
            <w:r w:rsidRPr="001C1992">
              <w:rPr>
                <w:rFonts w:asciiTheme="minorHAnsi" w:hAnsiTheme="minorHAnsi" w:cstheme="minorHAnsi"/>
                <w:szCs w:val="24"/>
              </w:rPr>
              <w:t>4,922 hours</w:t>
            </w:r>
          </w:p>
        </w:tc>
      </w:tr>
      <w:tr w14:paraId="1629CB32" w14:textId="77777777">
        <w:tblPrEx>
          <w:tblW w:w="0" w:type="auto"/>
          <w:tblInd w:w="720" w:type="dxa"/>
          <w:tblLayout w:type="fixed"/>
          <w:tblLook w:val="0000"/>
        </w:tblPrEx>
        <w:tc>
          <w:tcPr>
            <w:tcW w:w="4428" w:type="dxa"/>
          </w:tcPr>
          <w:p w:rsidR="008B71F7" w:rsidRPr="001C1992" w14:paraId="35932D4A" w14:textId="787D18FE">
            <w:pPr>
              <w:pStyle w:val="Heading2"/>
              <w:rPr>
                <w:rFonts w:asciiTheme="minorHAnsi" w:hAnsiTheme="minorHAnsi" w:cstheme="minorHAnsi"/>
                <w:sz w:val="24"/>
                <w:szCs w:val="24"/>
              </w:rPr>
            </w:pPr>
            <w:r>
              <w:rPr>
                <w:rFonts w:asciiTheme="minorHAnsi" w:hAnsiTheme="minorHAnsi" w:cstheme="minorHAnsi"/>
                <w:sz w:val="24"/>
                <w:szCs w:val="24"/>
              </w:rPr>
              <w:t>SLDB Forb</w:t>
            </w:r>
          </w:p>
        </w:tc>
        <w:tc>
          <w:tcPr>
            <w:tcW w:w="360" w:type="dxa"/>
          </w:tcPr>
          <w:p w:rsidR="008B71F7" w:rsidRPr="001C1992" w14:paraId="6A3D3052" w14:textId="77777777">
            <w:pPr>
              <w:rPr>
                <w:rFonts w:asciiTheme="minorHAnsi" w:hAnsiTheme="minorHAnsi" w:cstheme="minorHAnsi"/>
                <w:szCs w:val="24"/>
              </w:rPr>
            </w:pPr>
          </w:p>
        </w:tc>
        <w:tc>
          <w:tcPr>
            <w:tcW w:w="2700" w:type="dxa"/>
          </w:tcPr>
          <w:p w:rsidR="008B71F7" w:rsidRPr="001C1992" w14:paraId="48739BB8" w14:textId="77777777">
            <w:pPr>
              <w:jc w:val="right"/>
              <w:rPr>
                <w:rFonts w:asciiTheme="minorHAnsi" w:hAnsiTheme="minorHAnsi" w:cstheme="minorHAnsi"/>
                <w:szCs w:val="24"/>
              </w:rPr>
            </w:pPr>
          </w:p>
        </w:tc>
      </w:tr>
      <w:tr w14:paraId="145816F4" w14:textId="77777777">
        <w:tblPrEx>
          <w:tblW w:w="0" w:type="auto"/>
          <w:tblInd w:w="720" w:type="dxa"/>
          <w:tblLayout w:type="fixed"/>
          <w:tblLook w:val="0000"/>
        </w:tblPrEx>
        <w:tc>
          <w:tcPr>
            <w:tcW w:w="4428" w:type="dxa"/>
          </w:tcPr>
          <w:p w:rsidR="008B71F7" w:rsidRPr="001C1992" w14:paraId="5C64FF79" w14:textId="77777777">
            <w:pPr>
              <w:rPr>
                <w:rFonts w:asciiTheme="minorHAnsi" w:hAnsiTheme="minorHAnsi" w:cstheme="minorHAnsi"/>
                <w:szCs w:val="24"/>
              </w:rPr>
            </w:pPr>
            <w:r w:rsidRPr="001C1992">
              <w:rPr>
                <w:rFonts w:asciiTheme="minorHAnsi" w:hAnsiTheme="minorHAnsi" w:cstheme="minorHAnsi"/>
                <w:szCs w:val="24"/>
              </w:rPr>
              <w:t>Estimated annual number of respondents:</w:t>
            </w:r>
          </w:p>
        </w:tc>
        <w:tc>
          <w:tcPr>
            <w:tcW w:w="360" w:type="dxa"/>
          </w:tcPr>
          <w:p w:rsidR="008B71F7" w:rsidRPr="001C1992" w14:paraId="29A9BBA5" w14:textId="77777777">
            <w:pPr>
              <w:rPr>
                <w:rFonts w:asciiTheme="minorHAnsi" w:hAnsiTheme="minorHAnsi" w:cstheme="minorHAnsi"/>
                <w:szCs w:val="24"/>
              </w:rPr>
            </w:pPr>
          </w:p>
        </w:tc>
        <w:tc>
          <w:tcPr>
            <w:tcW w:w="2700" w:type="dxa"/>
          </w:tcPr>
          <w:p w:rsidR="008B71F7" w:rsidRPr="001C1992" w14:paraId="6F9077FD" w14:textId="77777777">
            <w:pPr>
              <w:jc w:val="right"/>
              <w:rPr>
                <w:rFonts w:asciiTheme="minorHAnsi" w:hAnsiTheme="minorHAnsi" w:cstheme="minorHAnsi"/>
                <w:szCs w:val="24"/>
              </w:rPr>
            </w:pPr>
            <w:r w:rsidRPr="001C1992">
              <w:rPr>
                <w:rFonts w:asciiTheme="minorHAnsi" w:hAnsiTheme="minorHAnsi" w:cstheme="minorHAnsi"/>
                <w:szCs w:val="24"/>
              </w:rPr>
              <w:t>7,353</w:t>
            </w:r>
          </w:p>
        </w:tc>
      </w:tr>
      <w:tr w14:paraId="3F32E60A" w14:textId="77777777">
        <w:tblPrEx>
          <w:tblW w:w="0" w:type="auto"/>
          <w:tblInd w:w="720" w:type="dxa"/>
          <w:tblLayout w:type="fixed"/>
          <w:tblLook w:val="0000"/>
        </w:tblPrEx>
        <w:tc>
          <w:tcPr>
            <w:tcW w:w="4428" w:type="dxa"/>
          </w:tcPr>
          <w:p w:rsidR="008B71F7" w:rsidRPr="001C1992" w14:paraId="127553CD" w14:textId="77777777">
            <w:pPr>
              <w:rPr>
                <w:rFonts w:asciiTheme="minorHAnsi" w:hAnsiTheme="minorHAnsi" w:cstheme="minorHAnsi"/>
                <w:szCs w:val="24"/>
              </w:rPr>
            </w:pPr>
            <w:r w:rsidRPr="001C1992">
              <w:rPr>
                <w:rFonts w:asciiTheme="minorHAnsi" w:hAnsiTheme="minorHAnsi" w:cstheme="minorHAnsi"/>
                <w:szCs w:val="24"/>
              </w:rPr>
              <w:t>Number of responses per borrower:</w:t>
            </w:r>
          </w:p>
        </w:tc>
        <w:tc>
          <w:tcPr>
            <w:tcW w:w="360" w:type="dxa"/>
          </w:tcPr>
          <w:p w:rsidR="008B71F7" w:rsidRPr="001C1992" w14:paraId="3A1CAC0D" w14:textId="77777777">
            <w:pPr>
              <w:rPr>
                <w:rFonts w:asciiTheme="minorHAnsi" w:hAnsiTheme="minorHAnsi" w:cstheme="minorHAnsi"/>
                <w:szCs w:val="24"/>
              </w:rPr>
            </w:pPr>
            <w:r w:rsidRPr="001C1992">
              <w:rPr>
                <w:rFonts w:asciiTheme="minorHAnsi" w:hAnsiTheme="minorHAnsi" w:cstheme="minorHAnsi"/>
                <w:szCs w:val="24"/>
              </w:rPr>
              <w:t>x</w:t>
            </w:r>
          </w:p>
        </w:tc>
        <w:tc>
          <w:tcPr>
            <w:tcW w:w="2700" w:type="dxa"/>
          </w:tcPr>
          <w:p w:rsidR="008B71F7" w:rsidRPr="001C1992" w14:paraId="79013A9F" w14:textId="77777777">
            <w:pPr>
              <w:jc w:val="right"/>
              <w:rPr>
                <w:rFonts w:asciiTheme="minorHAnsi" w:hAnsiTheme="minorHAnsi" w:cstheme="minorHAnsi"/>
                <w:szCs w:val="24"/>
              </w:rPr>
            </w:pPr>
            <w:r w:rsidRPr="001C1992">
              <w:rPr>
                <w:rFonts w:asciiTheme="minorHAnsi" w:hAnsiTheme="minorHAnsi" w:cstheme="minorHAnsi"/>
                <w:szCs w:val="24"/>
              </w:rPr>
              <w:t>1</w:t>
            </w:r>
          </w:p>
        </w:tc>
      </w:tr>
      <w:tr w14:paraId="1C6945B9" w14:textId="77777777">
        <w:tblPrEx>
          <w:tblW w:w="0" w:type="auto"/>
          <w:tblInd w:w="720" w:type="dxa"/>
          <w:tblLayout w:type="fixed"/>
          <w:tblLook w:val="0000"/>
        </w:tblPrEx>
        <w:tc>
          <w:tcPr>
            <w:tcW w:w="4428" w:type="dxa"/>
          </w:tcPr>
          <w:p w:rsidR="008B71F7" w:rsidRPr="001C1992" w14:paraId="1EAFE646" w14:textId="77777777">
            <w:pPr>
              <w:rPr>
                <w:rFonts w:asciiTheme="minorHAnsi" w:hAnsiTheme="minorHAnsi" w:cstheme="minorHAnsi"/>
                <w:szCs w:val="24"/>
              </w:rPr>
            </w:pPr>
            <w:r w:rsidRPr="001C1992">
              <w:rPr>
                <w:rFonts w:asciiTheme="minorHAnsi" w:hAnsiTheme="minorHAnsi" w:cstheme="minorHAnsi"/>
                <w:szCs w:val="24"/>
              </w:rPr>
              <w:t>Hours per response:</w:t>
            </w:r>
          </w:p>
        </w:tc>
        <w:tc>
          <w:tcPr>
            <w:tcW w:w="360" w:type="dxa"/>
          </w:tcPr>
          <w:p w:rsidR="008B71F7" w:rsidRPr="001C1992" w14:paraId="5D21E0B2" w14:textId="77777777">
            <w:pPr>
              <w:rPr>
                <w:rFonts w:asciiTheme="minorHAnsi" w:hAnsiTheme="minorHAnsi" w:cstheme="minorHAnsi"/>
                <w:szCs w:val="24"/>
              </w:rPr>
            </w:pPr>
            <w:r w:rsidRPr="001C1992">
              <w:rPr>
                <w:rFonts w:asciiTheme="minorHAnsi" w:hAnsiTheme="minorHAnsi" w:cstheme="minorHAnsi"/>
                <w:szCs w:val="24"/>
              </w:rPr>
              <w:t>x</w:t>
            </w:r>
          </w:p>
        </w:tc>
        <w:tc>
          <w:tcPr>
            <w:tcW w:w="2700" w:type="dxa"/>
            <w:tcBorders>
              <w:bottom w:val="single" w:sz="4" w:space="0" w:color="auto"/>
            </w:tcBorders>
          </w:tcPr>
          <w:p w:rsidR="008B71F7" w:rsidRPr="001C1992" w14:paraId="77B601A0" w14:textId="77777777">
            <w:pPr>
              <w:jc w:val="right"/>
              <w:rPr>
                <w:rFonts w:asciiTheme="minorHAnsi" w:hAnsiTheme="minorHAnsi" w:cstheme="minorHAnsi"/>
                <w:szCs w:val="24"/>
              </w:rPr>
            </w:pPr>
            <w:r w:rsidRPr="001C1992">
              <w:rPr>
                <w:rFonts w:asciiTheme="minorHAnsi" w:hAnsiTheme="minorHAnsi" w:cstheme="minorHAnsi"/>
                <w:szCs w:val="24"/>
              </w:rPr>
              <w:t xml:space="preserve"> 0.20</w:t>
            </w:r>
          </w:p>
        </w:tc>
      </w:tr>
      <w:tr w14:paraId="1351B2A4" w14:textId="77777777">
        <w:tblPrEx>
          <w:tblW w:w="0" w:type="auto"/>
          <w:tblInd w:w="720" w:type="dxa"/>
          <w:tblLayout w:type="fixed"/>
          <w:tblLook w:val="0000"/>
        </w:tblPrEx>
        <w:tc>
          <w:tcPr>
            <w:tcW w:w="4428" w:type="dxa"/>
          </w:tcPr>
          <w:p w:rsidR="008B71F7" w:rsidRPr="001C1992" w14:paraId="0DA48195" w14:textId="77777777">
            <w:pPr>
              <w:rPr>
                <w:rFonts w:asciiTheme="minorHAnsi" w:hAnsiTheme="minorHAnsi" w:cstheme="minorHAnsi"/>
                <w:szCs w:val="24"/>
              </w:rPr>
            </w:pPr>
          </w:p>
        </w:tc>
        <w:tc>
          <w:tcPr>
            <w:tcW w:w="360" w:type="dxa"/>
          </w:tcPr>
          <w:p w:rsidR="008B71F7" w:rsidRPr="001C1992" w14:paraId="7B0BED85" w14:textId="77777777">
            <w:pPr>
              <w:rPr>
                <w:rFonts w:asciiTheme="minorHAnsi" w:hAnsiTheme="minorHAnsi" w:cstheme="minorHAnsi"/>
                <w:szCs w:val="24"/>
              </w:rPr>
            </w:pPr>
          </w:p>
        </w:tc>
        <w:tc>
          <w:tcPr>
            <w:tcW w:w="2700" w:type="dxa"/>
            <w:tcBorders>
              <w:top w:val="single" w:sz="4" w:space="0" w:color="auto"/>
            </w:tcBorders>
          </w:tcPr>
          <w:p w:rsidR="008B71F7" w:rsidRPr="001C1992" w14:paraId="13A3F098" w14:textId="77777777">
            <w:pPr>
              <w:jc w:val="right"/>
              <w:rPr>
                <w:rFonts w:asciiTheme="minorHAnsi" w:hAnsiTheme="minorHAnsi" w:cstheme="minorHAnsi"/>
                <w:szCs w:val="24"/>
              </w:rPr>
            </w:pPr>
            <w:r w:rsidRPr="001C1992">
              <w:rPr>
                <w:rFonts w:asciiTheme="minorHAnsi" w:hAnsiTheme="minorHAnsi" w:cstheme="minorHAnsi"/>
                <w:szCs w:val="24"/>
              </w:rPr>
              <w:t>1,471 hours</w:t>
            </w:r>
          </w:p>
        </w:tc>
      </w:tr>
    </w:tbl>
    <w:p w:rsidR="008B71F7" w:rsidRPr="001C1992" w:rsidP="008B71F7" w14:paraId="403EF2A1" w14:textId="77777777">
      <w:pPr>
        <w:tabs>
          <w:tab w:val="left" w:pos="-720"/>
        </w:tabs>
        <w:suppressAutoHyphens/>
        <w:ind w:left="700"/>
        <w:rPr>
          <w:rFonts w:asciiTheme="minorHAnsi" w:hAnsiTheme="minorHAnsi" w:cstheme="minorHAnsi"/>
          <w:szCs w:val="24"/>
        </w:rPr>
      </w:pPr>
    </w:p>
    <w:p w:rsidR="008B71F7" w:rsidRPr="001C1992" w:rsidP="008B71F7" w14:paraId="49EED50B" w14:textId="77777777">
      <w:pPr>
        <w:tabs>
          <w:tab w:val="left" w:pos="-720"/>
        </w:tabs>
        <w:suppressAutoHyphens/>
        <w:ind w:left="700"/>
        <w:rPr>
          <w:rFonts w:asciiTheme="minorHAnsi" w:hAnsiTheme="minorHAnsi" w:cstheme="minorHAnsi"/>
          <w:szCs w:val="24"/>
        </w:rPr>
      </w:pPr>
      <w:r w:rsidRPr="001C1992">
        <w:rPr>
          <w:rFonts w:asciiTheme="minorHAnsi" w:hAnsiTheme="minorHAnsi" w:cstheme="minorHAnsi"/>
          <w:szCs w:val="24"/>
        </w:rPr>
        <w:t>There are no annual costs to respondents associated with operating or maintaining systems or purchasing services.</w:t>
      </w:r>
    </w:p>
    <w:p w:rsidR="008B71F7" w:rsidP="00756FD3" w14:paraId="29F6AD94" w14:textId="77777777">
      <w:pPr>
        <w:pStyle w:val="Caption"/>
        <w:jc w:val="center"/>
        <w:rPr>
          <w:rFonts w:ascii="Times New Roman" w:hAnsi="Times New Roman"/>
          <w:color w:val="000000" w:themeColor="text1"/>
          <w:sz w:val="24"/>
          <w:szCs w:val="24"/>
        </w:rPr>
      </w:pPr>
    </w:p>
    <w:p w:rsidR="00ED7195" w:rsidP="00756FD3" w14:paraId="64280E96" w14:textId="12ADA098">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8815" w:type="dxa"/>
        <w:tblLayout w:type="fixed"/>
        <w:tblLook w:val="0020"/>
      </w:tblPr>
      <w:tblGrid>
        <w:gridCol w:w="1345"/>
        <w:gridCol w:w="1275"/>
        <w:gridCol w:w="1245"/>
        <w:gridCol w:w="1170"/>
        <w:gridCol w:w="1080"/>
        <w:gridCol w:w="1350"/>
        <w:gridCol w:w="1350"/>
      </w:tblGrid>
      <w:tr w14:paraId="30194A75" w14:textId="77777777" w:rsidTr="00F62F18">
        <w:tblPrEx>
          <w:tblW w:w="8815" w:type="dxa"/>
          <w:tblLayout w:type="fixed"/>
          <w:tblLook w:val="0020"/>
        </w:tblPrEx>
        <w:trPr>
          <w:tblHeader/>
        </w:trPr>
        <w:tc>
          <w:tcPr>
            <w:tcW w:w="1345" w:type="dxa"/>
          </w:tcPr>
          <w:p w:rsidR="009C37AF" w:rsidRPr="007F6104" w:rsidP="00F62F18" w14:paraId="5459AFE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9C37AF" w:rsidRPr="007F6104" w:rsidP="00F62F18"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245" w:type="dxa"/>
          </w:tcPr>
          <w:p w:rsidR="009C37AF" w:rsidRPr="007F6104" w:rsidP="00F62F18"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170" w:type="dxa"/>
          </w:tcPr>
          <w:p w:rsidR="009C37AF" w:rsidRPr="007F6104" w:rsidP="00F62F18"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1080" w:type="dxa"/>
          </w:tcPr>
          <w:p w:rsidR="009C37AF" w:rsidRPr="007F6104" w:rsidP="00F62F18" w14:paraId="41E0E3BB"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350" w:type="dxa"/>
          </w:tcPr>
          <w:p w:rsidR="009C37AF" w:rsidRPr="007F6104" w:rsidP="00F62F18" w14:paraId="2D03649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9C37AF" w:rsidRPr="007F6104" w:rsidP="00F62F18" w14:paraId="31A8B44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3FF450F7" w14:textId="77777777" w:rsidTr="00F62F18">
        <w:tblPrEx>
          <w:tblW w:w="8815" w:type="dxa"/>
          <w:tblLayout w:type="fixed"/>
          <w:tblLook w:val="0020"/>
        </w:tblPrEx>
        <w:tc>
          <w:tcPr>
            <w:tcW w:w="1345" w:type="dxa"/>
          </w:tcPr>
          <w:p w:rsidR="004A2C8A" w:rsidP="006B3EA6" w14:paraId="6B39D28F" w14:textId="6AEDF0CC">
            <w:pPr>
              <w:rPr>
                <w:rFonts w:asciiTheme="minorHAnsi" w:hAnsiTheme="minorHAnsi" w:cstheme="minorHAnsi"/>
                <w:szCs w:val="24"/>
              </w:rPr>
            </w:pPr>
            <w:r>
              <w:rPr>
                <w:rFonts w:asciiTheme="minorHAnsi" w:hAnsiTheme="minorHAnsi" w:cstheme="minorHAnsi"/>
                <w:szCs w:val="24"/>
              </w:rPr>
              <w:t>Individual (</w:t>
            </w:r>
            <w:r w:rsidR="004B7C15">
              <w:rPr>
                <w:rFonts w:asciiTheme="minorHAnsi" w:hAnsiTheme="minorHAnsi" w:cstheme="minorHAnsi"/>
                <w:szCs w:val="24"/>
              </w:rPr>
              <w:t>GEN Forb</w:t>
            </w:r>
            <w:r>
              <w:rPr>
                <w:rFonts w:asciiTheme="minorHAnsi" w:hAnsiTheme="minorHAnsi" w:cstheme="minorHAnsi"/>
                <w:szCs w:val="24"/>
              </w:rPr>
              <w:t>)</w:t>
            </w:r>
          </w:p>
        </w:tc>
        <w:tc>
          <w:tcPr>
            <w:tcW w:w="1275" w:type="dxa"/>
          </w:tcPr>
          <w:p w:rsidR="004A2C8A" w:rsidP="00C01140" w14:paraId="244FA5B9" w14:textId="22645F6C">
            <w:pPr>
              <w:jc w:val="right"/>
              <w:rPr>
                <w:rFonts w:asciiTheme="minorHAnsi" w:hAnsiTheme="minorHAnsi" w:cstheme="minorHAnsi"/>
                <w:szCs w:val="24"/>
              </w:rPr>
            </w:pPr>
            <w:r w:rsidRPr="00211226">
              <w:rPr>
                <w:rFonts w:asciiTheme="minorHAnsi" w:hAnsiTheme="minorHAnsi" w:cstheme="minorHAnsi"/>
                <w:szCs w:val="24"/>
              </w:rPr>
              <w:t>2,188,770</w:t>
            </w:r>
          </w:p>
        </w:tc>
        <w:tc>
          <w:tcPr>
            <w:tcW w:w="1245" w:type="dxa"/>
          </w:tcPr>
          <w:p w:rsidR="004A2C8A" w:rsidP="00C01140" w14:paraId="1E9561BB" w14:textId="4299279A">
            <w:pPr>
              <w:jc w:val="right"/>
              <w:rPr>
                <w:rFonts w:asciiTheme="minorHAnsi" w:hAnsiTheme="minorHAnsi" w:cstheme="minorHAnsi"/>
                <w:szCs w:val="24"/>
              </w:rPr>
            </w:pPr>
            <w:r w:rsidRPr="00211226">
              <w:rPr>
                <w:rFonts w:asciiTheme="minorHAnsi" w:hAnsiTheme="minorHAnsi" w:cstheme="minorHAnsi"/>
                <w:szCs w:val="24"/>
              </w:rPr>
              <w:t>2,188,770</w:t>
            </w:r>
          </w:p>
        </w:tc>
        <w:tc>
          <w:tcPr>
            <w:tcW w:w="1170" w:type="dxa"/>
          </w:tcPr>
          <w:p w:rsidR="004A2C8A" w:rsidP="00C01140" w14:paraId="63D30D43" w14:textId="42DE9631">
            <w:pPr>
              <w:jc w:val="center"/>
              <w:rPr>
                <w:rFonts w:asciiTheme="minorHAnsi" w:hAnsiTheme="minorHAnsi" w:cstheme="minorHAnsi"/>
                <w:szCs w:val="24"/>
              </w:rPr>
            </w:pPr>
            <w:r>
              <w:rPr>
                <w:rFonts w:asciiTheme="minorHAnsi" w:hAnsiTheme="minorHAnsi" w:cstheme="minorHAnsi"/>
                <w:szCs w:val="24"/>
              </w:rPr>
              <w:t>.08</w:t>
            </w:r>
          </w:p>
        </w:tc>
        <w:tc>
          <w:tcPr>
            <w:tcW w:w="1080" w:type="dxa"/>
          </w:tcPr>
          <w:p w:rsidR="004A2C8A" w:rsidP="00C01140" w14:paraId="32B0A460" w14:textId="05D59EB5">
            <w:pPr>
              <w:jc w:val="right"/>
              <w:rPr>
                <w:rFonts w:asciiTheme="minorHAnsi" w:hAnsiTheme="minorHAnsi" w:cstheme="minorHAnsi"/>
                <w:szCs w:val="24"/>
              </w:rPr>
            </w:pPr>
            <w:r>
              <w:rPr>
                <w:rFonts w:asciiTheme="minorHAnsi" w:hAnsiTheme="minorHAnsi" w:cstheme="minorHAnsi"/>
                <w:szCs w:val="24"/>
              </w:rPr>
              <w:t>175,102</w:t>
            </w:r>
          </w:p>
        </w:tc>
        <w:tc>
          <w:tcPr>
            <w:tcW w:w="1350" w:type="dxa"/>
          </w:tcPr>
          <w:p w:rsidR="004A2C8A" w:rsidP="00C01140" w14:paraId="3D9EB2F8" w14:textId="7EEECF24">
            <w:pPr>
              <w:jc w:val="right"/>
              <w:rPr>
                <w:rFonts w:asciiTheme="minorHAnsi" w:hAnsiTheme="minorHAnsi" w:cstheme="minorHAnsi"/>
                <w:szCs w:val="24"/>
              </w:rPr>
            </w:pPr>
            <w:r w:rsidRPr="0073784E">
              <w:rPr>
                <w:rFonts w:asciiTheme="minorHAnsi" w:hAnsiTheme="minorHAnsi" w:cstheme="minorHAnsi"/>
                <w:szCs w:val="24"/>
              </w:rPr>
              <w:t>$23.11</w:t>
            </w:r>
          </w:p>
        </w:tc>
        <w:tc>
          <w:tcPr>
            <w:tcW w:w="1350" w:type="dxa"/>
          </w:tcPr>
          <w:p w:rsidR="004A2C8A" w:rsidP="00C01140" w14:paraId="0C44A180" w14:textId="0AAA9917">
            <w:pPr>
              <w:jc w:val="right"/>
              <w:rPr>
                <w:rFonts w:asciiTheme="minorHAnsi" w:hAnsiTheme="minorHAnsi" w:cstheme="minorHAnsi"/>
                <w:szCs w:val="24"/>
              </w:rPr>
            </w:pPr>
            <w:r w:rsidRPr="00374618">
              <w:rPr>
                <w:rFonts w:asciiTheme="minorHAnsi" w:hAnsiTheme="minorHAnsi" w:cstheme="minorHAnsi"/>
                <w:szCs w:val="24"/>
              </w:rPr>
              <w:t>4,046,607</w:t>
            </w:r>
          </w:p>
        </w:tc>
      </w:tr>
      <w:tr w14:paraId="34D5C39E" w14:textId="77777777" w:rsidTr="00F62F18">
        <w:tblPrEx>
          <w:tblW w:w="8815" w:type="dxa"/>
          <w:tblLayout w:type="fixed"/>
          <w:tblLook w:val="0020"/>
        </w:tblPrEx>
        <w:tc>
          <w:tcPr>
            <w:tcW w:w="1345" w:type="dxa"/>
          </w:tcPr>
          <w:p w:rsidR="006B3EA6" w:rsidRPr="009C37AF" w:rsidP="006B3EA6" w14:paraId="554A4098" w14:textId="6C8BD29E">
            <w:pPr>
              <w:rPr>
                <w:rFonts w:asciiTheme="minorHAnsi" w:hAnsiTheme="minorHAnsi" w:cstheme="minorHAnsi"/>
                <w:szCs w:val="24"/>
              </w:rPr>
            </w:pPr>
            <w:r>
              <w:rPr>
                <w:rFonts w:asciiTheme="minorHAnsi" w:hAnsiTheme="minorHAnsi" w:cstheme="minorHAnsi"/>
                <w:szCs w:val="24"/>
              </w:rPr>
              <w:t>Individual (</w:t>
            </w:r>
            <w:r w:rsidR="004B7C15">
              <w:rPr>
                <w:rFonts w:asciiTheme="minorHAnsi" w:hAnsiTheme="minorHAnsi" w:cstheme="minorHAnsi"/>
                <w:szCs w:val="24"/>
              </w:rPr>
              <w:t>SERV Forb</w:t>
            </w:r>
            <w:r w:rsidR="00D66964">
              <w:rPr>
                <w:rFonts w:asciiTheme="minorHAnsi" w:hAnsiTheme="minorHAnsi" w:cstheme="minorHAnsi"/>
                <w:szCs w:val="24"/>
              </w:rPr>
              <w:t>)</w:t>
            </w:r>
          </w:p>
        </w:tc>
        <w:tc>
          <w:tcPr>
            <w:tcW w:w="1275" w:type="dxa"/>
          </w:tcPr>
          <w:p w:rsidR="006B3EA6" w:rsidRPr="00442E07" w:rsidP="00C01140" w14:paraId="55A5A72E" w14:textId="46BCB1F4">
            <w:pPr>
              <w:jc w:val="right"/>
              <w:rPr>
                <w:rFonts w:ascii="Times New Roman" w:hAnsi="Times New Roman"/>
                <w:szCs w:val="24"/>
              </w:rPr>
            </w:pPr>
            <w:r>
              <w:rPr>
                <w:rFonts w:asciiTheme="minorHAnsi" w:hAnsiTheme="minorHAnsi" w:cstheme="minorHAnsi"/>
                <w:szCs w:val="24"/>
              </w:rPr>
              <w:t>19,689</w:t>
            </w:r>
          </w:p>
        </w:tc>
        <w:tc>
          <w:tcPr>
            <w:tcW w:w="1245" w:type="dxa"/>
          </w:tcPr>
          <w:p w:rsidR="006B3EA6" w:rsidRPr="00442E07" w:rsidP="00C01140" w14:paraId="4F0B7217" w14:textId="5003AF89">
            <w:pPr>
              <w:jc w:val="right"/>
              <w:rPr>
                <w:rFonts w:ascii="Times New Roman" w:hAnsi="Times New Roman"/>
                <w:szCs w:val="24"/>
              </w:rPr>
            </w:pPr>
            <w:r>
              <w:rPr>
                <w:rFonts w:asciiTheme="minorHAnsi" w:hAnsiTheme="minorHAnsi" w:cstheme="minorHAnsi"/>
                <w:szCs w:val="24"/>
              </w:rPr>
              <w:t>19,689</w:t>
            </w:r>
          </w:p>
        </w:tc>
        <w:tc>
          <w:tcPr>
            <w:tcW w:w="1170" w:type="dxa"/>
          </w:tcPr>
          <w:p w:rsidR="006B3EA6" w:rsidRPr="00442E07" w:rsidP="00C01140" w14:paraId="0524C928" w14:textId="38720911">
            <w:pPr>
              <w:jc w:val="center"/>
              <w:rPr>
                <w:rFonts w:ascii="Times New Roman" w:hAnsi="Times New Roman"/>
                <w:szCs w:val="24"/>
              </w:rPr>
            </w:pPr>
            <w:r>
              <w:rPr>
                <w:rFonts w:asciiTheme="minorHAnsi" w:hAnsiTheme="minorHAnsi" w:cstheme="minorHAnsi"/>
                <w:szCs w:val="24"/>
              </w:rPr>
              <w:t>.25</w:t>
            </w:r>
          </w:p>
        </w:tc>
        <w:tc>
          <w:tcPr>
            <w:tcW w:w="1080" w:type="dxa"/>
          </w:tcPr>
          <w:p w:rsidR="006B3EA6" w:rsidRPr="00442E07" w:rsidP="00C01140" w14:paraId="6F45AD1D" w14:textId="09D2930B">
            <w:pPr>
              <w:jc w:val="right"/>
              <w:rPr>
                <w:rFonts w:ascii="Times New Roman" w:hAnsi="Times New Roman"/>
                <w:szCs w:val="24"/>
              </w:rPr>
            </w:pPr>
            <w:r>
              <w:rPr>
                <w:rFonts w:asciiTheme="minorHAnsi" w:hAnsiTheme="minorHAnsi" w:cstheme="minorHAnsi"/>
                <w:szCs w:val="24"/>
              </w:rPr>
              <w:t>4,922</w:t>
            </w:r>
          </w:p>
        </w:tc>
        <w:tc>
          <w:tcPr>
            <w:tcW w:w="1350" w:type="dxa"/>
          </w:tcPr>
          <w:p w:rsidR="006B3EA6" w:rsidRPr="00442E07" w:rsidP="00C01140" w14:paraId="5F0F2A78" w14:textId="4B1BF49A">
            <w:pPr>
              <w:jc w:val="right"/>
              <w:rPr>
                <w:rFonts w:ascii="Times New Roman" w:hAnsi="Times New Roman"/>
                <w:szCs w:val="24"/>
              </w:rPr>
            </w:pPr>
            <w:r w:rsidRPr="0073784E">
              <w:rPr>
                <w:rFonts w:asciiTheme="minorHAnsi" w:hAnsiTheme="minorHAnsi" w:cstheme="minorHAnsi"/>
                <w:szCs w:val="24"/>
              </w:rPr>
              <w:t>$23.11</w:t>
            </w:r>
          </w:p>
        </w:tc>
        <w:tc>
          <w:tcPr>
            <w:tcW w:w="1350" w:type="dxa"/>
          </w:tcPr>
          <w:p w:rsidR="006B3EA6" w:rsidRPr="00442E07" w:rsidP="00C01140" w14:paraId="63DD1E06" w14:textId="0A83A5DE">
            <w:pPr>
              <w:jc w:val="right"/>
              <w:rPr>
                <w:rFonts w:ascii="Times New Roman" w:hAnsi="Times New Roman"/>
                <w:szCs w:val="24"/>
              </w:rPr>
            </w:pPr>
            <w:r>
              <w:rPr>
                <w:rFonts w:asciiTheme="minorHAnsi" w:hAnsiTheme="minorHAnsi" w:cstheme="minorHAnsi"/>
                <w:szCs w:val="24"/>
              </w:rPr>
              <w:t>$</w:t>
            </w:r>
            <w:r w:rsidRPr="004A61C0" w:rsidR="004A61C0">
              <w:rPr>
                <w:rFonts w:asciiTheme="minorHAnsi" w:hAnsiTheme="minorHAnsi" w:cstheme="minorHAnsi"/>
                <w:szCs w:val="24"/>
              </w:rPr>
              <w:t>113,747</w:t>
            </w:r>
          </w:p>
        </w:tc>
      </w:tr>
      <w:tr w14:paraId="1078DFC4" w14:textId="77777777" w:rsidTr="00F62F18">
        <w:tblPrEx>
          <w:tblW w:w="8815" w:type="dxa"/>
          <w:tblLayout w:type="fixed"/>
          <w:tblLook w:val="0020"/>
        </w:tblPrEx>
        <w:tc>
          <w:tcPr>
            <w:tcW w:w="1345" w:type="dxa"/>
          </w:tcPr>
          <w:p w:rsidR="00BB320B" w:rsidP="00BB320B" w14:paraId="60A3C46A" w14:textId="777EFB07">
            <w:pPr>
              <w:rPr>
                <w:rFonts w:asciiTheme="minorHAnsi" w:hAnsiTheme="minorHAnsi" w:cstheme="minorHAnsi"/>
                <w:szCs w:val="24"/>
              </w:rPr>
            </w:pPr>
            <w:r>
              <w:rPr>
                <w:rFonts w:asciiTheme="minorHAnsi" w:hAnsiTheme="minorHAnsi" w:cstheme="minorHAnsi"/>
                <w:szCs w:val="24"/>
              </w:rPr>
              <w:t xml:space="preserve">Individual  </w:t>
            </w:r>
            <w:r w:rsidR="00D66964">
              <w:rPr>
                <w:rFonts w:asciiTheme="minorHAnsi" w:hAnsiTheme="minorHAnsi" w:cstheme="minorHAnsi"/>
                <w:szCs w:val="24"/>
              </w:rPr>
              <w:t>(SLDB Forb)</w:t>
            </w:r>
          </w:p>
        </w:tc>
        <w:tc>
          <w:tcPr>
            <w:tcW w:w="1275" w:type="dxa"/>
          </w:tcPr>
          <w:p w:rsidR="00BB320B" w:rsidRPr="00442E07" w:rsidP="00C01140" w14:paraId="05B30721" w14:textId="725E9280">
            <w:pPr>
              <w:jc w:val="right"/>
              <w:rPr>
                <w:rFonts w:ascii="Times New Roman" w:hAnsi="Times New Roman"/>
                <w:szCs w:val="24"/>
              </w:rPr>
            </w:pPr>
            <w:r>
              <w:rPr>
                <w:rFonts w:asciiTheme="minorHAnsi" w:hAnsiTheme="minorHAnsi" w:cstheme="minorHAnsi"/>
                <w:szCs w:val="24"/>
              </w:rPr>
              <w:t>7,353</w:t>
            </w:r>
          </w:p>
        </w:tc>
        <w:tc>
          <w:tcPr>
            <w:tcW w:w="1245" w:type="dxa"/>
          </w:tcPr>
          <w:p w:rsidR="00BB320B" w:rsidRPr="00442E07" w:rsidP="00C01140" w14:paraId="402530B0" w14:textId="31273EC6">
            <w:pPr>
              <w:jc w:val="right"/>
              <w:rPr>
                <w:rFonts w:ascii="Times New Roman" w:hAnsi="Times New Roman"/>
                <w:szCs w:val="24"/>
              </w:rPr>
            </w:pPr>
            <w:r>
              <w:rPr>
                <w:rFonts w:asciiTheme="minorHAnsi" w:hAnsiTheme="minorHAnsi" w:cstheme="minorHAnsi"/>
                <w:szCs w:val="24"/>
              </w:rPr>
              <w:t>7,353</w:t>
            </w:r>
          </w:p>
        </w:tc>
        <w:tc>
          <w:tcPr>
            <w:tcW w:w="1170" w:type="dxa"/>
          </w:tcPr>
          <w:p w:rsidR="00BB320B" w:rsidRPr="00442E07" w:rsidP="00C01140" w14:paraId="6DC9B683" w14:textId="499FF896">
            <w:pPr>
              <w:jc w:val="center"/>
              <w:rPr>
                <w:rFonts w:ascii="Times New Roman" w:hAnsi="Times New Roman"/>
                <w:szCs w:val="24"/>
              </w:rPr>
            </w:pPr>
            <w:r>
              <w:rPr>
                <w:rFonts w:asciiTheme="minorHAnsi" w:hAnsiTheme="minorHAnsi" w:cstheme="minorHAnsi"/>
                <w:szCs w:val="24"/>
              </w:rPr>
              <w:t>.20</w:t>
            </w:r>
          </w:p>
        </w:tc>
        <w:tc>
          <w:tcPr>
            <w:tcW w:w="1080" w:type="dxa"/>
          </w:tcPr>
          <w:p w:rsidR="00BB320B" w:rsidRPr="00442E07" w:rsidP="00C01140" w14:paraId="6E6BB2FA" w14:textId="19107759">
            <w:pPr>
              <w:jc w:val="right"/>
              <w:rPr>
                <w:rFonts w:ascii="Times New Roman" w:hAnsi="Times New Roman"/>
                <w:szCs w:val="24"/>
              </w:rPr>
            </w:pPr>
            <w:r>
              <w:rPr>
                <w:rFonts w:asciiTheme="minorHAnsi" w:hAnsiTheme="minorHAnsi" w:cstheme="minorHAnsi"/>
                <w:szCs w:val="24"/>
              </w:rPr>
              <w:t>1,471</w:t>
            </w:r>
          </w:p>
        </w:tc>
        <w:tc>
          <w:tcPr>
            <w:tcW w:w="1350" w:type="dxa"/>
          </w:tcPr>
          <w:p w:rsidR="00BB320B" w:rsidRPr="00442E07" w:rsidP="00C01140" w14:paraId="34BE1689" w14:textId="5D714363">
            <w:pPr>
              <w:jc w:val="right"/>
              <w:rPr>
                <w:rFonts w:ascii="Times New Roman" w:hAnsi="Times New Roman"/>
                <w:szCs w:val="24"/>
              </w:rPr>
            </w:pPr>
            <w:r w:rsidRPr="0073784E">
              <w:rPr>
                <w:rFonts w:asciiTheme="minorHAnsi" w:hAnsiTheme="minorHAnsi" w:cstheme="minorHAnsi"/>
                <w:szCs w:val="24"/>
              </w:rPr>
              <w:t>$23.11</w:t>
            </w:r>
          </w:p>
        </w:tc>
        <w:tc>
          <w:tcPr>
            <w:tcW w:w="1350" w:type="dxa"/>
          </w:tcPr>
          <w:p w:rsidR="00BB320B" w:rsidRPr="00442E07" w:rsidP="00C01140" w14:paraId="7B734707" w14:textId="5D3312F1">
            <w:pPr>
              <w:jc w:val="right"/>
              <w:rPr>
                <w:rFonts w:ascii="Times New Roman" w:hAnsi="Times New Roman"/>
                <w:szCs w:val="24"/>
              </w:rPr>
            </w:pPr>
            <w:r>
              <w:rPr>
                <w:rFonts w:asciiTheme="minorHAnsi" w:hAnsiTheme="minorHAnsi" w:cstheme="minorHAnsi"/>
                <w:szCs w:val="24"/>
              </w:rPr>
              <w:t>$</w:t>
            </w:r>
            <w:r w:rsidRPr="004F41B7" w:rsidR="004F41B7">
              <w:rPr>
                <w:rFonts w:asciiTheme="minorHAnsi" w:hAnsiTheme="minorHAnsi" w:cstheme="minorHAnsi"/>
                <w:szCs w:val="24"/>
              </w:rPr>
              <w:t>33,99</w:t>
            </w:r>
            <w:r w:rsidR="004F41B7">
              <w:rPr>
                <w:rFonts w:asciiTheme="minorHAnsi" w:hAnsiTheme="minorHAnsi" w:cstheme="minorHAnsi"/>
                <w:szCs w:val="24"/>
              </w:rPr>
              <w:t>5</w:t>
            </w:r>
          </w:p>
        </w:tc>
      </w:tr>
      <w:tr w14:paraId="3DEE77D3" w14:textId="77777777" w:rsidTr="00F62F18">
        <w:tblPrEx>
          <w:tblW w:w="8815" w:type="dxa"/>
          <w:tblLayout w:type="fixed"/>
          <w:tblLook w:val="0020"/>
        </w:tblPrEx>
        <w:tc>
          <w:tcPr>
            <w:tcW w:w="1345" w:type="dxa"/>
          </w:tcPr>
          <w:p w:rsidR="00BC750D" w:rsidRPr="00442E07" w:rsidP="00BC750D" w14:paraId="597BF3F3" w14:textId="77777777">
            <w:pPr>
              <w:rPr>
                <w:rFonts w:ascii="Times New Roman" w:hAnsi="Times New Roman"/>
                <w:szCs w:val="24"/>
              </w:rPr>
            </w:pPr>
            <w:r>
              <w:rPr>
                <w:rFonts w:ascii="Times New Roman" w:hAnsi="Times New Roman"/>
                <w:szCs w:val="24"/>
              </w:rPr>
              <w:t>Annualized Totals</w:t>
            </w:r>
          </w:p>
        </w:tc>
        <w:tc>
          <w:tcPr>
            <w:tcW w:w="1275" w:type="dxa"/>
          </w:tcPr>
          <w:p w:rsidR="00BC750D" w:rsidRPr="00442E07" w:rsidP="00C01140" w14:paraId="224C2C47" w14:textId="0E15EFC6">
            <w:pPr>
              <w:jc w:val="right"/>
              <w:rPr>
                <w:rFonts w:ascii="Times New Roman" w:hAnsi="Times New Roman"/>
                <w:szCs w:val="24"/>
              </w:rPr>
            </w:pPr>
            <w:bookmarkStart w:id="0" w:name="_Hlk169600485"/>
            <w:r w:rsidRPr="00023B54">
              <w:rPr>
                <w:rFonts w:asciiTheme="minorHAnsi" w:hAnsiTheme="minorHAnsi" w:cstheme="minorHAnsi"/>
                <w:b/>
                <w:bCs/>
                <w:szCs w:val="24"/>
              </w:rPr>
              <w:t>2,215,812</w:t>
            </w:r>
            <w:bookmarkEnd w:id="0"/>
          </w:p>
        </w:tc>
        <w:tc>
          <w:tcPr>
            <w:tcW w:w="1245" w:type="dxa"/>
          </w:tcPr>
          <w:p w:rsidR="00BC750D" w:rsidRPr="00442E07" w:rsidP="00C01140" w14:paraId="5F4B54EA" w14:textId="7A9C3660">
            <w:pPr>
              <w:jc w:val="right"/>
              <w:rPr>
                <w:rFonts w:ascii="Times New Roman" w:hAnsi="Times New Roman"/>
                <w:szCs w:val="24"/>
              </w:rPr>
            </w:pPr>
            <w:r w:rsidRPr="00023B54">
              <w:rPr>
                <w:rFonts w:asciiTheme="minorHAnsi" w:hAnsiTheme="minorHAnsi" w:cstheme="minorHAnsi"/>
                <w:b/>
                <w:bCs/>
                <w:szCs w:val="24"/>
              </w:rPr>
              <w:t>2,215,812</w:t>
            </w:r>
          </w:p>
        </w:tc>
        <w:tc>
          <w:tcPr>
            <w:tcW w:w="1170" w:type="dxa"/>
          </w:tcPr>
          <w:p w:rsidR="00BC750D" w:rsidRPr="00442E07" w:rsidP="00C01140" w14:paraId="68058CE4" w14:textId="77777777">
            <w:pPr>
              <w:jc w:val="center"/>
              <w:rPr>
                <w:rFonts w:ascii="Times New Roman" w:hAnsi="Times New Roman"/>
                <w:szCs w:val="24"/>
              </w:rPr>
            </w:pPr>
          </w:p>
        </w:tc>
        <w:tc>
          <w:tcPr>
            <w:tcW w:w="1080" w:type="dxa"/>
          </w:tcPr>
          <w:p w:rsidR="00BC750D" w:rsidRPr="00442E07" w:rsidP="00C01140" w14:paraId="37FAF8A5" w14:textId="55DEEA99">
            <w:pPr>
              <w:jc w:val="right"/>
              <w:rPr>
                <w:rFonts w:ascii="Times New Roman" w:hAnsi="Times New Roman"/>
                <w:szCs w:val="24"/>
              </w:rPr>
            </w:pPr>
            <w:r w:rsidRPr="000E76A6">
              <w:rPr>
                <w:rFonts w:asciiTheme="minorHAnsi" w:hAnsiTheme="minorHAnsi" w:cstheme="minorHAnsi"/>
                <w:b/>
                <w:bCs/>
                <w:szCs w:val="24"/>
              </w:rPr>
              <w:t>181,495</w:t>
            </w:r>
          </w:p>
        </w:tc>
        <w:tc>
          <w:tcPr>
            <w:tcW w:w="1350" w:type="dxa"/>
          </w:tcPr>
          <w:p w:rsidR="00BC750D" w:rsidRPr="00442E07" w:rsidP="00C01140" w14:paraId="3221A869" w14:textId="77777777">
            <w:pPr>
              <w:jc w:val="right"/>
              <w:rPr>
                <w:rFonts w:ascii="Times New Roman" w:hAnsi="Times New Roman"/>
                <w:szCs w:val="24"/>
              </w:rPr>
            </w:pPr>
          </w:p>
        </w:tc>
        <w:tc>
          <w:tcPr>
            <w:tcW w:w="1350" w:type="dxa"/>
          </w:tcPr>
          <w:p w:rsidR="00BC750D" w:rsidRPr="00442E07" w:rsidP="00C01140" w14:paraId="50468F26" w14:textId="63DAD4CF">
            <w:pPr>
              <w:jc w:val="right"/>
              <w:rPr>
                <w:rFonts w:ascii="Times New Roman" w:hAnsi="Times New Roman"/>
                <w:szCs w:val="24"/>
              </w:rPr>
            </w:pPr>
            <w:r>
              <w:rPr>
                <w:rFonts w:asciiTheme="minorHAnsi" w:hAnsiTheme="minorHAnsi" w:cstheme="minorHAnsi"/>
                <w:b/>
                <w:bCs/>
                <w:szCs w:val="24"/>
              </w:rPr>
              <w:t>$</w:t>
            </w:r>
            <w:r w:rsidRPr="005C2F97" w:rsidR="005C2F97">
              <w:rPr>
                <w:rFonts w:asciiTheme="minorHAnsi" w:hAnsiTheme="minorHAnsi" w:cstheme="minorHAnsi"/>
                <w:b/>
                <w:bCs/>
                <w:szCs w:val="24"/>
              </w:rPr>
              <w:t>4,194,349</w:t>
            </w:r>
          </w:p>
        </w:tc>
      </w:tr>
    </w:tbl>
    <w:p w:rsidR="009C37AF" w:rsidP="009C37AF" w14:paraId="41C4D4A6" w14:textId="77777777"/>
    <w:p w:rsidR="00564150" w:rsidP="009C37AF" w14:paraId="07BB547D" w14:textId="2922D91B">
      <w:pPr>
        <w:rPr>
          <w:rFonts w:asciiTheme="minorHAnsi" w:hAnsiTheme="minorHAnsi" w:cstheme="minorHAnsi"/>
          <w:szCs w:val="24"/>
        </w:rPr>
      </w:pPr>
      <w:r w:rsidRPr="00F1637E">
        <w:rPr>
          <w:rFonts w:asciiTheme="minorHAnsi" w:hAnsiTheme="minorHAnsi" w:cstheme="minorHAnsi"/>
          <w:szCs w:val="24"/>
        </w:rPr>
        <w:t xml:space="preserve">For individuals we have used the median hourly wage for all occupations, </w:t>
      </w:r>
      <w:r w:rsidRPr="0073784E">
        <w:rPr>
          <w:rFonts w:asciiTheme="minorHAnsi" w:hAnsiTheme="minorHAnsi" w:cstheme="minorHAnsi"/>
          <w:szCs w:val="24"/>
        </w:rPr>
        <w:t>$23.11</w:t>
      </w:r>
      <w:r w:rsidRPr="00F1637E">
        <w:rPr>
          <w:rFonts w:asciiTheme="minorHAnsi" w:hAnsiTheme="minorHAnsi" w:cstheme="minorHAnsi"/>
          <w:szCs w:val="24"/>
        </w:rPr>
        <w:t xml:space="preserve"> per hour according to BLS. </w:t>
      </w:r>
      <w:hyperlink r:id="rId10" w:anchor="00-0000" w:history="1">
        <w:r w:rsidRPr="00F1637E">
          <w:rPr>
            <w:rStyle w:val="Hyperlink"/>
            <w:rFonts w:asciiTheme="minorHAnsi" w:hAnsiTheme="minorHAnsi" w:cstheme="minorHAnsi"/>
            <w:szCs w:val="24"/>
          </w:rPr>
          <w:t>https://www.bls.gov/oes/current/oes_nat.htm#00-0000</w:t>
        </w:r>
      </w:hyperlink>
      <w:r w:rsidRPr="00F1637E">
        <w:rPr>
          <w:rFonts w:asciiTheme="minorHAnsi" w:hAnsiTheme="minorHAnsi" w:cstheme="minorHAnsi"/>
          <w:szCs w:val="24"/>
        </w:rPr>
        <w:t> </w:t>
      </w:r>
      <w:r>
        <w:rPr>
          <w:rFonts w:asciiTheme="minorHAnsi" w:hAnsiTheme="minorHAnsi" w:cstheme="minorHAnsi"/>
          <w:szCs w:val="24"/>
        </w:rPr>
        <w:t>Last accessed on June 18, 2024.</w:t>
      </w:r>
    </w:p>
    <w:p w:rsidR="00F62F18" w:rsidRPr="009C37AF" w:rsidP="009C37AF" w14:paraId="38EF9795" w14:textId="77777777"/>
    <w:p w:rsidR="00F31BEC" w:rsidRPr="00AF5D1A" w:rsidP="00F62F18" w14:paraId="64280EE2" w14:textId="77777777">
      <w:pPr>
        <w:pStyle w:val="ListParagraph"/>
        <w:tabs>
          <w:tab w:val="left" w:pos="-720"/>
        </w:tabs>
        <w:suppressAutoHyphens/>
        <w:ind w:left="0"/>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124B3696" w14:textId="6A79C61F">
      <w:pPr>
        <w:tabs>
          <w:tab w:val="left" w:pos="-720"/>
        </w:tabs>
        <w:suppressAutoHyphens/>
        <w:rPr>
          <w:rFonts w:ascii="Times New Roman" w:hAnsi="Times New Roman"/>
          <w:b/>
          <w:szCs w:val="24"/>
        </w:rPr>
      </w:pPr>
    </w:p>
    <w:p w:rsidR="009C4811" w:rsidRPr="001C1992" w:rsidP="009C4811" w14:paraId="4AB2E9BB" w14:textId="77777777">
      <w:pPr>
        <w:tabs>
          <w:tab w:val="left" w:pos="-720"/>
        </w:tabs>
        <w:suppressAutoHyphens/>
        <w:ind w:left="720"/>
        <w:rPr>
          <w:rFonts w:asciiTheme="minorHAnsi" w:hAnsiTheme="minorHAnsi" w:cstheme="minorHAnsi"/>
        </w:rPr>
      </w:pPr>
      <w:r w:rsidRPr="001C1992">
        <w:rPr>
          <w:rFonts w:asciiTheme="minorHAnsi" w:hAnsiTheme="minorHAnsi" w:cstheme="minorHAnsi"/>
        </w:rPr>
        <w:t>There are no capital/startup costs to respondents.</w:t>
      </w:r>
    </w:p>
    <w:p w:rsidR="00043C32" w:rsidP="00AD381B" w14:paraId="64280EEF"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591BB0" w:rsidRPr="004C6EE8" w:rsidP="00591BB0" w14:paraId="3FA447F5" w14:textId="5AD4FD33">
      <w:pPr>
        <w:ind w:left="720"/>
        <w:rPr>
          <w:rFonts w:asciiTheme="minorHAnsi" w:hAnsiTheme="minorHAnsi" w:cstheme="minorHAnsi"/>
        </w:rPr>
      </w:pPr>
      <w:r w:rsidRPr="004C6EE8">
        <w:rPr>
          <w:rFonts w:asciiTheme="minorHAnsi" w:hAnsiTheme="minorHAnsi" w:cstheme="minorHAnsi"/>
        </w:rPr>
        <w:t xml:space="preserve">There is no significant cost to the federal government related to these forms from FFEL Program, Direct Loan, or Perkins Loan borrowers, since loan holders and servicers distribute and process the </w:t>
      </w:r>
      <w:r w:rsidR="004C3941">
        <w:rPr>
          <w:rFonts w:asciiTheme="minorHAnsi" w:hAnsiTheme="minorHAnsi" w:cstheme="minorHAnsi"/>
        </w:rPr>
        <w:t>forbearance forms</w:t>
      </w:r>
      <w:r w:rsidRPr="004C6EE8">
        <w:rPr>
          <w:rFonts w:asciiTheme="minorHAnsi" w:hAnsiTheme="minorHAnsi" w:cstheme="minorHAnsi"/>
        </w:rPr>
        <w:t>, and Department servicers do not specifically charge the government for distributing these forms.</w:t>
      </w:r>
    </w:p>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C01140" w:rsidP="00C01140"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C01140" w:rsidP="00C01140" w14:paraId="64280EFD" w14:textId="77777777">
            <w:pPr>
              <w:tabs>
                <w:tab w:val="left" w:pos="-720"/>
              </w:tabs>
              <w:suppressAutoHyphens/>
              <w:rPr>
                <w:rFonts w:ascii="Times New Roman" w:hAnsi="Times New Roman"/>
                <w:b/>
                <w:szCs w:val="24"/>
              </w:rPr>
            </w:pPr>
          </w:p>
        </w:tc>
        <w:tc>
          <w:tcPr>
            <w:tcW w:w="2829" w:type="dxa"/>
          </w:tcPr>
          <w:p w:rsidR="00C01140" w:rsidRPr="007A5F49" w:rsidP="00C01140" w14:paraId="64280EFE" w14:textId="52944CAB">
            <w:pPr>
              <w:tabs>
                <w:tab w:val="left" w:pos="-720"/>
              </w:tabs>
              <w:suppressAutoHyphens/>
              <w:jc w:val="right"/>
              <w:rPr>
                <w:rFonts w:asciiTheme="minorHAnsi" w:hAnsiTheme="minorHAnsi" w:cstheme="minorHAnsi"/>
                <w:bCs/>
                <w:szCs w:val="24"/>
              </w:rPr>
            </w:pPr>
            <w:r>
              <w:rPr>
                <w:rFonts w:asciiTheme="minorHAnsi" w:hAnsiTheme="minorHAnsi" w:cstheme="minorHAnsi"/>
                <w:b/>
                <w:bCs/>
                <w:szCs w:val="24"/>
              </w:rPr>
              <w:t>175,102</w:t>
            </w:r>
          </w:p>
        </w:tc>
        <w:tc>
          <w:tcPr>
            <w:tcW w:w="2520" w:type="dxa"/>
          </w:tcPr>
          <w:p w:rsidR="00C01140" w:rsidP="00C01140"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C01140" w:rsidP="00C01140"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C01140" w:rsidP="00C01140" w14:paraId="64280F02" w14:textId="77777777">
            <w:pPr>
              <w:tabs>
                <w:tab w:val="left" w:pos="-720"/>
              </w:tabs>
              <w:suppressAutoHyphens/>
              <w:rPr>
                <w:rFonts w:ascii="Times New Roman" w:hAnsi="Times New Roman"/>
                <w:b/>
                <w:szCs w:val="24"/>
              </w:rPr>
            </w:pPr>
          </w:p>
        </w:tc>
        <w:tc>
          <w:tcPr>
            <w:tcW w:w="2829" w:type="dxa"/>
          </w:tcPr>
          <w:p w:rsidR="00B704FF" w:rsidP="00C01140" w14:paraId="7CE58D59" w14:textId="36651C41">
            <w:pPr>
              <w:tabs>
                <w:tab w:val="left" w:pos="-720"/>
              </w:tabs>
              <w:suppressAutoHyphens/>
              <w:jc w:val="right"/>
              <w:rPr>
                <w:rFonts w:ascii="Times New Roman" w:hAnsi="Times New Roman"/>
                <w:b/>
                <w:szCs w:val="24"/>
              </w:rPr>
            </w:pPr>
            <w:r>
              <w:rPr>
                <w:rFonts w:ascii="Times New Roman" w:hAnsi="Times New Roman"/>
                <w:b/>
                <w:szCs w:val="24"/>
              </w:rPr>
              <w:t>2,188,770</w:t>
            </w:r>
          </w:p>
          <w:p w:rsidR="00C01140" w:rsidRPr="007A5F49" w:rsidP="00C01140" w14:paraId="64280F03" w14:textId="5FF9B24B">
            <w:pPr>
              <w:tabs>
                <w:tab w:val="left" w:pos="-720"/>
              </w:tabs>
              <w:suppressAutoHyphens/>
              <w:jc w:val="right"/>
              <w:rPr>
                <w:rFonts w:asciiTheme="minorHAnsi" w:hAnsiTheme="minorHAnsi" w:cstheme="minorHAnsi"/>
                <w:bCs/>
                <w:szCs w:val="24"/>
              </w:rPr>
            </w:pPr>
          </w:p>
        </w:tc>
        <w:tc>
          <w:tcPr>
            <w:tcW w:w="2520" w:type="dxa"/>
          </w:tcPr>
          <w:p w:rsidR="00C01140" w:rsidP="00C01140" w14:paraId="64280F04" w14:textId="77777777">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C01140" w:rsidP="00C01140"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C01140" w:rsidP="00C01140" w14:paraId="64280F07" w14:textId="77777777">
            <w:pPr>
              <w:tabs>
                <w:tab w:val="left" w:pos="-720"/>
              </w:tabs>
              <w:suppressAutoHyphens/>
              <w:rPr>
                <w:rFonts w:ascii="Times New Roman" w:hAnsi="Times New Roman"/>
                <w:b/>
                <w:szCs w:val="24"/>
              </w:rPr>
            </w:pPr>
          </w:p>
        </w:tc>
        <w:tc>
          <w:tcPr>
            <w:tcW w:w="2829" w:type="dxa"/>
          </w:tcPr>
          <w:p w:rsidR="00C01140" w:rsidRPr="007A5F49" w:rsidP="00C01140" w14:paraId="64280F08" w14:textId="5F18CD29">
            <w:pPr>
              <w:tabs>
                <w:tab w:val="left" w:pos="-720"/>
              </w:tabs>
              <w:suppressAutoHyphens/>
              <w:jc w:val="right"/>
              <w:rPr>
                <w:rFonts w:asciiTheme="minorHAnsi" w:hAnsiTheme="minorHAnsi" w:cstheme="minorHAnsi"/>
                <w:b/>
                <w:szCs w:val="24"/>
              </w:rPr>
            </w:pPr>
          </w:p>
        </w:tc>
        <w:tc>
          <w:tcPr>
            <w:tcW w:w="2520" w:type="dxa"/>
          </w:tcPr>
          <w:p w:rsidR="00C01140" w:rsidP="00C01140"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0E4657" w:rsidRPr="004C6EE8" w:rsidP="000E4657" w14:paraId="34DFAE88" w14:textId="4EF47C46">
      <w:pPr>
        <w:ind w:left="720"/>
        <w:rPr>
          <w:rFonts w:asciiTheme="minorHAnsi" w:hAnsiTheme="minorHAnsi" w:cstheme="minorHAnsi"/>
        </w:rPr>
      </w:pPr>
      <w:r>
        <w:rPr>
          <w:rFonts w:asciiTheme="minorHAnsi" w:hAnsiTheme="minorHAnsi" w:cstheme="minorHAnsi"/>
        </w:rPr>
        <w:t>The Department is</w:t>
      </w:r>
      <w:r w:rsidRPr="004C6EE8">
        <w:rPr>
          <w:rFonts w:asciiTheme="minorHAnsi" w:hAnsiTheme="minorHAnsi" w:cstheme="minorHAnsi"/>
        </w:rPr>
        <w:t xml:space="preserve"> requesting a </w:t>
      </w:r>
      <w:r w:rsidR="00B74E64">
        <w:rPr>
          <w:rFonts w:asciiTheme="minorHAnsi" w:hAnsiTheme="minorHAnsi" w:cstheme="minorHAnsi"/>
        </w:rPr>
        <w:t>revision</w:t>
      </w:r>
      <w:r w:rsidRPr="004C6EE8" w:rsidR="00B74E64">
        <w:rPr>
          <w:rFonts w:asciiTheme="minorHAnsi" w:hAnsiTheme="minorHAnsi" w:cstheme="minorHAnsi"/>
        </w:rPr>
        <w:t xml:space="preserve"> </w:t>
      </w:r>
      <w:r w:rsidRPr="004C6EE8">
        <w:rPr>
          <w:rFonts w:asciiTheme="minorHAnsi" w:hAnsiTheme="minorHAnsi" w:cstheme="minorHAnsi"/>
        </w:rPr>
        <w:t>of the burden associated with information collection 1845-0018</w:t>
      </w:r>
      <w:r w:rsidR="00096EF5">
        <w:rPr>
          <w:rFonts w:asciiTheme="minorHAnsi" w:hAnsiTheme="minorHAnsi" w:cstheme="minorHAnsi"/>
        </w:rPr>
        <w:t xml:space="preserve"> to incorporate the </w:t>
      </w:r>
      <w:r w:rsidR="00AE2BB6">
        <w:rPr>
          <w:rFonts w:asciiTheme="minorHAnsi" w:hAnsiTheme="minorHAnsi" w:cstheme="minorHAnsi"/>
        </w:rPr>
        <w:t>combination</w:t>
      </w:r>
      <w:r w:rsidR="00096EF5">
        <w:rPr>
          <w:rFonts w:asciiTheme="minorHAnsi" w:hAnsiTheme="minorHAnsi" w:cstheme="minorHAnsi"/>
        </w:rPr>
        <w:t xml:space="preserve"> of two </w:t>
      </w:r>
      <w:r w:rsidR="00303082">
        <w:rPr>
          <w:rFonts w:asciiTheme="minorHAnsi" w:hAnsiTheme="minorHAnsi" w:cstheme="minorHAnsi"/>
        </w:rPr>
        <w:t>previously approved collections</w:t>
      </w:r>
      <w:r w:rsidR="00E903D2">
        <w:rPr>
          <w:rFonts w:asciiTheme="minorHAnsi" w:hAnsiTheme="minorHAnsi" w:cstheme="minorHAnsi"/>
        </w:rPr>
        <w:t xml:space="preserve"> (OMB </w:t>
      </w:r>
      <w:r w:rsidR="003F4135">
        <w:rPr>
          <w:rFonts w:asciiTheme="minorHAnsi" w:hAnsiTheme="minorHAnsi" w:cstheme="minorHAnsi"/>
        </w:rPr>
        <w:t xml:space="preserve">No. </w:t>
      </w:r>
      <w:r w:rsidR="00E903D2">
        <w:rPr>
          <w:rFonts w:asciiTheme="minorHAnsi" w:hAnsiTheme="minorHAnsi" w:cstheme="minorHAnsi"/>
        </w:rPr>
        <w:t xml:space="preserve">1845-0018 and </w:t>
      </w:r>
      <w:r w:rsidRPr="00951B90" w:rsidR="003F4135">
        <w:rPr>
          <w:rFonts w:asciiTheme="minorHAnsi" w:hAnsiTheme="minorHAnsi" w:cstheme="minorHAnsi"/>
          <w:szCs w:val="24"/>
        </w:rPr>
        <w:t>OMB No. 1845-00</w:t>
      </w:r>
      <w:r w:rsidR="003F4135">
        <w:rPr>
          <w:rFonts w:asciiTheme="minorHAnsi" w:hAnsiTheme="minorHAnsi" w:cstheme="minorHAnsi"/>
          <w:szCs w:val="24"/>
        </w:rPr>
        <w:t>31)</w:t>
      </w:r>
      <w:r w:rsidRPr="004C6EE8">
        <w:rPr>
          <w:rFonts w:asciiTheme="minorHAnsi" w:hAnsiTheme="minorHAnsi" w:cstheme="minorHAnsi"/>
        </w:rPr>
        <w:t xml:space="preserve">.  The </w:t>
      </w:r>
      <w:r w:rsidR="00B704FF">
        <w:rPr>
          <w:rFonts w:asciiTheme="minorHAnsi" w:hAnsiTheme="minorHAnsi" w:cstheme="minorHAnsi"/>
        </w:rPr>
        <w:t xml:space="preserve">total </w:t>
      </w:r>
      <w:r w:rsidRPr="004C6EE8">
        <w:rPr>
          <w:rFonts w:asciiTheme="minorHAnsi" w:hAnsiTheme="minorHAnsi" w:cstheme="minorHAnsi"/>
        </w:rPr>
        <w:t xml:space="preserve">burden hours are </w:t>
      </w:r>
      <w:r w:rsidRPr="003F4135" w:rsidR="003F4135">
        <w:rPr>
          <w:rFonts w:asciiTheme="minorHAnsi" w:hAnsiTheme="minorHAnsi" w:cstheme="minorHAnsi"/>
        </w:rPr>
        <w:t>181,495</w:t>
      </w:r>
      <w:r w:rsidR="003C7E9D">
        <w:rPr>
          <w:rFonts w:asciiTheme="minorHAnsi" w:hAnsiTheme="minorHAnsi" w:cstheme="minorHAnsi"/>
        </w:rPr>
        <w:t xml:space="preserve"> </w:t>
      </w:r>
      <w:r w:rsidRPr="004C6EE8">
        <w:rPr>
          <w:rFonts w:asciiTheme="minorHAnsi" w:hAnsiTheme="minorHAnsi" w:cstheme="minorHAnsi"/>
        </w:rPr>
        <w:t xml:space="preserve">and the respondents/responses are </w:t>
      </w:r>
      <w:r w:rsidRPr="003F4135" w:rsidR="003F4135">
        <w:rPr>
          <w:rFonts w:asciiTheme="minorHAnsi" w:hAnsiTheme="minorHAnsi" w:cstheme="minorHAnsi"/>
        </w:rPr>
        <w:t>2,215,812</w:t>
      </w:r>
      <w:r w:rsidRPr="004C6EE8">
        <w:rPr>
          <w:rFonts w:asciiTheme="minorHAnsi" w:hAnsiTheme="minorHAnsi" w:cstheme="minorHAnsi"/>
        </w:rPr>
        <w:t xml:space="preserve">.  </w:t>
      </w:r>
      <w:r w:rsidR="00B704FF">
        <w:rPr>
          <w:rFonts w:asciiTheme="minorHAnsi" w:hAnsiTheme="minorHAnsi" w:cstheme="minorHAnsi"/>
        </w:rPr>
        <w:t xml:space="preserve">The difference is due to the addition of the General Forbearance form to this information collection.  </w:t>
      </w:r>
      <w:r w:rsidRPr="004C6EE8">
        <w:rPr>
          <w:rFonts w:asciiTheme="minorHAnsi" w:hAnsiTheme="minorHAnsi" w:cstheme="minorHAnsi"/>
        </w:rPr>
        <w:t>There has been no change in the underlying statutes or regulations which support these request forms.</w:t>
      </w:r>
    </w:p>
    <w:p w:rsidR="00534B4A" w:rsidRPr="005F4E11" w:rsidP="005F4E11" w14:paraId="64280F0C" w14:textId="77777777">
      <w:pPr>
        <w:tabs>
          <w:tab w:val="left" w:pos="-720"/>
        </w:tabs>
        <w:suppressAutoHyphens/>
        <w:ind w:left="720"/>
        <w:rPr>
          <w:rFonts w:ascii="Times New Roman" w:hAnsi="Times New Roman"/>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5A0002" w:rsidRPr="004C6EE8" w:rsidP="005A0002" w14:paraId="429017E3" w14:textId="77777777">
      <w:pPr>
        <w:tabs>
          <w:tab w:val="left" w:pos="-720"/>
        </w:tabs>
        <w:suppressAutoHyphens/>
        <w:ind w:left="720"/>
        <w:rPr>
          <w:rFonts w:asciiTheme="minorHAnsi" w:hAnsiTheme="minorHAnsi" w:cstheme="minorHAnsi"/>
        </w:rPr>
      </w:pPr>
      <w:r w:rsidRPr="004C6EE8">
        <w:rPr>
          <w:rFonts w:asciiTheme="minorHAnsi" w:hAnsiTheme="minorHAnsi" w:cstheme="minorHAnsi"/>
        </w:rPr>
        <w:t>The results of this information collection will not be published.</w:t>
      </w:r>
    </w:p>
    <w:p w:rsidR="00534B4A" w:rsidRPr="00534B4A" w:rsidP="00AA5138" w14:paraId="64280F0F"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7C1DE2" w:rsidRPr="004C6EE8" w:rsidP="007C1DE2" w14:paraId="77DCA9FC" w14:textId="77777777">
      <w:pPr>
        <w:tabs>
          <w:tab w:val="left" w:pos="-720"/>
        </w:tabs>
        <w:suppressAutoHyphens/>
        <w:ind w:left="720"/>
        <w:rPr>
          <w:rFonts w:asciiTheme="minorHAnsi" w:hAnsiTheme="minorHAnsi" w:cstheme="minorHAnsi"/>
        </w:rPr>
      </w:pPr>
      <w:r w:rsidRPr="004C6EE8">
        <w:rPr>
          <w:rFonts w:asciiTheme="minorHAnsi" w:hAnsiTheme="minorHAnsi" w:cstheme="minorHAnsi"/>
        </w:rPr>
        <w:t>The Department is not seeking this approval.</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181861" w:rsidP="00181861" w14:paraId="298B44E0" w14:textId="77777777">
      <w:pPr>
        <w:pStyle w:val="ListParagraph"/>
        <w:tabs>
          <w:tab w:val="left" w:pos="-720"/>
        </w:tabs>
        <w:suppressAutoHyphens/>
        <w:rPr>
          <w:rFonts w:asciiTheme="minorHAnsi" w:hAnsiTheme="minorHAnsi" w:cstheme="minorHAnsi"/>
        </w:rPr>
      </w:pPr>
      <w:r w:rsidRPr="004C6EE8">
        <w:rPr>
          <w:rFonts w:asciiTheme="minorHAnsi" w:hAnsiTheme="minorHAnsi" w:cstheme="minorHAnsi"/>
        </w:rPr>
        <w:t>The Department is not requesting any exceptions to the "Certification for Paperwork Reduction Act Submissions".</w:t>
      </w:r>
    </w:p>
    <w:p w:rsidR="00AA5138" w:rsidRPr="00AA5138" w:rsidP="00181861" w14:paraId="1D395179" w14:textId="0BF3F85A">
      <w:pPr>
        <w:tabs>
          <w:tab w:val="left" w:pos="-720"/>
        </w:tabs>
        <w:suppressAutoHyphens/>
        <w:ind w:left="720"/>
        <w:rPr>
          <w:rFonts w:ascii="Times New Roman" w:hAnsi="Times New Roman"/>
          <w:bCs/>
          <w:szCs w:val="24"/>
        </w:rPr>
      </w:pPr>
    </w:p>
    <w:sectPr w:rsidSect="00043C32">
      <w:headerReference w:type="default" r:id="rId11"/>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550" w14:paraId="64280F18" w14:textId="23877631">
    <w:pPr>
      <w:spacing w:before="140" w:line="100" w:lineRule="exact"/>
      <w:rPr>
        <w:sz w:val="10"/>
      </w:rPr>
    </w:pPr>
  </w:p>
  <w:p w:rsidR="00AB5550" w14:paraId="64280F19" w14:textId="77777777">
    <w:pPr>
      <w:tabs>
        <w:tab w:val="left" w:pos="0"/>
      </w:tabs>
      <w:suppressAutoHyphens/>
    </w:pPr>
  </w:p>
  <w:p w:rsidR="00AB5550"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AB5550"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2" o:spid="_x0000_i2049" style="width:465pt;height:12pt;mso-left-percent:-10001;mso-position-horizontal-relative:char;mso-position-vertical-relative:line;mso-top-percent:-10001;mso-wrap-style:square;visibility:visible;v-text-anchor:top" filled="f" stroked="f">
              <v:textbox inset="0,0,0,0">
                <w:txbxContent>
                  <w:p w:rsidR="00AB5550"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5237F" w:rsidP="00043C32" w14:paraId="6A891A8B" w14:textId="77777777">
      <w:r>
        <w:separator/>
      </w:r>
    </w:p>
  </w:footnote>
  <w:footnote w:type="continuationSeparator" w:id="1">
    <w:p w:rsidR="0085237F" w:rsidP="00043C32" w14:paraId="3AAAED49" w14:textId="77777777">
      <w:r>
        <w:continuationSeparator/>
      </w:r>
    </w:p>
  </w:footnote>
  <w:footnote w:type="continuationNotice" w:id="2">
    <w:p w:rsidR="0085237F" w14:paraId="0CE5893F" w14:textId="77777777"/>
  </w:footnote>
  <w:footnote w:id="3">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4E7CF1C5">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9717BD">
      <w:rPr>
        <w:rFonts w:ascii="Times New Roman" w:hAnsi="Times New Roman"/>
        <w:szCs w:val="24"/>
      </w:rPr>
      <w:t>1845</w:t>
    </w:r>
    <w:r w:rsidR="007C700A">
      <w:rPr>
        <w:rFonts w:ascii="Times New Roman" w:hAnsi="Times New Roman"/>
        <w:szCs w:val="24"/>
      </w:rPr>
      <w:t>-</w:t>
    </w:r>
    <w:r w:rsidR="009717BD">
      <w:rPr>
        <w:rFonts w:ascii="Times New Roman" w:hAnsi="Times New Roman"/>
        <w:szCs w:val="24"/>
      </w:rPr>
      <w:t>0018</w:t>
    </w:r>
    <w:r w:rsidR="00E22FD3">
      <w:rPr>
        <w:rFonts w:ascii="Times New Roman" w:hAnsi="Times New Roman"/>
        <w:szCs w:val="24"/>
      </w:rPr>
      <w:tab/>
    </w:r>
    <w:r w:rsidRPr="00C875E8">
      <w:rPr>
        <w:rFonts w:ascii="Times New Roman" w:hAnsi="Times New Roman"/>
        <w:szCs w:val="24"/>
      </w:rPr>
      <w:t xml:space="preserve">Revised: </w:t>
    </w:r>
    <w:r w:rsidR="009E17D1">
      <w:rPr>
        <w:rFonts w:ascii="Times New Roman" w:hAnsi="Times New Roman"/>
        <w:szCs w:val="24"/>
      </w:rPr>
      <w:t>7/9</w:t>
    </w:r>
    <w:r w:rsidR="007C700A">
      <w:rPr>
        <w:rFonts w:ascii="Times New Roman" w:hAnsi="Times New Roman"/>
        <w:szCs w:val="24"/>
      </w:rPr>
      <w:t>/</w:t>
    </w:r>
    <w:r w:rsidR="009717BD">
      <w:rPr>
        <w:rFonts w:ascii="Times New Roman" w:hAnsi="Times New Roman"/>
        <w:szCs w:val="24"/>
      </w:rPr>
      <w:t>2024</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5C881504"/>
    <w:multiLevelType w:val="hybridMultilevel"/>
    <w:tmpl w:val="E5E4FA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60F43095"/>
    <w:multiLevelType w:val="hybridMultilevel"/>
    <w:tmpl w:val="E930895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4211526">
    <w:abstractNumId w:val="0"/>
  </w:num>
  <w:num w:numId="2" w16cid:durableId="1912228865">
    <w:abstractNumId w:val="2"/>
  </w:num>
  <w:num w:numId="3" w16cid:durableId="2137870042">
    <w:abstractNumId w:val="1"/>
  </w:num>
  <w:num w:numId="4" w16cid:durableId="1161192811">
    <w:abstractNumId w:val="5"/>
  </w:num>
  <w:num w:numId="5" w16cid:durableId="1933124869">
    <w:abstractNumId w:val="6"/>
  </w:num>
  <w:num w:numId="6" w16cid:durableId="904414314">
    <w:abstractNumId w:val="4"/>
  </w:num>
  <w:num w:numId="7" w16cid:durableId="1361471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Moves/>
  <w:doNotTrackFormatting/>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23B54"/>
    <w:rsid w:val="0003182B"/>
    <w:rsid w:val="000321DB"/>
    <w:rsid w:val="00035ED5"/>
    <w:rsid w:val="00043C32"/>
    <w:rsid w:val="000446F5"/>
    <w:rsid w:val="00056D8A"/>
    <w:rsid w:val="0007130B"/>
    <w:rsid w:val="000721D7"/>
    <w:rsid w:val="000758CC"/>
    <w:rsid w:val="00093017"/>
    <w:rsid w:val="00093C21"/>
    <w:rsid w:val="00096EF5"/>
    <w:rsid w:val="0009731A"/>
    <w:rsid w:val="000A094D"/>
    <w:rsid w:val="000D15C1"/>
    <w:rsid w:val="000E4657"/>
    <w:rsid w:val="000E76A6"/>
    <w:rsid w:val="000F5605"/>
    <w:rsid w:val="000F5736"/>
    <w:rsid w:val="000F58BB"/>
    <w:rsid w:val="001310FA"/>
    <w:rsid w:val="00143297"/>
    <w:rsid w:val="00145594"/>
    <w:rsid w:val="00145E45"/>
    <w:rsid w:val="00150479"/>
    <w:rsid w:val="00156D8A"/>
    <w:rsid w:val="001778DD"/>
    <w:rsid w:val="00181861"/>
    <w:rsid w:val="001824F3"/>
    <w:rsid w:val="001837E1"/>
    <w:rsid w:val="00196904"/>
    <w:rsid w:val="001A43D7"/>
    <w:rsid w:val="001A6956"/>
    <w:rsid w:val="001A6AB6"/>
    <w:rsid w:val="001A6AE0"/>
    <w:rsid w:val="001A772C"/>
    <w:rsid w:val="001B4673"/>
    <w:rsid w:val="001B6D50"/>
    <w:rsid w:val="001C1992"/>
    <w:rsid w:val="001C73C0"/>
    <w:rsid w:val="001C7D81"/>
    <w:rsid w:val="001D2191"/>
    <w:rsid w:val="001E4EE4"/>
    <w:rsid w:val="001E79BD"/>
    <w:rsid w:val="001F2E71"/>
    <w:rsid w:val="00211226"/>
    <w:rsid w:val="00211430"/>
    <w:rsid w:val="002225CC"/>
    <w:rsid w:val="00224A3B"/>
    <w:rsid w:val="002367A6"/>
    <w:rsid w:val="00236BED"/>
    <w:rsid w:val="0023776E"/>
    <w:rsid w:val="00240A39"/>
    <w:rsid w:val="00246FE9"/>
    <w:rsid w:val="00250100"/>
    <w:rsid w:val="00250D10"/>
    <w:rsid w:val="00262A69"/>
    <w:rsid w:val="002673D8"/>
    <w:rsid w:val="00270AF7"/>
    <w:rsid w:val="002738AE"/>
    <w:rsid w:val="0027457E"/>
    <w:rsid w:val="00281CA2"/>
    <w:rsid w:val="0028300C"/>
    <w:rsid w:val="00287E5B"/>
    <w:rsid w:val="00290BBC"/>
    <w:rsid w:val="00294EE5"/>
    <w:rsid w:val="002A3221"/>
    <w:rsid w:val="002A3738"/>
    <w:rsid w:val="002C3520"/>
    <w:rsid w:val="002C432D"/>
    <w:rsid w:val="002C49BF"/>
    <w:rsid w:val="002D0F25"/>
    <w:rsid w:val="002E14E0"/>
    <w:rsid w:val="002F55E5"/>
    <w:rsid w:val="00303082"/>
    <w:rsid w:val="0032078A"/>
    <w:rsid w:val="0032539E"/>
    <w:rsid w:val="00333EA8"/>
    <w:rsid w:val="0036556B"/>
    <w:rsid w:val="003721EF"/>
    <w:rsid w:val="00374618"/>
    <w:rsid w:val="003772A6"/>
    <w:rsid w:val="003860E4"/>
    <w:rsid w:val="003B1545"/>
    <w:rsid w:val="003C7E9D"/>
    <w:rsid w:val="003D3970"/>
    <w:rsid w:val="003F011E"/>
    <w:rsid w:val="003F4135"/>
    <w:rsid w:val="004007B5"/>
    <w:rsid w:val="00400EB5"/>
    <w:rsid w:val="00412915"/>
    <w:rsid w:val="00427C1A"/>
    <w:rsid w:val="00442E07"/>
    <w:rsid w:val="00444791"/>
    <w:rsid w:val="004600CA"/>
    <w:rsid w:val="00480053"/>
    <w:rsid w:val="004A25FD"/>
    <w:rsid w:val="004A2C8A"/>
    <w:rsid w:val="004A61C0"/>
    <w:rsid w:val="004B43C0"/>
    <w:rsid w:val="004B4667"/>
    <w:rsid w:val="004B4E9A"/>
    <w:rsid w:val="004B7C15"/>
    <w:rsid w:val="004C3941"/>
    <w:rsid w:val="004C6EE8"/>
    <w:rsid w:val="004D4641"/>
    <w:rsid w:val="004E5710"/>
    <w:rsid w:val="004F41B7"/>
    <w:rsid w:val="004F484A"/>
    <w:rsid w:val="004F4E24"/>
    <w:rsid w:val="004F78A9"/>
    <w:rsid w:val="00502DB5"/>
    <w:rsid w:val="00507FB6"/>
    <w:rsid w:val="00516F95"/>
    <w:rsid w:val="0052073E"/>
    <w:rsid w:val="005331A0"/>
    <w:rsid w:val="005332DB"/>
    <w:rsid w:val="00534B4A"/>
    <w:rsid w:val="005422DF"/>
    <w:rsid w:val="00543F9C"/>
    <w:rsid w:val="0054653F"/>
    <w:rsid w:val="00564150"/>
    <w:rsid w:val="00570CD5"/>
    <w:rsid w:val="00575DDA"/>
    <w:rsid w:val="00581C11"/>
    <w:rsid w:val="005911AF"/>
    <w:rsid w:val="00591BB0"/>
    <w:rsid w:val="005A0002"/>
    <w:rsid w:val="005A4B21"/>
    <w:rsid w:val="005B7760"/>
    <w:rsid w:val="005C2F97"/>
    <w:rsid w:val="005F4E11"/>
    <w:rsid w:val="00613B4C"/>
    <w:rsid w:val="00616E9C"/>
    <w:rsid w:val="00626A97"/>
    <w:rsid w:val="00627FD7"/>
    <w:rsid w:val="00640FE0"/>
    <w:rsid w:val="00646846"/>
    <w:rsid w:val="00656B4E"/>
    <w:rsid w:val="0068567A"/>
    <w:rsid w:val="00686FC0"/>
    <w:rsid w:val="0069303D"/>
    <w:rsid w:val="006A292A"/>
    <w:rsid w:val="006A38F7"/>
    <w:rsid w:val="006A4EBB"/>
    <w:rsid w:val="006B38F7"/>
    <w:rsid w:val="006B3EA6"/>
    <w:rsid w:val="006B3F4F"/>
    <w:rsid w:val="006B4172"/>
    <w:rsid w:val="006C422F"/>
    <w:rsid w:val="006C73A1"/>
    <w:rsid w:val="006D7CB4"/>
    <w:rsid w:val="006E0270"/>
    <w:rsid w:val="006E626A"/>
    <w:rsid w:val="006F6452"/>
    <w:rsid w:val="007050AE"/>
    <w:rsid w:val="00712B17"/>
    <w:rsid w:val="00713B69"/>
    <w:rsid w:val="0072376F"/>
    <w:rsid w:val="007340DF"/>
    <w:rsid w:val="0073784E"/>
    <w:rsid w:val="0074702A"/>
    <w:rsid w:val="0075590A"/>
    <w:rsid w:val="00755D99"/>
    <w:rsid w:val="00756FD3"/>
    <w:rsid w:val="007610FD"/>
    <w:rsid w:val="007635B8"/>
    <w:rsid w:val="00765392"/>
    <w:rsid w:val="0076777A"/>
    <w:rsid w:val="00775DB2"/>
    <w:rsid w:val="007815B2"/>
    <w:rsid w:val="00790E3E"/>
    <w:rsid w:val="007A48BC"/>
    <w:rsid w:val="007A5F49"/>
    <w:rsid w:val="007C0082"/>
    <w:rsid w:val="007C0A4C"/>
    <w:rsid w:val="007C1DE2"/>
    <w:rsid w:val="007C700A"/>
    <w:rsid w:val="007D2837"/>
    <w:rsid w:val="007E5699"/>
    <w:rsid w:val="007E7EAC"/>
    <w:rsid w:val="007F58B8"/>
    <w:rsid w:val="007F6104"/>
    <w:rsid w:val="00800D30"/>
    <w:rsid w:val="00801FFA"/>
    <w:rsid w:val="00807D1A"/>
    <w:rsid w:val="00830EE0"/>
    <w:rsid w:val="00834A62"/>
    <w:rsid w:val="0085237F"/>
    <w:rsid w:val="00861EBD"/>
    <w:rsid w:val="00866DB6"/>
    <w:rsid w:val="00874EFE"/>
    <w:rsid w:val="00882126"/>
    <w:rsid w:val="008933F1"/>
    <w:rsid w:val="008A1E80"/>
    <w:rsid w:val="008A7359"/>
    <w:rsid w:val="008B71F7"/>
    <w:rsid w:val="008D0601"/>
    <w:rsid w:val="008D08F9"/>
    <w:rsid w:val="008D0E4E"/>
    <w:rsid w:val="008D1F11"/>
    <w:rsid w:val="008E5919"/>
    <w:rsid w:val="008F38F0"/>
    <w:rsid w:val="009016E2"/>
    <w:rsid w:val="0090181F"/>
    <w:rsid w:val="00905951"/>
    <w:rsid w:val="00912D2C"/>
    <w:rsid w:val="00914292"/>
    <w:rsid w:val="009157E3"/>
    <w:rsid w:val="00916EE4"/>
    <w:rsid w:val="00920F63"/>
    <w:rsid w:val="009243F3"/>
    <w:rsid w:val="00926B14"/>
    <w:rsid w:val="0093366B"/>
    <w:rsid w:val="00934185"/>
    <w:rsid w:val="00943688"/>
    <w:rsid w:val="00946126"/>
    <w:rsid w:val="00951B90"/>
    <w:rsid w:val="00952DF9"/>
    <w:rsid w:val="0095421D"/>
    <w:rsid w:val="00960C86"/>
    <w:rsid w:val="00966503"/>
    <w:rsid w:val="00970E5A"/>
    <w:rsid w:val="009717BD"/>
    <w:rsid w:val="009735F4"/>
    <w:rsid w:val="0097452C"/>
    <w:rsid w:val="009767AF"/>
    <w:rsid w:val="009812C3"/>
    <w:rsid w:val="00981F58"/>
    <w:rsid w:val="00986D0A"/>
    <w:rsid w:val="009A32EC"/>
    <w:rsid w:val="009A4BE1"/>
    <w:rsid w:val="009C37AF"/>
    <w:rsid w:val="009C3952"/>
    <w:rsid w:val="009C4811"/>
    <w:rsid w:val="009E17D1"/>
    <w:rsid w:val="009E3E86"/>
    <w:rsid w:val="009F5FEA"/>
    <w:rsid w:val="009F7FB2"/>
    <w:rsid w:val="00A118A2"/>
    <w:rsid w:val="00A23F26"/>
    <w:rsid w:val="00A30A15"/>
    <w:rsid w:val="00A34847"/>
    <w:rsid w:val="00A4001C"/>
    <w:rsid w:val="00A40AAB"/>
    <w:rsid w:val="00A40F61"/>
    <w:rsid w:val="00A4583C"/>
    <w:rsid w:val="00A46631"/>
    <w:rsid w:val="00A46D01"/>
    <w:rsid w:val="00A70816"/>
    <w:rsid w:val="00A73590"/>
    <w:rsid w:val="00A7636D"/>
    <w:rsid w:val="00A9138E"/>
    <w:rsid w:val="00AA5138"/>
    <w:rsid w:val="00AB5550"/>
    <w:rsid w:val="00AC1C89"/>
    <w:rsid w:val="00AD381B"/>
    <w:rsid w:val="00AE2BB6"/>
    <w:rsid w:val="00AE3C52"/>
    <w:rsid w:val="00AE66F5"/>
    <w:rsid w:val="00AF5B5B"/>
    <w:rsid w:val="00AF5D1A"/>
    <w:rsid w:val="00B00F09"/>
    <w:rsid w:val="00B017F9"/>
    <w:rsid w:val="00B07213"/>
    <w:rsid w:val="00B10A05"/>
    <w:rsid w:val="00B135F6"/>
    <w:rsid w:val="00B16525"/>
    <w:rsid w:val="00B210E6"/>
    <w:rsid w:val="00B243E8"/>
    <w:rsid w:val="00B3604B"/>
    <w:rsid w:val="00B54167"/>
    <w:rsid w:val="00B61E03"/>
    <w:rsid w:val="00B62E06"/>
    <w:rsid w:val="00B632BF"/>
    <w:rsid w:val="00B64B1D"/>
    <w:rsid w:val="00B6729C"/>
    <w:rsid w:val="00B704FF"/>
    <w:rsid w:val="00B70A3D"/>
    <w:rsid w:val="00B74E64"/>
    <w:rsid w:val="00B958AC"/>
    <w:rsid w:val="00B9671B"/>
    <w:rsid w:val="00BA1D31"/>
    <w:rsid w:val="00BB03CE"/>
    <w:rsid w:val="00BB0CAD"/>
    <w:rsid w:val="00BB320B"/>
    <w:rsid w:val="00BC1A67"/>
    <w:rsid w:val="00BC69D2"/>
    <w:rsid w:val="00BC750D"/>
    <w:rsid w:val="00BD0898"/>
    <w:rsid w:val="00BE3A08"/>
    <w:rsid w:val="00BE3D89"/>
    <w:rsid w:val="00C0028F"/>
    <w:rsid w:val="00C01140"/>
    <w:rsid w:val="00C164D3"/>
    <w:rsid w:val="00C20670"/>
    <w:rsid w:val="00C224FD"/>
    <w:rsid w:val="00C23721"/>
    <w:rsid w:val="00C43D30"/>
    <w:rsid w:val="00C4705D"/>
    <w:rsid w:val="00C64846"/>
    <w:rsid w:val="00C75830"/>
    <w:rsid w:val="00C86713"/>
    <w:rsid w:val="00C87559"/>
    <w:rsid w:val="00C875E8"/>
    <w:rsid w:val="00C92035"/>
    <w:rsid w:val="00C92850"/>
    <w:rsid w:val="00CA3F9B"/>
    <w:rsid w:val="00CA4D7E"/>
    <w:rsid w:val="00CC2A72"/>
    <w:rsid w:val="00CC36B9"/>
    <w:rsid w:val="00CC3747"/>
    <w:rsid w:val="00CC3FB5"/>
    <w:rsid w:val="00CD2067"/>
    <w:rsid w:val="00CD47BC"/>
    <w:rsid w:val="00CD6973"/>
    <w:rsid w:val="00CE2245"/>
    <w:rsid w:val="00CE4514"/>
    <w:rsid w:val="00CF5C01"/>
    <w:rsid w:val="00D20799"/>
    <w:rsid w:val="00D34984"/>
    <w:rsid w:val="00D36C35"/>
    <w:rsid w:val="00D467FA"/>
    <w:rsid w:val="00D60C70"/>
    <w:rsid w:val="00D66964"/>
    <w:rsid w:val="00D75313"/>
    <w:rsid w:val="00D77D74"/>
    <w:rsid w:val="00DA6407"/>
    <w:rsid w:val="00DB1614"/>
    <w:rsid w:val="00DB4AF1"/>
    <w:rsid w:val="00DD53B9"/>
    <w:rsid w:val="00DF1F23"/>
    <w:rsid w:val="00E05CB6"/>
    <w:rsid w:val="00E16ACD"/>
    <w:rsid w:val="00E17134"/>
    <w:rsid w:val="00E22FD3"/>
    <w:rsid w:val="00E23F05"/>
    <w:rsid w:val="00E25EBC"/>
    <w:rsid w:val="00E420B7"/>
    <w:rsid w:val="00E45115"/>
    <w:rsid w:val="00E50BE9"/>
    <w:rsid w:val="00E52BFC"/>
    <w:rsid w:val="00E64FD8"/>
    <w:rsid w:val="00E66550"/>
    <w:rsid w:val="00E7444A"/>
    <w:rsid w:val="00E877BF"/>
    <w:rsid w:val="00E903D2"/>
    <w:rsid w:val="00EA1767"/>
    <w:rsid w:val="00EA3F32"/>
    <w:rsid w:val="00EA4C72"/>
    <w:rsid w:val="00EA69E8"/>
    <w:rsid w:val="00EB0929"/>
    <w:rsid w:val="00EB0FA5"/>
    <w:rsid w:val="00EB5D03"/>
    <w:rsid w:val="00EC01DD"/>
    <w:rsid w:val="00EC2F0A"/>
    <w:rsid w:val="00EC35E3"/>
    <w:rsid w:val="00EC7066"/>
    <w:rsid w:val="00ED1BBD"/>
    <w:rsid w:val="00ED7195"/>
    <w:rsid w:val="00EE052C"/>
    <w:rsid w:val="00EF4C67"/>
    <w:rsid w:val="00F032BA"/>
    <w:rsid w:val="00F0414F"/>
    <w:rsid w:val="00F070F3"/>
    <w:rsid w:val="00F11F7B"/>
    <w:rsid w:val="00F1335E"/>
    <w:rsid w:val="00F1637E"/>
    <w:rsid w:val="00F27AAF"/>
    <w:rsid w:val="00F31BEC"/>
    <w:rsid w:val="00F503A9"/>
    <w:rsid w:val="00F5782B"/>
    <w:rsid w:val="00F62F18"/>
    <w:rsid w:val="00F73131"/>
    <w:rsid w:val="00F74288"/>
    <w:rsid w:val="00F7735F"/>
    <w:rsid w:val="00F93728"/>
    <w:rsid w:val="00F953B7"/>
    <w:rsid w:val="00F96B24"/>
    <w:rsid w:val="00FA51DA"/>
    <w:rsid w:val="00FB6309"/>
    <w:rsid w:val="00FC669D"/>
    <w:rsid w:val="00FD4F0B"/>
    <w:rsid w:val="00FE02FC"/>
    <w:rsid w:val="00FE1BAE"/>
    <w:rsid w:val="00FF3E65"/>
    <w:rsid w:val="00FF595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FC4F2D61-59B1-4EE6-9C71-83453DBBA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Revision">
    <w:name w:val="Revision"/>
    <w:hidden/>
    <w:uiPriority w:val="99"/>
    <w:semiHidden/>
    <w:rsid w:val="00281CA2"/>
    <w:rPr>
      <w:rFonts w:ascii="Courier" w:hAnsi="Courier"/>
      <w:sz w:val="24"/>
    </w:rPr>
  </w:style>
  <w:style w:type="character" w:styleId="FollowedHyperlink">
    <w:name w:val="FollowedHyperlink"/>
    <w:basedOn w:val="DefaultParagraphFont"/>
    <w:uiPriority w:val="99"/>
    <w:semiHidden/>
    <w:unhideWhenUsed/>
    <w:rsid w:val="007C00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3d01051b39a985c9bd6cf74f08091c7c">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3f620ef3ca41c1caea218645db729e3e"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5D62B102-4910-4ECF-B861-AA93AFBFA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1C0FC2ED-6745-40E5-99DC-404EF7F56774}">
  <ds:schemaRefs>
    <ds:schemaRef ds:uri="http://purl.org/dc/terms/"/>
    <ds:schemaRef ds:uri="http://schemas.openxmlformats.org/package/2006/metadata/core-properties"/>
    <ds:schemaRef ds:uri="http://schemas.microsoft.com/office/2006/metadata/properties"/>
    <ds:schemaRef ds:uri="a9a93928-7ac7-4c2f-90e6-3a0e778b9dd0"/>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2a2db8c4-56ab-4882-a5d0-0fe8165c6658"/>
    <ds:schemaRef ds:uri="bd10e23a-f09c-45e3-849e-438a97faa0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3509</Words>
  <Characters>20006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2024-07-15T15:31:00Z</dcterms:created>
  <dcterms:modified xsi:type="dcterms:W3CDTF">2024-07-15T15:31:00Z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DOCS AutoSave">
    <vt:lpwstr>20240617142923690</vt:lpwstr>
  </property>
  <property fmtid="{D5CDD505-2E9C-101B-9397-08002B2CF9AE}" pid="7" name="Enterprise Navigation Section">
    <vt:lpwstr>1324;#Information Collection Clearance Division|7c44fac8-3be8-47c1-8865-7a007fc70514</vt:lpwstr>
  </property>
  <property fmtid="{D5CDD505-2E9C-101B-9397-08002B2CF9AE}" pid="8" name="Enterprise Site Category/Topic">
    <vt:lpwstr/>
  </property>
  <property fmtid="{D5CDD505-2E9C-101B-9397-08002B2CF9AE}" pid="9" name="hebfa55e97a440a4b0b631fde26adccc">
    <vt:lpwstr/>
  </property>
  <property fmtid="{D5CDD505-2E9C-101B-9397-08002B2CF9AE}" pid="10"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1" name="MediaServiceImageTags">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_dlc_DocIdItemGuid">
    <vt:lpwstr>7263bcb4-c9a1-4bf8-a9b4-ad908258715e</vt:lpwstr>
  </property>
  <property fmtid="{D5CDD505-2E9C-101B-9397-08002B2CF9AE}" pid="16" name="_dlc_LastRun">
    <vt:lpwstr>10/27/2018 01:05:07</vt:lpwstr>
  </property>
  <property fmtid="{D5CDD505-2E9C-101B-9397-08002B2CF9AE}" pid="17" name="_dlc_policyId">
    <vt:lpwstr>0x0101001C22A2B9DBEDBB4DB130C1FAF5F2F008|-175781640</vt:lpwstr>
  </property>
</Properties>
</file>