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DC0AB4" w:rsidRPr="00B6208A" w:rsidP="00DC0AB4" w14:paraId="6FC2DE89" w14:textId="77777777">
      <w:pPr>
        <w:tabs>
          <w:tab w:val="left" w:pos="0"/>
        </w:tabs>
        <w:suppressAutoHyphens/>
        <w:jc w:val="center"/>
        <w:rPr>
          <w:rFonts w:asciiTheme="minorHAnsi" w:hAnsiTheme="minorHAnsi" w:cstheme="minorHAnsi"/>
          <w:szCs w:val="24"/>
        </w:rPr>
      </w:pPr>
      <w:r w:rsidRPr="00B6208A">
        <w:rPr>
          <w:rFonts w:asciiTheme="minorHAnsi" w:hAnsiTheme="minorHAnsi" w:cstheme="minorHAnsi"/>
          <w:szCs w:val="24"/>
        </w:rPr>
        <w:t>Student Assistance General Provisions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626732" w:rsidP="00DC0AB4" w14:paraId="09F50733" w14:textId="77777777">
      <w:pPr>
        <w:pStyle w:val="ListParagraph"/>
        <w:suppressAutoHyphens/>
        <w:contextualSpacing w:val="0"/>
        <w:rPr>
          <w:rFonts w:asciiTheme="minorHAnsi" w:hAnsiTheme="minorHAnsi" w:cstheme="minorHAnsi"/>
          <w:szCs w:val="24"/>
        </w:rPr>
      </w:pPr>
    </w:p>
    <w:p w:rsidR="00DC0AB4" w:rsidP="00626732" w14:paraId="6F04D04B" w14:textId="73C5E527">
      <w:pPr>
        <w:pStyle w:val="ListParagraph"/>
        <w:suppressAutoHyphens/>
        <w:contextualSpacing w:val="0"/>
        <w:rPr>
          <w:rFonts w:asciiTheme="minorHAnsi" w:hAnsiTheme="minorHAnsi" w:cstheme="minorHAnsi"/>
        </w:rPr>
      </w:pPr>
      <w:r>
        <w:rPr>
          <w:rFonts w:asciiTheme="minorHAnsi" w:hAnsiTheme="minorHAnsi" w:cstheme="minorHAnsi"/>
          <w:szCs w:val="24"/>
        </w:rPr>
        <w:t>I</w:t>
      </w:r>
      <w:r w:rsidRPr="006A5BE8">
        <w:rPr>
          <w:rFonts w:asciiTheme="minorHAnsi" w:hAnsiTheme="minorHAnsi" w:cstheme="minorHAnsi"/>
          <w:szCs w:val="24"/>
        </w:rPr>
        <w:t xml:space="preserve">n </w:t>
      </w:r>
      <w:r>
        <w:rPr>
          <w:rFonts w:asciiTheme="minorHAnsi" w:hAnsiTheme="minorHAnsi" w:cstheme="minorHAnsi"/>
          <w:szCs w:val="24"/>
        </w:rPr>
        <w:t>January 202</w:t>
      </w:r>
      <w:r>
        <w:rPr>
          <w:rFonts w:asciiTheme="minorHAnsi" w:hAnsiTheme="minorHAnsi" w:cstheme="minorHAnsi"/>
          <w:szCs w:val="24"/>
        </w:rPr>
        <w:t>4</w:t>
      </w:r>
      <w:r w:rsidRPr="006A5BE8">
        <w:rPr>
          <w:rFonts w:asciiTheme="minorHAnsi" w:hAnsiTheme="minorHAnsi" w:cstheme="minorHAnsi"/>
          <w:szCs w:val="24"/>
        </w:rPr>
        <w:t xml:space="preserve">, the Department convened a negotiated rulemaking committee, the </w:t>
      </w:r>
      <w:r>
        <w:rPr>
          <w:rFonts w:asciiTheme="minorHAnsi" w:hAnsiTheme="minorHAnsi" w:cstheme="minorHAnsi"/>
          <w:szCs w:val="24"/>
        </w:rPr>
        <w:t>Program Integrity and Institutional Quality</w:t>
      </w:r>
      <w:r w:rsidRPr="006A5BE8">
        <w:rPr>
          <w:rFonts w:asciiTheme="minorHAnsi" w:hAnsiTheme="minorHAnsi" w:cstheme="minorHAnsi"/>
          <w:szCs w:val="24"/>
        </w:rPr>
        <w:t xml:space="preserve"> Committee, to consider proposed regulations for the title IV</w:t>
      </w:r>
      <w:r>
        <w:rPr>
          <w:rFonts w:asciiTheme="minorHAnsi" w:hAnsiTheme="minorHAnsi" w:cstheme="minorHAnsi"/>
          <w:szCs w:val="24"/>
        </w:rPr>
        <w:t>,</w:t>
      </w:r>
      <w:r w:rsidRPr="006A5BE8">
        <w:rPr>
          <w:rFonts w:asciiTheme="minorHAnsi" w:hAnsiTheme="minorHAnsi" w:cstheme="minorHAnsi"/>
          <w:szCs w:val="24"/>
        </w:rPr>
        <w:t xml:space="preserve"> </w:t>
      </w:r>
      <w:r>
        <w:rPr>
          <w:rFonts w:asciiTheme="minorHAnsi" w:hAnsiTheme="minorHAnsi" w:cstheme="minorHAnsi"/>
          <w:szCs w:val="24"/>
        </w:rPr>
        <w:t>Higher Education Act of 1965, as amended, (</w:t>
      </w:r>
      <w:r w:rsidRPr="005D119B">
        <w:rPr>
          <w:rFonts w:asciiTheme="minorHAnsi" w:hAnsiTheme="minorHAnsi" w:cstheme="minorHAnsi"/>
          <w:szCs w:val="24"/>
        </w:rPr>
        <w:t>HEA</w:t>
      </w:r>
      <w:r w:rsidRPr="007B69FA">
        <w:rPr>
          <w:rFonts w:asciiTheme="minorHAnsi" w:hAnsiTheme="minorHAnsi" w:cstheme="minorHAnsi"/>
          <w:szCs w:val="24"/>
        </w:rPr>
        <w:t>)</w:t>
      </w:r>
      <w:r>
        <w:rPr>
          <w:rFonts w:asciiTheme="minorHAnsi" w:hAnsiTheme="minorHAnsi" w:cstheme="minorHAnsi"/>
          <w:szCs w:val="24"/>
        </w:rPr>
        <w:t xml:space="preserve"> programs</w:t>
      </w:r>
      <w:r w:rsidRPr="006A5BE8">
        <w:rPr>
          <w:rFonts w:asciiTheme="minorHAnsi" w:hAnsiTheme="minorHAnsi" w:cstheme="minorHAnsi"/>
          <w:szCs w:val="24"/>
        </w:rPr>
        <w:t xml:space="preserve">. </w:t>
      </w:r>
      <w:r w:rsidRPr="0012466B">
        <w:rPr>
          <w:rFonts w:asciiTheme="minorHAnsi" w:hAnsiTheme="minorHAnsi" w:cstheme="minorHAnsi"/>
          <w:szCs w:val="24"/>
        </w:rPr>
        <w:t xml:space="preserve"> </w:t>
      </w:r>
      <w:r>
        <w:rPr>
          <w:rFonts w:asciiTheme="minorHAnsi" w:hAnsiTheme="minorHAnsi" w:cstheme="minorHAnsi"/>
          <w:szCs w:val="24"/>
        </w:rPr>
        <w:t xml:space="preserve">Through the Notice of Proposed Rulemaking (NPRM), docket number </w:t>
      </w:r>
      <w:r w:rsidRPr="00564132">
        <w:rPr>
          <w:rFonts w:asciiTheme="minorHAnsi" w:hAnsiTheme="minorHAnsi" w:cstheme="minorHAnsi"/>
          <w:szCs w:val="24"/>
        </w:rPr>
        <w:t>ED-202</w:t>
      </w:r>
      <w:r>
        <w:rPr>
          <w:rFonts w:asciiTheme="minorHAnsi" w:hAnsiTheme="minorHAnsi" w:cstheme="minorHAnsi"/>
          <w:szCs w:val="24"/>
        </w:rPr>
        <w:t>4</w:t>
      </w:r>
      <w:r w:rsidRPr="00564132">
        <w:rPr>
          <w:rFonts w:asciiTheme="minorHAnsi" w:hAnsiTheme="minorHAnsi" w:cstheme="minorHAnsi"/>
          <w:szCs w:val="24"/>
        </w:rPr>
        <w:t>-OPE-00</w:t>
      </w:r>
      <w:r>
        <w:rPr>
          <w:rFonts w:asciiTheme="minorHAnsi" w:hAnsiTheme="minorHAnsi" w:cstheme="minorHAnsi"/>
          <w:szCs w:val="24"/>
        </w:rPr>
        <w:t>50</w:t>
      </w:r>
      <w:r>
        <w:rPr>
          <w:rFonts w:asciiTheme="minorHAnsi" w:hAnsiTheme="minorHAnsi" w:cstheme="minorHAnsi"/>
          <w:szCs w:val="24"/>
        </w:rPr>
        <w:t>, t</w:t>
      </w:r>
      <w:r w:rsidRPr="0012466B">
        <w:rPr>
          <w:rFonts w:asciiTheme="minorHAnsi" w:hAnsiTheme="minorHAnsi" w:cstheme="minorHAnsi"/>
          <w:szCs w:val="24"/>
        </w:rPr>
        <w:t>he Secretary</w:t>
      </w:r>
      <w:r w:rsidRPr="0012466B">
        <w:rPr>
          <w:rFonts w:asciiTheme="minorHAnsi" w:hAnsiTheme="minorHAnsi" w:cstheme="minorHAnsi"/>
        </w:rPr>
        <w:t xml:space="preserve"> </w:t>
      </w:r>
      <w:r w:rsidRPr="00510E61">
        <w:rPr>
          <w:rFonts w:asciiTheme="minorHAnsi" w:hAnsiTheme="minorHAnsi" w:cstheme="minorHAnsi"/>
        </w:rPr>
        <w:t>propos</w:t>
      </w:r>
      <w:r>
        <w:rPr>
          <w:rFonts w:asciiTheme="minorHAnsi" w:hAnsiTheme="minorHAnsi" w:cstheme="minorHAnsi"/>
        </w:rPr>
        <w:t>es</w:t>
      </w:r>
      <w:r w:rsidRPr="00510E61">
        <w:rPr>
          <w:rFonts w:asciiTheme="minorHAnsi" w:hAnsiTheme="minorHAnsi" w:cstheme="minorHAnsi"/>
        </w:rPr>
        <w:t xml:space="preserve"> new regulations to promote </w:t>
      </w:r>
      <w:r w:rsidR="00626732">
        <w:rPr>
          <w:rFonts w:asciiTheme="minorHAnsi" w:hAnsiTheme="minorHAnsi" w:cstheme="minorHAnsi"/>
        </w:rPr>
        <w:t xml:space="preserve">program integrity and institutional quality.  The NPRM regulations would clarify, update, and consolidate certain provisions that apply to distance education; the return of title IV, HEA funds; and the Federal TRIO programs.  </w:t>
      </w:r>
    </w:p>
    <w:p w:rsidR="00DC0AB4" w:rsidP="00DC0AB4" w14:paraId="36539A7A" w14:textId="49557FD0">
      <w:pPr>
        <w:suppressAutoHyphens/>
        <w:ind w:left="720"/>
        <w:rPr>
          <w:rFonts w:asciiTheme="minorHAnsi" w:hAnsiTheme="minorHAnsi" w:cstheme="minorHAnsi"/>
          <w:szCs w:val="24"/>
        </w:rPr>
      </w:pPr>
    </w:p>
    <w:p w:rsidR="00DC0AB4" w:rsidP="00DC0AB4" w14:paraId="70152C98" w14:textId="74431831">
      <w:pPr>
        <w:suppressAutoHyphens/>
        <w:ind w:left="720"/>
        <w:rPr>
          <w:rFonts w:asciiTheme="minorHAnsi" w:hAnsiTheme="minorHAnsi" w:cstheme="minorHAnsi"/>
          <w:szCs w:val="24"/>
        </w:rPr>
      </w:pPr>
      <w:r w:rsidRPr="00F2296E">
        <w:rPr>
          <w:rFonts w:asciiTheme="minorHAnsi" w:hAnsiTheme="minorHAnsi" w:cstheme="minorHAnsi"/>
          <w:szCs w:val="24"/>
        </w:rPr>
        <w:t xml:space="preserve">The </w:t>
      </w:r>
      <w:r>
        <w:rPr>
          <w:rFonts w:asciiTheme="minorHAnsi" w:hAnsiTheme="minorHAnsi" w:cstheme="minorHAnsi"/>
          <w:szCs w:val="24"/>
        </w:rPr>
        <w:t>NPRM</w:t>
      </w:r>
      <w:r w:rsidRPr="00F2296E">
        <w:rPr>
          <w:rFonts w:asciiTheme="minorHAnsi" w:hAnsiTheme="minorHAnsi" w:cstheme="minorHAnsi"/>
          <w:szCs w:val="24"/>
        </w:rPr>
        <w:t xml:space="preserve"> proposes</w:t>
      </w:r>
      <w:r>
        <w:rPr>
          <w:rFonts w:asciiTheme="minorHAnsi" w:hAnsiTheme="minorHAnsi" w:cstheme="minorHAnsi"/>
          <w:szCs w:val="24"/>
        </w:rPr>
        <w:t xml:space="preserve"> the following changes to the information collection 1845-0022 – Student Assistance General Provisions.</w:t>
      </w:r>
    </w:p>
    <w:p w:rsidR="005866BD" w:rsidP="005866BD" w14:paraId="1407B074" w14:textId="06091A60">
      <w:pPr>
        <w:ind w:left="720"/>
        <w:rPr>
          <w:rFonts w:asciiTheme="minorHAnsi" w:hAnsiTheme="minorHAnsi" w:cstheme="minorHAnsi"/>
          <w:szCs w:val="24"/>
        </w:rPr>
      </w:pPr>
    </w:p>
    <w:p w:rsidR="00D0478D" w:rsidP="002D0CFC" w14:paraId="619B3477" w14:textId="77777777">
      <w:pPr>
        <w:ind w:firstLine="720"/>
        <w:rPr>
          <w:rFonts w:asciiTheme="minorHAnsi" w:hAnsiTheme="minorHAnsi" w:cstheme="minorHAnsi"/>
          <w:szCs w:val="24"/>
        </w:rPr>
      </w:pPr>
      <w:r w:rsidRPr="005866BD">
        <w:rPr>
          <w:rFonts w:asciiTheme="minorHAnsi" w:hAnsiTheme="minorHAnsi" w:cstheme="minorHAnsi"/>
          <w:szCs w:val="24"/>
        </w:rPr>
        <w:t>Section</w:t>
      </w:r>
      <w:r w:rsidRPr="00DA6D53" w:rsidR="00DA6D53">
        <w:rPr>
          <w:rFonts w:asciiTheme="minorHAnsi" w:hAnsiTheme="minorHAnsi" w:cstheme="minorHAnsi"/>
          <w:szCs w:val="24"/>
        </w:rPr>
        <w:t xml:space="preserve"> 668.22 Treatment of title IV funds when a student withdraws.</w:t>
      </w:r>
      <w:r>
        <w:rPr>
          <w:rFonts w:asciiTheme="minorHAnsi" w:hAnsiTheme="minorHAnsi" w:cstheme="minorHAnsi"/>
          <w:szCs w:val="24"/>
        </w:rPr>
        <w:t xml:space="preserve"> </w:t>
      </w:r>
    </w:p>
    <w:p w:rsidR="00DA6D53" w:rsidRPr="00DA6D53" w:rsidP="002D0CFC" w14:paraId="06EB5BFF" w14:textId="191084CE">
      <w:pPr>
        <w:ind w:left="720"/>
        <w:rPr>
          <w:rFonts w:asciiTheme="minorHAnsi" w:hAnsiTheme="minorHAnsi" w:cstheme="minorHAnsi"/>
          <w:szCs w:val="24"/>
        </w:rPr>
      </w:pPr>
      <w:r>
        <w:rPr>
          <w:rFonts w:asciiTheme="minorHAnsi" w:hAnsiTheme="minorHAnsi" w:cstheme="minorHAnsi"/>
          <w:szCs w:val="24"/>
        </w:rPr>
        <w:t>The proposed revision to 668.22</w:t>
      </w:r>
      <w:r w:rsidRPr="00D0478D">
        <w:rPr>
          <w:rFonts w:ascii="Courier New" w:hAnsi="Courier New" w:cs="Courier New"/>
          <w:szCs w:val="24"/>
        </w:rPr>
        <w:t xml:space="preserve"> </w:t>
      </w:r>
      <w:r w:rsidRPr="00D0478D">
        <w:rPr>
          <w:rFonts w:asciiTheme="minorHAnsi" w:hAnsiTheme="minorHAnsi" w:cstheme="minorHAnsi"/>
          <w:szCs w:val="24"/>
        </w:rPr>
        <w:t>would</w:t>
      </w:r>
      <w:r w:rsidRPr="00D0478D">
        <w:rPr>
          <w:rFonts w:asciiTheme="minorHAnsi" w:hAnsiTheme="minorHAnsi" w:cstheme="minorHAnsi"/>
          <w:color w:val="000000" w:themeColor="text1"/>
          <w:szCs w:val="24"/>
        </w:rPr>
        <w:t xml:space="preserve"> require institutions to take attendance in distance education courses, which would require schools to use actual attendance data to determine a student’s withdrawal date for students enrolled entirely in online courses for a particular payment period or period of enrollment.  The requirement would not apply to </w:t>
      </w:r>
      <w:r w:rsidRPr="00D0478D">
        <w:rPr>
          <w:rFonts w:asciiTheme="minorHAnsi" w:hAnsiTheme="minorHAnsi" w:cstheme="minorHAnsi"/>
          <w:szCs w:val="24"/>
        </w:rPr>
        <w:t xml:space="preserve">dissertation research courses that are part of a doctoral program. </w:t>
      </w:r>
      <w:r>
        <w:rPr>
          <w:rFonts w:ascii="Courier New" w:hAnsi="Courier New" w:cs="Courier New"/>
          <w:szCs w:val="24"/>
        </w:rPr>
        <w:t xml:space="preserve"> </w:t>
      </w:r>
      <w:r>
        <w:rPr>
          <w:rFonts w:asciiTheme="minorHAnsi" w:hAnsiTheme="minorHAnsi" w:cstheme="minorHAnsi"/>
          <w:szCs w:val="24"/>
        </w:rPr>
        <w:t xml:space="preserve"> </w:t>
      </w:r>
    </w:p>
    <w:p w:rsidR="00550817" w:rsidRPr="00DA6D53" w:rsidP="002D0CFC" w14:paraId="5E28178E" w14:textId="5FA97FE7">
      <w:pPr>
        <w:ind w:left="720"/>
        <w:rPr>
          <w:rFonts w:asciiTheme="minorHAnsi" w:hAnsiTheme="minorHAnsi" w:cstheme="minorHAnsi"/>
          <w:szCs w:val="24"/>
        </w:rPr>
      </w:pPr>
      <w:r w:rsidRPr="00DA6D53">
        <w:rPr>
          <w:rFonts w:asciiTheme="minorHAnsi" w:hAnsiTheme="minorHAnsi" w:cstheme="minorHAnsi"/>
          <w:szCs w:val="24"/>
        </w:rPr>
        <w:t xml:space="preserve"> </w:t>
      </w:r>
    </w:p>
    <w:p w:rsidR="00DC0AB4" w:rsidRPr="00205FBE" w:rsidP="002D0CFC" w14:paraId="140FB881" w14:textId="405A0147">
      <w:pPr>
        <w:suppressAutoHyphens/>
        <w:ind w:left="720"/>
        <w:rPr>
          <w:rFonts w:asciiTheme="minorHAnsi" w:hAnsiTheme="minorHAnsi" w:cstheme="minorHAnsi"/>
          <w:szCs w:val="24"/>
        </w:rPr>
      </w:pPr>
      <w:r w:rsidRPr="00205FBE">
        <w:rPr>
          <w:rFonts w:asciiTheme="minorHAnsi" w:hAnsiTheme="minorHAnsi" w:cstheme="minorHAnsi"/>
          <w:szCs w:val="24"/>
        </w:rPr>
        <w:t>This request is to revise the current information collection to include th</w:t>
      </w:r>
      <w:r>
        <w:rPr>
          <w:rFonts w:asciiTheme="minorHAnsi" w:hAnsiTheme="minorHAnsi" w:cstheme="minorHAnsi"/>
          <w:szCs w:val="24"/>
        </w:rPr>
        <w:t>ese</w:t>
      </w:r>
      <w:r w:rsidRPr="00205FBE">
        <w:rPr>
          <w:rFonts w:asciiTheme="minorHAnsi" w:hAnsiTheme="minorHAnsi" w:cstheme="minorHAnsi"/>
          <w:szCs w:val="24"/>
        </w:rPr>
        <w:t xml:space="preserve"> new regulatory requirements.</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D07C5E" w:rsidP="00AB7F7B" w14:paraId="459A27C2" w14:textId="50AFEC7A">
      <w:pPr>
        <w:suppressAutoHyphens/>
        <w:ind w:left="720"/>
        <w:rPr>
          <w:rFonts w:ascii="Courier New" w:hAnsi="Courier New" w:cs="Courier New"/>
          <w:color w:val="000000" w:themeColor="text1"/>
          <w:szCs w:val="24"/>
        </w:rPr>
      </w:pPr>
      <w:r w:rsidRPr="008B55C2">
        <w:rPr>
          <w:rFonts w:asciiTheme="minorHAnsi" w:hAnsiTheme="minorHAnsi" w:cstheme="minorHAnsi"/>
          <w:szCs w:val="24"/>
          <w:shd w:val="clear" w:color="auto" w:fill="FFFFFF"/>
        </w:rPr>
        <w:t>Th</w:t>
      </w:r>
      <w:r>
        <w:rPr>
          <w:rFonts w:asciiTheme="minorHAnsi" w:hAnsiTheme="minorHAnsi" w:cstheme="minorHAnsi"/>
          <w:szCs w:val="24"/>
          <w:shd w:val="clear" w:color="auto" w:fill="FFFFFF"/>
        </w:rPr>
        <w:t>rough th</w:t>
      </w:r>
      <w:r w:rsidRPr="008B55C2">
        <w:rPr>
          <w:rFonts w:asciiTheme="minorHAnsi" w:hAnsiTheme="minorHAnsi" w:cstheme="minorHAnsi"/>
          <w:szCs w:val="24"/>
          <w:shd w:val="clear" w:color="auto" w:fill="FFFFFF"/>
        </w:rPr>
        <w:t xml:space="preserve">e proposed revisions </w:t>
      </w:r>
      <w:r w:rsidRPr="008B55C2">
        <w:rPr>
          <w:rFonts w:asciiTheme="minorHAnsi" w:hAnsiTheme="minorHAnsi" w:cstheme="minorHAnsi"/>
          <w:szCs w:val="24"/>
        </w:rPr>
        <w:t xml:space="preserve">to § </w:t>
      </w:r>
      <w:r>
        <w:rPr>
          <w:rFonts w:asciiTheme="minorHAnsi" w:hAnsiTheme="minorHAnsi" w:cstheme="minorHAnsi"/>
          <w:szCs w:val="24"/>
        </w:rPr>
        <w:t>668.</w:t>
      </w:r>
      <w:r>
        <w:rPr>
          <w:rFonts w:asciiTheme="minorHAnsi" w:hAnsiTheme="minorHAnsi" w:cstheme="minorHAnsi"/>
          <w:szCs w:val="24"/>
        </w:rPr>
        <w:t>22</w:t>
      </w:r>
      <w:r w:rsidRPr="00041CA4" w:rsidR="00041CA4">
        <w:rPr>
          <w:rFonts w:asciiTheme="minorHAnsi" w:hAnsiTheme="minorHAnsi" w:cstheme="minorHAnsi"/>
          <w:szCs w:val="24"/>
        </w:rPr>
        <w:t>,</w:t>
      </w:r>
      <w:r w:rsidRPr="00041CA4">
        <w:rPr>
          <w:rFonts w:asciiTheme="minorHAnsi" w:hAnsiTheme="minorHAnsi" w:cstheme="minorHAnsi"/>
          <w:szCs w:val="24"/>
        </w:rPr>
        <w:t xml:space="preserve"> </w:t>
      </w:r>
      <w:r w:rsidRPr="00041CA4">
        <w:rPr>
          <w:rFonts w:asciiTheme="minorHAnsi" w:hAnsiTheme="minorHAnsi" w:cstheme="minorHAnsi"/>
          <w:color w:val="000000" w:themeColor="text1"/>
          <w:szCs w:val="24"/>
        </w:rPr>
        <w:t xml:space="preserve">the Department believes that this change would improve </w:t>
      </w:r>
      <w:r w:rsidRPr="00041CA4">
        <w:rPr>
          <w:rFonts w:asciiTheme="minorHAnsi" w:hAnsiTheme="minorHAnsi" w:cstheme="minorHAnsi"/>
          <w:szCs w:val="24"/>
        </w:rPr>
        <w:t>Return of title IV funds</w:t>
      </w:r>
      <w:r w:rsidRPr="00041CA4">
        <w:rPr>
          <w:rFonts w:asciiTheme="minorHAnsi" w:hAnsiTheme="minorHAnsi" w:cstheme="minorHAnsi"/>
          <w:color w:val="000000" w:themeColor="text1"/>
          <w:szCs w:val="24"/>
        </w:rPr>
        <w:t xml:space="preserve"> (R2T4) calculations, limit instances of inaccurate calculations by schools, and better protect student and taxpayer funds. </w:t>
      </w:r>
    </w:p>
    <w:p w:rsidR="00DF28B3" w:rsidRPr="00AD381B" w:rsidP="00BC1A67" w14:paraId="18DA3CC6"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w:t>
      </w:r>
      <w:r w:rsidR="006A38F7">
        <w:rPr>
          <w:rFonts w:ascii="Times New Roman" w:hAnsi="Times New Roman"/>
          <w:b/>
          <w:szCs w:val="24"/>
        </w:rPr>
        <w:t xml:space="preserve">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273208" w:rsidRPr="00205FBE" w:rsidP="00273208" w14:paraId="3F9B6094" w14:textId="77777777">
      <w:pPr>
        <w:pStyle w:val="ListParagraph"/>
        <w:rPr>
          <w:rFonts w:asciiTheme="minorHAnsi" w:hAnsiTheme="minorHAnsi" w:cstheme="minorHAnsi"/>
          <w:szCs w:val="24"/>
        </w:rPr>
      </w:pPr>
      <w:r w:rsidRPr="00205FBE">
        <w:rPr>
          <w:rFonts w:asciiTheme="minorHAnsi" w:hAnsiTheme="minorHAnsi" w:cstheme="minorHAnsi"/>
          <w:szCs w:val="24"/>
        </w:rPr>
        <w:t>There are no prohibitions to the use of technology in providing the required information to the Department.</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5BFE4F1A">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F4C67" w:rsidP="00EF4C67" w14:paraId="508F69B7" w14:textId="13833CD7">
      <w:pPr>
        <w:pStyle w:val="ListParagraph"/>
        <w:tabs>
          <w:tab w:val="left" w:pos="0"/>
        </w:tabs>
        <w:suppressAutoHyphens/>
        <w:rPr>
          <w:rFonts w:asciiTheme="minorHAnsi" w:hAnsiTheme="minorHAnsi" w:cstheme="minorHAnsi"/>
          <w:szCs w:val="24"/>
        </w:rPr>
      </w:pPr>
      <w:r w:rsidRPr="00205FBE">
        <w:rPr>
          <w:rFonts w:asciiTheme="minorHAnsi" w:hAnsiTheme="minorHAnsi" w:cstheme="minorHAnsi"/>
          <w:szCs w:val="24"/>
        </w:rPr>
        <w:t xml:space="preserve">This information is not duplicated on any other information collection.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273208" w:rsidRPr="00205FBE" w:rsidP="00273208" w14:paraId="1F8E8F83" w14:textId="7F36CBBB">
      <w:pPr>
        <w:pStyle w:val="ListParagraph"/>
        <w:rPr>
          <w:rFonts w:asciiTheme="minorHAnsi" w:hAnsiTheme="minorHAnsi" w:cstheme="minorHAnsi"/>
          <w:szCs w:val="24"/>
        </w:rPr>
      </w:pPr>
      <w:r>
        <w:rPr>
          <w:rFonts w:asciiTheme="minorHAnsi" w:hAnsiTheme="minorHAnsi" w:cstheme="minorHAnsi"/>
          <w:szCs w:val="24"/>
        </w:rPr>
        <w:t xml:space="preserve">The Department does not believe the proposed regulations will adversely impact any institution that may meet the small entity designation.  </w:t>
      </w:r>
      <w:r w:rsidRPr="00205FBE">
        <w:rPr>
          <w:rFonts w:asciiTheme="minorHAnsi" w:hAnsiTheme="minorHAnsi" w:cstheme="minorHAnsi"/>
          <w:szCs w:val="24"/>
        </w:rPr>
        <w:t xml:space="preserve">The use of the electronic means </w:t>
      </w:r>
      <w:r>
        <w:rPr>
          <w:rFonts w:asciiTheme="minorHAnsi" w:hAnsiTheme="minorHAnsi" w:cstheme="minorHAnsi"/>
          <w:szCs w:val="24"/>
        </w:rPr>
        <w:t xml:space="preserve">to meet the regulations </w:t>
      </w:r>
      <w:r w:rsidRPr="00205FBE">
        <w:rPr>
          <w:rFonts w:asciiTheme="minorHAnsi" w:hAnsiTheme="minorHAnsi" w:cstheme="minorHAnsi"/>
          <w:szCs w:val="24"/>
        </w:rPr>
        <w:t>would mitigate any burden of providing the required information.</w:t>
      </w:r>
    </w:p>
    <w:p w:rsidR="00EF4C67" w:rsidRPr="005F4E11" w:rsidP="00273208" w14:paraId="48B8773E" w14:textId="2899EA13">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 </w:t>
      </w: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FB6309" w:rsidP="00273208" w14:paraId="33BB654D" w14:textId="0EEF9E25">
      <w:pPr>
        <w:pStyle w:val="BodyTextIndent"/>
        <w:rPr>
          <w:rFonts w:asciiTheme="minorHAnsi" w:hAnsiTheme="minorHAnsi" w:cstheme="minorHAnsi"/>
        </w:rPr>
      </w:pPr>
      <w:r>
        <w:rPr>
          <w:rFonts w:asciiTheme="minorHAnsi" w:hAnsiTheme="minorHAnsi" w:cstheme="minorHAnsi"/>
        </w:rPr>
        <w:t>If the requirements in these proposed regulations do not occur, the Department would lack crucial information to</w:t>
      </w:r>
      <w:r w:rsidRPr="008B55C2">
        <w:rPr>
          <w:rFonts w:asciiTheme="minorHAnsi" w:hAnsiTheme="minorHAnsi" w:cstheme="minorHAnsi"/>
        </w:rPr>
        <w:t xml:space="preserve"> protect the integrity of the title IV, HEA programs</w:t>
      </w:r>
      <w:r w:rsidRPr="008B55C2">
        <w:rPr>
          <w:rFonts w:asciiTheme="minorHAnsi" w:hAnsiTheme="minorHAnsi" w:cstheme="minorHAnsi"/>
        </w:rPr>
        <w:t xml:space="preserve"> and</w:t>
      </w:r>
      <w:r w:rsidRPr="008B55C2">
        <w:rPr>
          <w:rFonts w:asciiTheme="minorHAnsi" w:hAnsiTheme="minorHAnsi" w:cstheme="minorHAnsi"/>
        </w:rPr>
        <w:t xml:space="preserve"> to </w:t>
      </w:r>
      <w:r w:rsidRPr="008B55C2">
        <w:rPr>
          <w:rFonts w:asciiTheme="minorHAnsi" w:hAnsiTheme="minorHAnsi" w:cstheme="minorHAnsi"/>
          <w:shd w:val="clear" w:color="auto" w:fill="FFFFFF"/>
        </w:rPr>
        <w:t>protect students</w:t>
      </w:r>
      <w:r>
        <w:rPr>
          <w:rFonts w:asciiTheme="minorHAnsi" w:hAnsiTheme="minorHAnsi" w:cstheme="minorHAnsi"/>
          <w:shd w:val="clear" w:color="auto" w:fill="FFFFFF"/>
        </w:rPr>
        <w:t xml:space="preserve"> and taxpayers </w:t>
      </w:r>
      <w:r w:rsidRPr="008B55C2">
        <w:rPr>
          <w:rFonts w:asciiTheme="minorHAnsi" w:hAnsiTheme="minorHAnsi" w:cstheme="minorHAnsi"/>
          <w:shd w:val="clear" w:color="auto" w:fill="FFFFFF"/>
        </w:rPr>
        <w:t>abusive behaviors</w:t>
      </w:r>
      <w:r>
        <w:rPr>
          <w:rFonts w:asciiTheme="minorHAnsi" w:hAnsiTheme="minorHAnsi" w:cstheme="minorHAnsi"/>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AD541E" w:rsidRPr="00FB6309" w:rsidP="00AD541E" w14:paraId="13AB272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D541E" w:rsidRPr="00FB6309" w:rsidP="00AD541E" w14:paraId="6476CE2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developed these proposed regulations after conducting negotiated rulemaking with affected entities and other interested parties.  The public comment period for this information collection runs concurrently with the Notice of Proposed Rulemaking.</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D541E" w:rsidRPr="00FB6309" w:rsidP="00AD541E" w14:paraId="2C9FCAC2"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AD541E" w:rsidP="00AD541E" w14:paraId="7EE84EEB"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D541E" w:rsidRPr="00FB6309" w:rsidP="00AD541E" w14:paraId="7ACA210F"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B15FD3" w:rsidP="003F3F0A" w14:paraId="6F464E5D" w14:textId="77393DD1">
      <w:pPr>
        <w:ind w:left="720"/>
        <w:rPr>
          <w:rFonts w:asciiTheme="minorHAnsi" w:hAnsiTheme="minorHAnsi" w:cstheme="minorHAnsi"/>
          <w:szCs w:val="24"/>
        </w:rPr>
      </w:pPr>
    </w:p>
    <w:p w:rsidR="00604DBF" w:rsidRPr="001955A9" w:rsidP="00DB3570" w14:paraId="3354F983" w14:textId="77777777">
      <w:pPr>
        <w:ind w:left="720"/>
        <w:rPr>
          <w:rFonts w:asciiTheme="minorHAnsi" w:hAnsiTheme="minorHAnsi" w:cstheme="minorHAnsi"/>
          <w:szCs w:val="24"/>
        </w:rPr>
      </w:pPr>
      <w:r w:rsidRPr="001955A9">
        <w:rPr>
          <w:rFonts w:asciiTheme="minorHAnsi" w:hAnsiTheme="minorHAnsi" w:cstheme="minorHAnsi"/>
          <w:szCs w:val="24"/>
        </w:rPr>
        <w:t>Section 668.22 Treatment of title IV funds when a student withdraws.</w:t>
      </w:r>
    </w:p>
    <w:p w:rsidR="001955A9" w:rsidRPr="001955A9" w:rsidP="00DB3570" w14:paraId="6861B3EA" w14:textId="77777777">
      <w:pPr>
        <w:ind w:left="720"/>
        <w:rPr>
          <w:rFonts w:asciiTheme="minorHAnsi" w:hAnsiTheme="minorHAnsi" w:cstheme="minorHAnsi"/>
          <w:szCs w:val="24"/>
        </w:rPr>
      </w:pPr>
    </w:p>
    <w:p w:rsidR="001955A9" w:rsidP="00DB3570" w14:paraId="0AF269E6" w14:textId="77777777">
      <w:pPr>
        <w:ind w:left="720"/>
        <w:rPr>
          <w:rFonts w:asciiTheme="minorHAnsi" w:hAnsiTheme="minorHAnsi" w:cstheme="minorHAnsi"/>
          <w:color w:val="000000" w:themeColor="text1"/>
          <w:szCs w:val="24"/>
        </w:rPr>
      </w:pPr>
      <w:r>
        <w:rPr>
          <w:rFonts w:asciiTheme="minorHAnsi" w:hAnsiTheme="minorHAnsi" w:cstheme="minorHAnsi"/>
          <w:szCs w:val="24"/>
        </w:rPr>
        <w:t>The p</w:t>
      </w:r>
      <w:r w:rsidRPr="001955A9" w:rsidR="00604DBF">
        <w:rPr>
          <w:rFonts w:asciiTheme="minorHAnsi" w:hAnsiTheme="minorHAnsi" w:cstheme="minorHAnsi"/>
          <w:szCs w:val="24"/>
        </w:rPr>
        <w:t>roposed</w:t>
      </w:r>
      <w:r>
        <w:rPr>
          <w:rFonts w:asciiTheme="minorHAnsi" w:hAnsiTheme="minorHAnsi" w:cstheme="minorHAnsi"/>
          <w:szCs w:val="24"/>
        </w:rPr>
        <w:t xml:space="preserve"> regulation in</w:t>
      </w:r>
      <w:r w:rsidRPr="001955A9" w:rsidR="00604DBF">
        <w:rPr>
          <w:rFonts w:asciiTheme="minorHAnsi" w:hAnsiTheme="minorHAnsi" w:cstheme="minorHAnsi"/>
          <w:szCs w:val="24"/>
        </w:rPr>
        <w:t xml:space="preserve"> 668.22(b)(3)(ii) would</w:t>
      </w:r>
      <w:r w:rsidRPr="001955A9" w:rsidR="00604DBF">
        <w:rPr>
          <w:rFonts w:asciiTheme="minorHAnsi" w:hAnsiTheme="minorHAnsi" w:cstheme="minorHAnsi"/>
          <w:color w:val="000000" w:themeColor="text1"/>
          <w:szCs w:val="24"/>
        </w:rPr>
        <w:t xml:space="preserve"> require institutions to take attendance in distance education courses, which would require schools to use actual attendance data to determine a student’s withdrawal date for students enrolled entirely in online courses for a particular payment period or period of enrollment.  The requirement would not apply to </w:t>
      </w:r>
      <w:r w:rsidRPr="001955A9" w:rsidR="00604DBF">
        <w:rPr>
          <w:rFonts w:asciiTheme="minorHAnsi" w:hAnsiTheme="minorHAnsi" w:cstheme="minorHAnsi"/>
          <w:szCs w:val="24"/>
        </w:rPr>
        <w:t xml:space="preserve">dissertation research courses that are part of a doctoral program.  </w:t>
      </w:r>
      <w:r w:rsidRPr="001955A9" w:rsidR="00604DBF">
        <w:rPr>
          <w:rFonts w:asciiTheme="minorHAnsi" w:hAnsiTheme="minorHAnsi" w:cstheme="minorHAnsi"/>
          <w:color w:val="000000" w:themeColor="text1"/>
          <w:szCs w:val="24"/>
        </w:rPr>
        <w:t xml:space="preserve">The Department believes that this change would improve </w:t>
      </w:r>
      <w:r w:rsidRPr="001955A9" w:rsidR="00604DBF">
        <w:rPr>
          <w:rFonts w:asciiTheme="minorHAnsi" w:hAnsiTheme="minorHAnsi" w:cstheme="minorHAnsi"/>
          <w:szCs w:val="24"/>
        </w:rPr>
        <w:t>Return of title IV funds</w:t>
      </w:r>
      <w:r w:rsidRPr="001955A9" w:rsidR="00604DBF">
        <w:rPr>
          <w:rFonts w:asciiTheme="minorHAnsi" w:hAnsiTheme="minorHAnsi" w:cstheme="minorHAnsi"/>
          <w:color w:val="000000" w:themeColor="text1"/>
          <w:szCs w:val="24"/>
        </w:rPr>
        <w:t xml:space="preserve"> (R2T4) calculations, limit instances of inaccurate calculations by schools, and better protect student and taxpayer funds.  </w:t>
      </w:r>
    </w:p>
    <w:p w:rsidR="001955A9" w:rsidP="00DB3570" w14:paraId="62A591FD" w14:textId="77777777">
      <w:pPr>
        <w:ind w:left="720"/>
        <w:rPr>
          <w:rFonts w:asciiTheme="minorHAnsi" w:hAnsiTheme="minorHAnsi" w:cstheme="minorHAnsi"/>
          <w:color w:val="000000" w:themeColor="text1"/>
          <w:szCs w:val="24"/>
        </w:rPr>
      </w:pPr>
    </w:p>
    <w:p w:rsidR="00604DBF" w:rsidRPr="001955A9" w:rsidP="00DB3570" w14:paraId="5DF4E783" w14:textId="10D55188">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Regarding distance education courses, institutions can often easily determine when students stop attending because a school’s systems can often identify when students submit assignments or interact with instructors and students during lectures and course discussions, and students are often continuously monitored to track academic engagement.  Also, some institutions with online courses are already required to take attendance in certain situations as described under 34 CFR 668.22(b)(3).</w:t>
      </w:r>
    </w:p>
    <w:p w:rsidR="001955A9" w:rsidRPr="001955A9" w:rsidP="00DB3570" w14:paraId="3C72B4E4" w14:textId="77777777">
      <w:pPr>
        <w:ind w:left="720" w:firstLine="720"/>
        <w:rPr>
          <w:rFonts w:asciiTheme="minorHAnsi" w:hAnsiTheme="minorHAnsi" w:cstheme="minorHAnsi"/>
          <w:i/>
          <w:iCs/>
          <w:color w:val="000000" w:themeColor="text1"/>
          <w:szCs w:val="24"/>
        </w:rPr>
      </w:pPr>
    </w:p>
    <w:p w:rsidR="001955A9" w:rsidP="00966665" w14:paraId="7B3EB09B" w14:textId="77777777">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 xml:space="preserve">The proposed regulatory change would add a burden for institutions.  The Award Year 2022 IPEDS reporting has 3,732 institutions offering one or more distance education courses.  The Department estimates that each of the institutions would be required to do an initial review of their distance education system to ensure that attendance is being collected and potentially develop or add attendance taking to the system.  The Department expects that this would require an average of 10 hours per institution as a one-time burden.  </w:t>
      </w:r>
    </w:p>
    <w:p w:rsidR="001955A9" w:rsidP="00966665" w14:paraId="33755C44" w14:textId="77777777">
      <w:pPr>
        <w:ind w:left="720"/>
        <w:rPr>
          <w:rFonts w:asciiTheme="minorHAnsi" w:hAnsiTheme="minorHAnsi" w:cstheme="minorHAnsi"/>
          <w:color w:val="000000" w:themeColor="text1"/>
          <w:szCs w:val="24"/>
        </w:rPr>
      </w:pPr>
    </w:p>
    <w:p w:rsidR="001955A9" w:rsidP="00966665" w14:paraId="0E4FA132" w14:textId="77777777">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 xml:space="preserve">The Department estimates it would take 684 Proprietary institutions 6,840 hours to perform this review function (684 institutions x 10 hours = 6,840 hours).  </w:t>
      </w:r>
    </w:p>
    <w:p w:rsidR="001955A9" w:rsidP="00966665" w14:paraId="191D58FB" w14:textId="77777777">
      <w:pPr>
        <w:ind w:left="720"/>
        <w:rPr>
          <w:rFonts w:asciiTheme="minorHAnsi" w:hAnsiTheme="minorHAnsi" w:cstheme="minorHAnsi"/>
          <w:color w:val="000000" w:themeColor="text1"/>
          <w:szCs w:val="24"/>
        </w:rPr>
      </w:pPr>
    </w:p>
    <w:p w:rsidR="001955A9" w:rsidP="00966665" w14:paraId="014ECA8A" w14:textId="77777777">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 xml:space="preserve">The Department estimates it would take 1,414 Private institutions 14,140 hours to perform this review function (1,414 x 10 hours = 14,140).  </w:t>
      </w:r>
    </w:p>
    <w:p w:rsidR="001955A9" w:rsidP="00966665" w14:paraId="546C550A" w14:textId="77777777">
      <w:pPr>
        <w:ind w:left="720"/>
        <w:rPr>
          <w:rFonts w:asciiTheme="minorHAnsi" w:hAnsiTheme="minorHAnsi" w:cstheme="minorHAnsi"/>
          <w:color w:val="000000" w:themeColor="text1"/>
          <w:szCs w:val="24"/>
        </w:rPr>
      </w:pPr>
    </w:p>
    <w:p w:rsidR="00604DBF" w:rsidRPr="001955A9" w:rsidP="00966665" w14:paraId="17626D06" w14:textId="46BCCF5F">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The Department estimates it would take 1,634 Public institutions 16,340 hours to perform this review function (1,634 x 10 hours = 16,340).</w:t>
      </w:r>
    </w:p>
    <w:p w:rsidR="001955A9" w:rsidP="00966665" w14:paraId="691E93C2" w14:textId="77777777">
      <w:pPr>
        <w:ind w:left="720"/>
        <w:rPr>
          <w:rFonts w:asciiTheme="minorHAnsi" w:hAnsiTheme="minorHAnsi" w:cstheme="minorHAnsi"/>
          <w:color w:val="000000" w:themeColor="text1"/>
          <w:szCs w:val="24"/>
        </w:rPr>
      </w:pPr>
    </w:p>
    <w:p w:rsidR="001955A9" w:rsidP="00966665" w14:paraId="7F8466D0" w14:textId="77777777">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 xml:space="preserve">Due to the highly automated delivery of these types of courses, and the availability of such coursework on a daily basis, the Department estimates half of the institutions offering distance education courses would already be performing this task.  Therefore, the Department estimates it would take the remaining fifty percent of institutions offering distance education about 10 minutes on a daily basis to capture attendance information for their records.  </w:t>
      </w:r>
    </w:p>
    <w:p w:rsidR="001955A9" w:rsidP="00966665" w14:paraId="7F4D37CB" w14:textId="77777777">
      <w:pPr>
        <w:ind w:left="720"/>
        <w:rPr>
          <w:rFonts w:asciiTheme="minorHAnsi" w:hAnsiTheme="minorHAnsi" w:cstheme="minorHAnsi"/>
          <w:color w:val="000000" w:themeColor="text1"/>
          <w:szCs w:val="24"/>
        </w:rPr>
      </w:pPr>
    </w:p>
    <w:p w:rsidR="001955A9" w:rsidP="00966665" w14:paraId="6A0BAA56" w14:textId="77777777">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 xml:space="preserve">The Department estimates it would take 342 Proprietary institutions 21,221 hours annually to perform this recordkeeping function (684/2 institutions x 365 days x .17 (10 minutes) = 21,221 hours).  </w:t>
      </w:r>
    </w:p>
    <w:p w:rsidR="001955A9" w:rsidP="00966665" w14:paraId="7CEB25BC" w14:textId="77777777">
      <w:pPr>
        <w:ind w:left="720"/>
        <w:rPr>
          <w:rFonts w:asciiTheme="minorHAnsi" w:hAnsiTheme="minorHAnsi" w:cstheme="minorHAnsi"/>
          <w:color w:val="000000" w:themeColor="text1"/>
          <w:szCs w:val="24"/>
        </w:rPr>
      </w:pPr>
    </w:p>
    <w:p w:rsidR="001955A9" w:rsidP="00966665" w14:paraId="5F06EF40" w14:textId="77777777">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 xml:space="preserve">The Department estimates it would take 707 Private institutions 43,869 hours annually to perform this recordkeeping function (1,414/2 x 365 x .17 (10 minutes) = 43,869).  </w:t>
      </w:r>
    </w:p>
    <w:p w:rsidR="001955A9" w:rsidP="00966665" w14:paraId="53189592" w14:textId="77777777">
      <w:pPr>
        <w:ind w:left="720"/>
        <w:rPr>
          <w:rFonts w:asciiTheme="minorHAnsi" w:hAnsiTheme="minorHAnsi" w:cstheme="minorHAnsi"/>
          <w:color w:val="000000" w:themeColor="text1"/>
          <w:szCs w:val="24"/>
        </w:rPr>
      </w:pPr>
    </w:p>
    <w:p w:rsidR="001955A9" w:rsidRPr="001955A9" w:rsidP="00966665" w14:paraId="78CBBF53" w14:textId="28154584">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 xml:space="preserve">The Department estimates it would take 817 Public institutions 50,695 hours annually to perform this recordkeeping function (1,634/2 x 365 x .17 (10 minutes) = 50,695).  </w:t>
      </w:r>
    </w:p>
    <w:p w:rsidR="001955A9" w:rsidRPr="001955A9" w:rsidP="00DB3570" w14:paraId="520BFA3C" w14:textId="77777777">
      <w:pPr>
        <w:ind w:left="720"/>
        <w:rPr>
          <w:rFonts w:asciiTheme="minorHAnsi" w:hAnsiTheme="minorHAnsi" w:cstheme="minorHAnsi"/>
          <w:color w:val="000000" w:themeColor="text1"/>
          <w:szCs w:val="24"/>
        </w:rPr>
      </w:pPr>
    </w:p>
    <w:p w:rsidR="00604DBF" w:rsidP="00DB3570" w14:paraId="35FD5041" w14:textId="148F21AF">
      <w:pPr>
        <w:ind w:left="720"/>
        <w:rPr>
          <w:rFonts w:asciiTheme="minorHAnsi" w:hAnsiTheme="minorHAnsi" w:cstheme="minorHAnsi"/>
          <w:color w:val="000000" w:themeColor="text1"/>
          <w:szCs w:val="24"/>
        </w:rPr>
      </w:pPr>
      <w:r w:rsidRPr="001955A9">
        <w:rPr>
          <w:rFonts w:asciiTheme="minorHAnsi" w:hAnsiTheme="minorHAnsi" w:cstheme="minorHAnsi"/>
          <w:color w:val="000000" w:themeColor="text1"/>
          <w:szCs w:val="24"/>
        </w:rPr>
        <w:t>The total estimated burden to be added to OMB Control Number 1845-0022 is 153,105 hours.</w:t>
      </w:r>
    </w:p>
    <w:p w:rsidR="00860194" w:rsidP="00DB3570" w14:paraId="204ED677" w14:textId="77777777">
      <w:pPr>
        <w:ind w:left="720"/>
        <w:rPr>
          <w:rFonts w:asciiTheme="minorHAnsi" w:hAnsiTheme="minorHAnsi" w:cstheme="minorHAnsi"/>
          <w:color w:val="000000" w:themeColor="text1"/>
          <w:szCs w:val="24"/>
        </w:rPr>
      </w:pPr>
    </w:p>
    <w:p w:rsidR="00860194" w:rsidP="00DB3570" w14:paraId="39DA7959" w14:textId="5D1057C5">
      <w:pPr>
        <w:ind w:left="72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The individual information is unchanged by this regulatory change.   </w:t>
      </w:r>
    </w:p>
    <w:p w:rsidR="00860194" w:rsidRPr="001955A9" w:rsidP="00DB3570" w14:paraId="07A3D638" w14:textId="77777777">
      <w:pPr>
        <w:ind w:left="720"/>
        <w:rPr>
          <w:rFonts w:asciiTheme="minorHAnsi" w:hAnsiTheme="minorHAnsi" w:cstheme="minorHAnsi"/>
          <w:color w:val="000000" w:themeColor="text1"/>
          <w:szCs w:val="24"/>
        </w:rPr>
      </w:pPr>
    </w:p>
    <w:p w:rsidR="00ED7195" w:rsidP="00756FD3" w14:paraId="64280E96" w14:textId="505ACA63">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w:t>
      </w:r>
      <w:r w:rsidR="007466C2">
        <w:rPr>
          <w:rFonts w:ascii="Times New Roman" w:hAnsi="Times New Roman"/>
          <w:color w:val="000000" w:themeColor="text1"/>
          <w:sz w:val="24"/>
          <w:szCs w:val="24"/>
        </w:rPr>
        <w:t>d</w:t>
      </w:r>
      <w:r w:rsidR="007F6104">
        <w:rPr>
          <w:rFonts w:ascii="Times New Roman" w:hAnsi="Times New Roman"/>
          <w:color w:val="000000" w:themeColor="text1"/>
          <w:sz w:val="24"/>
          <w:szCs w:val="24"/>
        </w:rPr>
        <w:t xml:space="preserve">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985" w:type="dxa"/>
        <w:tblLayout w:type="fixed"/>
        <w:tblLook w:val="0020"/>
      </w:tblPr>
      <w:tblGrid>
        <w:gridCol w:w="1525"/>
        <w:gridCol w:w="1275"/>
        <w:gridCol w:w="1425"/>
        <w:gridCol w:w="1155"/>
        <w:gridCol w:w="1365"/>
        <w:gridCol w:w="1350"/>
        <w:gridCol w:w="1890"/>
      </w:tblGrid>
      <w:tr w14:paraId="30194A75" w14:textId="77777777" w:rsidTr="002A41E2">
        <w:tblPrEx>
          <w:tblW w:w="9985" w:type="dxa"/>
          <w:tblLayout w:type="fixed"/>
          <w:tblLook w:val="0020"/>
        </w:tblPrEx>
        <w:trPr>
          <w:tblHeader/>
        </w:trPr>
        <w:tc>
          <w:tcPr>
            <w:tcW w:w="1525" w:type="dxa"/>
          </w:tcPr>
          <w:p w:rsidR="009C37AF" w:rsidRPr="007F6104" w:rsidP="002B061C"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2B061C"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425" w:type="dxa"/>
          </w:tcPr>
          <w:p w:rsidR="009C37AF" w:rsidRPr="007F6104" w:rsidP="002B061C"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9C37AF" w:rsidRPr="007F6104" w:rsidP="002B061C"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365" w:type="dxa"/>
          </w:tcPr>
          <w:p w:rsidR="009C37AF" w:rsidRPr="007F6104" w:rsidP="002B061C"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RPr="007F6104" w:rsidP="002B061C"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0" w:type="dxa"/>
          </w:tcPr>
          <w:p w:rsidR="009C37AF" w:rsidRPr="007F6104" w:rsidP="002B061C"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4B1FD80" w14:textId="77777777" w:rsidTr="002A41E2">
        <w:tblPrEx>
          <w:tblW w:w="9985" w:type="dxa"/>
          <w:tblLayout w:type="fixed"/>
          <w:tblLook w:val="0020"/>
        </w:tblPrEx>
        <w:tc>
          <w:tcPr>
            <w:tcW w:w="1525" w:type="dxa"/>
          </w:tcPr>
          <w:p w:rsidR="003B6665" w:rsidP="007466C2" w14:paraId="3F7FD2FE" w14:textId="409F87E1">
            <w:pPr>
              <w:rPr>
                <w:rFonts w:asciiTheme="minorHAnsi" w:hAnsiTheme="minorHAnsi" w:cstheme="minorHAnsi"/>
                <w:szCs w:val="24"/>
              </w:rPr>
            </w:pPr>
            <w:r>
              <w:rPr>
                <w:rFonts w:asciiTheme="minorHAnsi" w:hAnsiTheme="minorHAnsi" w:cstheme="minorHAnsi"/>
                <w:szCs w:val="24"/>
              </w:rPr>
              <w:t>Individual</w:t>
            </w:r>
          </w:p>
        </w:tc>
        <w:tc>
          <w:tcPr>
            <w:tcW w:w="1275" w:type="dxa"/>
          </w:tcPr>
          <w:p w:rsidR="003B6665" w:rsidP="002B061C" w14:paraId="25CE3337" w14:textId="2A7E20B4">
            <w:pPr>
              <w:jc w:val="right"/>
              <w:rPr>
                <w:rFonts w:asciiTheme="minorHAnsi" w:hAnsiTheme="minorHAnsi" w:cstheme="minorHAnsi"/>
                <w:szCs w:val="24"/>
              </w:rPr>
            </w:pPr>
            <w:r>
              <w:rPr>
                <w:rFonts w:asciiTheme="minorHAnsi" w:hAnsiTheme="minorHAnsi" w:cstheme="minorHAnsi"/>
                <w:szCs w:val="24"/>
              </w:rPr>
              <w:t>N/A</w:t>
            </w:r>
          </w:p>
        </w:tc>
        <w:tc>
          <w:tcPr>
            <w:tcW w:w="1425" w:type="dxa"/>
          </w:tcPr>
          <w:p w:rsidR="003B6665" w:rsidP="007466C2" w14:paraId="728F8FC2" w14:textId="7AEF23AF">
            <w:pPr>
              <w:jc w:val="right"/>
              <w:rPr>
                <w:rFonts w:asciiTheme="minorHAnsi" w:hAnsiTheme="minorHAnsi" w:cstheme="minorHAnsi"/>
                <w:szCs w:val="24"/>
              </w:rPr>
            </w:pPr>
            <w:r>
              <w:rPr>
                <w:rFonts w:asciiTheme="minorHAnsi" w:hAnsiTheme="minorHAnsi" w:cstheme="minorHAnsi"/>
                <w:szCs w:val="24"/>
              </w:rPr>
              <w:t>N/A</w:t>
            </w:r>
          </w:p>
        </w:tc>
        <w:tc>
          <w:tcPr>
            <w:tcW w:w="1155" w:type="dxa"/>
          </w:tcPr>
          <w:p w:rsidR="003B6665" w:rsidRPr="007466C2" w:rsidP="007466C2" w14:paraId="088AE9F6" w14:textId="646EBAE0">
            <w:pPr>
              <w:jc w:val="right"/>
              <w:rPr>
                <w:rFonts w:asciiTheme="minorHAnsi" w:hAnsiTheme="minorHAnsi" w:cstheme="minorHAnsi"/>
                <w:szCs w:val="24"/>
              </w:rPr>
            </w:pPr>
            <w:r>
              <w:rPr>
                <w:rFonts w:asciiTheme="minorHAnsi" w:hAnsiTheme="minorHAnsi" w:cstheme="minorHAnsi"/>
                <w:szCs w:val="24"/>
              </w:rPr>
              <w:t>N/A</w:t>
            </w:r>
          </w:p>
        </w:tc>
        <w:tc>
          <w:tcPr>
            <w:tcW w:w="1365" w:type="dxa"/>
          </w:tcPr>
          <w:p w:rsidR="003B6665" w:rsidP="007466C2" w14:paraId="543E25CF" w14:textId="5EFF7644">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N/A</w:t>
            </w:r>
          </w:p>
        </w:tc>
        <w:tc>
          <w:tcPr>
            <w:tcW w:w="1350" w:type="dxa"/>
          </w:tcPr>
          <w:p w:rsidR="003B6665" w:rsidP="007466C2" w14:paraId="6F3D4CD0" w14:textId="3791232C">
            <w:pPr>
              <w:jc w:val="right"/>
              <w:rPr>
                <w:rFonts w:asciiTheme="minorHAnsi" w:hAnsiTheme="minorHAnsi" w:cstheme="minorHAnsi"/>
                <w:szCs w:val="24"/>
              </w:rPr>
            </w:pPr>
            <w:r>
              <w:rPr>
                <w:rFonts w:asciiTheme="minorHAnsi" w:hAnsiTheme="minorHAnsi" w:cstheme="minorHAnsi"/>
                <w:szCs w:val="24"/>
              </w:rPr>
              <w:t>N/A</w:t>
            </w:r>
          </w:p>
        </w:tc>
        <w:tc>
          <w:tcPr>
            <w:tcW w:w="1890" w:type="dxa"/>
          </w:tcPr>
          <w:p w:rsidR="003B6665" w:rsidP="002B061C" w14:paraId="1DB8C6DE" w14:textId="4EF49A96">
            <w:pPr>
              <w:jc w:val="right"/>
              <w:rPr>
                <w:rFonts w:asciiTheme="minorHAnsi" w:hAnsiTheme="minorHAnsi" w:cstheme="minorHAnsi"/>
                <w:szCs w:val="24"/>
              </w:rPr>
            </w:pPr>
            <w:r>
              <w:rPr>
                <w:rFonts w:asciiTheme="minorHAnsi" w:hAnsiTheme="minorHAnsi" w:cstheme="minorHAnsi"/>
                <w:szCs w:val="24"/>
              </w:rPr>
              <w:t>N/A</w:t>
            </w:r>
          </w:p>
        </w:tc>
      </w:tr>
      <w:tr w14:paraId="0E729D89" w14:textId="77777777" w:rsidTr="002A41E2">
        <w:tblPrEx>
          <w:tblW w:w="9985" w:type="dxa"/>
          <w:tblLayout w:type="fixed"/>
          <w:tblLook w:val="0020"/>
        </w:tblPrEx>
        <w:tc>
          <w:tcPr>
            <w:tcW w:w="1525" w:type="dxa"/>
          </w:tcPr>
          <w:p w:rsidR="007466C2" w:rsidRPr="009C37AF" w:rsidP="007466C2"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B061C" w:rsidRPr="007466C2" w:rsidP="002B061C" w14:paraId="2DD92A89" w14:textId="6B3E3F05">
            <w:pPr>
              <w:jc w:val="right"/>
              <w:rPr>
                <w:rFonts w:asciiTheme="minorHAnsi" w:hAnsiTheme="minorHAnsi" w:cstheme="minorHAnsi"/>
                <w:szCs w:val="24"/>
              </w:rPr>
            </w:pPr>
            <w:r>
              <w:rPr>
                <w:rFonts w:asciiTheme="minorHAnsi" w:hAnsiTheme="minorHAnsi" w:cstheme="minorHAnsi"/>
                <w:szCs w:val="24"/>
              </w:rPr>
              <w:t>684</w:t>
            </w:r>
          </w:p>
        </w:tc>
        <w:tc>
          <w:tcPr>
            <w:tcW w:w="1425" w:type="dxa"/>
          </w:tcPr>
          <w:p w:rsidR="007466C2" w:rsidRPr="007466C2" w:rsidP="007466C2" w14:paraId="7F418FD3" w14:textId="675B34ED">
            <w:pPr>
              <w:jc w:val="right"/>
              <w:rPr>
                <w:rFonts w:asciiTheme="minorHAnsi" w:hAnsiTheme="minorHAnsi" w:cstheme="minorHAnsi"/>
                <w:szCs w:val="24"/>
              </w:rPr>
            </w:pPr>
            <w:r>
              <w:rPr>
                <w:rFonts w:asciiTheme="minorHAnsi" w:hAnsiTheme="minorHAnsi" w:cstheme="minorHAnsi"/>
                <w:szCs w:val="24"/>
              </w:rPr>
              <w:t>125,514</w:t>
            </w:r>
          </w:p>
        </w:tc>
        <w:tc>
          <w:tcPr>
            <w:tcW w:w="1155" w:type="dxa"/>
          </w:tcPr>
          <w:p w:rsidR="007466C2" w:rsidRPr="007466C2" w:rsidP="007466C2" w14:paraId="11378B7D" w14:textId="66A3E112">
            <w:pPr>
              <w:jc w:val="right"/>
              <w:rPr>
                <w:rFonts w:asciiTheme="minorHAnsi" w:hAnsiTheme="minorHAnsi" w:cstheme="minorHAnsi"/>
                <w:szCs w:val="24"/>
              </w:rPr>
            </w:pPr>
            <w:r w:rsidRPr="007466C2">
              <w:rPr>
                <w:rFonts w:asciiTheme="minorHAnsi" w:hAnsiTheme="minorHAnsi" w:cstheme="minorHAnsi"/>
                <w:szCs w:val="24"/>
              </w:rPr>
              <w:t>See above</w:t>
            </w:r>
          </w:p>
        </w:tc>
        <w:tc>
          <w:tcPr>
            <w:tcW w:w="1365" w:type="dxa"/>
          </w:tcPr>
          <w:p w:rsidR="007466C2" w:rsidRPr="007466C2" w:rsidP="007466C2" w14:paraId="1AEEFB60" w14:textId="58850964">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28,061</w:t>
            </w:r>
          </w:p>
        </w:tc>
        <w:tc>
          <w:tcPr>
            <w:tcW w:w="1350" w:type="dxa"/>
          </w:tcPr>
          <w:p w:rsidR="007466C2" w:rsidRPr="007466C2" w:rsidP="007466C2" w14:paraId="5D2E57DB" w14:textId="03A8020A">
            <w:pPr>
              <w:jc w:val="right"/>
              <w:rPr>
                <w:rFonts w:asciiTheme="minorHAnsi" w:hAnsiTheme="minorHAnsi" w:cstheme="minorHAnsi"/>
                <w:szCs w:val="24"/>
              </w:rPr>
            </w:pPr>
            <w:r>
              <w:rPr>
                <w:rFonts w:asciiTheme="minorHAnsi" w:hAnsiTheme="minorHAnsi" w:cstheme="minorHAnsi"/>
                <w:szCs w:val="24"/>
              </w:rPr>
              <w:t>$</w:t>
            </w:r>
            <w:r w:rsidR="001955A9">
              <w:rPr>
                <w:rFonts w:asciiTheme="minorHAnsi" w:hAnsiTheme="minorHAnsi" w:cstheme="minorHAnsi"/>
                <w:szCs w:val="24"/>
              </w:rPr>
              <w:t>49.33</w:t>
            </w:r>
          </w:p>
        </w:tc>
        <w:tc>
          <w:tcPr>
            <w:tcW w:w="1890" w:type="dxa"/>
          </w:tcPr>
          <w:p w:rsidR="002B061C" w:rsidRPr="007466C2" w:rsidP="002B061C" w14:paraId="55ED5F6C" w14:textId="5BD1A8F5">
            <w:pPr>
              <w:jc w:val="right"/>
              <w:rPr>
                <w:rFonts w:asciiTheme="minorHAnsi" w:hAnsiTheme="minorHAnsi" w:cstheme="minorHAnsi"/>
                <w:szCs w:val="24"/>
              </w:rPr>
            </w:pPr>
            <w:r>
              <w:rPr>
                <w:rFonts w:asciiTheme="minorHAnsi" w:hAnsiTheme="minorHAnsi" w:cstheme="minorHAnsi"/>
                <w:szCs w:val="24"/>
              </w:rPr>
              <w:t>$</w:t>
            </w:r>
            <w:r w:rsidR="007C4D1B">
              <w:rPr>
                <w:rFonts w:asciiTheme="minorHAnsi" w:hAnsiTheme="minorHAnsi" w:cstheme="minorHAnsi"/>
                <w:szCs w:val="24"/>
              </w:rPr>
              <w:t>1,384,249</w:t>
            </w:r>
          </w:p>
        </w:tc>
      </w:tr>
      <w:tr w14:paraId="3613CD1F" w14:textId="77777777" w:rsidTr="002A41E2">
        <w:tblPrEx>
          <w:tblW w:w="9985" w:type="dxa"/>
          <w:tblLayout w:type="fixed"/>
          <w:tblLook w:val="0020"/>
        </w:tblPrEx>
        <w:tc>
          <w:tcPr>
            <w:tcW w:w="1525" w:type="dxa"/>
          </w:tcPr>
          <w:p w:rsidR="007466C2" w:rsidRPr="009C37AF" w:rsidP="007466C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7466C2" w:rsidRPr="007466C2" w:rsidP="007466C2" w14:paraId="5E785442" w14:textId="23C9443F">
            <w:pPr>
              <w:jc w:val="right"/>
              <w:rPr>
                <w:rFonts w:asciiTheme="minorHAnsi" w:hAnsiTheme="minorHAnsi" w:cstheme="minorHAnsi"/>
                <w:szCs w:val="24"/>
              </w:rPr>
            </w:pPr>
            <w:r>
              <w:rPr>
                <w:rFonts w:asciiTheme="minorHAnsi" w:hAnsiTheme="minorHAnsi" w:cstheme="minorHAnsi"/>
                <w:szCs w:val="24"/>
              </w:rPr>
              <w:t>1,414</w:t>
            </w:r>
          </w:p>
        </w:tc>
        <w:tc>
          <w:tcPr>
            <w:tcW w:w="1425" w:type="dxa"/>
          </w:tcPr>
          <w:p w:rsidR="007466C2" w:rsidRPr="007466C2" w:rsidP="007466C2" w14:paraId="49455BBE" w14:textId="1FABE926">
            <w:pPr>
              <w:jc w:val="right"/>
              <w:rPr>
                <w:rFonts w:asciiTheme="minorHAnsi" w:hAnsiTheme="minorHAnsi" w:cstheme="minorHAnsi"/>
                <w:szCs w:val="24"/>
              </w:rPr>
            </w:pPr>
            <w:r>
              <w:rPr>
                <w:rFonts w:asciiTheme="minorHAnsi" w:hAnsiTheme="minorHAnsi" w:cstheme="minorHAnsi"/>
                <w:szCs w:val="24"/>
              </w:rPr>
              <w:t>259,469</w:t>
            </w:r>
          </w:p>
        </w:tc>
        <w:tc>
          <w:tcPr>
            <w:tcW w:w="1155" w:type="dxa"/>
          </w:tcPr>
          <w:p w:rsidR="007466C2" w:rsidRPr="007466C2" w:rsidP="007466C2" w14:paraId="04DD53DB" w14:textId="121966B2">
            <w:pPr>
              <w:jc w:val="right"/>
              <w:rPr>
                <w:rFonts w:asciiTheme="minorHAnsi" w:hAnsiTheme="minorHAnsi" w:cstheme="minorHAnsi"/>
                <w:szCs w:val="24"/>
              </w:rPr>
            </w:pPr>
            <w:r w:rsidRPr="007466C2">
              <w:rPr>
                <w:rFonts w:asciiTheme="minorHAnsi" w:hAnsiTheme="minorHAnsi" w:cstheme="minorHAnsi"/>
                <w:szCs w:val="24"/>
              </w:rPr>
              <w:t>See above</w:t>
            </w:r>
          </w:p>
        </w:tc>
        <w:tc>
          <w:tcPr>
            <w:tcW w:w="1365" w:type="dxa"/>
          </w:tcPr>
          <w:p w:rsidR="007466C2" w:rsidRPr="007466C2" w:rsidP="007466C2" w14:paraId="39E6A524" w14:textId="587884E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58,009</w:t>
            </w:r>
          </w:p>
        </w:tc>
        <w:tc>
          <w:tcPr>
            <w:tcW w:w="1350" w:type="dxa"/>
          </w:tcPr>
          <w:p w:rsidR="00241226" w:rsidRPr="007466C2" w:rsidP="007466C2" w14:paraId="605A32D6" w14:textId="370A20AC">
            <w:pPr>
              <w:jc w:val="right"/>
              <w:rPr>
                <w:rFonts w:asciiTheme="minorHAnsi" w:hAnsiTheme="minorHAnsi" w:cstheme="minorHAnsi"/>
                <w:szCs w:val="24"/>
              </w:rPr>
            </w:pPr>
            <w:r>
              <w:rPr>
                <w:rFonts w:asciiTheme="minorHAnsi" w:hAnsiTheme="minorHAnsi" w:cstheme="minorHAnsi"/>
                <w:szCs w:val="24"/>
              </w:rPr>
              <w:t>$</w:t>
            </w:r>
            <w:r w:rsidR="001955A9">
              <w:rPr>
                <w:rFonts w:asciiTheme="minorHAnsi" w:hAnsiTheme="minorHAnsi" w:cstheme="minorHAnsi"/>
                <w:szCs w:val="24"/>
              </w:rPr>
              <w:t>49.33</w:t>
            </w:r>
          </w:p>
        </w:tc>
        <w:tc>
          <w:tcPr>
            <w:tcW w:w="1890" w:type="dxa"/>
          </w:tcPr>
          <w:p w:rsidR="007466C2" w:rsidRPr="007466C2" w:rsidP="007466C2" w14:paraId="7F5D36FF" w14:textId="1E8F48CE">
            <w:pPr>
              <w:jc w:val="right"/>
              <w:rPr>
                <w:rFonts w:asciiTheme="minorHAnsi" w:hAnsiTheme="minorHAnsi" w:cstheme="minorHAnsi"/>
                <w:szCs w:val="24"/>
              </w:rPr>
            </w:pPr>
            <w:r>
              <w:rPr>
                <w:rFonts w:asciiTheme="minorHAnsi" w:hAnsiTheme="minorHAnsi" w:cstheme="minorHAnsi"/>
                <w:szCs w:val="24"/>
              </w:rPr>
              <w:t>$</w:t>
            </w:r>
            <w:r w:rsidR="007C4D1B">
              <w:rPr>
                <w:rFonts w:asciiTheme="minorHAnsi" w:hAnsiTheme="minorHAnsi" w:cstheme="minorHAnsi"/>
                <w:szCs w:val="24"/>
              </w:rPr>
              <w:t>2,861,584</w:t>
            </w:r>
          </w:p>
        </w:tc>
      </w:tr>
      <w:tr w14:paraId="17134648" w14:textId="77777777" w:rsidTr="002A41E2">
        <w:tblPrEx>
          <w:tblW w:w="9985" w:type="dxa"/>
          <w:tblLayout w:type="fixed"/>
          <w:tblLook w:val="0020"/>
        </w:tblPrEx>
        <w:tc>
          <w:tcPr>
            <w:tcW w:w="1525" w:type="dxa"/>
          </w:tcPr>
          <w:p w:rsidR="007466C2" w:rsidRPr="009C37AF" w:rsidP="007466C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7466C2" w:rsidRPr="007466C2" w:rsidP="007466C2" w14:paraId="44D0EC38" w14:textId="7B4BD882">
            <w:pPr>
              <w:jc w:val="right"/>
              <w:rPr>
                <w:rFonts w:asciiTheme="minorHAnsi" w:hAnsiTheme="minorHAnsi" w:cstheme="minorHAnsi"/>
                <w:szCs w:val="24"/>
              </w:rPr>
            </w:pPr>
            <w:r>
              <w:rPr>
                <w:rFonts w:asciiTheme="minorHAnsi" w:hAnsiTheme="minorHAnsi" w:cstheme="minorHAnsi"/>
                <w:szCs w:val="24"/>
              </w:rPr>
              <w:t>1,634</w:t>
            </w:r>
          </w:p>
        </w:tc>
        <w:tc>
          <w:tcPr>
            <w:tcW w:w="1425" w:type="dxa"/>
          </w:tcPr>
          <w:p w:rsidR="007466C2" w:rsidRPr="007466C2" w:rsidP="007466C2" w14:paraId="1E02F8B0" w14:textId="4F107A3C">
            <w:pPr>
              <w:jc w:val="right"/>
              <w:rPr>
                <w:rFonts w:asciiTheme="minorHAnsi" w:hAnsiTheme="minorHAnsi" w:cstheme="minorHAnsi"/>
                <w:szCs w:val="24"/>
              </w:rPr>
            </w:pPr>
            <w:r>
              <w:rPr>
                <w:rFonts w:asciiTheme="minorHAnsi" w:hAnsiTheme="minorHAnsi" w:cstheme="minorHAnsi"/>
                <w:szCs w:val="24"/>
              </w:rPr>
              <w:t>299,839</w:t>
            </w:r>
          </w:p>
        </w:tc>
        <w:tc>
          <w:tcPr>
            <w:tcW w:w="1155" w:type="dxa"/>
          </w:tcPr>
          <w:p w:rsidR="007466C2" w:rsidRPr="007466C2" w:rsidP="007466C2" w14:paraId="730B3154" w14:textId="67124BCF">
            <w:pPr>
              <w:jc w:val="right"/>
              <w:rPr>
                <w:rFonts w:asciiTheme="minorHAnsi" w:hAnsiTheme="minorHAnsi" w:cstheme="minorHAnsi"/>
                <w:szCs w:val="24"/>
              </w:rPr>
            </w:pPr>
            <w:r w:rsidRPr="007466C2">
              <w:rPr>
                <w:rFonts w:asciiTheme="minorHAnsi" w:hAnsiTheme="minorHAnsi" w:cstheme="minorHAnsi"/>
                <w:szCs w:val="24"/>
              </w:rPr>
              <w:t>See above</w:t>
            </w:r>
          </w:p>
        </w:tc>
        <w:tc>
          <w:tcPr>
            <w:tcW w:w="1365" w:type="dxa"/>
          </w:tcPr>
          <w:p w:rsidR="007466C2" w:rsidRPr="007466C2" w:rsidP="007466C2" w14:paraId="0F7068F7" w14:textId="16CB7F04">
            <w:pPr>
              <w:jc w:val="right"/>
              <w:rPr>
                <w:rFonts w:asciiTheme="minorHAnsi" w:hAnsiTheme="minorHAnsi" w:cstheme="minorHAnsi"/>
                <w:szCs w:val="24"/>
              </w:rPr>
            </w:pPr>
            <w:r>
              <w:rPr>
                <w:rFonts w:asciiTheme="minorHAnsi" w:hAnsiTheme="minorHAnsi" w:cstheme="minorHAnsi"/>
                <w:szCs w:val="24"/>
              </w:rPr>
              <w:t>67,035</w:t>
            </w:r>
          </w:p>
        </w:tc>
        <w:tc>
          <w:tcPr>
            <w:tcW w:w="1350" w:type="dxa"/>
          </w:tcPr>
          <w:p w:rsidR="007466C2" w:rsidRPr="007466C2" w:rsidP="007466C2" w14:paraId="66779289" w14:textId="7B005956">
            <w:pPr>
              <w:jc w:val="right"/>
              <w:rPr>
                <w:rFonts w:asciiTheme="minorHAnsi" w:hAnsiTheme="minorHAnsi" w:cstheme="minorHAnsi"/>
                <w:szCs w:val="24"/>
              </w:rPr>
            </w:pPr>
            <w:r>
              <w:rPr>
                <w:rFonts w:asciiTheme="minorHAnsi" w:hAnsiTheme="minorHAnsi" w:cstheme="minorHAnsi"/>
                <w:szCs w:val="24"/>
              </w:rPr>
              <w:t>$</w:t>
            </w:r>
            <w:r w:rsidR="001955A9">
              <w:rPr>
                <w:rFonts w:asciiTheme="minorHAnsi" w:hAnsiTheme="minorHAnsi" w:cstheme="minorHAnsi"/>
                <w:szCs w:val="24"/>
              </w:rPr>
              <w:t>49.33</w:t>
            </w:r>
          </w:p>
        </w:tc>
        <w:tc>
          <w:tcPr>
            <w:tcW w:w="1890" w:type="dxa"/>
          </w:tcPr>
          <w:p w:rsidR="002B061C" w:rsidRPr="007466C2" w:rsidP="002B061C" w14:paraId="143D8490" w14:textId="7D4FDD66">
            <w:pPr>
              <w:jc w:val="right"/>
              <w:rPr>
                <w:rFonts w:asciiTheme="minorHAnsi" w:hAnsiTheme="minorHAnsi" w:cstheme="minorHAnsi"/>
                <w:szCs w:val="24"/>
              </w:rPr>
            </w:pPr>
            <w:r>
              <w:rPr>
                <w:rFonts w:asciiTheme="minorHAnsi" w:hAnsiTheme="minorHAnsi" w:cstheme="minorHAnsi"/>
                <w:szCs w:val="24"/>
              </w:rPr>
              <w:t>$</w:t>
            </w:r>
            <w:r w:rsidR="007C4D1B">
              <w:rPr>
                <w:rFonts w:asciiTheme="minorHAnsi" w:hAnsiTheme="minorHAnsi" w:cstheme="minorHAnsi"/>
                <w:szCs w:val="24"/>
              </w:rPr>
              <w:t>3,306,836</w:t>
            </w:r>
          </w:p>
        </w:tc>
      </w:tr>
      <w:tr w14:paraId="3DEE77D3" w14:textId="77777777" w:rsidTr="002A41E2">
        <w:tblPrEx>
          <w:tblW w:w="9985" w:type="dxa"/>
          <w:tblLayout w:type="fixed"/>
          <w:tblLook w:val="0020"/>
        </w:tblPrEx>
        <w:tc>
          <w:tcPr>
            <w:tcW w:w="1525" w:type="dxa"/>
          </w:tcPr>
          <w:p w:rsidR="007466C2" w:rsidRPr="007D1459" w:rsidP="007466C2" w14:paraId="597BF3F3" w14:textId="18CECE0C">
            <w:pPr>
              <w:rPr>
                <w:rFonts w:asciiTheme="minorHAnsi" w:hAnsiTheme="minorHAnsi" w:cstheme="minorHAnsi"/>
                <w:szCs w:val="24"/>
              </w:rPr>
            </w:pPr>
            <w:r w:rsidRPr="007D1459">
              <w:rPr>
                <w:rFonts w:asciiTheme="minorHAnsi" w:hAnsiTheme="minorHAnsi" w:cstheme="minorHAnsi"/>
                <w:szCs w:val="24"/>
              </w:rPr>
              <w:t>Annualized Totals</w:t>
            </w:r>
            <w:r w:rsidR="008A53B0">
              <w:rPr>
                <w:rFonts w:asciiTheme="minorHAnsi" w:hAnsiTheme="minorHAnsi" w:cstheme="minorHAnsi"/>
                <w:szCs w:val="24"/>
              </w:rPr>
              <w:t xml:space="preserve"> for this NPRM</w:t>
            </w:r>
          </w:p>
        </w:tc>
        <w:tc>
          <w:tcPr>
            <w:tcW w:w="1275" w:type="dxa"/>
          </w:tcPr>
          <w:p w:rsidR="007466C2" w:rsidRPr="007466C2" w:rsidP="007466C2" w14:paraId="224C2C47" w14:textId="27BDF933">
            <w:pPr>
              <w:jc w:val="right"/>
              <w:rPr>
                <w:rFonts w:asciiTheme="minorHAnsi" w:hAnsiTheme="minorHAnsi" w:cstheme="minorHAnsi"/>
                <w:szCs w:val="24"/>
              </w:rPr>
            </w:pPr>
            <w:r>
              <w:rPr>
                <w:rFonts w:asciiTheme="minorHAnsi" w:hAnsiTheme="minorHAnsi" w:cstheme="minorHAnsi"/>
                <w:szCs w:val="24"/>
              </w:rPr>
              <w:t>3,732</w:t>
            </w:r>
          </w:p>
        </w:tc>
        <w:tc>
          <w:tcPr>
            <w:tcW w:w="1425" w:type="dxa"/>
          </w:tcPr>
          <w:p w:rsidR="007466C2" w:rsidRPr="007466C2" w:rsidP="007466C2" w14:paraId="5F4B54EA" w14:textId="74039CC7">
            <w:pPr>
              <w:jc w:val="right"/>
              <w:rPr>
                <w:rFonts w:asciiTheme="minorHAnsi" w:hAnsiTheme="minorHAnsi" w:cstheme="minorHAnsi"/>
                <w:szCs w:val="24"/>
              </w:rPr>
            </w:pPr>
            <w:r>
              <w:rPr>
                <w:rFonts w:asciiTheme="minorHAnsi" w:hAnsiTheme="minorHAnsi" w:cstheme="minorHAnsi"/>
                <w:szCs w:val="24"/>
              </w:rPr>
              <w:t>684,822</w:t>
            </w:r>
          </w:p>
        </w:tc>
        <w:tc>
          <w:tcPr>
            <w:tcW w:w="1155" w:type="dxa"/>
          </w:tcPr>
          <w:p w:rsidR="007466C2" w:rsidRPr="007466C2" w:rsidP="007466C2" w14:paraId="68058CE4" w14:textId="77777777">
            <w:pPr>
              <w:jc w:val="right"/>
              <w:rPr>
                <w:rFonts w:asciiTheme="minorHAnsi" w:hAnsiTheme="minorHAnsi" w:cstheme="minorHAnsi"/>
                <w:szCs w:val="24"/>
              </w:rPr>
            </w:pPr>
          </w:p>
        </w:tc>
        <w:tc>
          <w:tcPr>
            <w:tcW w:w="1365" w:type="dxa"/>
          </w:tcPr>
          <w:p w:rsidR="007466C2" w:rsidRPr="007466C2" w:rsidP="007466C2" w14:paraId="37FAF8A5" w14:textId="79D2D68A">
            <w:pPr>
              <w:jc w:val="right"/>
              <w:rPr>
                <w:rFonts w:asciiTheme="minorHAnsi" w:hAnsiTheme="minorHAnsi" w:cstheme="minorHAnsi"/>
                <w:szCs w:val="24"/>
              </w:rPr>
            </w:pPr>
            <w:r>
              <w:rPr>
                <w:rFonts w:asciiTheme="minorHAnsi" w:hAnsiTheme="minorHAnsi" w:cstheme="minorHAnsi"/>
                <w:szCs w:val="24"/>
              </w:rPr>
              <w:t>153,105</w:t>
            </w:r>
          </w:p>
        </w:tc>
        <w:tc>
          <w:tcPr>
            <w:tcW w:w="1350" w:type="dxa"/>
          </w:tcPr>
          <w:p w:rsidR="007466C2" w:rsidRPr="007466C2" w:rsidP="007466C2" w14:paraId="3221A869" w14:textId="77777777">
            <w:pPr>
              <w:jc w:val="right"/>
              <w:rPr>
                <w:rFonts w:asciiTheme="minorHAnsi" w:hAnsiTheme="minorHAnsi" w:cstheme="minorHAnsi"/>
                <w:szCs w:val="24"/>
              </w:rPr>
            </w:pPr>
          </w:p>
        </w:tc>
        <w:tc>
          <w:tcPr>
            <w:tcW w:w="1890" w:type="dxa"/>
          </w:tcPr>
          <w:p w:rsidR="007466C2" w:rsidRPr="007466C2" w:rsidP="007466C2" w14:paraId="50468F26" w14:textId="2A7130CB">
            <w:pPr>
              <w:jc w:val="right"/>
              <w:rPr>
                <w:rFonts w:asciiTheme="minorHAnsi" w:hAnsiTheme="minorHAnsi" w:cstheme="minorHAnsi"/>
                <w:szCs w:val="24"/>
              </w:rPr>
            </w:pPr>
            <w:r>
              <w:rPr>
                <w:rFonts w:asciiTheme="minorHAnsi" w:hAnsiTheme="minorHAnsi" w:cstheme="minorHAnsi"/>
                <w:szCs w:val="24"/>
              </w:rPr>
              <w:t>$</w:t>
            </w:r>
            <w:r w:rsidR="007C4D1B">
              <w:rPr>
                <w:rFonts w:asciiTheme="minorHAnsi" w:hAnsiTheme="minorHAnsi" w:cstheme="minorHAnsi"/>
                <w:szCs w:val="24"/>
              </w:rPr>
              <w:t>7,552,669</w:t>
            </w:r>
          </w:p>
        </w:tc>
      </w:tr>
      <w:tr w14:paraId="7A51D564" w14:textId="77777777" w:rsidTr="002A41E2">
        <w:tblPrEx>
          <w:tblW w:w="9985" w:type="dxa"/>
          <w:tblLayout w:type="fixed"/>
          <w:tblLook w:val="0020"/>
        </w:tblPrEx>
        <w:tc>
          <w:tcPr>
            <w:tcW w:w="1525" w:type="dxa"/>
          </w:tcPr>
          <w:p w:rsidR="00860194" w:rsidP="00860194" w14:paraId="2BF717E6" w14:textId="0C0B3C8A">
            <w:pPr>
              <w:rPr>
                <w:rFonts w:asciiTheme="minorHAnsi" w:hAnsiTheme="minorHAnsi" w:cstheme="minorHAnsi"/>
                <w:szCs w:val="24"/>
              </w:rPr>
            </w:pPr>
            <w:r>
              <w:rPr>
                <w:rFonts w:asciiTheme="minorHAnsi" w:hAnsiTheme="minorHAnsi" w:cstheme="minorHAnsi"/>
                <w:szCs w:val="24"/>
              </w:rPr>
              <w:t>Individual*</w:t>
            </w:r>
          </w:p>
        </w:tc>
        <w:tc>
          <w:tcPr>
            <w:tcW w:w="1275" w:type="dxa"/>
          </w:tcPr>
          <w:p w:rsidR="00860194" w:rsidP="00860194" w14:paraId="415CAFFE" w14:textId="261E2691">
            <w:pPr>
              <w:jc w:val="right"/>
              <w:rPr>
                <w:rFonts w:asciiTheme="minorHAnsi" w:hAnsiTheme="minorHAnsi" w:cstheme="minorHAnsi"/>
                <w:szCs w:val="24"/>
              </w:rPr>
            </w:pPr>
            <w:r>
              <w:rPr>
                <w:rFonts w:asciiTheme="minorHAnsi" w:hAnsiTheme="minorHAnsi" w:cstheme="minorHAnsi"/>
                <w:szCs w:val="24"/>
              </w:rPr>
              <w:t>425,075*</w:t>
            </w:r>
          </w:p>
        </w:tc>
        <w:tc>
          <w:tcPr>
            <w:tcW w:w="1425" w:type="dxa"/>
          </w:tcPr>
          <w:p w:rsidR="00860194" w:rsidP="00860194" w14:paraId="1BD86A28" w14:textId="6DBA577F">
            <w:pPr>
              <w:jc w:val="right"/>
              <w:rPr>
                <w:rFonts w:asciiTheme="minorHAnsi" w:hAnsiTheme="minorHAnsi" w:cstheme="minorHAnsi"/>
                <w:szCs w:val="24"/>
              </w:rPr>
            </w:pPr>
            <w:r>
              <w:rPr>
                <w:rFonts w:asciiTheme="minorHAnsi" w:hAnsiTheme="minorHAnsi" w:cstheme="minorHAnsi"/>
                <w:szCs w:val="24"/>
              </w:rPr>
              <w:t>425,075*</w:t>
            </w:r>
          </w:p>
        </w:tc>
        <w:tc>
          <w:tcPr>
            <w:tcW w:w="1155" w:type="dxa"/>
          </w:tcPr>
          <w:p w:rsidR="00860194" w:rsidRPr="007466C2" w:rsidP="00860194" w14:paraId="586D53ED" w14:textId="219F1123">
            <w:pPr>
              <w:jc w:val="right"/>
              <w:rPr>
                <w:rFonts w:asciiTheme="minorHAnsi" w:hAnsiTheme="minorHAnsi" w:cstheme="minorHAnsi"/>
                <w:szCs w:val="24"/>
              </w:rPr>
            </w:pPr>
          </w:p>
        </w:tc>
        <w:tc>
          <w:tcPr>
            <w:tcW w:w="1365" w:type="dxa"/>
          </w:tcPr>
          <w:p w:rsidR="00860194" w:rsidP="00860194" w14:paraId="75398B4D" w14:textId="59F48CA9">
            <w:pPr>
              <w:jc w:val="right"/>
              <w:rPr>
                <w:rFonts w:asciiTheme="minorHAnsi" w:hAnsiTheme="minorHAnsi" w:cstheme="minorHAnsi"/>
                <w:szCs w:val="24"/>
              </w:rPr>
            </w:pPr>
            <w:r>
              <w:rPr>
                <w:rFonts w:asciiTheme="minorHAnsi" w:hAnsiTheme="minorHAnsi" w:cstheme="minorHAnsi"/>
                <w:szCs w:val="24"/>
              </w:rPr>
              <w:t>318,806*</w:t>
            </w:r>
          </w:p>
        </w:tc>
        <w:tc>
          <w:tcPr>
            <w:tcW w:w="1350" w:type="dxa"/>
          </w:tcPr>
          <w:p w:rsidR="00860194" w:rsidRPr="007466C2" w:rsidP="00860194" w14:paraId="3BA211DE" w14:textId="77777777">
            <w:pPr>
              <w:jc w:val="right"/>
              <w:rPr>
                <w:rFonts w:asciiTheme="minorHAnsi" w:hAnsiTheme="minorHAnsi" w:cstheme="minorHAnsi"/>
                <w:szCs w:val="24"/>
              </w:rPr>
            </w:pPr>
          </w:p>
        </w:tc>
        <w:tc>
          <w:tcPr>
            <w:tcW w:w="1890" w:type="dxa"/>
          </w:tcPr>
          <w:p w:rsidR="00860194" w:rsidP="00860194" w14:paraId="53944617" w14:textId="77777777">
            <w:pPr>
              <w:jc w:val="right"/>
              <w:rPr>
                <w:rFonts w:asciiTheme="minorHAnsi" w:hAnsiTheme="minorHAnsi" w:cstheme="minorHAnsi"/>
                <w:szCs w:val="24"/>
              </w:rPr>
            </w:pPr>
          </w:p>
        </w:tc>
      </w:tr>
      <w:tr w14:paraId="53F0B616" w14:textId="77777777" w:rsidTr="002A41E2">
        <w:tblPrEx>
          <w:tblW w:w="9985" w:type="dxa"/>
          <w:tblLayout w:type="fixed"/>
          <w:tblLook w:val="0020"/>
        </w:tblPrEx>
        <w:tc>
          <w:tcPr>
            <w:tcW w:w="1525" w:type="dxa"/>
          </w:tcPr>
          <w:p w:rsidR="008A53B0" w:rsidP="008A53B0" w14:paraId="1F46605A" w14:textId="1B92E40E">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8A53B0" w:rsidP="008A53B0" w14:paraId="69EB14AA" w14:textId="5248F400">
            <w:pPr>
              <w:jc w:val="right"/>
              <w:rPr>
                <w:rFonts w:asciiTheme="minorHAnsi" w:hAnsiTheme="minorHAnsi" w:cstheme="minorHAnsi"/>
                <w:szCs w:val="24"/>
              </w:rPr>
            </w:pPr>
            <w:r>
              <w:rPr>
                <w:rFonts w:asciiTheme="minorHAnsi" w:hAnsiTheme="minorHAnsi" w:cstheme="minorHAnsi"/>
                <w:szCs w:val="24"/>
              </w:rPr>
              <w:t>174,771*</w:t>
            </w:r>
          </w:p>
        </w:tc>
        <w:tc>
          <w:tcPr>
            <w:tcW w:w="1425" w:type="dxa"/>
          </w:tcPr>
          <w:p w:rsidR="008A53B0" w:rsidP="008A53B0" w14:paraId="7A84B1E5" w14:textId="2878980B">
            <w:pPr>
              <w:jc w:val="right"/>
              <w:rPr>
                <w:rFonts w:asciiTheme="minorHAnsi" w:hAnsiTheme="minorHAnsi" w:cstheme="minorHAnsi"/>
                <w:szCs w:val="24"/>
              </w:rPr>
            </w:pPr>
            <w:r>
              <w:rPr>
                <w:rFonts w:asciiTheme="minorHAnsi" w:hAnsiTheme="minorHAnsi" w:cstheme="minorHAnsi"/>
                <w:szCs w:val="24"/>
              </w:rPr>
              <w:t>335</w:t>
            </w:r>
            <w:r w:rsidR="00CE28F6">
              <w:rPr>
                <w:rFonts w:asciiTheme="minorHAnsi" w:hAnsiTheme="minorHAnsi" w:cstheme="minorHAnsi"/>
                <w:szCs w:val="24"/>
              </w:rPr>
              <w:t>,</w:t>
            </w:r>
            <w:r>
              <w:rPr>
                <w:rFonts w:asciiTheme="minorHAnsi" w:hAnsiTheme="minorHAnsi" w:cstheme="minorHAnsi"/>
                <w:szCs w:val="24"/>
              </w:rPr>
              <w:t>904</w:t>
            </w:r>
            <w:r w:rsidR="00CE28F6">
              <w:rPr>
                <w:rFonts w:asciiTheme="minorHAnsi" w:hAnsiTheme="minorHAnsi" w:cstheme="minorHAnsi"/>
                <w:szCs w:val="24"/>
              </w:rPr>
              <w:t>*</w:t>
            </w:r>
          </w:p>
        </w:tc>
        <w:tc>
          <w:tcPr>
            <w:tcW w:w="1155" w:type="dxa"/>
          </w:tcPr>
          <w:p w:rsidR="008A53B0" w:rsidRPr="007466C2" w:rsidP="008A53B0" w14:paraId="4FA98CDC" w14:textId="77777777">
            <w:pPr>
              <w:jc w:val="right"/>
              <w:rPr>
                <w:rFonts w:asciiTheme="minorHAnsi" w:hAnsiTheme="minorHAnsi" w:cstheme="minorHAnsi"/>
                <w:szCs w:val="24"/>
              </w:rPr>
            </w:pPr>
          </w:p>
        </w:tc>
        <w:tc>
          <w:tcPr>
            <w:tcW w:w="1365" w:type="dxa"/>
          </w:tcPr>
          <w:p w:rsidR="008A53B0" w:rsidP="008A53B0" w14:paraId="368DB8B4" w14:textId="40B8A85D">
            <w:pPr>
              <w:jc w:val="right"/>
              <w:rPr>
                <w:rFonts w:asciiTheme="minorHAnsi" w:hAnsiTheme="minorHAnsi" w:cstheme="minorHAnsi"/>
                <w:szCs w:val="24"/>
              </w:rPr>
            </w:pPr>
            <w:r>
              <w:rPr>
                <w:rFonts w:asciiTheme="minorHAnsi" w:hAnsiTheme="minorHAnsi" w:cstheme="minorHAnsi"/>
                <w:szCs w:val="24"/>
              </w:rPr>
              <w:t>814</w:t>
            </w:r>
            <w:r w:rsidR="00CE28F6">
              <w:rPr>
                <w:rFonts w:asciiTheme="minorHAnsi" w:hAnsiTheme="minorHAnsi" w:cstheme="minorHAnsi"/>
                <w:szCs w:val="24"/>
              </w:rPr>
              <w:t>,</w:t>
            </w:r>
            <w:r>
              <w:rPr>
                <w:rFonts w:asciiTheme="minorHAnsi" w:hAnsiTheme="minorHAnsi" w:cstheme="minorHAnsi"/>
                <w:szCs w:val="24"/>
              </w:rPr>
              <w:t>842</w:t>
            </w:r>
            <w:r w:rsidR="00CE28F6">
              <w:rPr>
                <w:rFonts w:asciiTheme="minorHAnsi" w:hAnsiTheme="minorHAnsi" w:cstheme="minorHAnsi"/>
                <w:szCs w:val="24"/>
              </w:rPr>
              <w:t>*</w:t>
            </w:r>
          </w:p>
        </w:tc>
        <w:tc>
          <w:tcPr>
            <w:tcW w:w="1350" w:type="dxa"/>
          </w:tcPr>
          <w:p w:rsidR="008A53B0" w:rsidRPr="007466C2" w:rsidP="008A53B0" w14:paraId="75F390A1" w14:textId="77777777">
            <w:pPr>
              <w:jc w:val="right"/>
              <w:rPr>
                <w:rFonts w:asciiTheme="minorHAnsi" w:hAnsiTheme="minorHAnsi" w:cstheme="minorHAnsi"/>
                <w:szCs w:val="24"/>
              </w:rPr>
            </w:pPr>
          </w:p>
        </w:tc>
        <w:tc>
          <w:tcPr>
            <w:tcW w:w="1890" w:type="dxa"/>
          </w:tcPr>
          <w:p w:rsidR="008A53B0" w:rsidP="008A53B0" w14:paraId="1C005605" w14:textId="77777777">
            <w:pPr>
              <w:jc w:val="right"/>
              <w:rPr>
                <w:rFonts w:asciiTheme="minorHAnsi" w:hAnsiTheme="minorHAnsi" w:cstheme="minorHAnsi"/>
                <w:szCs w:val="24"/>
              </w:rPr>
            </w:pPr>
          </w:p>
        </w:tc>
      </w:tr>
      <w:tr w14:paraId="53F7BE17" w14:textId="77777777" w:rsidTr="002A41E2">
        <w:tblPrEx>
          <w:tblW w:w="9985" w:type="dxa"/>
          <w:tblLayout w:type="fixed"/>
          <w:tblLook w:val="0020"/>
        </w:tblPrEx>
        <w:tc>
          <w:tcPr>
            <w:tcW w:w="1525" w:type="dxa"/>
          </w:tcPr>
          <w:p w:rsidR="008A53B0" w:rsidP="008A53B0" w14:paraId="0EE3999F" w14:textId="6D43A880">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8A53B0" w:rsidP="008A53B0" w14:paraId="4C891E2F" w14:textId="2A9BEB1A">
            <w:pPr>
              <w:jc w:val="right"/>
              <w:rPr>
                <w:rFonts w:asciiTheme="minorHAnsi" w:hAnsiTheme="minorHAnsi" w:cstheme="minorHAnsi"/>
                <w:szCs w:val="24"/>
              </w:rPr>
            </w:pPr>
            <w:r>
              <w:rPr>
                <w:rFonts w:asciiTheme="minorHAnsi" w:hAnsiTheme="minorHAnsi" w:cstheme="minorHAnsi"/>
                <w:szCs w:val="24"/>
              </w:rPr>
              <w:t>144,461*</w:t>
            </w:r>
          </w:p>
        </w:tc>
        <w:tc>
          <w:tcPr>
            <w:tcW w:w="1425" w:type="dxa"/>
          </w:tcPr>
          <w:p w:rsidR="008A53B0" w:rsidP="008A53B0" w14:paraId="4357DE78" w14:textId="356DA780">
            <w:pPr>
              <w:jc w:val="right"/>
              <w:rPr>
                <w:rFonts w:asciiTheme="minorHAnsi" w:hAnsiTheme="minorHAnsi" w:cstheme="minorHAnsi"/>
                <w:szCs w:val="24"/>
              </w:rPr>
            </w:pPr>
            <w:r>
              <w:rPr>
                <w:rFonts w:asciiTheme="minorHAnsi" w:hAnsiTheme="minorHAnsi" w:cstheme="minorHAnsi"/>
                <w:szCs w:val="24"/>
              </w:rPr>
              <w:t>271</w:t>
            </w:r>
            <w:r w:rsidR="00CE28F6">
              <w:rPr>
                <w:rFonts w:asciiTheme="minorHAnsi" w:hAnsiTheme="minorHAnsi" w:cstheme="minorHAnsi"/>
                <w:szCs w:val="24"/>
              </w:rPr>
              <w:t>,</w:t>
            </w:r>
            <w:r>
              <w:rPr>
                <w:rFonts w:asciiTheme="minorHAnsi" w:hAnsiTheme="minorHAnsi" w:cstheme="minorHAnsi"/>
                <w:szCs w:val="24"/>
              </w:rPr>
              <w:t>460</w:t>
            </w:r>
            <w:r w:rsidR="00CE28F6">
              <w:rPr>
                <w:rFonts w:asciiTheme="minorHAnsi" w:hAnsiTheme="minorHAnsi" w:cstheme="minorHAnsi"/>
                <w:szCs w:val="24"/>
              </w:rPr>
              <w:t>*</w:t>
            </w:r>
          </w:p>
        </w:tc>
        <w:tc>
          <w:tcPr>
            <w:tcW w:w="1155" w:type="dxa"/>
          </w:tcPr>
          <w:p w:rsidR="008A53B0" w:rsidRPr="007466C2" w:rsidP="008A53B0" w14:paraId="1CFE82EE" w14:textId="77777777">
            <w:pPr>
              <w:jc w:val="right"/>
              <w:rPr>
                <w:rFonts w:asciiTheme="minorHAnsi" w:hAnsiTheme="minorHAnsi" w:cstheme="minorHAnsi"/>
                <w:szCs w:val="24"/>
              </w:rPr>
            </w:pPr>
          </w:p>
        </w:tc>
        <w:tc>
          <w:tcPr>
            <w:tcW w:w="1365" w:type="dxa"/>
          </w:tcPr>
          <w:p w:rsidR="008A53B0" w:rsidP="008A53B0" w14:paraId="6AF19610" w14:textId="071FC5A4">
            <w:pPr>
              <w:jc w:val="right"/>
              <w:rPr>
                <w:rFonts w:asciiTheme="minorHAnsi" w:hAnsiTheme="minorHAnsi" w:cstheme="minorHAnsi"/>
                <w:szCs w:val="24"/>
              </w:rPr>
            </w:pPr>
            <w:r>
              <w:rPr>
                <w:rFonts w:asciiTheme="minorHAnsi" w:hAnsiTheme="minorHAnsi" w:cstheme="minorHAnsi"/>
                <w:szCs w:val="24"/>
              </w:rPr>
              <w:t>669</w:t>
            </w:r>
            <w:r w:rsidR="00CE28F6">
              <w:rPr>
                <w:rFonts w:asciiTheme="minorHAnsi" w:hAnsiTheme="minorHAnsi" w:cstheme="minorHAnsi"/>
                <w:szCs w:val="24"/>
              </w:rPr>
              <w:t>,</w:t>
            </w:r>
            <w:r>
              <w:rPr>
                <w:rFonts w:asciiTheme="minorHAnsi" w:hAnsiTheme="minorHAnsi" w:cstheme="minorHAnsi"/>
                <w:szCs w:val="24"/>
              </w:rPr>
              <w:t>239</w:t>
            </w:r>
            <w:r w:rsidR="00CE28F6">
              <w:rPr>
                <w:rFonts w:asciiTheme="minorHAnsi" w:hAnsiTheme="minorHAnsi" w:cstheme="minorHAnsi"/>
                <w:szCs w:val="24"/>
              </w:rPr>
              <w:t>*</w:t>
            </w:r>
          </w:p>
        </w:tc>
        <w:tc>
          <w:tcPr>
            <w:tcW w:w="1350" w:type="dxa"/>
          </w:tcPr>
          <w:p w:rsidR="008A53B0" w:rsidRPr="007466C2" w:rsidP="008A53B0" w14:paraId="5116C717" w14:textId="77777777">
            <w:pPr>
              <w:jc w:val="right"/>
              <w:rPr>
                <w:rFonts w:asciiTheme="minorHAnsi" w:hAnsiTheme="minorHAnsi" w:cstheme="minorHAnsi"/>
                <w:szCs w:val="24"/>
              </w:rPr>
            </w:pPr>
          </w:p>
        </w:tc>
        <w:tc>
          <w:tcPr>
            <w:tcW w:w="1890" w:type="dxa"/>
          </w:tcPr>
          <w:p w:rsidR="008A53B0" w:rsidP="008A53B0" w14:paraId="71E0B11E" w14:textId="77777777">
            <w:pPr>
              <w:jc w:val="right"/>
              <w:rPr>
                <w:rFonts w:asciiTheme="minorHAnsi" w:hAnsiTheme="minorHAnsi" w:cstheme="minorHAnsi"/>
                <w:szCs w:val="24"/>
              </w:rPr>
            </w:pPr>
          </w:p>
        </w:tc>
      </w:tr>
      <w:tr w14:paraId="0EA0318B" w14:textId="77777777" w:rsidTr="002A41E2">
        <w:tblPrEx>
          <w:tblW w:w="9985" w:type="dxa"/>
          <w:tblLayout w:type="fixed"/>
          <w:tblLook w:val="0020"/>
        </w:tblPrEx>
        <w:tc>
          <w:tcPr>
            <w:tcW w:w="1525" w:type="dxa"/>
          </w:tcPr>
          <w:p w:rsidR="008A53B0" w:rsidP="008A53B0" w14:paraId="26E70C1A" w14:textId="57A4384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8A53B0" w:rsidP="008A53B0" w14:paraId="08C8131F" w14:textId="0D66E914">
            <w:pPr>
              <w:jc w:val="right"/>
              <w:rPr>
                <w:rFonts w:asciiTheme="minorHAnsi" w:hAnsiTheme="minorHAnsi" w:cstheme="minorHAnsi"/>
                <w:szCs w:val="24"/>
              </w:rPr>
            </w:pPr>
            <w:r>
              <w:rPr>
                <w:rFonts w:asciiTheme="minorHAnsi" w:hAnsiTheme="minorHAnsi" w:cstheme="minorHAnsi"/>
                <w:szCs w:val="24"/>
              </w:rPr>
              <w:t>173,807*</w:t>
            </w:r>
          </w:p>
        </w:tc>
        <w:tc>
          <w:tcPr>
            <w:tcW w:w="1425" w:type="dxa"/>
          </w:tcPr>
          <w:p w:rsidR="008A53B0" w:rsidP="008A53B0" w14:paraId="7E923F49" w14:textId="4ABFBA9B">
            <w:pPr>
              <w:jc w:val="right"/>
              <w:rPr>
                <w:rFonts w:asciiTheme="minorHAnsi" w:hAnsiTheme="minorHAnsi" w:cstheme="minorHAnsi"/>
                <w:szCs w:val="24"/>
              </w:rPr>
            </w:pPr>
            <w:r>
              <w:rPr>
                <w:rFonts w:asciiTheme="minorHAnsi" w:hAnsiTheme="minorHAnsi" w:cstheme="minorHAnsi"/>
                <w:szCs w:val="24"/>
              </w:rPr>
              <w:t>329</w:t>
            </w:r>
            <w:r w:rsidR="00CE28F6">
              <w:rPr>
                <w:rFonts w:asciiTheme="minorHAnsi" w:hAnsiTheme="minorHAnsi" w:cstheme="minorHAnsi"/>
                <w:szCs w:val="24"/>
              </w:rPr>
              <w:t>,</w:t>
            </w:r>
            <w:r>
              <w:rPr>
                <w:rFonts w:asciiTheme="minorHAnsi" w:hAnsiTheme="minorHAnsi" w:cstheme="minorHAnsi"/>
                <w:szCs w:val="24"/>
              </w:rPr>
              <w:t>399</w:t>
            </w:r>
            <w:r w:rsidR="00CE28F6">
              <w:rPr>
                <w:rFonts w:asciiTheme="minorHAnsi" w:hAnsiTheme="minorHAnsi" w:cstheme="minorHAnsi"/>
                <w:szCs w:val="24"/>
              </w:rPr>
              <w:t>*</w:t>
            </w:r>
          </w:p>
        </w:tc>
        <w:tc>
          <w:tcPr>
            <w:tcW w:w="1155" w:type="dxa"/>
          </w:tcPr>
          <w:p w:rsidR="008A53B0" w:rsidRPr="007466C2" w:rsidP="008A53B0" w14:paraId="4B92C81C" w14:textId="77777777">
            <w:pPr>
              <w:jc w:val="right"/>
              <w:rPr>
                <w:rFonts w:asciiTheme="minorHAnsi" w:hAnsiTheme="minorHAnsi" w:cstheme="minorHAnsi"/>
                <w:szCs w:val="24"/>
              </w:rPr>
            </w:pPr>
          </w:p>
        </w:tc>
        <w:tc>
          <w:tcPr>
            <w:tcW w:w="1365" w:type="dxa"/>
          </w:tcPr>
          <w:p w:rsidR="008A53B0" w:rsidP="008A53B0" w14:paraId="5913A5EC" w14:textId="68EDCD7D">
            <w:pPr>
              <w:jc w:val="right"/>
              <w:rPr>
                <w:rFonts w:asciiTheme="minorHAnsi" w:hAnsiTheme="minorHAnsi" w:cstheme="minorHAnsi"/>
                <w:szCs w:val="24"/>
              </w:rPr>
            </w:pPr>
            <w:r>
              <w:rPr>
                <w:rFonts w:asciiTheme="minorHAnsi" w:hAnsiTheme="minorHAnsi" w:cstheme="minorHAnsi"/>
                <w:szCs w:val="24"/>
              </w:rPr>
              <w:t>782</w:t>
            </w:r>
            <w:r w:rsidR="00CE28F6">
              <w:rPr>
                <w:rFonts w:asciiTheme="minorHAnsi" w:hAnsiTheme="minorHAnsi" w:cstheme="minorHAnsi"/>
                <w:szCs w:val="24"/>
              </w:rPr>
              <w:t>,</w:t>
            </w:r>
            <w:r>
              <w:rPr>
                <w:rFonts w:asciiTheme="minorHAnsi" w:hAnsiTheme="minorHAnsi" w:cstheme="minorHAnsi"/>
                <w:szCs w:val="24"/>
              </w:rPr>
              <w:t>793</w:t>
            </w:r>
            <w:r w:rsidR="00CE28F6">
              <w:rPr>
                <w:rFonts w:asciiTheme="minorHAnsi" w:hAnsiTheme="minorHAnsi" w:cstheme="minorHAnsi"/>
                <w:szCs w:val="24"/>
              </w:rPr>
              <w:t>*</w:t>
            </w:r>
          </w:p>
        </w:tc>
        <w:tc>
          <w:tcPr>
            <w:tcW w:w="1350" w:type="dxa"/>
          </w:tcPr>
          <w:p w:rsidR="008A53B0" w:rsidRPr="007466C2" w:rsidP="008A53B0" w14:paraId="61D14113" w14:textId="77777777">
            <w:pPr>
              <w:jc w:val="right"/>
              <w:rPr>
                <w:rFonts w:asciiTheme="minorHAnsi" w:hAnsiTheme="minorHAnsi" w:cstheme="minorHAnsi"/>
                <w:szCs w:val="24"/>
              </w:rPr>
            </w:pPr>
          </w:p>
        </w:tc>
        <w:tc>
          <w:tcPr>
            <w:tcW w:w="1890" w:type="dxa"/>
          </w:tcPr>
          <w:p w:rsidR="008A53B0" w:rsidP="008A53B0" w14:paraId="33BA56C9" w14:textId="77777777">
            <w:pPr>
              <w:jc w:val="right"/>
              <w:rPr>
                <w:rFonts w:asciiTheme="minorHAnsi" w:hAnsiTheme="minorHAnsi" w:cstheme="minorHAnsi"/>
                <w:szCs w:val="24"/>
              </w:rPr>
            </w:pPr>
          </w:p>
        </w:tc>
      </w:tr>
      <w:tr w14:paraId="6D22A001" w14:textId="77777777" w:rsidTr="002A41E2">
        <w:tblPrEx>
          <w:tblW w:w="9985" w:type="dxa"/>
          <w:tblLayout w:type="fixed"/>
          <w:tblLook w:val="0020"/>
        </w:tblPrEx>
        <w:tc>
          <w:tcPr>
            <w:tcW w:w="1525" w:type="dxa"/>
          </w:tcPr>
          <w:p w:rsidR="008A53B0" w:rsidP="008A53B0" w14:paraId="31010A70" w14:textId="3AC7BC63">
            <w:pPr>
              <w:rPr>
                <w:rFonts w:asciiTheme="minorHAnsi" w:hAnsiTheme="minorHAnsi" w:cstheme="minorHAnsi"/>
                <w:szCs w:val="24"/>
              </w:rPr>
            </w:pPr>
            <w:r>
              <w:rPr>
                <w:rFonts w:asciiTheme="minorHAnsi" w:hAnsiTheme="minorHAnsi" w:cstheme="minorHAnsi"/>
                <w:szCs w:val="24"/>
              </w:rPr>
              <w:t>Current Totals</w:t>
            </w:r>
            <w:r w:rsidR="002A41E2">
              <w:rPr>
                <w:rFonts w:asciiTheme="minorHAnsi" w:hAnsiTheme="minorHAnsi" w:cstheme="minorHAnsi"/>
                <w:szCs w:val="24"/>
              </w:rPr>
              <w:t xml:space="preserve"> for ICR</w:t>
            </w:r>
          </w:p>
        </w:tc>
        <w:tc>
          <w:tcPr>
            <w:tcW w:w="1275" w:type="dxa"/>
          </w:tcPr>
          <w:p w:rsidR="008A53B0" w:rsidP="008A53B0" w14:paraId="0FFA3FF6" w14:textId="6A285603">
            <w:pPr>
              <w:jc w:val="right"/>
              <w:rPr>
                <w:rFonts w:asciiTheme="minorHAnsi" w:hAnsiTheme="minorHAnsi" w:cstheme="minorHAnsi"/>
                <w:szCs w:val="24"/>
              </w:rPr>
            </w:pPr>
            <w:r>
              <w:rPr>
                <w:rFonts w:asciiTheme="minorHAnsi" w:hAnsiTheme="minorHAnsi" w:cstheme="minorHAnsi"/>
                <w:szCs w:val="24"/>
              </w:rPr>
              <w:t>918,114*</w:t>
            </w:r>
          </w:p>
        </w:tc>
        <w:tc>
          <w:tcPr>
            <w:tcW w:w="1425" w:type="dxa"/>
          </w:tcPr>
          <w:p w:rsidR="008A53B0" w:rsidP="008A53B0" w14:paraId="0E74689B" w14:textId="3866B5BC">
            <w:pPr>
              <w:jc w:val="right"/>
              <w:rPr>
                <w:rFonts w:asciiTheme="minorHAnsi" w:hAnsiTheme="minorHAnsi" w:cstheme="minorHAnsi"/>
                <w:szCs w:val="24"/>
              </w:rPr>
            </w:pPr>
            <w:r>
              <w:rPr>
                <w:rFonts w:asciiTheme="minorHAnsi" w:hAnsiTheme="minorHAnsi" w:cstheme="minorHAnsi"/>
                <w:szCs w:val="24"/>
              </w:rPr>
              <w:t>1,361,838</w:t>
            </w:r>
            <w:r w:rsidR="00CE28F6">
              <w:rPr>
                <w:rFonts w:asciiTheme="minorHAnsi" w:hAnsiTheme="minorHAnsi" w:cstheme="minorHAnsi"/>
                <w:szCs w:val="24"/>
              </w:rPr>
              <w:t>*</w:t>
            </w:r>
          </w:p>
        </w:tc>
        <w:tc>
          <w:tcPr>
            <w:tcW w:w="1155" w:type="dxa"/>
          </w:tcPr>
          <w:p w:rsidR="008A53B0" w:rsidRPr="007466C2" w:rsidP="008A53B0" w14:paraId="22DDCA8B" w14:textId="77777777">
            <w:pPr>
              <w:jc w:val="right"/>
              <w:rPr>
                <w:rFonts w:asciiTheme="minorHAnsi" w:hAnsiTheme="minorHAnsi" w:cstheme="minorHAnsi"/>
                <w:szCs w:val="24"/>
              </w:rPr>
            </w:pPr>
          </w:p>
        </w:tc>
        <w:tc>
          <w:tcPr>
            <w:tcW w:w="1365" w:type="dxa"/>
          </w:tcPr>
          <w:p w:rsidR="008A53B0" w:rsidP="008A53B0" w14:paraId="31AFEDDF" w14:textId="05F114FF">
            <w:pPr>
              <w:jc w:val="right"/>
              <w:rPr>
                <w:rFonts w:asciiTheme="minorHAnsi" w:hAnsiTheme="minorHAnsi" w:cstheme="minorHAnsi"/>
                <w:szCs w:val="24"/>
              </w:rPr>
            </w:pPr>
            <w:r>
              <w:rPr>
                <w:rFonts w:asciiTheme="minorHAnsi" w:hAnsiTheme="minorHAnsi" w:cstheme="minorHAnsi"/>
                <w:szCs w:val="24"/>
              </w:rPr>
              <w:t>2,585,680</w:t>
            </w:r>
            <w:r w:rsidR="00CE28F6">
              <w:rPr>
                <w:rFonts w:asciiTheme="minorHAnsi" w:hAnsiTheme="minorHAnsi" w:cstheme="minorHAnsi"/>
                <w:szCs w:val="24"/>
              </w:rPr>
              <w:t>*</w:t>
            </w:r>
          </w:p>
        </w:tc>
        <w:tc>
          <w:tcPr>
            <w:tcW w:w="1350" w:type="dxa"/>
          </w:tcPr>
          <w:p w:rsidR="008A53B0" w:rsidRPr="007466C2" w:rsidP="008A53B0" w14:paraId="45454067" w14:textId="77777777">
            <w:pPr>
              <w:jc w:val="right"/>
              <w:rPr>
                <w:rFonts w:asciiTheme="minorHAnsi" w:hAnsiTheme="minorHAnsi" w:cstheme="minorHAnsi"/>
                <w:szCs w:val="24"/>
              </w:rPr>
            </w:pPr>
          </w:p>
        </w:tc>
        <w:tc>
          <w:tcPr>
            <w:tcW w:w="1890" w:type="dxa"/>
          </w:tcPr>
          <w:p w:rsidR="008A53B0" w:rsidP="008A53B0" w14:paraId="0CC498B2" w14:textId="77777777">
            <w:pPr>
              <w:jc w:val="right"/>
              <w:rPr>
                <w:rFonts w:asciiTheme="minorHAnsi" w:hAnsiTheme="minorHAnsi" w:cstheme="minorHAnsi"/>
                <w:szCs w:val="24"/>
              </w:rPr>
            </w:pPr>
          </w:p>
        </w:tc>
      </w:tr>
      <w:tr w14:paraId="48EA9E80" w14:textId="77777777" w:rsidTr="002A41E2">
        <w:tblPrEx>
          <w:tblW w:w="9985" w:type="dxa"/>
          <w:tblLayout w:type="fixed"/>
          <w:tblLook w:val="0020"/>
        </w:tblPrEx>
        <w:tc>
          <w:tcPr>
            <w:tcW w:w="1525" w:type="dxa"/>
          </w:tcPr>
          <w:p w:rsidR="008A53B0" w:rsidRPr="007D1459" w:rsidP="008A53B0" w14:paraId="7CEC5A5D" w14:textId="547AA3E3">
            <w:pPr>
              <w:rPr>
                <w:rFonts w:asciiTheme="minorHAnsi" w:hAnsiTheme="minorHAnsi" w:cstheme="minorHAnsi"/>
                <w:szCs w:val="24"/>
              </w:rPr>
            </w:pPr>
            <w:r>
              <w:rPr>
                <w:rFonts w:asciiTheme="minorHAnsi" w:hAnsiTheme="minorHAnsi" w:cstheme="minorHAnsi"/>
                <w:szCs w:val="24"/>
              </w:rPr>
              <w:t xml:space="preserve">New </w:t>
            </w:r>
            <w:r>
              <w:rPr>
                <w:rFonts w:asciiTheme="minorHAnsi" w:hAnsiTheme="minorHAnsi" w:cstheme="minorHAnsi"/>
                <w:szCs w:val="24"/>
              </w:rPr>
              <w:t>Collection Totals</w:t>
            </w:r>
          </w:p>
        </w:tc>
        <w:tc>
          <w:tcPr>
            <w:tcW w:w="1275" w:type="dxa"/>
          </w:tcPr>
          <w:p w:rsidR="008A53B0" w:rsidP="008A53B0" w14:paraId="1253A729" w14:textId="2B7A0846">
            <w:pPr>
              <w:jc w:val="right"/>
              <w:rPr>
                <w:rFonts w:asciiTheme="minorHAnsi" w:hAnsiTheme="minorHAnsi" w:cstheme="minorHAnsi"/>
                <w:szCs w:val="24"/>
              </w:rPr>
            </w:pPr>
            <w:r>
              <w:rPr>
                <w:rFonts w:asciiTheme="minorHAnsi" w:hAnsiTheme="minorHAnsi" w:cstheme="minorHAnsi"/>
                <w:szCs w:val="24"/>
              </w:rPr>
              <w:t>921,846</w:t>
            </w:r>
          </w:p>
        </w:tc>
        <w:tc>
          <w:tcPr>
            <w:tcW w:w="1425" w:type="dxa"/>
          </w:tcPr>
          <w:p w:rsidR="008A53B0" w:rsidP="008A53B0" w14:paraId="2E408FA9" w14:textId="08879BA8">
            <w:pPr>
              <w:jc w:val="right"/>
              <w:rPr>
                <w:rFonts w:asciiTheme="minorHAnsi" w:hAnsiTheme="minorHAnsi" w:cstheme="minorHAnsi"/>
                <w:szCs w:val="24"/>
              </w:rPr>
            </w:pPr>
            <w:r>
              <w:rPr>
                <w:rFonts w:asciiTheme="minorHAnsi" w:hAnsiTheme="minorHAnsi" w:cstheme="minorHAnsi"/>
                <w:szCs w:val="24"/>
              </w:rPr>
              <w:t>2,046,660</w:t>
            </w:r>
          </w:p>
        </w:tc>
        <w:tc>
          <w:tcPr>
            <w:tcW w:w="1155" w:type="dxa"/>
          </w:tcPr>
          <w:p w:rsidR="008A53B0" w:rsidRPr="007466C2" w:rsidP="008A53B0" w14:paraId="7DD40FF8" w14:textId="1AAA9B81">
            <w:pPr>
              <w:jc w:val="right"/>
              <w:rPr>
                <w:rFonts w:asciiTheme="minorHAnsi" w:hAnsiTheme="minorHAnsi" w:cstheme="minorHAnsi"/>
                <w:szCs w:val="24"/>
              </w:rPr>
            </w:pPr>
          </w:p>
        </w:tc>
        <w:tc>
          <w:tcPr>
            <w:tcW w:w="1365" w:type="dxa"/>
          </w:tcPr>
          <w:p w:rsidR="008A53B0" w:rsidP="008A53B0" w14:paraId="4B75AB88" w14:textId="27BD3F6A">
            <w:pPr>
              <w:jc w:val="right"/>
              <w:rPr>
                <w:rFonts w:asciiTheme="minorHAnsi" w:hAnsiTheme="minorHAnsi" w:cstheme="minorHAnsi"/>
                <w:szCs w:val="24"/>
              </w:rPr>
            </w:pPr>
            <w:r>
              <w:rPr>
                <w:rFonts w:asciiTheme="minorHAnsi" w:hAnsiTheme="minorHAnsi" w:cstheme="minorHAnsi"/>
                <w:szCs w:val="24"/>
              </w:rPr>
              <w:t>2,738,785</w:t>
            </w:r>
          </w:p>
        </w:tc>
        <w:tc>
          <w:tcPr>
            <w:tcW w:w="1350" w:type="dxa"/>
          </w:tcPr>
          <w:p w:rsidR="008A53B0" w:rsidRPr="007466C2" w:rsidP="008A53B0" w14:paraId="7C4265C8" w14:textId="77777777">
            <w:pPr>
              <w:jc w:val="right"/>
              <w:rPr>
                <w:rFonts w:asciiTheme="minorHAnsi" w:hAnsiTheme="minorHAnsi" w:cstheme="minorHAnsi"/>
                <w:szCs w:val="24"/>
              </w:rPr>
            </w:pPr>
          </w:p>
        </w:tc>
        <w:tc>
          <w:tcPr>
            <w:tcW w:w="1890" w:type="dxa"/>
          </w:tcPr>
          <w:p w:rsidR="008A53B0" w:rsidP="008A53B0" w14:paraId="1A47A0A5" w14:textId="570406D8">
            <w:pPr>
              <w:jc w:val="right"/>
              <w:rPr>
                <w:rFonts w:asciiTheme="minorHAnsi" w:hAnsiTheme="minorHAnsi" w:cstheme="minorHAnsi"/>
                <w:szCs w:val="24"/>
              </w:rPr>
            </w:pPr>
          </w:p>
        </w:tc>
      </w:tr>
    </w:tbl>
    <w:p w:rsidR="002A41E2" w:rsidP="00DB3570" w14:paraId="423913E8" w14:textId="2DF55F68">
      <w:pPr>
        <w:pStyle w:val="ListParagraph"/>
        <w:tabs>
          <w:tab w:val="left" w:pos="-720"/>
        </w:tabs>
        <w:suppressAutoHyphens/>
        <w:ind w:left="0"/>
        <w:rPr>
          <w:rFonts w:asciiTheme="minorHAnsi" w:hAnsiTheme="minorHAnsi" w:cstheme="minorHAnsi"/>
        </w:rPr>
      </w:pPr>
      <w:r>
        <w:rPr>
          <w:rFonts w:asciiTheme="minorHAnsi" w:hAnsiTheme="minorHAnsi" w:cstheme="minorHAnsi"/>
        </w:rPr>
        <w:t>*=for illustration of total information collection burden including elements not changed by this NPRM.</w:t>
      </w:r>
    </w:p>
    <w:p w:rsidR="002A41E2" w:rsidP="00DB3570" w14:paraId="5B190E66" w14:textId="77777777">
      <w:pPr>
        <w:pStyle w:val="ListParagraph"/>
        <w:tabs>
          <w:tab w:val="left" w:pos="-720"/>
        </w:tabs>
        <w:suppressAutoHyphens/>
        <w:ind w:left="0"/>
        <w:rPr>
          <w:rFonts w:asciiTheme="minorHAnsi" w:hAnsiTheme="minorHAnsi" w:cstheme="minorHAnsi"/>
        </w:rPr>
      </w:pPr>
    </w:p>
    <w:p w:rsidR="00DB3570" w:rsidP="00DB3570" w14:paraId="643AA247" w14:textId="22BD8160">
      <w:pPr>
        <w:pStyle w:val="ListParagraph"/>
        <w:tabs>
          <w:tab w:val="left" w:pos="-720"/>
        </w:tabs>
        <w:suppressAutoHyphens/>
        <w:ind w:left="0"/>
        <w:rPr>
          <w:rFonts w:asciiTheme="minorHAnsi" w:hAnsiTheme="minorHAnsi" w:cstheme="minorHAnsi"/>
        </w:rPr>
      </w:pPr>
      <w:r>
        <w:rPr>
          <w:rFonts w:asciiTheme="minorHAnsi" w:hAnsiTheme="minorHAnsi" w:cstheme="minorHAnsi"/>
        </w:rPr>
        <w:t xml:space="preserve">For institutions we have used the median hourly wage for Education Administrators, Postsecondary, $49.33 per hour according to BLS. </w:t>
      </w:r>
      <w:hyperlink r:id="rId10" w:history="1">
        <w:r w:rsidRPr="00433B3A">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ED7195">
        <w:rPr>
          <w:rFonts w:ascii="Times New Roman" w:hAnsi="Times New Roman"/>
          <w:b/>
          <w:szCs w:val="24"/>
        </w:rPr>
        <w:t>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EF0FF2" w:rsidRPr="00FB6309" w:rsidP="00EF0FF2" w14:paraId="1820D645"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EF0FF2" w:rsidRPr="00FB6309" w:rsidP="00EF0FF2" w14:paraId="15A064BA" w14:textId="77777777">
      <w:pPr>
        <w:ind w:left="720"/>
        <w:rPr>
          <w:rFonts w:asciiTheme="minorHAnsi" w:hAnsiTheme="minorHAnsi" w:cstheme="minorHAnsi"/>
          <w:szCs w:val="24"/>
        </w:rPr>
      </w:pPr>
      <w:r w:rsidRPr="0084549D">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7E9BB3F2">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6A6BC4">
              <w:rPr>
                <w:rFonts w:asciiTheme="minorHAnsi" w:hAnsiTheme="minorHAnsi" w:cstheme="minorHAnsi"/>
                <w:bCs/>
                <w:szCs w:val="24"/>
              </w:rPr>
              <w:t>684,822</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5308BE19">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6A6BC4">
              <w:rPr>
                <w:rFonts w:asciiTheme="minorHAnsi" w:hAnsiTheme="minorHAnsi" w:cstheme="minorHAnsi"/>
                <w:bCs/>
                <w:szCs w:val="24"/>
              </w:rPr>
              <w:t>153,105</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005F4E11" w14:paraId="64280F0C" w14:textId="47542340">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This request is to revise the currently approved information collection.  These changes are due to the proposed regulations offered through program change.  The proposed increase in burden to this information collection is</w:t>
      </w:r>
      <w:r>
        <w:rPr>
          <w:rFonts w:asciiTheme="minorHAnsi" w:hAnsiTheme="minorHAnsi" w:cstheme="minorHAnsi"/>
          <w:szCs w:val="24"/>
        </w:rPr>
        <w:t xml:space="preserve"> </w:t>
      </w:r>
      <w:r w:rsidRPr="00205FBE">
        <w:rPr>
          <w:rFonts w:asciiTheme="minorHAnsi" w:hAnsiTheme="minorHAnsi" w:cstheme="minorHAnsi"/>
          <w:szCs w:val="24"/>
        </w:rPr>
        <w:t xml:space="preserve">based on </w:t>
      </w:r>
      <w:r>
        <w:rPr>
          <w:rFonts w:asciiTheme="minorHAnsi" w:hAnsiTheme="minorHAnsi" w:cstheme="minorHAnsi"/>
          <w:szCs w:val="24"/>
        </w:rPr>
        <w:t xml:space="preserve">an </w:t>
      </w:r>
      <w:r w:rsidRPr="00205FBE">
        <w:rPr>
          <w:rFonts w:asciiTheme="minorHAnsi" w:hAnsiTheme="minorHAnsi" w:cstheme="minorHAnsi"/>
          <w:szCs w:val="24"/>
        </w:rPr>
        <w:t xml:space="preserve">estimated </w:t>
      </w:r>
      <w:r w:rsidR="006A6BC4">
        <w:rPr>
          <w:rFonts w:asciiTheme="minorHAnsi" w:hAnsiTheme="minorHAnsi" w:cstheme="minorHAnsi"/>
          <w:szCs w:val="24"/>
        </w:rPr>
        <w:t>153,105</w:t>
      </w:r>
      <w:r w:rsidRPr="0084549D">
        <w:rPr>
          <w:rFonts w:asciiTheme="minorHAnsi" w:hAnsiTheme="minorHAnsi" w:cstheme="minorHAnsi"/>
          <w:szCs w:val="24"/>
        </w:rPr>
        <w:t xml:space="preserve"> hours for </w:t>
      </w:r>
      <w:r w:rsidR="006A6BC4">
        <w:rPr>
          <w:rFonts w:asciiTheme="minorHAnsi" w:hAnsiTheme="minorHAnsi" w:cstheme="minorHAnsi"/>
          <w:szCs w:val="24"/>
        </w:rPr>
        <w:t>684,822</w:t>
      </w:r>
      <w:r w:rsidRPr="0084549D">
        <w:rPr>
          <w:rFonts w:asciiTheme="minorHAnsi" w:hAnsiTheme="minorHAnsi" w:cstheme="minorHAnsi"/>
          <w:szCs w:val="24"/>
        </w:rPr>
        <w:t xml:space="preserve"> responses from </w:t>
      </w:r>
      <w:r w:rsidR="006A6BC4">
        <w:rPr>
          <w:rFonts w:asciiTheme="minorHAnsi" w:hAnsiTheme="minorHAnsi" w:cstheme="minorHAnsi"/>
          <w:szCs w:val="24"/>
        </w:rPr>
        <w:t>3,732</w:t>
      </w:r>
      <w:r w:rsidRPr="0084549D">
        <w:rPr>
          <w:rFonts w:asciiTheme="minorHAnsi" w:hAnsiTheme="minorHAnsi" w:cstheme="minorHAnsi"/>
          <w:szCs w:val="24"/>
        </w:rPr>
        <w:t xml:space="preserve"> institutions.</w:t>
      </w:r>
      <w:r w:rsidRPr="00205FBE">
        <w:rPr>
          <w:rFonts w:asciiTheme="minorHAnsi" w:hAnsiTheme="minorHAnsi" w:cstheme="minorHAnsi"/>
          <w:szCs w:val="24"/>
        </w:rPr>
        <w:t xml:space="preserve">  </w:t>
      </w:r>
      <w:r w:rsidR="006A6BC4">
        <w:rPr>
          <w:rFonts w:asciiTheme="minorHAnsi" w:hAnsiTheme="minorHAnsi" w:cstheme="minorHAnsi"/>
          <w:szCs w:val="24"/>
        </w:rPr>
        <w:t>The Department estimates the new combined total information collection information at 2,046,660 responses and 2,738,785 hours.</w:t>
      </w:r>
    </w:p>
    <w:p w:rsidR="00EF0FF2" w:rsidRPr="005F4E11" w:rsidP="005F4E11" w14:paraId="33D127A9"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EF0FF2" w:rsidRPr="00FB6309" w:rsidP="00EF0FF2" w14:paraId="382333E1"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BB03CE" w:rsidRPr="00FB6309" w:rsidP="00EF0FF2" w14:paraId="204081A4" w14:textId="72BD36A3">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EF0FF2" w:rsidRPr="00AA5138" w:rsidP="00EF0FF2" w14:paraId="27D9313B"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EF0FF2" w14:paraId="1D395179" w14:textId="14CA16CB">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E2D" w14:paraId="64280F18" w14:textId="77777777">
    <w:pPr>
      <w:spacing w:before="140" w:line="100" w:lineRule="exact"/>
      <w:rPr>
        <w:sz w:val="10"/>
      </w:rPr>
    </w:pPr>
  </w:p>
  <w:p w:rsidR="004B1E2D" w14:paraId="64280F19" w14:textId="77777777">
    <w:pPr>
      <w:tabs>
        <w:tab w:val="left" w:pos="0"/>
      </w:tabs>
      <w:suppressAutoHyphens/>
    </w:pPr>
  </w:p>
  <w:p w:rsidR="004B1E2D"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B1E2D"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B1E2D"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77B79BF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03B97">
      <w:rPr>
        <w:rFonts w:ascii="Times New Roman" w:hAnsi="Times New Roman"/>
        <w:szCs w:val="24"/>
      </w:rPr>
      <w:t>1845</w:t>
    </w:r>
    <w:r w:rsidR="007C700A">
      <w:rPr>
        <w:rFonts w:ascii="Times New Roman" w:hAnsi="Times New Roman"/>
        <w:szCs w:val="24"/>
      </w:rPr>
      <w:t>-</w:t>
    </w:r>
    <w:r w:rsidR="00A03B97">
      <w:rPr>
        <w:rFonts w:ascii="Times New Roman" w:hAnsi="Times New Roman"/>
        <w:szCs w:val="24"/>
      </w:rPr>
      <w:t>0022</w:t>
    </w:r>
    <w:r w:rsidR="00E22FD3">
      <w:rPr>
        <w:rFonts w:ascii="Times New Roman" w:hAnsi="Times New Roman"/>
        <w:szCs w:val="24"/>
      </w:rPr>
      <w:tab/>
    </w:r>
    <w:r w:rsidRPr="00C875E8">
      <w:rPr>
        <w:rFonts w:ascii="Times New Roman" w:hAnsi="Times New Roman"/>
        <w:szCs w:val="24"/>
      </w:rPr>
      <w:t xml:space="preserve">Revised: </w:t>
    </w:r>
    <w:r w:rsidR="008F7F95">
      <w:rPr>
        <w:rFonts w:ascii="Times New Roman" w:hAnsi="Times New Roman"/>
        <w:szCs w:val="24"/>
      </w:rPr>
      <w:t>7/2</w:t>
    </w:r>
    <w:r w:rsidR="00154179">
      <w:rPr>
        <w:rFonts w:ascii="Times New Roman" w:hAnsi="Times New Roman"/>
        <w:szCs w:val="24"/>
      </w:rPr>
      <w:t>3</w:t>
    </w:r>
    <w:r w:rsidR="007C700A">
      <w:rPr>
        <w:rFonts w:ascii="Times New Roman" w:hAnsi="Times New Roman"/>
        <w:szCs w:val="24"/>
      </w:rPr>
      <w:t>/</w:t>
    </w:r>
    <w:r w:rsidR="00A03B97">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1CA4"/>
    <w:rsid w:val="00043C32"/>
    <w:rsid w:val="000446F5"/>
    <w:rsid w:val="00093017"/>
    <w:rsid w:val="0012466B"/>
    <w:rsid w:val="00151AE4"/>
    <w:rsid w:val="00154179"/>
    <w:rsid w:val="0015721B"/>
    <w:rsid w:val="001824F3"/>
    <w:rsid w:val="001955A9"/>
    <w:rsid w:val="001A6AE0"/>
    <w:rsid w:val="001C73C0"/>
    <w:rsid w:val="001E79BD"/>
    <w:rsid w:val="00205FBE"/>
    <w:rsid w:val="002225CC"/>
    <w:rsid w:val="00224A3B"/>
    <w:rsid w:val="00240A39"/>
    <w:rsid w:val="00241226"/>
    <w:rsid w:val="00246FE9"/>
    <w:rsid w:val="00250100"/>
    <w:rsid w:val="00262A69"/>
    <w:rsid w:val="00270AF7"/>
    <w:rsid w:val="00273208"/>
    <w:rsid w:val="002A3221"/>
    <w:rsid w:val="002A41E2"/>
    <w:rsid w:val="002B061C"/>
    <w:rsid w:val="002C3504"/>
    <w:rsid w:val="002C3520"/>
    <w:rsid w:val="002D0CFC"/>
    <w:rsid w:val="002E14E0"/>
    <w:rsid w:val="002F4DDB"/>
    <w:rsid w:val="002F55E5"/>
    <w:rsid w:val="0032078A"/>
    <w:rsid w:val="0032539E"/>
    <w:rsid w:val="003772A6"/>
    <w:rsid w:val="003860E4"/>
    <w:rsid w:val="003B1545"/>
    <w:rsid w:val="003B6665"/>
    <w:rsid w:val="003F3F0A"/>
    <w:rsid w:val="00412915"/>
    <w:rsid w:val="00433B3A"/>
    <w:rsid w:val="00442E07"/>
    <w:rsid w:val="0044412F"/>
    <w:rsid w:val="004B1E2D"/>
    <w:rsid w:val="00510E61"/>
    <w:rsid w:val="0052073E"/>
    <w:rsid w:val="00534B4A"/>
    <w:rsid w:val="00550817"/>
    <w:rsid w:val="00561583"/>
    <w:rsid w:val="00564132"/>
    <w:rsid w:val="00571983"/>
    <w:rsid w:val="00575DDA"/>
    <w:rsid w:val="00576E08"/>
    <w:rsid w:val="00581C11"/>
    <w:rsid w:val="005866BD"/>
    <w:rsid w:val="005D119B"/>
    <w:rsid w:val="005F4E11"/>
    <w:rsid w:val="00604DBF"/>
    <w:rsid w:val="00616E9C"/>
    <w:rsid w:val="00626732"/>
    <w:rsid w:val="0068567A"/>
    <w:rsid w:val="006A292A"/>
    <w:rsid w:val="006A38F7"/>
    <w:rsid w:val="006A4EBB"/>
    <w:rsid w:val="006A5BE8"/>
    <w:rsid w:val="006A6BC4"/>
    <w:rsid w:val="006B4172"/>
    <w:rsid w:val="00713B69"/>
    <w:rsid w:val="007466C2"/>
    <w:rsid w:val="00755D99"/>
    <w:rsid w:val="00756FD3"/>
    <w:rsid w:val="00765392"/>
    <w:rsid w:val="00790E3E"/>
    <w:rsid w:val="007A5F49"/>
    <w:rsid w:val="007B69FA"/>
    <w:rsid w:val="007C0A4C"/>
    <w:rsid w:val="007C4D1B"/>
    <w:rsid w:val="007C700A"/>
    <w:rsid w:val="007D1459"/>
    <w:rsid w:val="007E40A3"/>
    <w:rsid w:val="007F6104"/>
    <w:rsid w:val="00800D30"/>
    <w:rsid w:val="00807D1A"/>
    <w:rsid w:val="00834A62"/>
    <w:rsid w:val="0084549D"/>
    <w:rsid w:val="00860194"/>
    <w:rsid w:val="00861EBD"/>
    <w:rsid w:val="00874EFE"/>
    <w:rsid w:val="00882126"/>
    <w:rsid w:val="008933F1"/>
    <w:rsid w:val="008A53B0"/>
    <w:rsid w:val="008B55C2"/>
    <w:rsid w:val="008D0601"/>
    <w:rsid w:val="008D1F11"/>
    <w:rsid w:val="008E5919"/>
    <w:rsid w:val="008F7F95"/>
    <w:rsid w:val="00905951"/>
    <w:rsid w:val="00912D2C"/>
    <w:rsid w:val="00916EE4"/>
    <w:rsid w:val="00920F63"/>
    <w:rsid w:val="009243F3"/>
    <w:rsid w:val="0093366B"/>
    <w:rsid w:val="00934185"/>
    <w:rsid w:val="00946126"/>
    <w:rsid w:val="00952DF9"/>
    <w:rsid w:val="0095421D"/>
    <w:rsid w:val="00960C86"/>
    <w:rsid w:val="00966665"/>
    <w:rsid w:val="009767AF"/>
    <w:rsid w:val="00981F58"/>
    <w:rsid w:val="00986D0A"/>
    <w:rsid w:val="009C37AF"/>
    <w:rsid w:val="009E3E86"/>
    <w:rsid w:val="00A03B97"/>
    <w:rsid w:val="00A118A2"/>
    <w:rsid w:val="00A23F26"/>
    <w:rsid w:val="00A4001C"/>
    <w:rsid w:val="00A40AAB"/>
    <w:rsid w:val="00A46D01"/>
    <w:rsid w:val="00A70816"/>
    <w:rsid w:val="00A73590"/>
    <w:rsid w:val="00A7636D"/>
    <w:rsid w:val="00A9138E"/>
    <w:rsid w:val="00AA5138"/>
    <w:rsid w:val="00AB7F7B"/>
    <w:rsid w:val="00AC1C89"/>
    <w:rsid w:val="00AD381B"/>
    <w:rsid w:val="00AD541E"/>
    <w:rsid w:val="00AF5B5B"/>
    <w:rsid w:val="00AF5D1A"/>
    <w:rsid w:val="00AF67F5"/>
    <w:rsid w:val="00B017F9"/>
    <w:rsid w:val="00B07213"/>
    <w:rsid w:val="00B108AE"/>
    <w:rsid w:val="00B10A05"/>
    <w:rsid w:val="00B15FD3"/>
    <w:rsid w:val="00B54167"/>
    <w:rsid w:val="00B6208A"/>
    <w:rsid w:val="00B62B41"/>
    <w:rsid w:val="00B62E06"/>
    <w:rsid w:val="00B632BF"/>
    <w:rsid w:val="00B64B1D"/>
    <w:rsid w:val="00B6729C"/>
    <w:rsid w:val="00B9671B"/>
    <w:rsid w:val="00BA1D31"/>
    <w:rsid w:val="00BB03CE"/>
    <w:rsid w:val="00BB683D"/>
    <w:rsid w:val="00BC1A67"/>
    <w:rsid w:val="00C164D3"/>
    <w:rsid w:val="00C20670"/>
    <w:rsid w:val="00C224FD"/>
    <w:rsid w:val="00C46E3E"/>
    <w:rsid w:val="00C86713"/>
    <w:rsid w:val="00C875E8"/>
    <w:rsid w:val="00C92035"/>
    <w:rsid w:val="00CC2A72"/>
    <w:rsid w:val="00CC3FB5"/>
    <w:rsid w:val="00CD2067"/>
    <w:rsid w:val="00CD47BC"/>
    <w:rsid w:val="00CE28F6"/>
    <w:rsid w:val="00D0478D"/>
    <w:rsid w:val="00D07C5E"/>
    <w:rsid w:val="00D34984"/>
    <w:rsid w:val="00D36C35"/>
    <w:rsid w:val="00D75313"/>
    <w:rsid w:val="00DA6D53"/>
    <w:rsid w:val="00DB3570"/>
    <w:rsid w:val="00DC0AB4"/>
    <w:rsid w:val="00DF28B3"/>
    <w:rsid w:val="00E16ACD"/>
    <w:rsid w:val="00E17134"/>
    <w:rsid w:val="00E22FD3"/>
    <w:rsid w:val="00E25EBC"/>
    <w:rsid w:val="00E66550"/>
    <w:rsid w:val="00E877BF"/>
    <w:rsid w:val="00EA1767"/>
    <w:rsid w:val="00EB0929"/>
    <w:rsid w:val="00EB0FA5"/>
    <w:rsid w:val="00EC01DD"/>
    <w:rsid w:val="00EC35E3"/>
    <w:rsid w:val="00ED7195"/>
    <w:rsid w:val="00EF0FF2"/>
    <w:rsid w:val="00EF4C67"/>
    <w:rsid w:val="00F0414F"/>
    <w:rsid w:val="00F070F3"/>
    <w:rsid w:val="00F2296E"/>
    <w:rsid w:val="00F27AAF"/>
    <w:rsid w:val="00F31BEC"/>
    <w:rsid w:val="00F5782B"/>
    <w:rsid w:val="00F73131"/>
    <w:rsid w:val="00F74288"/>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normaltextrun">
    <w:name w:val="normaltextrun"/>
    <w:basedOn w:val="DefaultParagraphFont"/>
    <w:rsid w:val="00C46E3E"/>
  </w:style>
  <w:style w:type="character" w:customStyle="1" w:styleId="eop">
    <w:name w:val="eop"/>
    <w:basedOn w:val="DefaultParagraphFont"/>
    <w:rsid w:val="00C46E3E"/>
  </w:style>
  <w:style w:type="paragraph" w:customStyle="1" w:styleId="paragraph">
    <w:name w:val="paragraph"/>
    <w:basedOn w:val="Normal"/>
    <w:rsid w:val="00C46E3E"/>
    <w:pPr>
      <w:spacing w:before="100" w:beforeAutospacing="1" w:after="100" w:afterAutospacing="1"/>
    </w:pPr>
    <w:rPr>
      <w:rFonts w:ascii="Times New Roman" w:hAnsi="Times New Roman"/>
      <w:szCs w:val="24"/>
    </w:rPr>
  </w:style>
  <w:style w:type="paragraph" w:styleId="NormalWeb">
    <w:name w:val="Normal (Web)"/>
    <w:basedOn w:val="Normal"/>
    <w:uiPriority w:val="99"/>
    <w:unhideWhenUsed/>
    <w:rsid w:val="008F7F95"/>
    <w:pPr>
      <w:spacing w:before="100" w:beforeAutospacing="1" w:after="100" w:afterAutospacing="1"/>
    </w:pPr>
    <w:rPr>
      <w:rFonts w:ascii="Times New Roman" w:hAnsi="Times New Roman"/>
      <w:szCs w:val="24"/>
    </w:rPr>
  </w:style>
  <w:style w:type="table" w:customStyle="1" w:styleId="TableGrid3">
    <w:name w:val="Table Grid3"/>
    <w:basedOn w:val="TableNormal"/>
    <w:next w:val="TableGrid"/>
    <w:uiPriority w:val="59"/>
    <w:rsid w:val="00604DB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3.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2024-07-24T12:32:00Z</dcterms:created>
  <dcterms:modified xsi:type="dcterms:W3CDTF">2024-07-24T12:32:00Z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