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CB74A2" w:rsidP="00A2604E" w14:paraId="39F14EF8" w14:textId="157B5BD0">
      <w:pPr>
        <w:jc w:val="center"/>
        <w:rPr>
          <w:szCs w:val="26"/>
        </w:rPr>
      </w:pPr>
      <w:r w:rsidRPr="00CB74A2">
        <w:rPr>
          <w:szCs w:val="26"/>
        </w:rPr>
        <w:t>UNITED STATES OF AMERICA</w:t>
      </w:r>
    </w:p>
    <w:p w:rsidR="00A2604E" w:rsidRPr="00CB74A2" w:rsidP="00A2604E" w14:paraId="796F63BF" w14:textId="77777777">
      <w:pPr>
        <w:jc w:val="center"/>
        <w:rPr>
          <w:szCs w:val="26"/>
        </w:rPr>
      </w:pPr>
      <w:r w:rsidRPr="00CB74A2">
        <w:rPr>
          <w:szCs w:val="26"/>
        </w:rPr>
        <w:t>FEDERAL ENERGY REGULATORY COMMISSION</w:t>
      </w:r>
    </w:p>
    <w:p w:rsidR="00A2604E" w:rsidRPr="00CB74A2" w:rsidP="00A2604E" w14:paraId="4152868E" w14:textId="77777777">
      <w:pPr>
        <w:rPr>
          <w:szCs w:val="26"/>
        </w:rPr>
      </w:pPr>
    </w:p>
    <w:p w:rsidR="00A2604E" w:rsidRPr="00CB74A2" w:rsidP="00A2604E" w14:paraId="1600CC48" w14:textId="742B43A1">
      <w:pPr>
        <w:jc w:val="center"/>
        <w:rPr>
          <w:szCs w:val="26"/>
        </w:rPr>
      </w:pPr>
      <w:r w:rsidRPr="00CB74A2">
        <w:rPr>
          <w:szCs w:val="26"/>
        </w:rPr>
        <w:t>[</w:t>
      </w:r>
      <w:r w:rsidRPr="00CB74A2" w:rsidR="004E4EAD">
        <w:rPr>
          <w:szCs w:val="26"/>
        </w:rPr>
        <w:t xml:space="preserve">Docket No. </w:t>
      </w:r>
      <w:r w:rsidRPr="00CB74A2" w:rsidR="00530947">
        <w:rPr>
          <w:szCs w:val="26"/>
        </w:rPr>
        <w:t>RD22-5-000</w:t>
      </w:r>
      <w:r w:rsidRPr="00CB74A2">
        <w:rPr>
          <w:szCs w:val="26"/>
        </w:rPr>
        <w:t>]</w:t>
      </w:r>
    </w:p>
    <w:p w:rsidR="00A2604E" w:rsidRPr="00CB74A2" w:rsidP="00A2604E" w14:paraId="37A99FB4" w14:textId="77777777">
      <w:pPr>
        <w:rPr>
          <w:szCs w:val="26"/>
        </w:rPr>
      </w:pPr>
    </w:p>
    <w:p w:rsidR="00D22035" w:rsidRPr="00CB74A2" w:rsidP="005A7903" w14:paraId="46DE1361" w14:textId="64E526CF">
      <w:pPr>
        <w:jc w:val="center"/>
        <w:rPr>
          <w:szCs w:val="26"/>
        </w:rPr>
      </w:pPr>
      <w:r w:rsidRPr="00CB74A2">
        <w:rPr>
          <w:szCs w:val="26"/>
        </w:rPr>
        <w:t>COMMISSION INFORMATION COLLECTION ACTIVITIES (FERC-</w:t>
      </w:r>
      <w:r w:rsidRPr="00CB74A2" w:rsidR="007307A3">
        <w:rPr>
          <w:szCs w:val="26"/>
        </w:rPr>
        <w:t>725D</w:t>
      </w:r>
      <w:r w:rsidRPr="00CB74A2" w:rsidR="00377667">
        <w:rPr>
          <w:szCs w:val="26"/>
        </w:rPr>
        <w:t>(</w:t>
      </w:r>
      <w:r w:rsidRPr="00CB74A2" w:rsidR="007307A3">
        <w:rPr>
          <w:szCs w:val="26"/>
        </w:rPr>
        <w:t>1</w:t>
      </w:r>
      <w:r w:rsidRPr="00CB74A2" w:rsidR="00377667">
        <w:rPr>
          <w:szCs w:val="26"/>
        </w:rPr>
        <w:t>)</w:t>
      </w:r>
      <w:r w:rsidRPr="00CB74A2">
        <w:rPr>
          <w:szCs w:val="26"/>
        </w:rPr>
        <w:t>); COMMENT REQUEST</w:t>
      </w:r>
    </w:p>
    <w:p w:rsidR="00810D18" w:rsidRPr="00CB74A2" w:rsidP="00810D18" w14:paraId="6FC67CE5" w14:textId="1157AFF8">
      <w:pPr>
        <w:rPr>
          <w:szCs w:val="26"/>
        </w:rPr>
      </w:pPr>
    </w:p>
    <w:p w:rsidR="007356B8" w:rsidRPr="00CB74A2" w:rsidP="00CB74A2" w14:paraId="1C382AA4" w14:textId="2A911B4D">
      <w:pPr>
        <w:jc w:val="center"/>
        <w:rPr>
          <w:szCs w:val="26"/>
        </w:rPr>
      </w:pPr>
      <w:r w:rsidRPr="00CB74A2">
        <w:rPr>
          <w:szCs w:val="26"/>
        </w:rPr>
        <w:t>(May 9, 2023)</w:t>
      </w:r>
    </w:p>
    <w:p w:rsidR="00CB74A2" w:rsidRPr="00CB74A2" w:rsidP="00CB74A2" w14:paraId="1BD12E52" w14:textId="77777777">
      <w:pPr>
        <w:rPr>
          <w:szCs w:val="26"/>
        </w:rPr>
      </w:pPr>
    </w:p>
    <w:p w:rsidR="00A2604E" w:rsidRPr="00CB74A2" w:rsidP="00A2604E" w14:paraId="2B06BEDA" w14:textId="77777777">
      <w:pPr>
        <w:rPr>
          <w:szCs w:val="26"/>
        </w:rPr>
      </w:pPr>
      <w:r w:rsidRPr="00CB74A2">
        <w:rPr>
          <w:b/>
          <w:szCs w:val="26"/>
        </w:rPr>
        <w:t>AGENCY:</w:t>
      </w:r>
      <w:r w:rsidRPr="00CB74A2">
        <w:rPr>
          <w:szCs w:val="26"/>
        </w:rPr>
        <w:t xml:space="preserve">  Federal Energy Regulatory Commission.</w:t>
      </w:r>
    </w:p>
    <w:p w:rsidR="00A2604E" w:rsidRPr="00CB74A2" w:rsidP="00A2604E" w14:paraId="3CD46B7D" w14:textId="77777777">
      <w:pPr>
        <w:rPr>
          <w:szCs w:val="26"/>
        </w:rPr>
      </w:pPr>
    </w:p>
    <w:p w:rsidR="00A2604E" w:rsidRPr="00CB74A2" w:rsidP="00A2604E" w14:paraId="3C2C8063" w14:textId="77777777">
      <w:pPr>
        <w:spacing w:line="480" w:lineRule="auto"/>
        <w:rPr>
          <w:szCs w:val="26"/>
        </w:rPr>
      </w:pPr>
      <w:r w:rsidRPr="00CB74A2">
        <w:rPr>
          <w:b/>
          <w:szCs w:val="26"/>
        </w:rPr>
        <w:t>ACTION:</w:t>
      </w:r>
      <w:r w:rsidRPr="00CB74A2">
        <w:rPr>
          <w:szCs w:val="26"/>
        </w:rPr>
        <w:t xml:space="preserve">  Notice of information collection and request for comments.</w:t>
      </w:r>
    </w:p>
    <w:p w:rsidR="00A2604E" w:rsidRPr="00CB74A2" w:rsidP="00F8646E" w14:paraId="124637F9" w14:textId="604197A1">
      <w:pPr>
        <w:spacing w:line="480" w:lineRule="auto"/>
        <w:rPr>
          <w:szCs w:val="26"/>
        </w:rPr>
      </w:pPr>
      <w:r w:rsidRPr="00CB74A2">
        <w:rPr>
          <w:b/>
          <w:szCs w:val="26"/>
        </w:rPr>
        <w:t>SUMMARY:</w:t>
      </w:r>
      <w:r w:rsidRPr="00CB74A2">
        <w:rPr>
          <w:szCs w:val="26"/>
        </w:rPr>
        <w:t xml:space="preserve">  </w:t>
      </w:r>
      <w:r w:rsidRPr="00CB74A2" w:rsidR="005A7903">
        <w:rPr>
          <w:szCs w:val="26"/>
        </w:rPr>
        <w:t xml:space="preserve">In compliance with the requirements of the Paperwork Reduction Act of 1995, the Federal Energy Regulatory Commission (Commission or FERC) is soliciting public comment on </w:t>
      </w:r>
      <w:r w:rsidRPr="00CB74A2" w:rsidR="00875C4D">
        <w:rPr>
          <w:szCs w:val="26"/>
        </w:rPr>
        <w:t xml:space="preserve">a new information </w:t>
      </w:r>
      <w:r w:rsidRPr="00CB74A2" w:rsidR="005A7903">
        <w:rPr>
          <w:szCs w:val="26"/>
        </w:rPr>
        <w:t>collection, FERC-</w:t>
      </w:r>
      <w:r w:rsidRPr="00CB74A2" w:rsidR="00530947">
        <w:rPr>
          <w:szCs w:val="26"/>
        </w:rPr>
        <w:t>725D</w:t>
      </w:r>
      <w:r w:rsidRPr="00CB74A2" w:rsidR="00377667">
        <w:rPr>
          <w:szCs w:val="26"/>
        </w:rPr>
        <w:t>(</w:t>
      </w:r>
      <w:r w:rsidRPr="00CB74A2" w:rsidR="00530947">
        <w:rPr>
          <w:szCs w:val="26"/>
        </w:rPr>
        <w:t>1</w:t>
      </w:r>
      <w:r w:rsidRPr="00CB74A2" w:rsidR="00377667">
        <w:rPr>
          <w:szCs w:val="26"/>
        </w:rPr>
        <w:t>)</w:t>
      </w:r>
      <w:r w:rsidRPr="00CB74A2" w:rsidR="003C26B4">
        <w:rPr>
          <w:szCs w:val="26"/>
        </w:rPr>
        <w:t>, Mandatory Reliability Standards FAC-001-4 and FAC-002-4</w:t>
      </w:r>
      <w:r w:rsidRPr="00CB74A2" w:rsidR="00196BFF">
        <w:rPr>
          <w:szCs w:val="26"/>
        </w:rPr>
        <w:t xml:space="preserve">.  </w:t>
      </w:r>
      <w:r w:rsidRPr="00CB74A2" w:rsidR="00D855F8">
        <w:rPr>
          <w:szCs w:val="26"/>
        </w:rPr>
        <w:t xml:space="preserve">This notice will be part of </w:t>
      </w:r>
      <w:r w:rsidRPr="00CB74A2" w:rsidR="00875C4D">
        <w:rPr>
          <w:szCs w:val="26"/>
        </w:rPr>
        <w:t>an</w:t>
      </w:r>
      <w:r w:rsidRPr="00CB74A2" w:rsidR="00D855F8">
        <w:rPr>
          <w:szCs w:val="26"/>
        </w:rPr>
        <w:t xml:space="preserve"> information collection request that </w:t>
      </w:r>
      <w:r w:rsidRPr="00CB74A2" w:rsidR="005A7903">
        <w:rPr>
          <w:szCs w:val="26"/>
        </w:rPr>
        <w:t>will be submitted to the Office of Management and Budget (OMB) for a review of the information collection requirements.</w:t>
      </w:r>
    </w:p>
    <w:p w:rsidR="007C1916" w:rsidRPr="00CB74A2" w:rsidP="007C1916" w14:paraId="442CCE36" w14:textId="4EBC3054">
      <w:pPr>
        <w:spacing w:line="480" w:lineRule="auto"/>
        <w:rPr>
          <w:szCs w:val="26"/>
        </w:rPr>
      </w:pPr>
      <w:r w:rsidRPr="00CB74A2">
        <w:rPr>
          <w:b/>
          <w:szCs w:val="26"/>
        </w:rPr>
        <w:t>DATES:</w:t>
      </w:r>
      <w:r w:rsidRPr="00CB74A2">
        <w:rPr>
          <w:szCs w:val="26"/>
        </w:rPr>
        <w:t xml:space="preserve">  Comments on the collection of information are due </w:t>
      </w:r>
      <w:bookmarkStart w:id="0" w:name="OLE_LINK1"/>
      <w:r w:rsidRPr="00CB74A2">
        <w:rPr>
          <w:b/>
          <w:szCs w:val="26"/>
        </w:rPr>
        <w:t>[</w:t>
      </w:r>
      <w:r w:rsidRPr="00CB74A2">
        <w:rPr>
          <w:b/>
          <w:caps/>
          <w:szCs w:val="26"/>
        </w:rPr>
        <w:t xml:space="preserve">Insert Date 30 days after </w:t>
      </w:r>
      <w:r w:rsidRPr="00CB74A2" w:rsidR="00B65A09">
        <w:rPr>
          <w:b/>
          <w:caps/>
          <w:szCs w:val="26"/>
        </w:rPr>
        <w:t xml:space="preserve">date of </w:t>
      </w:r>
      <w:r w:rsidRPr="00CB74A2">
        <w:rPr>
          <w:b/>
          <w:caps/>
          <w:szCs w:val="26"/>
        </w:rPr>
        <w:t>publication in the Federal Register]</w:t>
      </w:r>
      <w:r w:rsidRPr="00CB74A2" w:rsidR="00B65A09">
        <w:rPr>
          <w:b/>
          <w:caps/>
          <w:szCs w:val="26"/>
        </w:rPr>
        <w:t>.</w:t>
      </w:r>
      <w:r w:rsidRPr="00CB74A2" w:rsidR="00B65A09">
        <w:rPr>
          <w:caps/>
          <w:szCs w:val="26"/>
        </w:rPr>
        <w:t xml:space="preserve">  </w:t>
      </w:r>
    </w:p>
    <w:p w:rsidR="00343A03" w:rsidRPr="00CB74A2" w:rsidP="00D50830" w14:paraId="2AFF287E" w14:textId="56BFB251">
      <w:pPr>
        <w:spacing w:line="480" w:lineRule="auto"/>
        <w:rPr>
          <w:szCs w:val="26"/>
        </w:rPr>
      </w:pPr>
      <w:r w:rsidRPr="00CB74A2">
        <w:rPr>
          <w:b/>
          <w:szCs w:val="26"/>
        </w:rPr>
        <w:t>ADDRESSES:</w:t>
      </w:r>
      <w:r w:rsidRPr="00CB74A2">
        <w:rPr>
          <w:szCs w:val="26"/>
        </w:rPr>
        <w:t xml:space="preserve">  </w:t>
      </w:r>
      <w:r w:rsidRPr="00CB74A2">
        <w:rPr>
          <w:iCs/>
          <w:szCs w:val="26"/>
        </w:rPr>
        <w:t xml:space="preserve">Send written comments on </w:t>
      </w:r>
      <w:r w:rsidRPr="00CB74A2" w:rsidR="00016EDB">
        <w:rPr>
          <w:iCs/>
          <w:szCs w:val="26"/>
        </w:rPr>
        <w:t>FERC-</w:t>
      </w:r>
      <w:r w:rsidRPr="00CB74A2" w:rsidR="00B30483">
        <w:rPr>
          <w:iCs/>
          <w:szCs w:val="26"/>
        </w:rPr>
        <w:t>725D</w:t>
      </w:r>
      <w:r w:rsidRPr="00CB74A2" w:rsidR="00377667">
        <w:rPr>
          <w:iCs/>
          <w:szCs w:val="26"/>
        </w:rPr>
        <w:t>(</w:t>
      </w:r>
      <w:r w:rsidRPr="00CB74A2" w:rsidR="00BC7F4F">
        <w:rPr>
          <w:iCs/>
          <w:szCs w:val="26"/>
        </w:rPr>
        <w:t>1)</w:t>
      </w:r>
      <w:r w:rsidRPr="00CB74A2">
        <w:rPr>
          <w:iCs/>
          <w:szCs w:val="26"/>
        </w:rPr>
        <w:t xml:space="preserve"> to OMB through </w:t>
      </w:r>
      <w:hyperlink r:id="rId10" w:history="1">
        <w:r w:rsidRPr="00CB74A2">
          <w:rPr>
            <w:rStyle w:val="Hyperlink"/>
            <w:szCs w:val="26"/>
          </w:rPr>
          <w:t>www.reginfo.gov/public/do/PRAMain</w:t>
        </w:r>
      </w:hyperlink>
      <w:r w:rsidRPr="00CB74A2">
        <w:rPr>
          <w:szCs w:val="26"/>
        </w:rPr>
        <w:t>,</w:t>
      </w:r>
      <w:r w:rsidRPr="00CB74A2">
        <w:rPr>
          <w:iCs/>
          <w:szCs w:val="26"/>
        </w:rPr>
        <w:t xml:space="preserve"> Attention:  Federal Energy Regulatory Commission Desk Officer.  Please identify the OMB control number (</w:t>
      </w:r>
      <w:r w:rsidRPr="00CB74A2" w:rsidR="005A7903">
        <w:rPr>
          <w:iCs/>
          <w:szCs w:val="26"/>
        </w:rPr>
        <w:t>1902-</w:t>
      </w:r>
      <w:r w:rsidRPr="00CB74A2" w:rsidR="00B30483">
        <w:rPr>
          <w:iCs/>
          <w:szCs w:val="26"/>
        </w:rPr>
        <w:t>NEW</w:t>
      </w:r>
      <w:r w:rsidRPr="00CB74A2">
        <w:rPr>
          <w:iCs/>
          <w:szCs w:val="26"/>
        </w:rPr>
        <w:t xml:space="preserve">) in the subject line.  Your comments </w:t>
      </w:r>
      <w:r w:rsidRPr="00CB74A2">
        <w:rPr>
          <w:szCs w:val="26"/>
        </w:rPr>
        <w:t>should be sent within 30 days of publication of this notice in the Federal Register.</w:t>
      </w:r>
    </w:p>
    <w:p w:rsidR="00D65D56" w:rsidRPr="00CB74A2" w:rsidP="00D65D56" w14:paraId="6073EEC6" w14:textId="69DBCBBC">
      <w:pPr>
        <w:spacing w:line="480" w:lineRule="auto"/>
        <w:rPr>
          <w:szCs w:val="26"/>
        </w:rPr>
      </w:pPr>
      <w:r w:rsidRPr="00CB74A2">
        <w:rPr>
          <w:szCs w:val="26"/>
        </w:rPr>
        <w:t xml:space="preserve">Please submit copies of your comments </w:t>
      </w:r>
      <w:r w:rsidRPr="00CB74A2">
        <w:rPr>
          <w:szCs w:val="26"/>
        </w:rPr>
        <w:t xml:space="preserve">(identified by Docket No. </w:t>
      </w:r>
      <w:r w:rsidRPr="00CB74A2" w:rsidR="00B30483">
        <w:rPr>
          <w:szCs w:val="26"/>
        </w:rPr>
        <w:t>RD22-5-000</w:t>
      </w:r>
      <w:r w:rsidRPr="00CB74A2">
        <w:rPr>
          <w:szCs w:val="26"/>
        </w:rPr>
        <w:t xml:space="preserve">) </w:t>
      </w:r>
      <w:r w:rsidRPr="00CB74A2">
        <w:rPr>
          <w:szCs w:val="26"/>
        </w:rPr>
        <w:t>to the Commission as noted below</w:t>
      </w:r>
      <w:r w:rsidRPr="00CB74A2">
        <w:rPr>
          <w:szCs w:val="26"/>
        </w:rPr>
        <w:t xml:space="preserve">.  Electronic filing through </w:t>
      </w:r>
      <w:hyperlink r:id="rId11" w:history="1">
        <w:r w:rsidRPr="00CB74A2" w:rsidR="005012B1">
          <w:rPr>
            <w:rStyle w:val="Hyperlink"/>
            <w:szCs w:val="26"/>
          </w:rPr>
          <w:t>https://www.ferc.gov</w:t>
        </w:r>
      </w:hyperlink>
      <w:r w:rsidRPr="00CB74A2">
        <w:rPr>
          <w:szCs w:val="26"/>
        </w:rPr>
        <w:t xml:space="preserve"> is preferred.</w:t>
      </w:r>
    </w:p>
    <w:p w:rsidR="00D65D56" w:rsidRPr="00CB74A2" w:rsidP="0027045E" w14:paraId="5A9C0A3B" w14:textId="5B836784">
      <w:pPr>
        <w:pStyle w:val="ListParagraph"/>
        <w:numPr>
          <w:ilvl w:val="0"/>
          <w:numId w:val="6"/>
        </w:numPr>
        <w:spacing w:line="480" w:lineRule="auto"/>
        <w:rPr>
          <w:szCs w:val="26"/>
        </w:rPr>
      </w:pPr>
      <w:r w:rsidRPr="00CB74A2">
        <w:rPr>
          <w:szCs w:val="26"/>
        </w:rPr>
        <w:t xml:space="preserve">Electronic Filing: Documents must be filed in acceptable native applications and print-to-PDF, but not in scanned or picture format. </w:t>
      </w:r>
    </w:p>
    <w:p w:rsidR="00D65D56" w:rsidRPr="00CB74A2" w:rsidP="0027045E" w14:paraId="2F414D48" w14:textId="221667DA">
      <w:pPr>
        <w:pStyle w:val="ListParagraph"/>
        <w:numPr>
          <w:ilvl w:val="0"/>
          <w:numId w:val="6"/>
        </w:numPr>
        <w:spacing w:line="480" w:lineRule="auto"/>
        <w:rPr>
          <w:szCs w:val="26"/>
        </w:rPr>
      </w:pPr>
      <w:r w:rsidRPr="00CB74A2">
        <w:rPr>
          <w:szCs w:val="26"/>
        </w:rPr>
        <w:t>For those unable to file electronically, comments may be filed by USPS mail or by hand (including courier) delivery.</w:t>
      </w:r>
    </w:p>
    <w:p w:rsidR="00D65D56" w:rsidRPr="00CB74A2" w:rsidP="00BE3392" w14:paraId="773E8072" w14:textId="2034CC54">
      <w:pPr>
        <w:pStyle w:val="ListParagraph"/>
        <w:numPr>
          <w:ilvl w:val="1"/>
          <w:numId w:val="6"/>
        </w:numPr>
        <w:spacing w:line="480" w:lineRule="auto"/>
        <w:rPr>
          <w:szCs w:val="26"/>
        </w:rPr>
      </w:pPr>
      <w:r w:rsidRPr="00CB74A2">
        <w:rPr>
          <w:szCs w:val="26"/>
        </w:rPr>
        <w:t>Mail via U.S. Postal Service Only: Addressed to: Federal Energy Regulatory Commission, Secretary of the Commission, 888 First Street, N.E., Washington, DC 20426.</w:t>
      </w:r>
    </w:p>
    <w:p w:rsidR="00D50830" w:rsidRPr="00CB74A2" w:rsidP="00BE3392" w14:paraId="40619756" w14:textId="759020BE">
      <w:pPr>
        <w:pStyle w:val="ListParagraph"/>
        <w:numPr>
          <w:ilvl w:val="1"/>
          <w:numId w:val="6"/>
        </w:numPr>
        <w:spacing w:line="480" w:lineRule="auto"/>
        <w:rPr>
          <w:szCs w:val="26"/>
        </w:rPr>
      </w:pPr>
      <w:r w:rsidRPr="00CB74A2">
        <w:rPr>
          <w:szCs w:val="26"/>
        </w:rPr>
        <w:t xml:space="preserve">Hand (including courier) delivery: Deliver to: Federal Energy Regulatory Commission, 12225 Wilkins Avenue, Rockville, MD 20852. </w:t>
      </w:r>
    </w:p>
    <w:p w:rsidR="00310EFC" w:rsidRPr="00CB74A2" w:rsidP="007C1916" w14:paraId="1D7D8F0D" w14:textId="77777777">
      <w:pPr>
        <w:spacing w:line="480" w:lineRule="auto"/>
        <w:rPr>
          <w:i/>
          <w:szCs w:val="26"/>
        </w:rPr>
      </w:pPr>
      <w:r w:rsidRPr="00CB74A2">
        <w:rPr>
          <w:i/>
          <w:szCs w:val="26"/>
        </w:rPr>
        <w:t xml:space="preserve">Instructions: </w:t>
      </w:r>
    </w:p>
    <w:p w:rsidR="008E5123" w:rsidRPr="00CB74A2" w:rsidP="008E5123" w14:paraId="2BAFDB88" w14:textId="77777777">
      <w:pPr>
        <w:spacing w:line="480" w:lineRule="auto"/>
        <w:rPr>
          <w:szCs w:val="26"/>
        </w:rPr>
      </w:pPr>
      <w:r w:rsidRPr="00CB74A2">
        <w:rPr>
          <w:i/>
          <w:szCs w:val="26"/>
        </w:rPr>
        <w:t>OMB submissions</w:t>
      </w:r>
      <w:r w:rsidRPr="00CB74A2">
        <w:rPr>
          <w:iCs/>
          <w:szCs w:val="26"/>
        </w:rPr>
        <w:t xml:space="preserve"> </w:t>
      </w:r>
      <w:r w:rsidRPr="00CB74A2">
        <w:rPr>
          <w:szCs w:val="26"/>
        </w:rPr>
        <w:t>must be formatted and filed in accordance with submission guidelines at</w:t>
      </w:r>
      <w:r w:rsidRPr="00CB74A2">
        <w:rPr>
          <w:i/>
          <w:szCs w:val="26"/>
        </w:rPr>
        <w:t xml:space="preserve"> </w:t>
      </w:r>
      <w:hyperlink r:id="rId10" w:history="1">
        <w:r w:rsidRPr="00CB74A2">
          <w:rPr>
            <w:rStyle w:val="Hyperlink"/>
            <w:szCs w:val="26"/>
          </w:rPr>
          <w:t>www.reginfo.gov/public/do/PRAMain</w:t>
        </w:r>
      </w:hyperlink>
      <w:r w:rsidRPr="00CB74A2">
        <w:rPr>
          <w:szCs w:val="26"/>
        </w:rPr>
        <w:t xml:space="preserve">;  Using the search function under the “Currently Under Review field,” select Federal Energy Regulatory Commission; click “submit” and select “comment” to the right of the subject collection. </w:t>
      </w:r>
    </w:p>
    <w:p w:rsidR="00D50830" w:rsidRPr="00CB74A2" w:rsidP="00D50830" w14:paraId="7554CFE1" w14:textId="2EC430A9">
      <w:pPr>
        <w:spacing w:line="480" w:lineRule="auto"/>
        <w:rPr>
          <w:szCs w:val="26"/>
        </w:rPr>
      </w:pPr>
      <w:r w:rsidRPr="00CB74A2">
        <w:rPr>
          <w:szCs w:val="26"/>
        </w:rPr>
        <w:t>FERC submissions must be formatted and filed in accordance with submission guidelines at:</w:t>
      </w:r>
      <w:r w:rsidRPr="00CB74A2" w:rsidR="00D12811">
        <w:rPr>
          <w:szCs w:val="26"/>
        </w:rPr>
        <w:t xml:space="preserve">  </w:t>
      </w:r>
      <w:hyperlink r:id="rId11" w:history="1">
        <w:r w:rsidRPr="00CB74A2" w:rsidR="005012B1">
          <w:rPr>
            <w:rStyle w:val="Hyperlink"/>
            <w:szCs w:val="26"/>
          </w:rPr>
          <w:t>https://www.ferc.gov</w:t>
        </w:r>
      </w:hyperlink>
      <w:r w:rsidRPr="00CB74A2">
        <w:rPr>
          <w:szCs w:val="26"/>
        </w:rPr>
        <w:t>.</w:t>
      </w:r>
      <w:r w:rsidRPr="00CB74A2" w:rsidR="00C44372">
        <w:rPr>
          <w:szCs w:val="26"/>
        </w:rPr>
        <w:t xml:space="preserve"> </w:t>
      </w:r>
      <w:r w:rsidRPr="00CB74A2">
        <w:rPr>
          <w:szCs w:val="26"/>
        </w:rPr>
        <w:t>For user assistance, contact FERC Online Support by e-mail at ferconlinesupport@ferc.gov, or by phone at:  (866) 208-3676 (toll-free).</w:t>
      </w:r>
    </w:p>
    <w:p w:rsidR="00C44372" w:rsidRPr="00CB74A2" w:rsidP="00A2604E" w14:paraId="0A8B7F1C" w14:textId="69CBA684">
      <w:pPr>
        <w:spacing w:line="480" w:lineRule="auto"/>
        <w:rPr>
          <w:szCs w:val="26"/>
        </w:rPr>
      </w:pPr>
      <w:r w:rsidRPr="00CB74A2">
        <w:rPr>
          <w:i/>
          <w:szCs w:val="26"/>
        </w:rPr>
        <w:t>Docket:</w:t>
      </w:r>
      <w:r w:rsidRPr="00CB74A2">
        <w:rPr>
          <w:szCs w:val="26"/>
        </w:rPr>
        <w:t xml:space="preserve"> Users interested in receiving automatic notification of activity in this docket or in viewing/downloading comments and issuances in this docket may do so at </w:t>
      </w:r>
      <w:bookmarkEnd w:id="0"/>
      <w:hyperlink r:id="rId11" w:history="1">
        <w:r w:rsidRPr="00CB74A2" w:rsidR="005012B1">
          <w:rPr>
            <w:rStyle w:val="Hyperlink"/>
            <w:szCs w:val="26"/>
          </w:rPr>
          <w:t>https://www.ferc.gov</w:t>
        </w:r>
      </w:hyperlink>
      <w:r w:rsidRPr="00CB74A2">
        <w:rPr>
          <w:szCs w:val="26"/>
        </w:rPr>
        <w:t xml:space="preserve">. </w:t>
      </w:r>
    </w:p>
    <w:p w:rsidR="00A2604E" w:rsidRPr="00CB74A2" w:rsidP="00A2604E" w14:paraId="5D1F4BEC" w14:textId="684004F9">
      <w:pPr>
        <w:spacing w:line="480" w:lineRule="auto"/>
        <w:rPr>
          <w:szCs w:val="26"/>
        </w:rPr>
      </w:pPr>
      <w:r w:rsidRPr="00CB74A2">
        <w:rPr>
          <w:b/>
          <w:szCs w:val="26"/>
        </w:rPr>
        <w:t>FOR FURTHER INFORMATION:</w:t>
      </w:r>
      <w:r w:rsidRPr="00CB74A2">
        <w:rPr>
          <w:szCs w:val="26"/>
        </w:rPr>
        <w:t xml:space="preserve">  Ellen Brown may be reached by e-mail at </w:t>
      </w:r>
      <w:hyperlink r:id="rId12" w:history="1">
        <w:r w:rsidRPr="00CB74A2">
          <w:rPr>
            <w:rStyle w:val="Hyperlink"/>
            <w:szCs w:val="26"/>
          </w:rPr>
          <w:t>DataClearance@FERC.gov</w:t>
        </w:r>
      </w:hyperlink>
      <w:r w:rsidRPr="00CB74A2" w:rsidR="00034C49">
        <w:rPr>
          <w:szCs w:val="26"/>
        </w:rPr>
        <w:t xml:space="preserve"> and</w:t>
      </w:r>
      <w:r w:rsidRPr="00CB74A2">
        <w:rPr>
          <w:szCs w:val="26"/>
        </w:rPr>
        <w:t xml:space="preserve"> telephone at (202) 502-8663</w:t>
      </w:r>
      <w:r w:rsidRPr="00CB74A2" w:rsidR="00754526">
        <w:rPr>
          <w:szCs w:val="26"/>
        </w:rPr>
        <w:t>.</w:t>
      </w:r>
    </w:p>
    <w:p w:rsidR="005A7903" w:rsidRPr="00CB74A2" w:rsidP="005A7903" w14:paraId="4553AE5A" w14:textId="37157A14">
      <w:pPr>
        <w:spacing w:line="480" w:lineRule="auto"/>
        <w:rPr>
          <w:szCs w:val="26"/>
        </w:rPr>
      </w:pPr>
      <w:r w:rsidRPr="00CB74A2">
        <w:rPr>
          <w:b/>
          <w:szCs w:val="26"/>
        </w:rPr>
        <w:t>SUPPLEMENTARY INFORMATION:</w:t>
      </w:r>
      <w:r w:rsidRPr="00CB74A2">
        <w:rPr>
          <w:szCs w:val="26"/>
        </w:rPr>
        <w:t xml:space="preserve">  </w:t>
      </w:r>
    </w:p>
    <w:p w:rsidR="00175C85" w:rsidRPr="00CB74A2" w:rsidP="00175C85" w14:paraId="7FAF2D69" w14:textId="7C6CE739">
      <w:pPr>
        <w:spacing w:line="480" w:lineRule="auto"/>
        <w:rPr>
          <w:i/>
          <w:szCs w:val="26"/>
        </w:rPr>
      </w:pPr>
      <w:r w:rsidRPr="00CB74A2">
        <w:rPr>
          <w:i/>
          <w:iCs/>
          <w:szCs w:val="26"/>
        </w:rPr>
        <w:t>Title</w:t>
      </w:r>
      <w:r w:rsidRPr="00CB74A2">
        <w:rPr>
          <w:iCs/>
          <w:szCs w:val="26"/>
        </w:rPr>
        <w:t>:  FERC-725D</w:t>
      </w:r>
      <w:r w:rsidRPr="00CB74A2" w:rsidR="00BC7F4F">
        <w:rPr>
          <w:iCs/>
          <w:szCs w:val="26"/>
        </w:rPr>
        <w:t>(</w:t>
      </w:r>
      <w:r w:rsidRPr="00CB74A2">
        <w:rPr>
          <w:iCs/>
          <w:szCs w:val="26"/>
        </w:rPr>
        <w:t>1</w:t>
      </w:r>
      <w:r w:rsidRPr="00CB74A2" w:rsidR="00BC7F4F">
        <w:rPr>
          <w:iCs/>
          <w:szCs w:val="26"/>
        </w:rPr>
        <w:t>)</w:t>
      </w:r>
      <w:r w:rsidRPr="00CB74A2">
        <w:rPr>
          <w:iCs/>
          <w:szCs w:val="26"/>
        </w:rPr>
        <w:t>, RD22-5-000, Mandatory Reliability Standards FAC-001-4 and FAC-002-4.</w:t>
      </w:r>
    </w:p>
    <w:p w:rsidR="00175C85" w:rsidRPr="00CB74A2" w:rsidP="00175C85" w14:paraId="5CE00F90" w14:textId="6CAFEE03">
      <w:pPr>
        <w:spacing w:line="480" w:lineRule="auto"/>
        <w:rPr>
          <w:i/>
          <w:szCs w:val="26"/>
        </w:rPr>
      </w:pPr>
      <w:r w:rsidRPr="00CB74A2">
        <w:rPr>
          <w:i/>
          <w:szCs w:val="26"/>
        </w:rPr>
        <w:t>OMB Control No</w:t>
      </w:r>
      <w:r w:rsidRPr="00CB74A2">
        <w:rPr>
          <w:iCs/>
          <w:szCs w:val="26"/>
        </w:rPr>
        <w:t>.:  1902-NEW.</w:t>
      </w:r>
    </w:p>
    <w:p w:rsidR="00175C85" w:rsidRPr="00CB74A2" w:rsidP="00175C85" w14:paraId="1C62D5C5" w14:textId="0FFF8ECD">
      <w:pPr>
        <w:spacing w:line="480" w:lineRule="auto"/>
        <w:rPr>
          <w:i/>
          <w:szCs w:val="26"/>
        </w:rPr>
      </w:pPr>
      <w:r w:rsidRPr="00CB74A2">
        <w:rPr>
          <w:i/>
          <w:iCs/>
          <w:szCs w:val="26"/>
        </w:rPr>
        <w:t>Respondents</w:t>
      </w:r>
      <w:r w:rsidRPr="00CB74A2">
        <w:rPr>
          <w:iCs/>
          <w:szCs w:val="26"/>
        </w:rPr>
        <w:t>:   Transmission owners</w:t>
      </w:r>
      <w:r w:rsidRPr="00CB74A2" w:rsidR="00B11BD5">
        <w:rPr>
          <w:iCs/>
          <w:szCs w:val="26"/>
        </w:rPr>
        <w:t xml:space="preserve"> </w:t>
      </w:r>
      <w:r w:rsidRPr="00CB74A2" w:rsidR="006610FD">
        <w:rPr>
          <w:iCs/>
          <w:szCs w:val="26"/>
        </w:rPr>
        <w:t xml:space="preserve">and </w:t>
      </w:r>
      <w:r w:rsidRPr="00CB74A2">
        <w:rPr>
          <w:iCs/>
          <w:szCs w:val="26"/>
        </w:rPr>
        <w:t>generator owners</w:t>
      </w:r>
      <w:r w:rsidRPr="00CB74A2" w:rsidR="00425494">
        <w:rPr>
          <w:iCs/>
          <w:szCs w:val="26"/>
        </w:rPr>
        <w:t xml:space="preserve"> for </w:t>
      </w:r>
      <w:r w:rsidRPr="00CB74A2" w:rsidR="002A476D">
        <w:rPr>
          <w:iCs/>
          <w:szCs w:val="26"/>
        </w:rPr>
        <w:t xml:space="preserve">Reliability Standard </w:t>
      </w:r>
      <w:r w:rsidRPr="00CB74A2" w:rsidR="00425494">
        <w:rPr>
          <w:iCs/>
          <w:szCs w:val="26"/>
        </w:rPr>
        <w:t>FAC-001-4</w:t>
      </w:r>
      <w:r w:rsidRPr="00CB74A2" w:rsidR="006610FD">
        <w:rPr>
          <w:iCs/>
          <w:szCs w:val="26"/>
        </w:rPr>
        <w:t>.  P</w:t>
      </w:r>
      <w:r w:rsidRPr="00CB74A2">
        <w:rPr>
          <w:iCs/>
          <w:szCs w:val="26"/>
        </w:rPr>
        <w:t>lanning coordinators</w:t>
      </w:r>
      <w:r w:rsidRPr="00CB74A2" w:rsidR="006D6A12">
        <w:rPr>
          <w:iCs/>
          <w:szCs w:val="26"/>
        </w:rPr>
        <w:t xml:space="preserve"> </w:t>
      </w:r>
      <w:r w:rsidRPr="00CB74A2" w:rsidR="002A476D">
        <w:rPr>
          <w:iCs/>
          <w:szCs w:val="26"/>
        </w:rPr>
        <w:t>for Reliability Standard FAC-002-4.</w:t>
      </w:r>
      <w:r>
        <w:rPr>
          <w:b/>
          <w:iCs/>
          <w:szCs w:val="26"/>
          <w:vertAlign w:val="superscript"/>
        </w:rPr>
        <w:footnoteReference w:id="3"/>
      </w:r>
    </w:p>
    <w:p w:rsidR="00175C85" w:rsidRPr="00CB74A2" w:rsidP="00175C85" w14:paraId="6E5B7420" w14:textId="35E256A7">
      <w:pPr>
        <w:spacing w:line="480" w:lineRule="auto"/>
        <w:rPr>
          <w:iCs/>
          <w:szCs w:val="26"/>
        </w:rPr>
      </w:pPr>
      <w:r w:rsidRPr="00CB74A2">
        <w:rPr>
          <w:i/>
          <w:iCs/>
          <w:szCs w:val="26"/>
        </w:rPr>
        <w:t>Frequency of Information Collection</w:t>
      </w:r>
      <w:r w:rsidRPr="00CB74A2">
        <w:rPr>
          <w:iCs/>
          <w:szCs w:val="26"/>
        </w:rPr>
        <w:t>:  Once during years 1 and 2.  On occasion during year 3 and beyond.</w:t>
      </w:r>
    </w:p>
    <w:p w:rsidR="00C56363" w:rsidRPr="00CB74A2" w:rsidP="00903F36" w14:paraId="69235C78" w14:textId="77777777">
      <w:pPr>
        <w:spacing w:line="480" w:lineRule="auto"/>
        <w:rPr>
          <w:szCs w:val="26"/>
        </w:rPr>
      </w:pPr>
      <w:r w:rsidRPr="00CB74A2">
        <w:rPr>
          <w:i/>
          <w:iCs/>
          <w:szCs w:val="26"/>
        </w:rPr>
        <w:t>Abstract</w:t>
      </w:r>
      <w:r w:rsidRPr="00CB74A2" w:rsidR="00323E6C">
        <w:rPr>
          <w:szCs w:val="26"/>
        </w:rPr>
        <w:t xml:space="preserve">:  </w:t>
      </w:r>
      <w:r w:rsidRPr="00CB74A2" w:rsidR="003414DE">
        <w:rPr>
          <w:szCs w:val="26"/>
        </w:rPr>
        <w:t>The Facilit</w:t>
      </w:r>
      <w:r w:rsidRPr="00CB74A2" w:rsidR="00DB0BE5">
        <w:rPr>
          <w:szCs w:val="26"/>
        </w:rPr>
        <w:t>ies</w:t>
      </w:r>
      <w:r w:rsidRPr="00CB74A2" w:rsidR="003414DE">
        <w:rPr>
          <w:szCs w:val="26"/>
        </w:rPr>
        <w:t xml:space="preserve"> Design, Connections, and Maintenance Reliability Standards address topics such as facility interconnection requirements, facility ratings, system operating limits, and transfer capabilities.</w:t>
      </w:r>
      <w:r w:rsidRPr="00CB74A2" w:rsidR="0084582C">
        <w:rPr>
          <w:szCs w:val="26"/>
        </w:rPr>
        <w:t xml:space="preserve">  </w:t>
      </w:r>
      <w:r w:rsidRPr="00CB74A2" w:rsidR="00EC1A7D">
        <w:rPr>
          <w:szCs w:val="26"/>
        </w:rPr>
        <w:t>These Reliability Standards are designated with the prefix “FAC.”</w:t>
      </w:r>
    </w:p>
    <w:p w:rsidR="00903F36" w:rsidRPr="00CB74A2" w:rsidP="00903F36" w14:paraId="2AC71F94" w14:textId="213E2BCF">
      <w:pPr>
        <w:spacing w:line="480" w:lineRule="auto"/>
        <w:rPr>
          <w:szCs w:val="26"/>
        </w:rPr>
      </w:pPr>
      <w:r w:rsidRPr="00CB74A2">
        <w:rPr>
          <w:szCs w:val="26"/>
        </w:rPr>
        <w:t xml:space="preserve">On November 23, 2002 the Commission published an order approving new Reliability Standards FAC-001-4 and FAC-002-4 (87 FR 71602).  </w:t>
      </w:r>
      <w:r w:rsidRPr="00CB74A2">
        <w:rPr>
          <w:iCs/>
          <w:szCs w:val="26"/>
        </w:rPr>
        <w:t>The Commission approved those new standards to help ensure appropriate coordination and communication regarding the interconnection of facilities.</w:t>
      </w:r>
    </w:p>
    <w:p w:rsidR="00B620D3" w:rsidRPr="00CB74A2" w:rsidP="00175C85" w14:paraId="2E41A2E2" w14:textId="4394464B">
      <w:pPr>
        <w:spacing w:line="480" w:lineRule="auto"/>
        <w:rPr>
          <w:szCs w:val="26"/>
        </w:rPr>
      </w:pPr>
      <w:r w:rsidRPr="00CB74A2">
        <w:rPr>
          <w:szCs w:val="26"/>
        </w:rPr>
        <w:t xml:space="preserve">At present, the collections of </w:t>
      </w:r>
      <w:r w:rsidRPr="00CB74A2" w:rsidR="00EA76CB">
        <w:rPr>
          <w:szCs w:val="26"/>
        </w:rPr>
        <w:t xml:space="preserve">information associated with </w:t>
      </w:r>
      <w:r w:rsidRPr="00CB74A2" w:rsidR="00EC1A7D">
        <w:rPr>
          <w:szCs w:val="26"/>
        </w:rPr>
        <w:t xml:space="preserve">all </w:t>
      </w:r>
      <w:r w:rsidRPr="00CB74A2" w:rsidR="00C56363">
        <w:rPr>
          <w:szCs w:val="26"/>
        </w:rPr>
        <w:t xml:space="preserve">“FAC” </w:t>
      </w:r>
      <w:r w:rsidRPr="00CB74A2">
        <w:rPr>
          <w:szCs w:val="26"/>
        </w:rPr>
        <w:t xml:space="preserve">Reliability Standards </w:t>
      </w:r>
      <w:r w:rsidRPr="00CB74A2" w:rsidR="00EA76CB">
        <w:rPr>
          <w:szCs w:val="26"/>
        </w:rPr>
        <w:t>are authorized under FERC-725D (OMB Control Number 1902-</w:t>
      </w:r>
      <w:r w:rsidRPr="00CB74A2" w:rsidR="00F90E59">
        <w:rPr>
          <w:szCs w:val="26"/>
        </w:rPr>
        <w:t>0247).</w:t>
      </w:r>
      <w:r w:rsidRPr="00CB74A2" w:rsidR="00C56363">
        <w:rPr>
          <w:szCs w:val="26"/>
        </w:rPr>
        <w:t xml:space="preserve">  </w:t>
      </w:r>
      <w:r w:rsidRPr="00CB74A2">
        <w:rPr>
          <w:szCs w:val="26"/>
        </w:rPr>
        <w:t>Ordinarily, the Commission would ask OMB to approve the collections of information associated with the new Reliability Standards as revisions of FERC-725D.  However, another information collection request pertaining to FERC-725D is pending at OMB,</w:t>
      </w:r>
      <w:r>
        <w:rPr>
          <w:rStyle w:val="FootnoteReference"/>
          <w:b w:val="0"/>
          <w:bCs/>
        </w:rPr>
        <w:footnoteReference w:id="4"/>
      </w:r>
      <w:r w:rsidRPr="00CB74A2">
        <w:rPr>
          <w:szCs w:val="26"/>
        </w:rPr>
        <w:t xml:space="preserve"> and only one request per information collection is allowed to be pending at OMB at the same time.  FERC-725D(1) is a temporary placeholder number to avoid conflicting with the pending request already submitted to OMB regarding FERC-725D.</w:t>
      </w:r>
    </w:p>
    <w:p w:rsidR="00323E6C" w:rsidRPr="00CB74A2" w:rsidP="00175C85" w14:paraId="35DFB177" w14:textId="2F3A9A62">
      <w:pPr>
        <w:spacing w:line="480" w:lineRule="auto"/>
        <w:rPr>
          <w:szCs w:val="26"/>
        </w:rPr>
      </w:pPr>
      <w:r w:rsidRPr="00CB74A2">
        <w:rPr>
          <w:szCs w:val="26"/>
        </w:rPr>
        <w:t xml:space="preserve">Previous </w:t>
      </w:r>
      <w:r w:rsidRPr="00CB74A2" w:rsidR="003414DE">
        <w:rPr>
          <w:szCs w:val="26"/>
        </w:rPr>
        <w:t>Reliability Standard FAC-001-003 require</w:t>
      </w:r>
      <w:r w:rsidRPr="00CB74A2" w:rsidR="0084582C">
        <w:rPr>
          <w:szCs w:val="26"/>
        </w:rPr>
        <w:t>d</w:t>
      </w:r>
      <w:r w:rsidRPr="00CB74A2" w:rsidR="003414DE">
        <w:rPr>
          <w:szCs w:val="26"/>
        </w:rPr>
        <w:t xml:space="preserve"> </w:t>
      </w:r>
      <w:r w:rsidRPr="00CB74A2" w:rsidR="00B160E5">
        <w:rPr>
          <w:szCs w:val="26"/>
        </w:rPr>
        <w:t>t</w:t>
      </w:r>
      <w:r w:rsidRPr="00CB74A2" w:rsidR="003414DE">
        <w:rPr>
          <w:szCs w:val="26"/>
        </w:rPr>
        <w:t xml:space="preserve">ransmission </w:t>
      </w:r>
      <w:r w:rsidRPr="00CB74A2" w:rsidR="00B160E5">
        <w:rPr>
          <w:szCs w:val="26"/>
        </w:rPr>
        <w:t>o</w:t>
      </w:r>
      <w:r w:rsidRPr="00CB74A2" w:rsidR="003414DE">
        <w:rPr>
          <w:szCs w:val="26"/>
        </w:rPr>
        <w:t xml:space="preserve">wners and </w:t>
      </w:r>
      <w:r w:rsidRPr="00CB74A2" w:rsidR="00B160E5">
        <w:rPr>
          <w:szCs w:val="26"/>
        </w:rPr>
        <w:t>g</w:t>
      </w:r>
      <w:r w:rsidRPr="00CB74A2" w:rsidR="003414DE">
        <w:rPr>
          <w:szCs w:val="26"/>
        </w:rPr>
        <w:t xml:space="preserve">enerator </w:t>
      </w:r>
      <w:r w:rsidRPr="00CB74A2" w:rsidR="00B160E5">
        <w:rPr>
          <w:szCs w:val="26"/>
        </w:rPr>
        <w:t>o</w:t>
      </w:r>
      <w:r w:rsidRPr="00CB74A2" w:rsidR="003414DE">
        <w:rPr>
          <w:szCs w:val="26"/>
        </w:rPr>
        <w:t xml:space="preserve">wners to complete coordinated studies </w:t>
      </w:r>
      <w:r w:rsidRPr="00CB74A2" w:rsidR="006578DC">
        <w:rPr>
          <w:szCs w:val="26"/>
        </w:rPr>
        <w:t>o</w:t>
      </w:r>
      <w:r w:rsidRPr="00CB74A2" w:rsidR="00402227">
        <w:rPr>
          <w:szCs w:val="26"/>
        </w:rPr>
        <w:t>n</w:t>
      </w:r>
      <w:r w:rsidRPr="00CB74A2" w:rsidR="003414DE">
        <w:rPr>
          <w:szCs w:val="26"/>
        </w:rPr>
        <w:t xml:space="preserve"> new or “materially modified” existing interconnections.  </w:t>
      </w:r>
      <w:r w:rsidRPr="00CB74A2" w:rsidR="00CC02D9">
        <w:rPr>
          <w:szCs w:val="26"/>
        </w:rPr>
        <w:t>As approved i</w:t>
      </w:r>
      <w:r w:rsidRPr="00CB74A2" w:rsidR="008714CE">
        <w:rPr>
          <w:szCs w:val="26"/>
        </w:rPr>
        <w:t>n the November 23</w:t>
      </w:r>
      <w:r w:rsidRPr="00CB74A2" w:rsidR="006F4951">
        <w:rPr>
          <w:szCs w:val="26"/>
        </w:rPr>
        <w:t>, 2022</w:t>
      </w:r>
      <w:r w:rsidRPr="00CB74A2" w:rsidR="008714CE">
        <w:rPr>
          <w:szCs w:val="26"/>
        </w:rPr>
        <w:t xml:space="preserve"> order,  </w:t>
      </w:r>
      <w:r w:rsidRPr="00CB74A2" w:rsidR="00CC02D9">
        <w:rPr>
          <w:szCs w:val="26"/>
        </w:rPr>
        <w:t xml:space="preserve">FAC-001-4 </w:t>
      </w:r>
      <w:r w:rsidRPr="00CB74A2" w:rsidR="006578DC">
        <w:rPr>
          <w:szCs w:val="26"/>
        </w:rPr>
        <w:t>requi</w:t>
      </w:r>
      <w:r w:rsidRPr="00CB74A2" w:rsidR="00CC31CC">
        <w:rPr>
          <w:szCs w:val="26"/>
        </w:rPr>
        <w:t xml:space="preserve">res </w:t>
      </w:r>
      <w:r w:rsidRPr="00CB74A2" w:rsidR="006578DC">
        <w:rPr>
          <w:szCs w:val="26"/>
        </w:rPr>
        <w:t xml:space="preserve">coordinated studies of </w:t>
      </w:r>
      <w:r w:rsidRPr="00CB74A2" w:rsidR="003414DE">
        <w:rPr>
          <w:szCs w:val="26"/>
        </w:rPr>
        <w:t xml:space="preserve">“qualified changes” </w:t>
      </w:r>
      <w:r w:rsidRPr="00CB74A2" w:rsidR="003734D2">
        <w:rPr>
          <w:szCs w:val="26"/>
        </w:rPr>
        <w:t xml:space="preserve">in interconnections </w:t>
      </w:r>
      <w:r w:rsidRPr="00CB74A2" w:rsidR="003414DE">
        <w:rPr>
          <w:szCs w:val="26"/>
        </w:rPr>
        <w:t xml:space="preserve">instead of “materially modified” interconnections.  This revision is intended to prevent confusion with the Commission-defined term “Material Modification” in </w:t>
      </w:r>
      <w:r w:rsidRPr="00CB74A2" w:rsidR="003414DE">
        <w:rPr>
          <w:i/>
          <w:iCs/>
          <w:szCs w:val="26"/>
        </w:rPr>
        <w:t xml:space="preserve">pro forma </w:t>
      </w:r>
      <w:r w:rsidRPr="00CB74A2" w:rsidR="003414DE">
        <w:rPr>
          <w:szCs w:val="26"/>
        </w:rPr>
        <w:t>interconnection procedures and agreements.</w:t>
      </w:r>
      <w:r>
        <w:rPr>
          <w:rStyle w:val="FootnoteReference"/>
        </w:rPr>
        <w:footnoteReference w:id="5"/>
      </w:r>
      <w:r w:rsidRPr="00CB74A2" w:rsidR="003414DE">
        <w:rPr>
          <w:szCs w:val="26"/>
        </w:rPr>
        <w:t xml:space="preserve">  The term “qualified change</w:t>
      </w:r>
      <w:r w:rsidRPr="00CB74A2" w:rsidR="00394217">
        <w:rPr>
          <w:szCs w:val="26"/>
        </w:rPr>
        <w:t>s</w:t>
      </w:r>
      <w:r w:rsidRPr="00CB74A2" w:rsidR="003414DE">
        <w:rPr>
          <w:szCs w:val="26"/>
        </w:rPr>
        <w:t>” refer</w:t>
      </w:r>
      <w:r w:rsidRPr="00CB74A2" w:rsidR="00DC2038">
        <w:rPr>
          <w:szCs w:val="26"/>
        </w:rPr>
        <w:t>s</w:t>
      </w:r>
      <w:r w:rsidRPr="00CB74A2" w:rsidR="003414DE">
        <w:rPr>
          <w:szCs w:val="26"/>
        </w:rPr>
        <w:t xml:space="preserve"> to changes </w:t>
      </w:r>
      <w:r w:rsidRPr="00CB74A2" w:rsidR="00394217">
        <w:rPr>
          <w:szCs w:val="26"/>
        </w:rPr>
        <w:t>in</w:t>
      </w:r>
      <w:r w:rsidRPr="00CB74A2" w:rsidR="003414DE">
        <w:rPr>
          <w:szCs w:val="26"/>
        </w:rPr>
        <w:t xml:space="preserve"> existing </w:t>
      </w:r>
      <w:r w:rsidRPr="00CB74A2" w:rsidR="003414DE">
        <w:rPr>
          <w:szCs w:val="26"/>
        </w:rPr>
        <w:t>interconnected facilities that can have reliability impacts and help</w:t>
      </w:r>
      <w:r w:rsidRPr="00CB74A2" w:rsidR="00394217">
        <w:rPr>
          <w:szCs w:val="26"/>
        </w:rPr>
        <w:t>s</w:t>
      </w:r>
      <w:r w:rsidRPr="00CB74A2" w:rsidR="003414DE">
        <w:rPr>
          <w:szCs w:val="26"/>
        </w:rPr>
        <w:t xml:space="preserve"> ensure that they are properly addressed in interconnection requirements and studies.</w:t>
      </w:r>
    </w:p>
    <w:p w:rsidR="00175C85" w:rsidRPr="00CB74A2" w:rsidP="00175C85" w14:paraId="4582DD3F" w14:textId="6EF4F49C">
      <w:pPr>
        <w:spacing w:line="480" w:lineRule="auto"/>
        <w:rPr>
          <w:iCs/>
          <w:szCs w:val="26"/>
        </w:rPr>
      </w:pPr>
      <w:r w:rsidRPr="00CB74A2">
        <w:rPr>
          <w:iCs/>
          <w:szCs w:val="26"/>
        </w:rPr>
        <w:t xml:space="preserve">In the November 23 </w:t>
      </w:r>
      <w:r w:rsidRPr="00CB74A2">
        <w:rPr>
          <w:iCs/>
          <w:szCs w:val="26"/>
        </w:rPr>
        <w:t>order</w:t>
      </w:r>
      <w:r w:rsidRPr="00CB74A2">
        <w:rPr>
          <w:iCs/>
          <w:szCs w:val="26"/>
        </w:rPr>
        <w:t>, the Commission</w:t>
      </w:r>
      <w:r w:rsidRPr="00CB74A2">
        <w:rPr>
          <w:iCs/>
          <w:szCs w:val="26"/>
        </w:rPr>
        <w:t xml:space="preserve"> also revise</w:t>
      </w:r>
      <w:r w:rsidRPr="00CB74A2" w:rsidR="00323E6C">
        <w:rPr>
          <w:iCs/>
          <w:szCs w:val="26"/>
        </w:rPr>
        <w:t>d</w:t>
      </w:r>
      <w:r w:rsidRPr="00CB74A2">
        <w:rPr>
          <w:iCs/>
          <w:szCs w:val="26"/>
        </w:rPr>
        <w:t xml:space="preserve"> Requirement R6 of existing Reliability Standard FAC-002-3 by authorizing the planning coordinator to define the term “qualified change” and requiring public posting of the definition.  .</w:t>
      </w:r>
    </w:p>
    <w:p w:rsidR="00175C85" w:rsidRPr="00CB74A2" w:rsidP="00175C85" w14:paraId="486E89D6" w14:textId="5F237ADA">
      <w:pPr>
        <w:spacing w:line="480" w:lineRule="auto"/>
        <w:rPr>
          <w:i/>
          <w:szCs w:val="26"/>
        </w:rPr>
      </w:pPr>
      <w:r w:rsidRPr="00CB74A2">
        <w:rPr>
          <w:i/>
          <w:iCs/>
          <w:szCs w:val="26"/>
        </w:rPr>
        <w:t>Necessity of Information</w:t>
      </w:r>
      <w:r w:rsidRPr="00CB74A2">
        <w:rPr>
          <w:iCs/>
          <w:szCs w:val="26"/>
        </w:rPr>
        <w:t>:  Mandator</w:t>
      </w:r>
      <w:r w:rsidRPr="00CB74A2" w:rsidR="00963EE2">
        <w:rPr>
          <w:iCs/>
          <w:szCs w:val="26"/>
        </w:rPr>
        <w:t>y.</w:t>
      </w:r>
    </w:p>
    <w:p w:rsidR="006E1D36" w:rsidRPr="00CB74A2" w:rsidP="006E1D36" w14:paraId="53AAA950" w14:textId="3345EF73">
      <w:pPr>
        <w:spacing w:line="480" w:lineRule="auto"/>
        <w:rPr>
          <w:iCs/>
          <w:szCs w:val="26"/>
        </w:rPr>
      </w:pPr>
      <w:r w:rsidRPr="00CB74A2">
        <w:rPr>
          <w:i/>
          <w:iCs/>
          <w:szCs w:val="26"/>
        </w:rPr>
        <w:t>Internal Review</w:t>
      </w:r>
      <w:r w:rsidRPr="00CB74A2">
        <w:rPr>
          <w:iCs/>
          <w:szCs w:val="26"/>
        </w:rPr>
        <w:t xml:space="preserve">:  The Commission has reviewed the </w:t>
      </w:r>
      <w:r w:rsidRPr="00CB74A2" w:rsidR="002722E2">
        <w:rPr>
          <w:iCs/>
          <w:szCs w:val="26"/>
        </w:rPr>
        <w:t xml:space="preserve">collections of information associated with the rulemaking in Docket No. RD22-5-000, </w:t>
      </w:r>
      <w:r w:rsidRPr="00CB74A2">
        <w:rPr>
          <w:iCs/>
          <w:szCs w:val="26"/>
        </w:rPr>
        <w:t xml:space="preserve">and has determined that the described information collection activities are necessary.  These requirements conform to the Commission’s need for efficient information collection, communication, and management within the energy industry.  </w:t>
      </w:r>
    </w:p>
    <w:p w:rsidR="008A4264" w:rsidRPr="00CB74A2" w:rsidP="005A4ED1" w14:paraId="1CCF9A5C" w14:textId="620BCEB8">
      <w:pPr>
        <w:spacing w:line="480" w:lineRule="auto"/>
        <w:rPr>
          <w:iCs/>
          <w:szCs w:val="26"/>
        </w:rPr>
      </w:pPr>
      <w:r w:rsidRPr="00CB74A2">
        <w:rPr>
          <w:i/>
          <w:iCs/>
          <w:szCs w:val="26"/>
        </w:rPr>
        <w:t>Estimate of Annual Burden</w:t>
      </w:r>
      <w:r w:rsidRPr="00CB74A2">
        <w:rPr>
          <w:iCs/>
          <w:szCs w:val="26"/>
        </w:rPr>
        <w:t>:</w:t>
      </w:r>
      <w:r w:rsidRPr="00CB74A2" w:rsidR="00077543">
        <w:rPr>
          <w:iCs/>
          <w:szCs w:val="26"/>
        </w:rPr>
        <w:t xml:space="preserve">  </w:t>
      </w:r>
      <w:r w:rsidRPr="00CB74A2" w:rsidR="00DD19E0">
        <w:rPr>
          <w:iCs/>
          <w:szCs w:val="26"/>
        </w:rPr>
        <w:t>The</w:t>
      </w:r>
      <w:r w:rsidRPr="00CB74A2" w:rsidR="001472B2">
        <w:rPr>
          <w:iCs/>
          <w:szCs w:val="26"/>
        </w:rPr>
        <w:t xml:space="preserve"> responsibilities </w:t>
      </w:r>
      <w:r w:rsidRPr="00CB74A2" w:rsidR="000769D3">
        <w:rPr>
          <w:iCs/>
          <w:szCs w:val="26"/>
        </w:rPr>
        <w:t xml:space="preserve">of </w:t>
      </w:r>
      <w:r w:rsidRPr="00CB74A2" w:rsidR="00077543">
        <w:rPr>
          <w:iCs/>
          <w:szCs w:val="26"/>
        </w:rPr>
        <w:t xml:space="preserve">applicable entities for FAC-001-4 </w:t>
      </w:r>
      <w:r w:rsidRPr="00CB74A2" w:rsidR="00DD19E0">
        <w:rPr>
          <w:iCs/>
          <w:szCs w:val="26"/>
        </w:rPr>
        <w:t>(i.</w:t>
      </w:r>
      <w:r w:rsidRPr="00CB74A2" w:rsidR="00911EB1">
        <w:rPr>
          <w:iCs/>
          <w:szCs w:val="26"/>
        </w:rPr>
        <w:t xml:space="preserve">e., </w:t>
      </w:r>
      <w:r w:rsidRPr="00CB74A2" w:rsidR="00396958">
        <w:rPr>
          <w:iCs/>
          <w:szCs w:val="26"/>
        </w:rPr>
        <w:t xml:space="preserve">transmission owners and </w:t>
      </w:r>
      <w:r w:rsidRPr="00CB74A2" w:rsidR="001472B2">
        <w:rPr>
          <w:iCs/>
          <w:szCs w:val="26"/>
        </w:rPr>
        <w:t>generator owners)</w:t>
      </w:r>
      <w:r w:rsidRPr="00CB74A2" w:rsidR="000769D3">
        <w:rPr>
          <w:iCs/>
          <w:szCs w:val="26"/>
        </w:rPr>
        <w:t xml:space="preserve"> are the same </w:t>
      </w:r>
      <w:r w:rsidRPr="00CB74A2" w:rsidR="00AC0289">
        <w:rPr>
          <w:iCs/>
          <w:szCs w:val="26"/>
        </w:rPr>
        <w:t xml:space="preserve">as </w:t>
      </w:r>
      <w:r w:rsidRPr="00CB74A2" w:rsidR="002C053F">
        <w:rPr>
          <w:iCs/>
          <w:szCs w:val="26"/>
        </w:rPr>
        <w:t>those approved for Reliability Standard FAC-001-3 in FERC-725D.</w:t>
      </w:r>
      <w:r w:rsidRPr="00CB74A2" w:rsidR="000769D3">
        <w:rPr>
          <w:iCs/>
          <w:szCs w:val="26"/>
        </w:rPr>
        <w:t xml:space="preserve">  Table 1, below, </w:t>
      </w:r>
      <w:r w:rsidRPr="00CB74A2" w:rsidR="00316EEC">
        <w:rPr>
          <w:iCs/>
          <w:szCs w:val="26"/>
        </w:rPr>
        <w:t xml:space="preserve">accordingly </w:t>
      </w:r>
      <w:r w:rsidRPr="00CB74A2" w:rsidR="00B02965">
        <w:rPr>
          <w:iCs/>
          <w:szCs w:val="26"/>
        </w:rPr>
        <w:t>shows the same burdens as approved in FERC-</w:t>
      </w:r>
      <w:r w:rsidRPr="00CB74A2" w:rsidR="00316EEC">
        <w:rPr>
          <w:iCs/>
          <w:szCs w:val="26"/>
        </w:rPr>
        <w:t>725D</w:t>
      </w:r>
      <w:r w:rsidRPr="00CB74A2" w:rsidR="003433F1">
        <w:rPr>
          <w:iCs/>
          <w:szCs w:val="26"/>
        </w:rPr>
        <w:t>, with updated costs.</w:t>
      </w:r>
      <w:r w:rsidRPr="00CB74A2">
        <w:rPr>
          <w:iCs/>
          <w:szCs w:val="26"/>
        </w:rPr>
        <w:br w:type="page"/>
      </w:r>
    </w:p>
    <w:p w:rsidR="00316EEC" w:rsidRPr="00CB74A2" w:rsidP="00077543" w14:paraId="4B21BE31" w14:textId="77777777">
      <w:pPr>
        <w:spacing w:line="480" w:lineRule="auto"/>
        <w:rPr>
          <w:iCs/>
          <w:szCs w:val="26"/>
        </w:rPr>
      </w:pPr>
    </w:p>
    <w:p w:rsidR="002F7C42" w:rsidRPr="00CB74A2" w:rsidP="002F7C42" w14:paraId="47880C8B" w14:textId="67714B3F">
      <w:pPr>
        <w:jc w:val="center"/>
        <w:rPr>
          <w:b/>
          <w:bCs/>
          <w:iCs/>
          <w:szCs w:val="26"/>
        </w:rPr>
      </w:pPr>
      <w:r w:rsidRPr="00CB74A2">
        <w:rPr>
          <w:b/>
          <w:bCs/>
          <w:iCs/>
          <w:szCs w:val="26"/>
        </w:rPr>
        <w:t>Table 1</w:t>
      </w:r>
    </w:p>
    <w:p w:rsidR="002F7C42" w:rsidRPr="00CB74A2" w:rsidP="002F7C42" w14:paraId="49561B92" w14:textId="59EECB1A">
      <w:pPr>
        <w:jc w:val="center"/>
        <w:rPr>
          <w:iCs/>
          <w:szCs w:val="26"/>
        </w:rPr>
      </w:pPr>
      <w:r w:rsidRPr="00CB74A2">
        <w:rPr>
          <w:b/>
          <w:bCs/>
          <w:iCs/>
          <w:szCs w:val="26"/>
        </w:rPr>
        <w:t>Estimated Burdens for FAC-001-4</w:t>
      </w:r>
    </w:p>
    <w:p w:rsidR="002F7C42" w:rsidRPr="00CB74A2" w:rsidP="00F15684" w14:paraId="38F29C8A" w14:textId="26A41961">
      <w:pPr>
        <w:rPr>
          <w:iCs/>
          <w:szCs w:val="26"/>
        </w:rPr>
      </w:pPr>
    </w:p>
    <w:tbl>
      <w:tblPr>
        <w:tblW w:w="0" w:type="auto"/>
        <w:tblLook w:val="04A0"/>
      </w:tblPr>
      <w:tblGrid>
        <w:gridCol w:w="1839"/>
        <w:gridCol w:w="1675"/>
        <w:gridCol w:w="1594"/>
        <w:gridCol w:w="1390"/>
        <w:gridCol w:w="1431"/>
        <w:gridCol w:w="1421"/>
      </w:tblGrid>
      <w:tr w14:paraId="15EEFCD9" w14:textId="77777777" w:rsidTr="00750818">
        <w:tblPrEx>
          <w:tblW w:w="0" w:type="auto"/>
          <w:tblLook w:val="04A0"/>
        </w:tblPrEx>
        <w:trPr>
          <w:cantSplit/>
          <w:trHeight w:val="1953"/>
          <w:tblHeader/>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9F5163" w:rsidRPr="00CB74A2" w:rsidP="004D6B66" w14:paraId="3E86C5FA" w14:textId="77777777">
            <w:pPr>
              <w:jc w:val="center"/>
              <w:rPr>
                <w:b/>
                <w:iCs/>
                <w:szCs w:val="26"/>
              </w:rPr>
            </w:pPr>
            <w:r w:rsidRPr="00CB74A2">
              <w:rPr>
                <w:b/>
                <w:iCs/>
                <w:szCs w:val="26"/>
              </w:rPr>
              <w:t>A.</w:t>
            </w:r>
          </w:p>
          <w:p w:rsidR="009F5163" w:rsidRPr="00CB74A2" w:rsidP="004D6B66" w14:paraId="341C946D" w14:textId="5CDD4523">
            <w:pPr>
              <w:jc w:val="center"/>
              <w:rPr>
                <w:b/>
                <w:iCs/>
                <w:szCs w:val="26"/>
              </w:rPr>
            </w:pPr>
            <w:r w:rsidRPr="00CB74A2">
              <w:rPr>
                <w:b/>
                <w:iCs/>
                <w:szCs w:val="26"/>
              </w:rPr>
              <w:t>Types of Re</w:t>
            </w:r>
            <w:r w:rsidRPr="00CB74A2" w:rsidR="004D6B66">
              <w:rPr>
                <w:b/>
                <w:iCs/>
                <w:szCs w:val="26"/>
              </w:rPr>
              <w:t>sponses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9F5163" w:rsidRPr="00CB74A2" w:rsidP="006C3045" w14:paraId="73F76E7E" w14:textId="0C9292C4">
            <w:pPr>
              <w:jc w:val="center"/>
              <w:rPr>
                <w:b/>
                <w:iCs/>
                <w:szCs w:val="26"/>
              </w:rPr>
            </w:pPr>
            <w:r w:rsidRPr="00CB74A2">
              <w:rPr>
                <w:b/>
                <w:iCs/>
                <w:szCs w:val="26"/>
              </w:rPr>
              <w:t>B</w:t>
            </w:r>
            <w:r w:rsidRPr="00CB74A2">
              <w:rPr>
                <w:b/>
                <w:iCs/>
                <w:szCs w:val="26"/>
              </w:rPr>
              <w:t>.</w:t>
            </w:r>
          </w:p>
          <w:p w:rsidR="009F5163" w:rsidRPr="00CB74A2" w:rsidP="006C3045" w14:paraId="7656D473" w14:textId="76911A08">
            <w:pPr>
              <w:jc w:val="center"/>
              <w:rPr>
                <w:b/>
                <w:iCs/>
                <w:szCs w:val="26"/>
              </w:rPr>
            </w:pPr>
            <w:r w:rsidRPr="00CB74A2">
              <w:rPr>
                <w:b/>
                <w:iCs/>
                <w:szCs w:val="26"/>
              </w:rPr>
              <w:t>Type</w:t>
            </w:r>
            <w:r w:rsidRPr="00CB74A2" w:rsidR="00314BD0">
              <w:rPr>
                <w:b/>
                <w:iCs/>
                <w:szCs w:val="26"/>
              </w:rPr>
              <w:t>s</w:t>
            </w:r>
            <w:r w:rsidRPr="00CB74A2">
              <w:rPr>
                <w:b/>
                <w:iCs/>
                <w:szCs w:val="26"/>
              </w:rPr>
              <w:t xml:space="preserve"> and Numbers of Respondents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9F5163" w:rsidRPr="00CB74A2" w:rsidP="006C3045" w14:paraId="7C214991" w14:textId="37A0990C">
            <w:pPr>
              <w:jc w:val="center"/>
              <w:rPr>
                <w:b/>
                <w:iCs/>
                <w:szCs w:val="26"/>
              </w:rPr>
            </w:pPr>
            <w:r w:rsidRPr="00CB74A2">
              <w:rPr>
                <w:b/>
                <w:iCs/>
                <w:szCs w:val="26"/>
              </w:rPr>
              <w:t>C</w:t>
            </w:r>
            <w:r w:rsidRPr="00CB74A2">
              <w:rPr>
                <w:b/>
                <w:iCs/>
                <w:szCs w:val="26"/>
              </w:rPr>
              <w:t>.</w:t>
            </w:r>
          </w:p>
          <w:p w:rsidR="009F5163" w:rsidRPr="00CB74A2" w:rsidP="006C3045" w14:paraId="24104161" w14:textId="77777777">
            <w:pPr>
              <w:jc w:val="center"/>
              <w:rPr>
                <w:b/>
                <w:iCs/>
                <w:szCs w:val="26"/>
              </w:rPr>
            </w:pPr>
            <w:r w:rsidRPr="00CB74A2">
              <w:rPr>
                <w:b/>
                <w:iCs/>
                <w:szCs w:val="26"/>
              </w:rPr>
              <w:t>Number of Annual Responses Per Respondent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9F5163" w:rsidRPr="00CB74A2" w:rsidP="006C3045" w14:paraId="1EA8E9E7" w14:textId="271C29D1">
            <w:pPr>
              <w:jc w:val="center"/>
              <w:rPr>
                <w:b/>
                <w:iCs/>
                <w:szCs w:val="26"/>
              </w:rPr>
            </w:pPr>
            <w:r w:rsidRPr="00CB74A2">
              <w:rPr>
                <w:b/>
                <w:iCs/>
                <w:szCs w:val="26"/>
              </w:rPr>
              <w:t>D</w:t>
            </w:r>
            <w:r w:rsidRPr="00CB74A2">
              <w:rPr>
                <w:b/>
                <w:iCs/>
                <w:szCs w:val="26"/>
              </w:rPr>
              <w:t>.</w:t>
            </w:r>
          </w:p>
          <w:p w:rsidR="009F5163" w:rsidRPr="00CB74A2" w:rsidP="006C3045" w14:paraId="5121F738" w14:textId="77777777">
            <w:pPr>
              <w:jc w:val="center"/>
              <w:rPr>
                <w:b/>
                <w:iCs/>
                <w:szCs w:val="26"/>
              </w:rPr>
            </w:pPr>
            <w:r w:rsidRPr="00CB74A2">
              <w:rPr>
                <w:b/>
                <w:iCs/>
                <w:szCs w:val="26"/>
              </w:rPr>
              <w:t>Total Number of Responses</w:t>
            </w:r>
          </w:p>
          <w:p w:rsidR="009F5163" w:rsidRPr="00CB74A2" w:rsidP="006C3045" w14:paraId="1F15F0F1" w14:textId="1CF0B849">
            <w:pPr>
              <w:jc w:val="center"/>
              <w:rPr>
                <w:b/>
                <w:iCs/>
                <w:szCs w:val="26"/>
              </w:rPr>
            </w:pPr>
            <w:r w:rsidRPr="00CB74A2">
              <w:rPr>
                <w:b/>
                <w:iCs/>
                <w:szCs w:val="26"/>
              </w:rPr>
              <w:t xml:space="preserve">(Column </w:t>
            </w:r>
            <w:r w:rsidRPr="00CB74A2" w:rsidR="004D6B66">
              <w:rPr>
                <w:b/>
                <w:iCs/>
                <w:szCs w:val="26"/>
              </w:rPr>
              <w:t>B</w:t>
            </w:r>
            <w:r w:rsidRPr="00CB74A2">
              <w:rPr>
                <w:b/>
                <w:iCs/>
                <w:szCs w:val="26"/>
              </w:rPr>
              <w:t xml:space="preserve"> x Column </w:t>
            </w:r>
            <w:r w:rsidRPr="00CB74A2" w:rsidR="004D6B66">
              <w:rPr>
                <w:b/>
                <w:iCs/>
                <w:szCs w:val="26"/>
              </w:rPr>
              <w:t>C</w:t>
            </w:r>
            <w:r w:rsidRPr="00CB74A2">
              <w:rPr>
                <w:b/>
                <w:iCs/>
                <w:szCs w:val="26"/>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9F5163" w:rsidRPr="00CB74A2" w:rsidP="006C3045" w14:paraId="27C91FF9" w14:textId="59DA8CA1">
            <w:pPr>
              <w:jc w:val="center"/>
              <w:rPr>
                <w:b/>
                <w:iCs/>
                <w:szCs w:val="26"/>
              </w:rPr>
            </w:pPr>
            <w:r w:rsidRPr="00CB74A2">
              <w:rPr>
                <w:b/>
                <w:iCs/>
                <w:szCs w:val="26"/>
              </w:rPr>
              <w:t>E</w:t>
            </w:r>
            <w:r w:rsidRPr="00CB74A2">
              <w:rPr>
                <w:b/>
                <w:iCs/>
                <w:szCs w:val="26"/>
              </w:rPr>
              <w:t>.</w:t>
            </w:r>
          </w:p>
          <w:p w:rsidR="009F5163" w:rsidRPr="00CB74A2" w:rsidP="006C3045" w14:paraId="69DC65CD" w14:textId="77777777">
            <w:pPr>
              <w:jc w:val="center"/>
              <w:rPr>
                <w:b/>
                <w:iCs/>
                <w:szCs w:val="26"/>
              </w:rPr>
            </w:pPr>
            <w:r w:rsidRPr="00CB74A2">
              <w:rPr>
                <w:b/>
                <w:iCs/>
                <w:szCs w:val="26"/>
              </w:rPr>
              <w:t>Average Number of Burden Hours and Cost per Response</w:t>
            </w:r>
            <w:r>
              <w:rPr>
                <w:b/>
                <w:iCs/>
                <w:szCs w:val="26"/>
                <w:vertAlign w:val="superscript"/>
              </w:rPr>
              <w:footnoteReference w:id="6"/>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9F5163" w:rsidRPr="00CB74A2" w:rsidP="006C3045" w14:paraId="473A5B37" w14:textId="3051DA99">
            <w:pPr>
              <w:jc w:val="center"/>
              <w:rPr>
                <w:b/>
                <w:iCs/>
                <w:szCs w:val="26"/>
              </w:rPr>
            </w:pPr>
            <w:r w:rsidRPr="00CB74A2">
              <w:rPr>
                <w:b/>
                <w:iCs/>
                <w:szCs w:val="26"/>
              </w:rPr>
              <w:t>F</w:t>
            </w:r>
            <w:r w:rsidRPr="00CB74A2">
              <w:rPr>
                <w:b/>
                <w:iCs/>
                <w:szCs w:val="26"/>
              </w:rPr>
              <w:t>.</w:t>
            </w:r>
          </w:p>
          <w:p w:rsidR="009F5163" w:rsidRPr="00CB74A2" w:rsidP="006C3045" w14:paraId="24CA1C7B" w14:textId="77777777">
            <w:pPr>
              <w:jc w:val="center"/>
              <w:rPr>
                <w:b/>
                <w:iCs/>
                <w:szCs w:val="26"/>
              </w:rPr>
            </w:pPr>
            <w:r w:rsidRPr="00CB74A2">
              <w:rPr>
                <w:b/>
                <w:iCs/>
                <w:szCs w:val="26"/>
              </w:rPr>
              <w:t>Total Burden Hours and Cost</w:t>
            </w:r>
          </w:p>
          <w:p w:rsidR="009F5163" w:rsidRPr="00CB74A2" w:rsidP="006C3045" w14:paraId="78B369CE" w14:textId="4BAB6C98">
            <w:pPr>
              <w:jc w:val="center"/>
              <w:rPr>
                <w:b/>
                <w:iCs/>
                <w:szCs w:val="26"/>
              </w:rPr>
            </w:pPr>
            <w:r w:rsidRPr="00CB74A2">
              <w:rPr>
                <w:b/>
                <w:iCs/>
                <w:szCs w:val="26"/>
              </w:rPr>
              <w:t xml:space="preserve">(Column </w:t>
            </w:r>
            <w:r w:rsidRPr="00CB74A2" w:rsidR="004D6B66">
              <w:rPr>
                <w:b/>
                <w:iCs/>
                <w:szCs w:val="26"/>
              </w:rPr>
              <w:t>D</w:t>
            </w:r>
            <w:r w:rsidRPr="00CB74A2">
              <w:rPr>
                <w:b/>
                <w:iCs/>
                <w:szCs w:val="26"/>
              </w:rPr>
              <w:t xml:space="preserve"> x  Column </w:t>
            </w:r>
            <w:r w:rsidRPr="00CB74A2" w:rsidR="004D6B66">
              <w:rPr>
                <w:b/>
                <w:iCs/>
                <w:szCs w:val="26"/>
              </w:rPr>
              <w:t>E</w:t>
            </w:r>
            <w:r w:rsidRPr="00CB74A2">
              <w:rPr>
                <w:b/>
                <w:iCs/>
                <w:szCs w:val="26"/>
              </w:rPr>
              <w:t>)</w:t>
            </w:r>
          </w:p>
        </w:tc>
      </w:tr>
      <w:tr w14:paraId="597B00C6" w14:textId="77777777" w:rsidTr="008A4264">
        <w:tblPrEx>
          <w:tblW w:w="0" w:type="auto"/>
          <w:tblLook w:val="04A0"/>
        </w:tblPrEx>
        <w:trPr>
          <w:cantSplit/>
          <w:trHeight w:val="1953"/>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2834C4" w:rsidRPr="00CB74A2" w:rsidP="00E160DA" w14:paraId="735C8B59" w14:textId="27765396">
            <w:pPr>
              <w:jc w:val="center"/>
              <w:rPr>
                <w:bCs/>
                <w:iCs/>
                <w:szCs w:val="26"/>
              </w:rPr>
            </w:pPr>
            <w:r w:rsidRPr="00CB74A2">
              <w:rPr>
                <w:iCs/>
                <w:szCs w:val="26"/>
              </w:rPr>
              <w:t>Documentation &amp; Updates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2834C4" w:rsidRPr="00CB74A2" w:rsidP="0038725D" w14:paraId="621E5ABD" w14:textId="0A939FBC">
            <w:pPr>
              <w:spacing w:after="160" w:line="259" w:lineRule="auto"/>
              <w:jc w:val="right"/>
              <w:rPr>
                <w:iCs/>
                <w:szCs w:val="26"/>
              </w:rPr>
            </w:pPr>
            <w:r w:rsidRPr="00CB74A2">
              <w:rPr>
                <w:iCs/>
                <w:szCs w:val="26"/>
              </w:rPr>
              <w:t>498 GO</w:t>
            </w:r>
            <w:r w:rsidRPr="00CB74A2" w:rsidR="00316EEC">
              <w:rPr>
                <w:iCs/>
                <w:szCs w:val="26"/>
              </w:rPr>
              <w:t>s</w:t>
            </w:r>
            <w:r w:rsidRPr="00CB74A2">
              <w:rPr>
                <w:iCs/>
                <w:szCs w:val="26"/>
              </w:rPr>
              <w:t>/TO</w:t>
            </w:r>
            <w:r w:rsidRPr="00CB74A2" w:rsidR="00314BD0">
              <w:rPr>
                <w:iCs/>
                <w:szCs w:val="26"/>
              </w:rPr>
              <w:t>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2834C4" w:rsidRPr="00CB74A2" w:rsidP="0038725D" w14:paraId="418BF9A0" w14:textId="0036E667">
            <w:pPr>
              <w:jc w:val="right"/>
              <w:rPr>
                <w:bCs/>
                <w:iCs/>
                <w:szCs w:val="26"/>
              </w:rPr>
            </w:pPr>
            <w:r w:rsidRPr="00CB74A2">
              <w:rPr>
                <w:bCs/>
                <w:iCs/>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2834C4" w:rsidRPr="00CB74A2" w:rsidP="0038725D" w14:paraId="31F4375B" w14:textId="50DB7627">
            <w:pPr>
              <w:jc w:val="right"/>
              <w:rPr>
                <w:bCs/>
                <w:iCs/>
                <w:szCs w:val="26"/>
              </w:rPr>
            </w:pPr>
            <w:r w:rsidRPr="00CB74A2">
              <w:rPr>
                <w:bCs/>
                <w:iCs/>
                <w:szCs w:val="26"/>
              </w:rPr>
              <w:t>498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AE2DB7" w:rsidRPr="00CB74A2" w:rsidP="0038725D" w14:paraId="6CED2823" w14:textId="77777777">
            <w:pPr>
              <w:jc w:val="right"/>
              <w:rPr>
                <w:bCs/>
                <w:iCs/>
                <w:szCs w:val="26"/>
              </w:rPr>
            </w:pPr>
            <w:r w:rsidRPr="00CB74A2">
              <w:rPr>
                <w:bCs/>
                <w:iCs/>
                <w:szCs w:val="26"/>
              </w:rPr>
              <w:t>34 hrs.;</w:t>
            </w:r>
          </w:p>
          <w:p w:rsidR="002834C4" w:rsidRPr="00CB74A2" w:rsidP="0038725D" w14:paraId="00FC7BCC" w14:textId="627BD685">
            <w:pPr>
              <w:jc w:val="right"/>
              <w:rPr>
                <w:bCs/>
                <w:iCs/>
                <w:szCs w:val="26"/>
              </w:rPr>
            </w:pPr>
            <w:r w:rsidRPr="00CB74A2">
              <w:rPr>
                <w:bCs/>
                <w:iCs/>
                <w:szCs w:val="26"/>
              </w:rPr>
              <w:t>$</w:t>
            </w:r>
            <w:r w:rsidRPr="00CB74A2" w:rsidR="0074481B">
              <w:rPr>
                <w:bCs/>
                <w:iCs/>
                <w:szCs w:val="26"/>
              </w:rPr>
              <w:t>3,0</w:t>
            </w:r>
            <w:r w:rsidRPr="00CB74A2" w:rsidR="00AB39FA">
              <w:rPr>
                <w:bCs/>
                <w:iCs/>
                <w:szCs w:val="26"/>
              </w:rPr>
              <w:t>94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F7099" w:rsidRPr="00CB74A2" w:rsidP="0038725D" w14:paraId="71D3411A" w14:textId="6C5C902B">
            <w:pPr>
              <w:jc w:val="right"/>
              <w:rPr>
                <w:bCs/>
                <w:iCs/>
                <w:szCs w:val="26"/>
              </w:rPr>
            </w:pPr>
            <w:r w:rsidRPr="00CB74A2">
              <w:rPr>
                <w:bCs/>
                <w:iCs/>
                <w:szCs w:val="26"/>
              </w:rPr>
              <w:t>16,932 hrs.</w:t>
            </w:r>
          </w:p>
          <w:p w:rsidR="002834C4" w:rsidRPr="00CB74A2" w:rsidP="0038725D" w14:paraId="7125FD80" w14:textId="02338124">
            <w:pPr>
              <w:jc w:val="right"/>
              <w:rPr>
                <w:bCs/>
                <w:iCs/>
                <w:szCs w:val="26"/>
              </w:rPr>
            </w:pPr>
            <w:r w:rsidRPr="00CB74A2">
              <w:rPr>
                <w:bCs/>
                <w:iCs/>
                <w:szCs w:val="26"/>
              </w:rPr>
              <w:t>$</w:t>
            </w:r>
            <w:r w:rsidRPr="00CB74A2" w:rsidR="00AB39FA">
              <w:rPr>
                <w:bCs/>
                <w:iCs/>
                <w:szCs w:val="26"/>
              </w:rPr>
              <w:t>1,491,</w:t>
            </w:r>
            <w:r w:rsidRPr="00CB74A2" w:rsidR="003433F1">
              <w:rPr>
                <w:bCs/>
                <w:iCs/>
                <w:szCs w:val="26"/>
              </w:rPr>
              <w:t>672</w:t>
            </w:r>
          </w:p>
        </w:tc>
      </w:tr>
      <w:tr w14:paraId="261CFB50" w14:textId="77777777" w:rsidTr="008A4264">
        <w:tblPrEx>
          <w:tblW w:w="0" w:type="auto"/>
          <w:tblLook w:val="04A0"/>
        </w:tblPrEx>
        <w:trPr>
          <w:cantSplit/>
          <w:trHeight w:val="1953"/>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F7099" w:rsidRPr="00CB74A2" w:rsidP="00E160DA" w14:paraId="1F900163" w14:textId="38BA0C65">
            <w:pPr>
              <w:jc w:val="center"/>
              <w:rPr>
                <w:iCs/>
                <w:szCs w:val="26"/>
              </w:rPr>
            </w:pPr>
            <w:r w:rsidRPr="00CB74A2">
              <w:rPr>
                <w:iCs/>
                <w:szCs w:val="26"/>
              </w:rPr>
              <w:t>Evidence Retention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F7099" w:rsidRPr="00CB74A2" w:rsidP="0038725D" w14:paraId="7291FB91" w14:textId="4B946391">
            <w:pPr>
              <w:spacing w:after="160" w:line="259" w:lineRule="auto"/>
              <w:jc w:val="right"/>
              <w:rPr>
                <w:iCs/>
                <w:szCs w:val="26"/>
              </w:rPr>
            </w:pPr>
            <w:r w:rsidRPr="00CB74A2">
              <w:rPr>
                <w:iCs/>
                <w:szCs w:val="26"/>
              </w:rPr>
              <w:t xml:space="preserve">498 </w:t>
            </w:r>
            <w:r w:rsidRPr="00CB74A2" w:rsidR="00E160DA">
              <w:rPr>
                <w:iCs/>
                <w:szCs w:val="26"/>
              </w:rPr>
              <w:t>GOs/TOs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F7099" w:rsidRPr="00CB74A2" w:rsidP="0038725D" w14:paraId="656CEA40" w14:textId="159C9560">
            <w:pPr>
              <w:jc w:val="right"/>
              <w:rPr>
                <w:bCs/>
                <w:iCs/>
                <w:szCs w:val="26"/>
              </w:rPr>
            </w:pPr>
            <w:r w:rsidRPr="00CB74A2">
              <w:rPr>
                <w:bCs/>
                <w:iCs/>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F7099" w:rsidRPr="00CB74A2" w:rsidP="0038725D" w14:paraId="1E638DC4" w14:textId="69430E2B">
            <w:pPr>
              <w:jc w:val="right"/>
              <w:rPr>
                <w:bCs/>
                <w:iCs/>
                <w:szCs w:val="26"/>
              </w:rPr>
            </w:pPr>
            <w:r w:rsidRPr="00CB74A2">
              <w:rPr>
                <w:bCs/>
                <w:iCs/>
                <w:szCs w:val="26"/>
              </w:rPr>
              <w:t>498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DD529D" w:rsidRPr="00CB74A2" w:rsidP="0038725D" w14:paraId="42B410FA" w14:textId="77777777">
            <w:pPr>
              <w:jc w:val="right"/>
              <w:rPr>
                <w:bCs/>
                <w:iCs/>
                <w:szCs w:val="26"/>
              </w:rPr>
            </w:pPr>
            <w:r w:rsidRPr="00CB74A2">
              <w:rPr>
                <w:bCs/>
                <w:iCs/>
                <w:szCs w:val="26"/>
              </w:rPr>
              <w:t>1 hr.;</w:t>
            </w:r>
          </w:p>
          <w:p w:rsidR="00FF7099" w:rsidRPr="00CB74A2" w:rsidP="0038725D" w14:paraId="6C425CFC" w14:textId="28E16EC6">
            <w:pPr>
              <w:jc w:val="right"/>
              <w:rPr>
                <w:bCs/>
                <w:iCs/>
                <w:szCs w:val="26"/>
              </w:rPr>
            </w:pPr>
            <w:r w:rsidRPr="00CB74A2">
              <w:rPr>
                <w:bCs/>
                <w:iCs/>
                <w:szCs w:val="26"/>
              </w:rPr>
              <w:t>$</w:t>
            </w:r>
            <w:r w:rsidRPr="00CB74A2" w:rsidR="009046CC">
              <w:rPr>
                <w:bCs/>
                <w:iCs/>
                <w:szCs w:val="26"/>
              </w:rPr>
              <w:t>91.00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DD529D" w:rsidRPr="00CB74A2" w:rsidP="0038725D" w14:paraId="4549C607" w14:textId="6B635E65">
            <w:pPr>
              <w:jc w:val="right"/>
              <w:rPr>
                <w:bCs/>
                <w:iCs/>
                <w:szCs w:val="26"/>
              </w:rPr>
            </w:pPr>
            <w:r w:rsidRPr="00CB74A2">
              <w:rPr>
                <w:bCs/>
                <w:iCs/>
                <w:szCs w:val="26"/>
              </w:rPr>
              <w:t>498 hrs.;</w:t>
            </w:r>
          </w:p>
          <w:p w:rsidR="00FF7099" w:rsidRPr="00CB74A2" w:rsidP="0038725D" w14:paraId="48F62602" w14:textId="03BFB3AC">
            <w:pPr>
              <w:jc w:val="right"/>
              <w:rPr>
                <w:bCs/>
                <w:iCs/>
                <w:szCs w:val="26"/>
              </w:rPr>
            </w:pPr>
            <w:r w:rsidRPr="00CB74A2">
              <w:rPr>
                <w:bCs/>
                <w:iCs/>
                <w:szCs w:val="26"/>
              </w:rPr>
              <w:t>$</w:t>
            </w:r>
            <w:r w:rsidRPr="00CB74A2" w:rsidR="009046CC">
              <w:rPr>
                <w:bCs/>
                <w:iCs/>
                <w:szCs w:val="26"/>
              </w:rPr>
              <w:t>45,</w:t>
            </w:r>
            <w:r w:rsidRPr="00CB74A2" w:rsidR="0074481B">
              <w:rPr>
                <w:bCs/>
                <w:iCs/>
                <w:szCs w:val="26"/>
              </w:rPr>
              <w:t>318</w:t>
            </w:r>
          </w:p>
        </w:tc>
      </w:tr>
    </w:tbl>
    <w:p w:rsidR="00DF2658" w:rsidRPr="00CB74A2" w14:paraId="2C8B3314" w14:textId="498D9E04">
      <w:pPr>
        <w:spacing w:after="160" w:line="259" w:lineRule="auto"/>
        <w:rPr>
          <w:iCs/>
          <w:szCs w:val="26"/>
        </w:rPr>
      </w:pPr>
    </w:p>
    <w:p w:rsidR="003353A7" w:rsidRPr="00CB74A2" w:rsidP="004E7155" w14:paraId="76DE15BB" w14:textId="5B2B15F6">
      <w:pPr>
        <w:spacing w:line="480" w:lineRule="auto"/>
        <w:rPr>
          <w:iCs/>
          <w:szCs w:val="26"/>
        </w:rPr>
      </w:pPr>
      <w:r w:rsidRPr="00CB74A2">
        <w:rPr>
          <w:iCs/>
          <w:szCs w:val="26"/>
        </w:rPr>
        <w:t xml:space="preserve">Under FAC-002-4, </w:t>
      </w:r>
      <w:r w:rsidRPr="00CB74A2" w:rsidR="002C48C3">
        <w:rPr>
          <w:iCs/>
          <w:szCs w:val="26"/>
        </w:rPr>
        <w:t>the new col</w:t>
      </w:r>
      <w:r w:rsidRPr="00CB74A2" w:rsidR="007A4DA4">
        <w:rPr>
          <w:iCs/>
          <w:szCs w:val="26"/>
        </w:rPr>
        <w:t xml:space="preserve">lection FERC-725D(1) represents a minor additional burden to planning coordinators, due to the requirement that they develop the definition of “qualified change” for new and existing interconnections of generation, transmission or electricity end user facilities.  This burden is expected to be greater in years one and </w:t>
      </w:r>
      <w:r w:rsidRPr="00CB74A2" w:rsidR="007A4DA4">
        <w:rPr>
          <w:iCs/>
          <w:szCs w:val="26"/>
        </w:rPr>
        <w:t xml:space="preserve">two than in year three and beyond for FAC-002-4.  </w:t>
      </w:r>
      <w:r w:rsidRPr="00CB74A2" w:rsidR="004E7155">
        <w:rPr>
          <w:iCs/>
          <w:szCs w:val="26"/>
        </w:rPr>
        <w:t>The burden and cost estimates for FAC-002-4 are based on the increase in the reporting and recordkeeping burden imposed by the revised Reliability Standards.  Our estimates are based on the NERC Compliance Registry as of September 16, 2022, which indicates 63 planning coordinators.</w:t>
      </w:r>
    </w:p>
    <w:p w:rsidR="00E700E9" w:rsidRPr="00CB74A2" w:rsidP="00E700E9" w14:paraId="0EBA350B" w14:textId="77777777">
      <w:pPr>
        <w:jc w:val="center"/>
        <w:rPr>
          <w:b/>
          <w:bCs/>
          <w:iCs/>
          <w:szCs w:val="26"/>
        </w:rPr>
      </w:pPr>
      <w:r w:rsidRPr="00CB74A2">
        <w:rPr>
          <w:b/>
          <w:bCs/>
          <w:iCs/>
          <w:szCs w:val="26"/>
        </w:rPr>
        <w:t>Table 2</w:t>
      </w:r>
    </w:p>
    <w:p w:rsidR="00F92098" w:rsidRPr="00CB74A2" w:rsidP="00E700E9" w14:paraId="1CD9335D" w14:textId="468C9115">
      <w:pPr>
        <w:jc w:val="center"/>
        <w:rPr>
          <w:b/>
          <w:bCs/>
          <w:iCs/>
          <w:szCs w:val="26"/>
        </w:rPr>
      </w:pPr>
      <w:r w:rsidRPr="00CB74A2">
        <w:rPr>
          <w:b/>
          <w:bCs/>
          <w:iCs/>
          <w:szCs w:val="26"/>
        </w:rPr>
        <w:t>Estimated Burdens for FAC-002-4</w:t>
      </w:r>
    </w:p>
    <w:p w:rsidR="002F7C42" w:rsidRPr="00CB74A2" w:rsidP="00E700E9" w14:paraId="19A69BFD" w14:textId="77777777">
      <w:pPr>
        <w:jc w:val="center"/>
        <w:rPr>
          <w:b/>
          <w:bCs/>
          <w:iCs/>
          <w:szCs w:val="26"/>
        </w:rPr>
      </w:pPr>
    </w:p>
    <w:tbl>
      <w:tblPr>
        <w:tblW w:w="0" w:type="auto"/>
        <w:tblLook w:val="04A0"/>
      </w:tblPr>
      <w:tblGrid>
        <w:gridCol w:w="2002"/>
        <w:gridCol w:w="2099"/>
        <w:gridCol w:w="1644"/>
        <w:gridCol w:w="2061"/>
        <w:gridCol w:w="1544"/>
      </w:tblGrid>
      <w:tr w14:paraId="592ED1E0" w14:textId="77777777" w:rsidTr="005B1C4C">
        <w:tblPrEx>
          <w:tblW w:w="0" w:type="auto"/>
          <w:tblLook w:val="04A0"/>
        </w:tblPrEx>
        <w:trPr>
          <w:trHeight w:val="1953"/>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30E62" w:rsidRPr="00CB74A2" w:rsidP="000A3C73" w14:paraId="32ADAB7F" w14:textId="70EA40BC">
            <w:pPr>
              <w:jc w:val="center"/>
              <w:rPr>
                <w:b/>
                <w:iCs/>
                <w:szCs w:val="26"/>
              </w:rPr>
            </w:pPr>
            <w:r w:rsidRPr="00CB74A2">
              <w:rPr>
                <w:b/>
                <w:iCs/>
                <w:szCs w:val="26"/>
              </w:rPr>
              <w:t>A.</w:t>
            </w:r>
          </w:p>
          <w:p w:rsidR="00F30E62" w:rsidRPr="00CB74A2" w:rsidP="006F71A2" w14:paraId="55444B04" w14:textId="4D1432CC">
            <w:pPr>
              <w:jc w:val="center"/>
              <w:rPr>
                <w:b/>
                <w:iCs/>
                <w:szCs w:val="26"/>
              </w:rPr>
            </w:pPr>
            <w:r w:rsidRPr="00CB74A2">
              <w:rPr>
                <w:b/>
                <w:iCs/>
                <w:szCs w:val="26"/>
              </w:rPr>
              <w:t>Type and Number</w:t>
            </w:r>
            <w:r w:rsidRPr="00CB74A2" w:rsidR="0022337C">
              <w:rPr>
                <w:b/>
                <w:iCs/>
                <w:szCs w:val="26"/>
              </w:rPr>
              <w:t>s of Respondents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30E62" w:rsidRPr="00CB74A2" w:rsidP="000A3C73" w14:paraId="095095F8" w14:textId="3C088565">
            <w:pPr>
              <w:jc w:val="center"/>
              <w:rPr>
                <w:b/>
                <w:iCs/>
                <w:szCs w:val="26"/>
              </w:rPr>
            </w:pPr>
            <w:r w:rsidRPr="00CB74A2">
              <w:rPr>
                <w:b/>
                <w:iCs/>
                <w:szCs w:val="26"/>
              </w:rPr>
              <w:t>B</w:t>
            </w:r>
            <w:r w:rsidRPr="00CB74A2" w:rsidR="003A4868">
              <w:rPr>
                <w:b/>
                <w:iCs/>
                <w:szCs w:val="26"/>
              </w:rPr>
              <w:t>.</w:t>
            </w:r>
          </w:p>
          <w:p w:rsidR="00F30E62" w:rsidRPr="00CB74A2" w:rsidP="006F71A2" w14:paraId="4523E9B7" w14:textId="5D2999CB">
            <w:pPr>
              <w:jc w:val="center"/>
              <w:rPr>
                <w:b/>
                <w:iCs/>
                <w:szCs w:val="26"/>
              </w:rPr>
            </w:pPr>
            <w:r w:rsidRPr="00CB74A2">
              <w:rPr>
                <w:b/>
                <w:iCs/>
                <w:szCs w:val="26"/>
              </w:rPr>
              <w:t xml:space="preserve">Number of Annual Responses Per </w:t>
            </w:r>
            <w:r w:rsidRPr="00CB74A2" w:rsidR="003A4868">
              <w:rPr>
                <w:b/>
                <w:iCs/>
                <w:szCs w:val="26"/>
              </w:rPr>
              <w:t>Respondent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30E62" w:rsidRPr="00CB74A2" w:rsidP="000A3C73" w14:paraId="0D2696FE" w14:textId="3A88AE3A">
            <w:pPr>
              <w:jc w:val="center"/>
              <w:rPr>
                <w:b/>
                <w:iCs/>
                <w:szCs w:val="26"/>
              </w:rPr>
            </w:pPr>
            <w:r w:rsidRPr="00CB74A2">
              <w:rPr>
                <w:b/>
                <w:iCs/>
                <w:szCs w:val="26"/>
              </w:rPr>
              <w:t>C</w:t>
            </w:r>
            <w:r w:rsidRPr="00CB74A2">
              <w:rPr>
                <w:b/>
                <w:iCs/>
                <w:szCs w:val="26"/>
              </w:rPr>
              <w:t>.</w:t>
            </w:r>
          </w:p>
          <w:p w:rsidR="00F30E62" w:rsidRPr="00CB74A2" w:rsidP="000A3C73" w14:paraId="0DC9E2DB" w14:textId="2F05D0C3">
            <w:pPr>
              <w:jc w:val="center"/>
              <w:rPr>
                <w:b/>
                <w:iCs/>
                <w:szCs w:val="26"/>
              </w:rPr>
            </w:pPr>
            <w:r w:rsidRPr="00CB74A2">
              <w:rPr>
                <w:b/>
                <w:iCs/>
                <w:szCs w:val="26"/>
              </w:rPr>
              <w:t>Total Number of Responses</w:t>
            </w:r>
          </w:p>
          <w:p w:rsidR="00F30E62" w:rsidRPr="00CB74A2" w:rsidP="000A3C73" w14:paraId="1510A914" w14:textId="7A2FD825">
            <w:pPr>
              <w:jc w:val="center"/>
              <w:rPr>
                <w:b/>
                <w:iCs/>
                <w:szCs w:val="26"/>
              </w:rPr>
            </w:pPr>
            <w:r w:rsidRPr="00CB74A2">
              <w:rPr>
                <w:b/>
                <w:iCs/>
                <w:szCs w:val="26"/>
              </w:rPr>
              <w:t xml:space="preserve">(Column </w:t>
            </w:r>
            <w:r w:rsidRPr="00CB74A2" w:rsidR="003A4868">
              <w:rPr>
                <w:b/>
                <w:iCs/>
                <w:szCs w:val="26"/>
              </w:rPr>
              <w:t>A</w:t>
            </w:r>
            <w:r w:rsidRPr="00CB74A2">
              <w:rPr>
                <w:b/>
                <w:iCs/>
                <w:szCs w:val="26"/>
              </w:rPr>
              <w:t xml:space="preserve"> x Column </w:t>
            </w:r>
            <w:r w:rsidRPr="00CB74A2" w:rsidR="003A4868">
              <w:rPr>
                <w:b/>
                <w:iCs/>
                <w:szCs w:val="26"/>
              </w:rPr>
              <w:t>B</w:t>
            </w:r>
            <w:r w:rsidRPr="00CB74A2">
              <w:rPr>
                <w:b/>
                <w:iCs/>
                <w:szCs w:val="26"/>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30E62" w:rsidRPr="00CB74A2" w:rsidP="000A3C73" w14:paraId="04874A26" w14:textId="55B71AAD">
            <w:pPr>
              <w:jc w:val="center"/>
              <w:rPr>
                <w:b/>
                <w:iCs/>
                <w:szCs w:val="26"/>
              </w:rPr>
            </w:pPr>
            <w:r w:rsidRPr="00CB74A2">
              <w:rPr>
                <w:b/>
                <w:iCs/>
                <w:szCs w:val="26"/>
              </w:rPr>
              <w:t>D</w:t>
            </w:r>
            <w:r w:rsidRPr="00CB74A2">
              <w:rPr>
                <w:b/>
                <w:iCs/>
                <w:szCs w:val="26"/>
              </w:rPr>
              <w:t>.</w:t>
            </w:r>
          </w:p>
          <w:p w:rsidR="00F30E62" w:rsidRPr="00CB74A2" w:rsidP="006F71A2" w14:paraId="32DD7D4A" w14:textId="38CF2C88">
            <w:pPr>
              <w:jc w:val="center"/>
              <w:rPr>
                <w:b/>
                <w:iCs/>
                <w:szCs w:val="26"/>
              </w:rPr>
            </w:pPr>
            <w:r w:rsidRPr="00CB74A2">
              <w:rPr>
                <w:b/>
                <w:iCs/>
                <w:szCs w:val="26"/>
              </w:rPr>
              <w:t>Average Number of Burden Hours and Cost per Response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F30E62" w:rsidRPr="00CB74A2" w:rsidP="000A3C73" w14:paraId="727C982E" w14:textId="063A060C">
            <w:pPr>
              <w:jc w:val="center"/>
              <w:rPr>
                <w:b/>
                <w:iCs/>
                <w:szCs w:val="26"/>
              </w:rPr>
            </w:pPr>
            <w:r w:rsidRPr="00CB74A2">
              <w:rPr>
                <w:b/>
                <w:iCs/>
                <w:szCs w:val="26"/>
              </w:rPr>
              <w:t>E</w:t>
            </w:r>
            <w:r w:rsidRPr="00CB74A2">
              <w:rPr>
                <w:b/>
                <w:iCs/>
                <w:szCs w:val="26"/>
              </w:rPr>
              <w:t>.</w:t>
            </w:r>
          </w:p>
          <w:p w:rsidR="00F30E62" w:rsidRPr="00CB74A2" w:rsidP="000A3C73" w14:paraId="761C59F2" w14:textId="26ACF83F">
            <w:pPr>
              <w:jc w:val="center"/>
              <w:rPr>
                <w:b/>
                <w:iCs/>
                <w:szCs w:val="26"/>
              </w:rPr>
            </w:pPr>
            <w:r w:rsidRPr="00CB74A2">
              <w:rPr>
                <w:b/>
                <w:iCs/>
                <w:szCs w:val="26"/>
              </w:rPr>
              <w:t>Total Burden Hours and Cost</w:t>
            </w:r>
          </w:p>
          <w:p w:rsidR="00F30E62" w:rsidRPr="00CB74A2" w:rsidP="000A3C73" w14:paraId="38B37F7E" w14:textId="4E07F5ED">
            <w:pPr>
              <w:jc w:val="center"/>
              <w:rPr>
                <w:b/>
                <w:iCs/>
                <w:szCs w:val="26"/>
              </w:rPr>
            </w:pPr>
            <w:r w:rsidRPr="00CB74A2">
              <w:rPr>
                <w:b/>
                <w:iCs/>
                <w:szCs w:val="26"/>
              </w:rPr>
              <w:t xml:space="preserve">(Column </w:t>
            </w:r>
            <w:r w:rsidRPr="00CB74A2" w:rsidR="004F31E3">
              <w:rPr>
                <w:b/>
                <w:iCs/>
                <w:szCs w:val="26"/>
              </w:rPr>
              <w:t>C</w:t>
            </w:r>
            <w:r w:rsidRPr="00CB74A2">
              <w:rPr>
                <w:b/>
                <w:iCs/>
                <w:szCs w:val="26"/>
              </w:rPr>
              <w:t xml:space="preserve"> x  Column </w:t>
            </w:r>
            <w:r w:rsidRPr="00CB74A2" w:rsidR="004F31E3">
              <w:rPr>
                <w:b/>
                <w:iCs/>
                <w:szCs w:val="26"/>
              </w:rPr>
              <w:t>D</w:t>
            </w:r>
            <w:r w:rsidRPr="00CB74A2">
              <w:rPr>
                <w:b/>
                <w:iCs/>
                <w:szCs w:val="26"/>
              </w:rPr>
              <w:t>)</w:t>
            </w:r>
          </w:p>
        </w:tc>
      </w:tr>
      <w:tr w14:paraId="1C56862E" w14:textId="77777777" w:rsidTr="005B1C4C">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FA3A4E" w14:paraId="09351B3B" w14:textId="77777777">
            <w:pPr>
              <w:jc w:val="right"/>
              <w:rPr>
                <w:iCs/>
                <w:szCs w:val="26"/>
              </w:rPr>
            </w:pPr>
            <w:r w:rsidRPr="00CB74A2">
              <w:rPr>
                <w:iCs/>
                <w:szCs w:val="26"/>
              </w:rPr>
              <w:t xml:space="preserve">63 </w:t>
            </w:r>
            <w:r w:rsidRPr="00CB74A2">
              <w:rPr>
                <w:iCs/>
                <w:szCs w:val="26"/>
              </w:rPr>
              <w:t>PA/PC</w:t>
            </w:r>
            <w:r w:rsidRPr="00CB74A2">
              <w:rPr>
                <w:iCs/>
                <w:szCs w:val="26"/>
              </w:rPr>
              <w:t>s</w:t>
            </w:r>
          </w:p>
          <w:p w:rsidR="00AF47E7" w:rsidRPr="00CB74A2" w:rsidP="00FA3A4E" w14:paraId="3E7D1304" w14:textId="19942E64">
            <w:pPr>
              <w:jc w:val="right"/>
              <w:rPr>
                <w:iCs/>
                <w:szCs w:val="26"/>
              </w:rPr>
            </w:pPr>
            <w:r w:rsidRPr="00CB74A2">
              <w:rPr>
                <w:iCs/>
                <w:szCs w:val="26"/>
              </w:rPr>
              <w:t>Years 1 and 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FA3A4E" w14:paraId="5F4F5425" w14:textId="77777777">
            <w:pPr>
              <w:jc w:val="right"/>
              <w:rPr>
                <w:iCs/>
                <w:szCs w:val="26"/>
              </w:rPr>
            </w:pPr>
            <w:r w:rsidRPr="00CB74A2">
              <w:rPr>
                <w:iCs/>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FA3A4E" w14:paraId="015C0B87" w14:textId="77777777">
            <w:pPr>
              <w:jc w:val="right"/>
              <w:rPr>
                <w:iCs/>
                <w:szCs w:val="26"/>
              </w:rPr>
            </w:pPr>
            <w:r w:rsidRPr="00CB74A2">
              <w:rPr>
                <w:iCs/>
                <w:szCs w:val="26"/>
              </w:rPr>
              <w:t>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FA3A4E" w14:paraId="4332E5BA" w14:textId="77777777">
            <w:pPr>
              <w:jc w:val="right"/>
              <w:rPr>
                <w:iCs/>
                <w:szCs w:val="26"/>
              </w:rPr>
            </w:pPr>
            <w:r w:rsidRPr="00CB74A2">
              <w:rPr>
                <w:iCs/>
                <w:szCs w:val="26"/>
              </w:rPr>
              <w:t>120 hrs.;</w:t>
            </w:r>
          </w:p>
          <w:p w:rsidR="00F30E62" w:rsidRPr="00CB74A2" w:rsidP="00FA3A4E" w14:paraId="12A3E671" w14:textId="77777777">
            <w:pPr>
              <w:jc w:val="right"/>
              <w:rPr>
                <w:iCs/>
                <w:szCs w:val="26"/>
              </w:rPr>
            </w:pPr>
            <w:r w:rsidRPr="00CB74A2">
              <w:rPr>
                <w:iCs/>
                <w:szCs w:val="26"/>
              </w:rPr>
              <w:t>$7,200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FA3A4E" w14:paraId="34CC4223" w14:textId="77777777">
            <w:pPr>
              <w:jc w:val="right"/>
              <w:rPr>
                <w:iCs/>
                <w:szCs w:val="26"/>
              </w:rPr>
            </w:pPr>
            <w:r w:rsidRPr="00CB74A2">
              <w:rPr>
                <w:iCs/>
                <w:szCs w:val="26"/>
              </w:rPr>
              <w:t>7,560 hrs.;</w:t>
            </w:r>
          </w:p>
          <w:p w:rsidR="00F30E62" w:rsidRPr="00CB74A2" w:rsidP="00FA3A4E" w14:paraId="1B11FE53" w14:textId="77777777">
            <w:pPr>
              <w:jc w:val="right"/>
              <w:rPr>
                <w:iCs/>
                <w:szCs w:val="26"/>
              </w:rPr>
            </w:pPr>
            <w:r w:rsidRPr="00CB74A2">
              <w:rPr>
                <w:iCs/>
                <w:szCs w:val="26"/>
              </w:rPr>
              <w:t>$453,600</w:t>
            </w:r>
          </w:p>
        </w:tc>
      </w:tr>
      <w:tr w14:paraId="3AA6A3D2" w14:textId="77777777" w:rsidTr="005B1C4C">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tcPr>
          <w:p w:rsidR="00F30E62" w:rsidRPr="00CB74A2" w:rsidP="00A435F9" w14:paraId="5EFAF091" w14:textId="77777777">
            <w:pPr>
              <w:contextualSpacing/>
              <w:jc w:val="right"/>
              <w:rPr>
                <w:iCs/>
                <w:szCs w:val="26"/>
              </w:rPr>
            </w:pPr>
            <w:r w:rsidRPr="00CB74A2">
              <w:rPr>
                <w:iCs/>
                <w:szCs w:val="26"/>
              </w:rPr>
              <w:t xml:space="preserve">63 </w:t>
            </w:r>
            <w:r w:rsidRPr="00CB74A2">
              <w:rPr>
                <w:iCs/>
                <w:szCs w:val="26"/>
              </w:rPr>
              <w:t>PA/PC</w:t>
            </w:r>
            <w:r w:rsidRPr="00CB74A2">
              <w:rPr>
                <w:iCs/>
                <w:szCs w:val="26"/>
              </w:rPr>
              <w:t>s</w:t>
            </w:r>
          </w:p>
          <w:p w:rsidR="00AF47E7" w:rsidRPr="00CB74A2" w:rsidP="00A435F9" w14:paraId="0160D9CE" w14:textId="3A8F6238">
            <w:pPr>
              <w:contextualSpacing/>
              <w:jc w:val="right"/>
              <w:rPr>
                <w:iCs/>
                <w:szCs w:val="26"/>
              </w:rPr>
            </w:pPr>
            <w:r w:rsidRPr="00CB74A2">
              <w:rPr>
                <w:iCs/>
                <w:szCs w:val="26"/>
              </w:rPr>
              <w:t>Ongoing, beginning in Year 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A435F9" w14:paraId="7B906E47" w14:textId="77777777">
            <w:pPr>
              <w:contextualSpacing/>
              <w:jc w:val="right"/>
              <w:rPr>
                <w:iCs/>
                <w:szCs w:val="26"/>
              </w:rPr>
            </w:pPr>
            <w:r w:rsidRPr="00CB74A2">
              <w:rPr>
                <w:iCs/>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A435F9" w14:paraId="6EE38DB5" w14:textId="77777777">
            <w:pPr>
              <w:contextualSpacing/>
              <w:jc w:val="right"/>
              <w:rPr>
                <w:iCs/>
                <w:szCs w:val="26"/>
              </w:rPr>
            </w:pPr>
            <w:r w:rsidRPr="00CB74A2">
              <w:rPr>
                <w:iCs/>
                <w:szCs w:val="26"/>
              </w:rPr>
              <w:t>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A435F9" w14:paraId="2AC03E22" w14:textId="77777777">
            <w:pPr>
              <w:contextualSpacing/>
              <w:jc w:val="right"/>
              <w:rPr>
                <w:iCs/>
                <w:szCs w:val="26"/>
              </w:rPr>
            </w:pPr>
            <w:r w:rsidRPr="00CB74A2">
              <w:rPr>
                <w:iCs/>
                <w:szCs w:val="26"/>
              </w:rPr>
              <w:t>40 hrs.;</w:t>
            </w:r>
          </w:p>
          <w:p w:rsidR="00F30E62" w:rsidRPr="00CB74A2" w:rsidP="00A435F9" w14:paraId="2C1C6F0D" w14:textId="77777777">
            <w:pPr>
              <w:contextualSpacing/>
              <w:jc w:val="right"/>
              <w:rPr>
                <w:iCs/>
                <w:szCs w:val="26"/>
              </w:rPr>
            </w:pPr>
            <w:r w:rsidRPr="00CB74A2">
              <w:rPr>
                <w:iCs/>
                <w:szCs w:val="26"/>
              </w:rPr>
              <w:t>$2,520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30E62" w:rsidRPr="00CB74A2" w:rsidP="00A435F9" w14:paraId="59DD1140" w14:textId="77777777">
            <w:pPr>
              <w:contextualSpacing/>
              <w:jc w:val="right"/>
              <w:rPr>
                <w:iCs/>
                <w:szCs w:val="26"/>
              </w:rPr>
            </w:pPr>
            <w:r w:rsidRPr="00CB74A2">
              <w:rPr>
                <w:iCs/>
                <w:szCs w:val="26"/>
              </w:rPr>
              <w:t>2,520 hrs.;</w:t>
            </w:r>
          </w:p>
          <w:p w:rsidR="00F30E62" w:rsidRPr="00CB74A2" w:rsidP="00A435F9" w14:paraId="10EBA1B0" w14:textId="77777777">
            <w:pPr>
              <w:contextualSpacing/>
              <w:jc w:val="right"/>
              <w:rPr>
                <w:iCs/>
                <w:szCs w:val="26"/>
              </w:rPr>
            </w:pPr>
            <w:r w:rsidRPr="00CB74A2">
              <w:rPr>
                <w:iCs/>
                <w:szCs w:val="26"/>
              </w:rPr>
              <w:t>$158,760</w:t>
            </w:r>
          </w:p>
        </w:tc>
      </w:tr>
    </w:tbl>
    <w:p w:rsidR="005A6CF3" w:rsidRPr="00CB74A2" w:rsidP="0084158A" w14:paraId="5E7EB794" w14:textId="470978BF">
      <w:pPr>
        <w:spacing w:line="480" w:lineRule="auto"/>
        <w:rPr>
          <w:szCs w:val="26"/>
        </w:rPr>
      </w:pPr>
    </w:p>
    <w:p w:rsidR="005A6CF3" w:rsidRPr="00CB74A2" w14:paraId="516A16C5" w14:textId="77777777">
      <w:pPr>
        <w:spacing w:after="160" w:line="259" w:lineRule="auto"/>
        <w:rPr>
          <w:szCs w:val="26"/>
        </w:rPr>
      </w:pPr>
      <w:r w:rsidRPr="00CB74A2">
        <w:rPr>
          <w:szCs w:val="26"/>
        </w:rPr>
        <w:br w:type="page"/>
      </w:r>
    </w:p>
    <w:p w:rsidR="0084158A" w:rsidRPr="00CB74A2" w:rsidP="0084158A" w14:paraId="5CD9EA89" w14:textId="11C8C6C9">
      <w:pPr>
        <w:spacing w:line="480" w:lineRule="auto"/>
        <w:rPr>
          <w:szCs w:val="26"/>
        </w:rPr>
      </w:pPr>
      <w:r w:rsidRPr="00CB74A2">
        <w:rPr>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w:t>
      </w:r>
      <w:r w:rsidRPr="00CB74A2" w:rsidR="006D552E">
        <w:rPr>
          <w:szCs w:val="26"/>
        </w:rPr>
        <w:t xml:space="preserve"> </w:t>
      </w:r>
      <w:r w:rsidRPr="00CB74A2">
        <w:rPr>
          <w:szCs w:val="26"/>
        </w:rPr>
        <w:t xml:space="preserve">of information, including the validity of the methodology and assumptions used; (3) ways to enhance the quality, utility and clarity of the information collection; and (4) ways to minimize the burden of the </w:t>
      </w:r>
    </w:p>
    <w:p w:rsidR="00681D3A" w:rsidRPr="00CB74A2" w:rsidP="005A7903" w14:paraId="41DC3346" w14:textId="493DEDF4">
      <w:pPr>
        <w:spacing w:line="480" w:lineRule="auto"/>
        <w:rPr>
          <w:szCs w:val="26"/>
        </w:rPr>
      </w:pPr>
      <w:r w:rsidRPr="00CB74A2">
        <w:rPr>
          <w:szCs w:val="26"/>
        </w:rPr>
        <w:t>collection of information on those who are to respond, including the use of automated collection techniques or other forms of information technology.</w:t>
      </w:r>
    </w:p>
    <w:p w:rsidR="00681D3A" w:rsidRPr="00CB74A2" w:rsidP="005A7903" w14:paraId="67DE728B" w14:textId="77777777">
      <w:pPr>
        <w:spacing w:line="480" w:lineRule="auto"/>
        <w:rPr>
          <w:szCs w:val="26"/>
        </w:rPr>
      </w:pPr>
    </w:p>
    <w:p w:rsidR="005A7903" w:rsidRPr="00CB74A2" w:rsidP="005A7903" w14:paraId="0F13202A" w14:textId="77777777">
      <w:pPr>
        <w:ind w:firstLine="2174"/>
        <w:jc w:val="center"/>
        <w:rPr>
          <w:szCs w:val="26"/>
        </w:rPr>
      </w:pPr>
      <w:r w:rsidRPr="00CB74A2">
        <w:rPr>
          <w:szCs w:val="26"/>
        </w:rPr>
        <w:t>Kimberly D. Bose,</w:t>
      </w:r>
    </w:p>
    <w:p w:rsidR="005A7903" w:rsidRPr="00CB74A2" w:rsidP="00681D3A" w14:paraId="03E58B77" w14:textId="6FE20C27">
      <w:pPr>
        <w:ind w:firstLine="2174"/>
        <w:jc w:val="center"/>
        <w:rPr>
          <w:szCs w:val="26"/>
        </w:rPr>
      </w:pPr>
      <w:r w:rsidRPr="00CB74A2">
        <w:rPr>
          <w:szCs w:val="26"/>
        </w:rPr>
        <w:t>Secretary.</w:t>
      </w: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700F" w:rsidP="00B01B16" w14:paraId="38BDFCFD" w14:textId="77777777">
      <w:r>
        <w:separator/>
      </w:r>
    </w:p>
  </w:footnote>
  <w:footnote w:type="continuationSeparator" w:id="1">
    <w:p w:rsidR="005B700F" w:rsidP="00B01B16" w14:paraId="595BCF14" w14:textId="77777777">
      <w:r>
        <w:continuationSeparator/>
      </w:r>
    </w:p>
  </w:footnote>
  <w:footnote w:type="continuationNotice" w:id="2">
    <w:p w:rsidR="005B700F" w14:paraId="2B2242CB" w14:textId="77777777"/>
  </w:footnote>
  <w:footnote w:id="3">
    <w:p w:rsidR="00175C85" w:rsidRPr="00CB74A2" w:rsidP="00175C85" w14:paraId="25E782B0" w14:textId="116B23DC">
      <w:pPr>
        <w:pStyle w:val="FootnoteText"/>
        <w:rPr>
          <w:sz w:val="26"/>
          <w:szCs w:val="26"/>
        </w:rPr>
      </w:pPr>
      <w:r w:rsidRPr="00CB74A2">
        <w:rPr>
          <w:rStyle w:val="FootnoteReference"/>
          <w:b w:val="0"/>
          <w:bCs/>
        </w:rPr>
        <w:footnoteRef/>
      </w:r>
      <w:r w:rsidRPr="00CB74A2">
        <w:rPr>
          <w:sz w:val="26"/>
          <w:szCs w:val="26"/>
        </w:rPr>
        <w:t xml:space="preserve"> The NERC Glossary, at </w:t>
      </w:r>
      <w:hyperlink r:id="rId1" w:history="1">
        <w:r w:rsidRPr="00CB74A2">
          <w:rPr>
            <w:rStyle w:val="Hyperlink"/>
            <w:sz w:val="26"/>
            <w:szCs w:val="26"/>
          </w:rPr>
          <w:t>https://www.nerc.com/pa/Stand/Glossary%20of%20Terms/Glossary_of_Terms.pdf</w:t>
        </w:r>
      </w:hyperlink>
      <w:r w:rsidRPr="00CB74A2">
        <w:rPr>
          <w:sz w:val="26"/>
          <w:szCs w:val="26"/>
        </w:rPr>
        <w:t>, defines these terms.  A</w:t>
      </w:r>
      <w:r w:rsidRPr="00CB74A2" w:rsidR="001A5C30">
        <w:rPr>
          <w:sz w:val="26"/>
          <w:szCs w:val="26"/>
        </w:rPr>
        <w:t xml:space="preserve"> t</w:t>
      </w:r>
      <w:r w:rsidRPr="00CB74A2">
        <w:rPr>
          <w:sz w:val="26"/>
          <w:szCs w:val="26"/>
        </w:rPr>
        <w:t xml:space="preserve">ransmission </w:t>
      </w:r>
      <w:r w:rsidRPr="00CB74A2" w:rsidR="001A5C30">
        <w:rPr>
          <w:sz w:val="26"/>
          <w:szCs w:val="26"/>
        </w:rPr>
        <w:t>o</w:t>
      </w:r>
      <w:r w:rsidRPr="00CB74A2">
        <w:rPr>
          <w:sz w:val="26"/>
          <w:szCs w:val="26"/>
        </w:rPr>
        <w:t xml:space="preserve">wner </w:t>
      </w:r>
      <w:r w:rsidRPr="00CB74A2" w:rsidR="00AA67BA">
        <w:rPr>
          <w:sz w:val="26"/>
          <w:szCs w:val="26"/>
        </w:rPr>
        <w:t xml:space="preserve">(TO) </w:t>
      </w:r>
      <w:r w:rsidRPr="00CB74A2">
        <w:rPr>
          <w:sz w:val="26"/>
          <w:szCs w:val="26"/>
        </w:rPr>
        <w:t xml:space="preserve">is the entity that owns and maintains transmission facilities.  A </w:t>
      </w:r>
      <w:r w:rsidRPr="00CB74A2" w:rsidR="001A5C30">
        <w:rPr>
          <w:sz w:val="26"/>
          <w:szCs w:val="26"/>
        </w:rPr>
        <w:t>g</w:t>
      </w:r>
      <w:r w:rsidRPr="00CB74A2">
        <w:rPr>
          <w:sz w:val="26"/>
          <w:szCs w:val="26"/>
        </w:rPr>
        <w:t xml:space="preserve">enerator </w:t>
      </w:r>
      <w:r w:rsidRPr="00CB74A2" w:rsidR="001A5C30">
        <w:rPr>
          <w:sz w:val="26"/>
          <w:szCs w:val="26"/>
        </w:rPr>
        <w:t>o</w:t>
      </w:r>
      <w:r w:rsidRPr="00CB74A2">
        <w:rPr>
          <w:sz w:val="26"/>
          <w:szCs w:val="26"/>
        </w:rPr>
        <w:t xml:space="preserve">wner </w:t>
      </w:r>
      <w:r w:rsidRPr="00CB74A2" w:rsidR="00AA67BA">
        <w:rPr>
          <w:sz w:val="26"/>
          <w:szCs w:val="26"/>
        </w:rPr>
        <w:t xml:space="preserve">(GO) </w:t>
      </w:r>
      <w:r w:rsidRPr="00CB74A2">
        <w:rPr>
          <w:sz w:val="26"/>
          <w:szCs w:val="26"/>
        </w:rPr>
        <w:t xml:space="preserve">is the entity that owns and maintains generating units.  A </w:t>
      </w:r>
      <w:r w:rsidRPr="00CB74A2" w:rsidR="001A5C30">
        <w:rPr>
          <w:sz w:val="26"/>
          <w:szCs w:val="26"/>
        </w:rPr>
        <w:t>p</w:t>
      </w:r>
      <w:r w:rsidRPr="00CB74A2">
        <w:rPr>
          <w:sz w:val="26"/>
          <w:szCs w:val="26"/>
        </w:rPr>
        <w:t xml:space="preserve">lanning </w:t>
      </w:r>
      <w:r w:rsidRPr="00CB74A2" w:rsidR="001A5C30">
        <w:rPr>
          <w:sz w:val="26"/>
          <w:szCs w:val="26"/>
        </w:rPr>
        <w:t>c</w:t>
      </w:r>
      <w:r w:rsidRPr="00CB74A2">
        <w:rPr>
          <w:sz w:val="26"/>
          <w:szCs w:val="26"/>
        </w:rPr>
        <w:t>oordinator</w:t>
      </w:r>
      <w:r w:rsidRPr="00CB74A2" w:rsidR="00AA67BA">
        <w:rPr>
          <w:sz w:val="26"/>
          <w:szCs w:val="26"/>
        </w:rPr>
        <w:t xml:space="preserve">, </w:t>
      </w:r>
      <w:r w:rsidRPr="00CB74A2">
        <w:rPr>
          <w:sz w:val="26"/>
          <w:szCs w:val="26"/>
        </w:rPr>
        <w:t xml:space="preserve">formerly known as a </w:t>
      </w:r>
      <w:r w:rsidRPr="00CB74A2" w:rsidR="00AA67BA">
        <w:rPr>
          <w:sz w:val="26"/>
          <w:szCs w:val="26"/>
        </w:rPr>
        <w:t>p</w:t>
      </w:r>
      <w:r w:rsidRPr="00CB74A2">
        <w:rPr>
          <w:sz w:val="26"/>
          <w:szCs w:val="26"/>
        </w:rPr>
        <w:t xml:space="preserve">lanning </w:t>
      </w:r>
      <w:r w:rsidRPr="00CB74A2" w:rsidR="00AA67BA">
        <w:rPr>
          <w:sz w:val="26"/>
          <w:szCs w:val="26"/>
        </w:rPr>
        <w:t>a</w:t>
      </w:r>
      <w:r w:rsidRPr="00CB74A2">
        <w:rPr>
          <w:sz w:val="26"/>
          <w:szCs w:val="26"/>
        </w:rPr>
        <w:t>uthority</w:t>
      </w:r>
      <w:r w:rsidRPr="00CB74A2" w:rsidR="00D13839">
        <w:rPr>
          <w:sz w:val="26"/>
          <w:szCs w:val="26"/>
        </w:rPr>
        <w:t xml:space="preserve"> </w:t>
      </w:r>
      <w:r w:rsidRPr="00CB74A2" w:rsidR="00B11BD5">
        <w:rPr>
          <w:sz w:val="26"/>
          <w:szCs w:val="26"/>
        </w:rPr>
        <w:t>(PA/PC)</w:t>
      </w:r>
      <w:r w:rsidRPr="00CB74A2" w:rsidR="00D13839">
        <w:rPr>
          <w:sz w:val="26"/>
          <w:szCs w:val="26"/>
        </w:rPr>
        <w:t>,</w:t>
      </w:r>
      <w:r w:rsidRPr="00CB74A2">
        <w:rPr>
          <w:sz w:val="26"/>
          <w:szCs w:val="26"/>
        </w:rPr>
        <w:t xml:space="preserve"> is the responsible entity that coordinates and integrates transmission facilities, service plans, resource plans, and protection systems.</w:t>
      </w:r>
    </w:p>
  </w:footnote>
  <w:footnote w:id="4">
    <w:p w:rsidR="00B620D3" w:rsidRPr="00CB74A2" w:rsidP="00B620D3" w14:paraId="4F03BD46" w14:textId="77777777">
      <w:pPr>
        <w:pStyle w:val="FootnoteText"/>
        <w:rPr>
          <w:sz w:val="26"/>
          <w:szCs w:val="26"/>
        </w:rPr>
      </w:pPr>
      <w:r w:rsidRPr="00CB74A2">
        <w:rPr>
          <w:rStyle w:val="FootnoteReference"/>
          <w:b w:val="0"/>
          <w:bCs/>
        </w:rPr>
        <w:footnoteRef/>
      </w:r>
      <w:r w:rsidRPr="00CB74A2">
        <w:rPr>
          <w:sz w:val="26"/>
          <w:szCs w:val="26"/>
        </w:rPr>
        <w:t xml:space="preserve"> That pending request would not affect FAC-001-3 or FAC-002-3, the predecessors to the Reliability Standards approved by the Commission in its November 23, 2022 order.</w:t>
      </w:r>
    </w:p>
    <w:p w:rsidR="00B620D3" w:rsidRPr="00CB74A2" w:rsidP="00B620D3" w14:paraId="5D810ECE" w14:textId="77777777">
      <w:pPr>
        <w:pStyle w:val="FootnoteText"/>
        <w:rPr>
          <w:sz w:val="26"/>
          <w:szCs w:val="26"/>
        </w:rPr>
      </w:pPr>
    </w:p>
  </w:footnote>
  <w:footnote w:id="5">
    <w:p w:rsidR="00297004" w:rsidRPr="00CB74A2" w14:paraId="19EBC547" w14:textId="79B59672">
      <w:pPr>
        <w:pStyle w:val="FootnoteText"/>
        <w:rPr>
          <w:sz w:val="26"/>
          <w:szCs w:val="26"/>
        </w:rPr>
      </w:pPr>
      <w:r w:rsidRPr="00CB74A2">
        <w:rPr>
          <w:rStyle w:val="FootnoteReference"/>
          <w:b w:val="0"/>
          <w:bCs/>
        </w:rPr>
        <w:footnoteRef/>
      </w:r>
      <w:r w:rsidRPr="00CB74A2">
        <w:rPr>
          <w:sz w:val="26"/>
          <w:szCs w:val="26"/>
        </w:rPr>
        <w:t xml:space="preserve"> </w:t>
      </w:r>
      <w:r w:rsidRPr="00CB74A2" w:rsidR="009C4038">
        <w:rPr>
          <w:sz w:val="26"/>
          <w:szCs w:val="26"/>
        </w:rPr>
        <w:t xml:space="preserve">The regulation at 18 CFR 35.28(c)(1) </w:t>
      </w:r>
      <w:r w:rsidRPr="00CB74A2" w:rsidR="00D803A6">
        <w:rPr>
          <w:sz w:val="26"/>
          <w:szCs w:val="26"/>
        </w:rPr>
        <w:t>require</w:t>
      </w:r>
      <w:r w:rsidRPr="00CB74A2" w:rsidR="00CA56A2">
        <w:rPr>
          <w:sz w:val="26"/>
          <w:szCs w:val="26"/>
        </w:rPr>
        <w:t>s</w:t>
      </w:r>
      <w:r w:rsidRPr="00CB74A2" w:rsidR="00D803A6">
        <w:rPr>
          <w:sz w:val="26"/>
          <w:szCs w:val="26"/>
        </w:rPr>
        <w:t xml:space="preserve"> e</w:t>
      </w:r>
      <w:r w:rsidRPr="00CB74A2" w:rsidR="009C4038">
        <w:rPr>
          <w:sz w:val="26"/>
          <w:szCs w:val="26"/>
        </w:rPr>
        <w:t xml:space="preserve">very public utility that owns, controls, or operates facilities used for the transmission of electric energy in interstate commerce </w:t>
      </w:r>
      <w:r w:rsidRPr="00CB74A2" w:rsidR="00D803A6">
        <w:rPr>
          <w:sz w:val="26"/>
          <w:szCs w:val="26"/>
        </w:rPr>
        <w:t>to h</w:t>
      </w:r>
      <w:r w:rsidRPr="00CB74A2" w:rsidR="009C4038">
        <w:rPr>
          <w:sz w:val="26"/>
          <w:szCs w:val="26"/>
        </w:rPr>
        <w:t xml:space="preserve">ave on file with the Commission an open access transmission tariff </w:t>
      </w:r>
      <w:r w:rsidRPr="00CB74A2" w:rsidR="00CA56A2">
        <w:rPr>
          <w:sz w:val="26"/>
          <w:szCs w:val="26"/>
        </w:rPr>
        <w:t xml:space="preserve">consisting of </w:t>
      </w:r>
      <w:r w:rsidRPr="00CB74A2" w:rsidR="009C4038">
        <w:rPr>
          <w:sz w:val="26"/>
          <w:szCs w:val="26"/>
        </w:rPr>
        <w:t xml:space="preserve">the </w:t>
      </w:r>
      <w:r w:rsidRPr="00CB74A2" w:rsidR="009C4038">
        <w:rPr>
          <w:i/>
          <w:iCs/>
          <w:sz w:val="26"/>
          <w:szCs w:val="26"/>
        </w:rPr>
        <w:t>pro forma</w:t>
      </w:r>
      <w:r w:rsidRPr="00CB74A2" w:rsidR="009C4038">
        <w:rPr>
          <w:sz w:val="26"/>
          <w:szCs w:val="26"/>
        </w:rPr>
        <w:t xml:space="preserve"> tariff promulgated by the Commission, or such other tariff as may be approved by the Commission</w:t>
      </w:r>
      <w:r w:rsidRPr="00CB74A2" w:rsidR="00CA56A2">
        <w:rPr>
          <w:sz w:val="26"/>
          <w:szCs w:val="26"/>
        </w:rPr>
        <w:t xml:space="preserve">.  </w:t>
      </w:r>
      <w:r w:rsidRPr="00CB74A2">
        <w:rPr>
          <w:sz w:val="26"/>
          <w:szCs w:val="26"/>
        </w:rPr>
        <w:t xml:space="preserve">The regulation at 18 CFR 35.28(f)(1) requires every public utility that is required to have on file a non-discriminatory open access transmission tariff </w:t>
      </w:r>
      <w:r w:rsidRPr="00CB74A2" w:rsidR="00EF4E6C">
        <w:rPr>
          <w:sz w:val="26"/>
          <w:szCs w:val="26"/>
        </w:rPr>
        <w:t xml:space="preserve">to </w:t>
      </w:r>
      <w:r w:rsidRPr="00CB74A2">
        <w:rPr>
          <w:sz w:val="26"/>
          <w:szCs w:val="26"/>
        </w:rPr>
        <w:t xml:space="preserve">amend such tariff by adding the standard interconnection procedures and agreement and the standard small generator interconnection procedures and agreement required by </w:t>
      </w:r>
      <w:r w:rsidRPr="00CB74A2" w:rsidR="008B6596">
        <w:rPr>
          <w:sz w:val="26"/>
          <w:szCs w:val="26"/>
        </w:rPr>
        <w:t xml:space="preserve">the </w:t>
      </w:r>
      <w:r w:rsidRPr="00CB74A2">
        <w:rPr>
          <w:sz w:val="26"/>
          <w:szCs w:val="26"/>
        </w:rPr>
        <w:t>Commission.</w:t>
      </w:r>
    </w:p>
  </w:footnote>
  <w:footnote w:id="6">
    <w:p w:rsidR="00A73DB3" w:rsidRPr="00CB74A2" w:rsidP="00A73DB3" w14:paraId="6F1F390E" w14:textId="77777777">
      <w:pPr>
        <w:pStyle w:val="FootnoteText"/>
        <w:rPr>
          <w:b/>
          <w:bCs/>
          <w:sz w:val="26"/>
          <w:szCs w:val="26"/>
        </w:rPr>
      </w:pPr>
      <w:r w:rsidRPr="00CB74A2">
        <w:rPr>
          <w:rStyle w:val="FootnoteReference"/>
        </w:rPr>
        <w:footnoteRef/>
      </w:r>
      <w:r w:rsidRPr="00CB74A2" w:rsidR="00984A46">
        <w:rPr>
          <w:sz w:val="26"/>
          <w:szCs w:val="26"/>
        </w:rPr>
        <w:t xml:space="preserve"> </w:t>
      </w:r>
      <w:r w:rsidRPr="00CB74A2">
        <w:rPr>
          <w:bCs/>
          <w:sz w:val="26"/>
          <w:szCs w:val="26"/>
        </w:rPr>
        <w:t>The Commission staff estimates that the industry’s hourly cost for wages plus benefits is similar to the Commission’s $91.00 FY 2022 average hourly cost for wages and benefits.</w:t>
      </w:r>
    </w:p>
    <w:p w:rsidR="00A73DB3" w:rsidRPr="00CB74A2" w:rsidP="00A73DB3" w14:paraId="1BDCAEE5" w14:textId="77777777">
      <w:pPr>
        <w:pStyle w:val="FootnoteText"/>
        <w:rPr>
          <w:b/>
          <w:bCs/>
          <w:sz w:val="26"/>
          <w:szCs w:val="26"/>
        </w:rPr>
      </w:pPr>
    </w:p>
    <w:p w:rsidR="009F5163" w:rsidRPr="00CB74A2" w:rsidP="00984A46" w14:paraId="5BADCA9D" w14:textId="7C2E54BD">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B63" w:rsidP="00810D18" w14:paraId="1230597F" w14:textId="33625744">
    <w:pPr>
      <w:pStyle w:val="Header"/>
    </w:pPr>
    <w:r>
      <w:t xml:space="preserve">Docket No. </w:t>
    </w:r>
    <w:r w:rsidR="00521EDC">
      <w:t>RD22-5-000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C41FA3"/>
    <w:multiLevelType w:val="hybridMultilevel"/>
    <w:tmpl w:val="21B22068"/>
    <w:lvl w:ilvl="0">
      <w:start w:val="4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02490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6519599">
    <w:abstractNumId w:val="2"/>
  </w:num>
  <w:num w:numId="3" w16cid:durableId="695351353">
    <w:abstractNumId w:val="2"/>
  </w:num>
  <w:num w:numId="4" w16cid:durableId="1328022398">
    <w:abstractNumId w:val="1"/>
  </w:num>
  <w:num w:numId="5" w16cid:durableId="223296817">
    <w:abstractNumId w:val="7"/>
  </w:num>
  <w:num w:numId="6" w16cid:durableId="905070550">
    <w:abstractNumId w:val="0"/>
  </w:num>
  <w:num w:numId="7" w16cid:durableId="1899130393">
    <w:abstractNumId w:val="5"/>
  </w:num>
  <w:num w:numId="8" w16cid:durableId="1137332918">
    <w:abstractNumId w:val="4"/>
  </w:num>
  <w:num w:numId="9" w16cid:durableId="334118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17ECC"/>
    <w:rsid w:val="00023EA9"/>
    <w:rsid w:val="000241AE"/>
    <w:rsid w:val="0003365C"/>
    <w:rsid w:val="00034C49"/>
    <w:rsid w:val="000459B6"/>
    <w:rsid w:val="000534B8"/>
    <w:rsid w:val="00053B4B"/>
    <w:rsid w:val="00056C5D"/>
    <w:rsid w:val="00062427"/>
    <w:rsid w:val="00066685"/>
    <w:rsid w:val="000769D3"/>
    <w:rsid w:val="00077543"/>
    <w:rsid w:val="000861D3"/>
    <w:rsid w:val="00096CAD"/>
    <w:rsid w:val="000A0250"/>
    <w:rsid w:val="000A150A"/>
    <w:rsid w:val="000A3C73"/>
    <w:rsid w:val="000A7E68"/>
    <w:rsid w:val="000B764A"/>
    <w:rsid w:val="000C3E24"/>
    <w:rsid w:val="000E2568"/>
    <w:rsid w:val="000F0319"/>
    <w:rsid w:val="000F0B0E"/>
    <w:rsid w:val="0010087B"/>
    <w:rsid w:val="00112C9F"/>
    <w:rsid w:val="00122CFF"/>
    <w:rsid w:val="001240C7"/>
    <w:rsid w:val="00124961"/>
    <w:rsid w:val="00144F3C"/>
    <w:rsid w:val="001472B2"/>
    <w:rsid w:val="001479DF"/>
    <w:rsid w:val="0015578A"/>
    <w:rsid w:val="00155DE9"/>
    <w:rsid w:val="00156BBB"/>
    <w:rsid w:val="001600DF"/>
    <w:rsid w:val="00171725"/>
    <w:rsid w:val="00175C85"/>
    <w:rsid w:val="00181BF7"/>
    <w:rsid w:val="00182996"/>
    <w:rsid w:val="00187596"/>
    <w:rsid w:val="00191376"/>
    <w:rsid w:val="00194F5B"/>
    <w:rsid w:val="00195ABF"/>
    <w:rsid w:val="00196BFF"/>
    <w:rsid w:val="001A5C30"/>
    <w:rsid w:val="001A5E2E"/>
    <w:rsid w:val="001A6AD6"/>
    <w:rsid w:val="001B78B8"/>
    <w:rsid w:val="001E07D5"/>
    <w:rsid w:val="001E6510"/>
    <w:rsid w:val="00200437"/>
    <w:rsid w:val="002023A4"/>
    <w:rsid w:val="00211E87"/>
    <w:rsid w:val="00214569"/>
    <w:rsid w:val="002209E0"/>
    <w:rsid w:val="0022337C"/>
    <w:rsid w:val="00224BF2"/>
    <w:rsid w:val="00254C99"/>
    <w:rsid w:val="0026007C"/>
    <w:rsid w:val="0027045E"/>
    <w:rsid w:val="002722E2"/>
    <w:rsid w:val="0027452E"/>
    <w:rsid w:val="00280ECA"/>
    <w:rsid w:val="002834C4"/>
    <w:rsid w:val="00293D56"/>
    <w:rsid w:val="00297004"/>
    <w:rsid w:val="002A476D"/>
    <w:rsid w:val="002B531B"/>
    <w:rsid w:val="002B7AA8"/>
    <w:rsid w:val="002C053F"/>
    <w:rsid w:val="002C448D"/>
    <w:rsid w:val="002C48C3"/>
    <w:rsid w:val="002D5237"/>
    <w:rsid w:val="002E0351"/>
    <w:rsid w:val="002E535F"/>
    <w:rsid w:val="002F24E8"/>
    <w:rsid w:val="002F3E94"/>
    <w:rsid w:val="002F697A"/>
    <w:rsid w:val="002F75A4"/>
    <w:rsid w:val="002F7C42"/>
    <w:rsid w:val="00302F75"/>
    <w:rsid w:val="0030360E"/>
    <w:rsid w:val="00303717"/>
    <w:rsid w:val="003060F0"/>
    <w:rsid w:val="003062C2"/>
    <w:rsid w:val="00310EFC"/>
    <w:rsid w:val="00311D90"/>
    <w:rsid w:val="003149BC"/>
    <w:rsid w:val="00314BD0"/>
    <w:rsid w:val="003164C9"/>
    <w:rsid w:val="00316EEC"/>
    <w:rsid w:val="00323E6C"/>
    <w:rsid w:val="003321DB"/>
    <w:rsid w:val="00334F14"/>
    <w:rsid w:val="003353A7"/>
    <w:rsid w:val="00337BA7"/>
    <w:rsid w:val="003414DE"/>
    <w:rsid w:val="0034195C"/>
    <w:rsid w:val="003433F1"/>
    <w:rsid w:val="00343A03"/>
    <w:rsid w:val="00347056"/>
    <w:rsid w:val="00361371"/>
    <w:rsid w:val="00363638"/>
    <w:rsid w:val="00363F79"/>
    <w:rsid w:val="003673EC"/>
    <w:rsid w:val="00367A6B"/>
    <w:rsid w:val="003734D2"/>
    <w:rsid w:val="00376525"/>
    <w:rsid w:val="00377667"/>
    <w:rsid w:val="0038431F"/>
    <w:rsid w:val="0038725D"/>
    <w:rsid w:val="00394217"/>
    <w:rsid w:val="003960E0"/>
    <w:rsid w:val="00396958"/>
    <w:rsid w:val="003A1A72"/>
    <w:rsid w:val="003A3189"/>
    <w:rsid w:val="003A4868"/>
    <w:rsid w:val="003C26B4"/>
    <w:rsid w:val="003C3E7A"/>
    <w:rsid w:val="003C5CBE"/>
    <w:rsid w:val="003C7BC3"/>
    <w:rsid w:val="003E44AD"/>
    <w:rsid w:val="003F5968"/>
    <w:rsid w:val="00402227"/>
    <w:rsid w:val="00406999"/>
    <w:rsid w:val="0040718A"/>
    <w:rsid w:val="00425494"/>
    <w:rsid w:val="00425DA2"/>
    <w:rsid w:val="00426898"/>
    <w:rsid w:val="00426A7E"/>
    <w:rsid w:val="004404EB"/>
    <w:rsid w:val="00443282"/>
    <w:rsid w:val="0044338D"/>
    <w:rsid w:val="00445389"/>
    <w:rsid w:val="0045734B"/>
    <w:rsid w:val="004609EE"/>
    <w:rsid w:val="004759C4"/>
    <w:rsid w:val="00482724"/>
    <w:rsid w:val="00485A51"/>
    <w:rsid w:val="004879AA"/>
    <w:rsid w:val="0049480F"/>
    <w:rsid w:val="004B7B57"/>
    <w:rsid w:val="004C70C8"/>
    <w:rsid w:val="004C77EF"/>
    <w:rsid w:val="004D27A2"/>
    <w:rsid w:val="004D6B66"/>
    <w:rsid w:val="004E4EAD"/>
    <w:rsid w:val="004E6D90"/>
    <w:rsid w:val="004E7155"/>
    <w:rsid w:val="004F26DA"/>
    <w:rsid w:val="004F31E3"/>
    <w:rsid w:val="004F75F4"/>
    <w:rsid w:val="005012B1"/>
    <w:rsid w:val="00512901"/>
    <w:rsid w:val="00513DA8"/>
    <w:rsid w:val="00514B50"/>
    <w:rsid w:val="00516493"/>
    <w:rsid w:val="00521EDC"/>
    <w:rsid w:val="00527F97"/>
    <w:rsid w:val="00530947"/>
    <w:rsid w:val="0054073B"/>
    <w:rsid w:val="0054746C"/>
    <w:rsid w:val="00550C72"/>
    <w:rsid w:val="00552FB7"/>
    <w:rsid w:val="005648E2"/>
    <w:rsid w:val="00566C57"/>
    <w:rsid w:val="00567AF4"/>
    <w:rsid w:val="005721D7"/>
    <w:rsid w:val="00572448"/>
    <w:rsid w:val="0058081B"/>
    <w:rsid w:val="00585F73"/>
    <w:rsid w:val="00586477"/>
    <w:rsid w:val="005A0148"/>
    <w:rsid w:val="005A2F24"/>
    <w:rsid w:val="005A3F56"/>
    <w:rsid w:val="005A4ED1"/>
    <w:rsid w:val="005A655E"/>
    <w:rsid w:val="005A6CF3"/>
    <w:rsid w:val="005A7903"/>
    <w:rsid w:val="005A7C58"/>
    <w:rsid w:val="005B1C4C"/>
    <w:rsid w:val="005B4DA4"/>
    <w:rsid w:val="005B700F"/>
    <w:rsid w:val="005C51E3"/>
    <w:rsid w:val="005C6D4E"/>
    <w:rsid w:val="005C7E71"/>
    <w:rsid w:val="005D16A1"/>
    <w:rsid w:val="005E6D8A"/>
    <w:rsid w:val="005F1778"/>
    <w:rsid w:val="005F39D7"/>
    <w:rsid w:val="005F3DAA"/>
    <w:rsid w:val="005F726F"/>
    <w:rsid w:val="005F729D"/>
    <w:rsid w:val="00606698"/>
    <w:rsid w:val="006128A5"/>
    <w:rsid w:val="006144F3"/>
    <w:rsid w:val="0062085E"/>
    <w:rsid w:val="00634374"/>
    <w:rsid w:val="006357AC"/>
    <w:rsid w:val="0063716C"/>
    <w:rsid w:val="006374BA"/>
    <w:rsid w:val="00637F43"/>
    <w:rsid w:val="00642602"/>
    <w:rsid w:val="00644A1B"/>
    <w:rsid w:val="00650FA1"/>
    <w:rsid w:val="006536D8"/>
    <w:rsid w:val="00654BA4"/>
    <w:rsid w:val="006578DC"/>
    <w:rsid w:val="006610FD"/>
    <w:rsid w:val="00662EDA"/>
    <w:rsid w:val="00663CD2"/>
    <w:rsid w:val="00666554"/>
    <w:rsid w:val="00666A01"/>
    <w:rsid w:val="00675D7F"/>
    <w:rsid w:val="00680D78"/>
    <w:rsid w:val="00681D3A"/>
    <w:rsid w:val="0068422D"/>
    <w:rsid w:val="00686BC0"/>
    <w:rsid w:val="00691CF0"/>
    <w:rsid w:val="00692352"/>
    <w:rsid w:val="00695E65"/>
    <w:rsid w:val="006963BC"/>
    <w:rsid w:val="006A34AE"/>
    <w:rsid w:val="006A423E"/>
    <w:rsid w:val="006A550E"/>
    <w:rsid w:val="006B7D1C"/>
    <w:rsid w:val="006C3045"/>
    <w:rsid w:val="006C6B0C"/>
    <w:rsid w:val="006D552E"/>
    <w:rsid w:val="006D6A12"/>
    <w:rsid w:val="006E10F4"/>
    <w:rsid w:val="006E1D36"/>
    <w:rsid w:val="006E75AA"/>
    <w:rsid w:val="006E7CBB"/>
    <w:rsid w:val="006F1CD6"/>
    <w:rsid w:val="006F2C77"/>
    <w:rsid w:val="006F3647"/>
    <w:rsid w:val="006F4951"/>
    <w:rsid w:val="006F5B2E"/>
    <w:rsid w:val="006F71A2"/>
    <w:rsid w:val="00714F57"/>
    <w:rsid w:val="00727594"/>
    <w:rsid w:val="00727C5E"/>
    <w:rsid w:val="007307A3"/>
    <w:rsid w:val="007349A2"/>
    <w:rsid w:val="007356B8"/>
    <w:rsid w:val="00741C80"/>
    <w:rsid w:val="0074219E"/>
    <w:rsid w:val="0074481B"/>
    <w:rsid w:val="0075009F"/>
    <w:rsid w:val="00750818"/>
    <w:rsid w:val="00754526"/>
    <w:rsid w:val="00754574"/>
    <w:rsid w:val="00757A70"/>
    <w:rsid w:val="00777183"/>
    <w:rsid w:val="00780E0B"/>
    <w:rsid w:val="00782ACA"/>
    <w:rsid w:val="007A4DA4"/>
    <w:rsid w:val="007B588C"/>
    <w:rsid w:val="007C1916"/>
    <w:rsid w:val="007C6AC2"/>
    <w:rsid w:val="007C729C"/>
    <w:rsid w:val="007E2F40"/>
    <w:rsid w:val="007F16AE"/>
    <w:rsid w:val="007F64F2"/>
    <w:rsid w:val="00801CC4"/>
    <w:rsid w:val="00803CA2"/>
    <w:rsid w:val="00807CAC"/>
    <w:rsid w:val="00810D18"/>
    <w:rsid w:val="008115BF"/>
    <w:rsid w:val="00812B30"/>
    <w:rsid w:val="008144DF"/>
    <w:rsid w:val="00821DAB"/>
    <w:rsid w:val="00824D81"/>
    <w:rsid w:val="00825E46"/>
    <w:rsid w:val="00836DF9"/>
    <w:rsid w:val="00837797"/>
    <w:rsid w:val="0084158A"/>
    <w:rsid w:val="0084582C"/>
    <w:rsid w:val="00845C62"/>
    <w:rsid w:val="00847229"/>
    <w:rsid w:val="00851B59"/>
    <w:rsid w:val="00853ABC"/>
    <w:rsid w:val="008556E9"/>
    <w:rsid w:val="0085755E"/>
    <w:rsid w:val="008714CE"/>
    <w:rsid w:val="00872AB9"/>
    <w:rsid w:val="00875B4C"/>
    <w:rsid w:val="00875C4D"/>
    <w:rsid w:val="00876038"/>
    <w:rsid w:val="00881405"/>
    <w:rsid w:val="0089069F"/>
    <w:rsid w:val="00895DA2"/>
    <w:rsid w:val="00897359"/>
    <w:rsid w:val="008A020E"/>
    <w:rsid w:val="008A4264"/>
    <w:rsid w:val="008A666E"/>
    <w:rsid w:val="008A7798"/>
    <w:rsid w:val="008B61AC"/>
    <w:rsid w:val="008B6596"/>
    <w:rsid w:val="008B6E06"/>
    <w:rsid w:val="008C054B"/>
    <w:rsid w:val="008C572B"/>
    <w:rsid w:val="008C6C37"/>
    <w:rsid w:val="008D25B7"/>
    <w:rsid w:val="008D300A"/>
    <w:rsid w:val="008D5479"/>
    <w:rsid w:val="008D5932"/>
    <w:rsid w:val="008E0B8C"/>
    <w:rsid w:val="008E0DF5"/>
    <w:rsid w:val="008E3273"/>
    <w:rsid w:val="008E5123"/>
    <w:rsid w:val="008E7400"/>
    <w:rsid w:val="008F0ED4"/>
    <w:rsid w:val="008F74D3"/>
    <w:rsid w:val="00901C05"/>
    <w:rsid w:val="00903F36"/>
    <w:rsid w:val="009046CC"/>
    <w:rsid w:val="00911EB1"/>
    <w:rsid w:val="009179E9"/>
    <w:rsid w:val="00937284"/>
    <w:rsid w:val="00940C0F"/>
    <w:rsid w:val="00950613"/>
    <w:rsid w:val="0095311D"/>
    <w:rsid w:val="00954CCB"/>
    <w:rsid w:val="00963EE2"/>
    <w:rsid w:val="009744C8"/>
    <w:rsid w:val="00975C8A"/>
    <w:rsid w:val="00976591"/>
    <w:rsid w:val="00981886"/>
    <w:rsid w:val="00984A46"/>
    <w:rsid w:val="00990FEC"/>
    <w:rsid w:val="009A1B08"/>
    <w:rsid w:val="009A6E91"/>
    <w:rsid w:val="009B3C52"/>
    <w:rsid w:val="009B4450"/>
    <w:rsid w:val="009B747B"/>
    <w:rsid w:val="009C25C4"/>
    <w:rsid w:val="009C4038"/>
    <w:rsid w:val="009C4A13"/>
    <w:rsid w:val="009D3091"/>
    <w:rsid w:val="009E0F58"/>
    <w:rsid w:val="009E5557"/>
    <w:rsid w:val="009E66F8"/>
    <w:rsid w:val="009F124E"/>
    <w:rsid w:val="009F5163"/>
    <w:rsid w:val="009F7DE3"/>
    <w:rsid w:val="00A038F9"/>
    <w:rsid w:val="00A10413"/>
    <w:rsid w:val="00A140CB"/>
    <w:rsid w:val="00A15605"/>
    <w:rsid w:val="00A1585A"/>
    <w:rsid w:val="00A2534D"/>
    <w:rsid w:val="00A2604E"/>
    <w:rsid w:val="00A40087"/>
    <w:rsid w:val="00A435F9"/>
    <w:rsid w:val="00A43A4A"/>
    <w:rsid w:val="00A507F0"/>
    <w:rsid w:val="00A51B8F"/>
    <w:rsid w:val="00A566E1"/>
    <w:rsid w:val="00A664DF"/>
    <w:rsid w:val="00A713D0"/>
    <w:rsid w:val="00A72814"/>
    <w:rsid w:val="00A73DB3"/>
    <w:rsid w:val="00A759B3"/>
    <w:rsid w:val="00A77B03"/>
    <w:rsid w:val="00A82A29"/>
    <w:rsid w:val="00A8344E"/>
    <w:rsid w:val="00A84435"/>
    <w:rsid w:val="00A8690F"/>
    <w:rsid w:val="00A86D9E"/>
    <w:rsid w:val="00AA4050"/>
    <w:rsid w:val="00AA516A"/>
    <w:rsid w:val="00AA5B0E"/>
    <w:rsid w:val="00AA67BA"/>
    <w:rsid w:val="00AB39FA"/>
    <w:rsid w:val="00AC0289"/>
    <w:rsid w:val="00AC4ED0"/>
    <w:rsid w:val="00AC66FD"/>
    <w:rsid w:val="00AC750B"/>
    <w:rsid w:val="00AC77B8"/>
    <w:rsid w:val="00AD4128"/>
    <w:rsid w:val="00AE1F12"/>
    <w:rsid w:val="00AE2DB7"/>
    <w:rsid w:val="00AE3A78"/>
    <w:rsid w:val="00AE4155"/>
    <w:rsid w:val="00AE4B7C"/>
    <w:rsid w:val="00AF349B"/>
    <w:rsid w:val="00AF4673"/>
    <w:rsid w:val="00AF47E7"/>
    <w:rsid w:val="00B01B16"/>
    <w:rsid w:val="00B02965"/>
    <w:rsid w:val="00B11BD5"/>
    <w:rsid w:val="00B13D3A"/>
    <w:rsid w:val="00B13EE3"/>
    <w:rsid w:val="00B160E5"/>
    <w:rsid w:val="00B22DCB"/>
    <w:rsid w:val="00B2382E"/>
    <w:rsid w:val="00B30483"/>
    <w:rsid w:val="00B34A0B"/>
    <w:rsid w:val="00B447D7"/>
    <w:rsid w:val="00B46E93"/>
    <w:rsid w:val="00B46F03"/>
    <w:rsid w:val="00B5066A"/>
    <w:rsid w:val="00B5415D"/>
    <w:rsid w:val="00B55B8C"/>
    <w:rsid w:val="00B56882"/>
    <w:rsid w:val="00B56A11"/>
    <w:rsid w:val="00B620D3"/>
    <w:rsid w:val="00B65A09"/>
    <w:rsid w:val="00B76A1F"/>
    <w:rsid w:val="00B80814"/>
    <w:rsid w:val="00B82F8C"/>
    <w:rsid w:val="00B961C3"/>
    <w:rsid w:val="00BA0FBC"/>
    <w:rsid w:val="00BA218C"/>
    <w:rsid w:val="00BA5479"/>
    <w:rsid w:val="00BB179A"/>
    <w:rsid w:val="00BB7D82"/>
    <w:rsid w:val="00BC200B"/>
    <w:rsid w:val="00BC539B"/>
    <w:rsid w:val="00BC7F4F"/>
    <w:rsid w:val="00BD74AE"/>
    <w:rsid w:val="00BE31A8"/>
    <w:rsid w:val="00BE3392"/>
    <w:rsid w:val="00BE3FE7"/>
    <w:rsid w:val="00BF29D8"/>
    <w:rsid w:val="00BF2D74"/>
    <w:rsid w:val="00BF38BC"/>
    <w:rsid w:val="00BF4CC8"/>
    <w:rsid w:val="00BF7AC7"/>
    <w:rsid w:val="00C00A6A"/>
    <w:rsid w:val="00C1124F"/>
    <w:rsid w:val="00C2470B"/>
    <w:rsid w:val="00C37BFF"/>
    <w:rsid w:val="00C405F1"/>
    <w:rsid w:val="00C44372"/>
    <w:rsid w:val="00C51458"/>
    <w:rsid w:val="00C53580"/>
    <w:rsid w:val="00C539B0"/>
    <w:rsid w:val="00C55838"/>
    <w:rsid w:val="00C55F30"/>
    <w:rsid w:val="00C56363"/>
    <w:rsid w:val="00C6217D"/>
    <w:rsid w:val="00C6748F"/>
    <w:rsid w:val="00C728C5"/>
    <w:rsid w:val="00C77EF7"/>
    <w:rsid w:val="00C81A97"/>
    <w:rsid w:val="00C820F1"/>
    <w:rsid w:val="00C86CDC"/>
    <w:rsid w:val="00C91512"/>
    <w:rsid w:val="00C97DA9"/>
    <w:rsid w:val="00CA56A2"/>
    <w:rsid w:val="00CA6636"/>
    <w:rsid w:val="00CA6D76"/>
    <w:rsid w:val="00CB7448"/>
    <w:rsid w:val="00CB74A2"/>
    <w:rsid w:val="00CB769C"/>
    <w:rsid w:val="00CC02D9"/>
    <w:rsid w:val="00CC31CC"/>
    <w:rsid w:val="00CC431F"/>
    <w:rsid w:val="00CD37C7"/>
    <w:rsid w:val="00CD57EB"/>
    <w:rsid w:val="00CD5C97"/>
    <w:rsid w:val="00CD786C"/>
    <w:rsid w:val="00CE3598"/>
    <w:rsid w:val="00CE47B5"/>
    <w:rsid w:val="00CF4753"/>
    <w:rsid w:val="00CF4CB0"/>
    <w:rsid w:val="00CF5F44"/>
    <w:rsid w:val="00CF71E0"/>
    <w:rsid w:val="00D0083B"/>
    <w:rsid w:val="00D014B3"/>
    <w:rsid w:val="00D11AFC"/>
    <w:rsid w:val="00D12811"/>
    <w:rsid w:val="00D13839"/>
    <w:rsid w:val="00D145E1"/>
    <w:rsid w:val="00D22035"/>
    <w:rsid w:val="00D42209"/>
    <w:rsid w:val="00D43B63"/>
    <w:rsid w:val="00D44183"/>
    <w:rsid w:val="00D50830"/>
    <w:rsid w:val="00D60AF8"/>
    <w:rsid w:val="00D65D56"/>
    <w:rsid w:val="00D803A6"/>
    <w:rsid w:val="00D855F8"/>
    <w:rsid w:val="00D86DDF"/>
    <w:rsid w:val="00D9761F"/>
    <w:rsid w:val="00DA529F"/>
    <w:rsid w:val="00DB0BE5"/>
    <w:rsid w:val="00DB1E96"/>
    <w:rsid w:val="00DB2BEB"/>
    <w:rsid w:val="00DC2038"/>
    <w:rsid w:val="00DC5017"/>
    <w:rsid w:val="00DD18FF"/>
    <w:rsid w:val="00DD19E0"/>
    <w:rsid w:val="00DD2ED3"/>
    <w:rsid w:val="00DD3AC5"/>
    <w:rsid w:val="00DD3DCC"/>
    <w:rsid w:val="00DD529D"/>
    <w:rsid w:val="00DD7F1B"/>
    <w:rsid w:val="00DE09FF"/>
    <w:rsid w:val="00DF2658"/>
    <w:rsid w:val="00E01870"/>
    <w:rsid w:val="00E024B6"/>
    <w:rsid w:val="00E03A39"/>
    <w:rsid w:val="00E04F4B"/>
    <w:rsid w:val="00E102DB"/>
    <w:rsid w:val="00E12FDA"/>
    <w:rsid w:val="00E13A02"/>
    <w:rsid w:val="00E160DA"/>
    <w:rsid w:val="00E31680"/>
    <w:rsid w:val="00E3352B"/>
    <w:rsid w:val="00E34382"/>
    <w:rsid w:val="00E3662E"/>
    <w:rsid w:val="00E41DB9"/>
    <w:rsid w:val="00E60627"/>
    <w:rsid w:val="00E608F8"/>
    <w:rsid w:val="00E655BE"/>
    <w:rsid w:val="00E700E9"/>
    <w:rsid w:val="00E75CE9"/>
    <w:rsid w:val="00E762BB"/>
    <w:rsid w:val="00E77B33"/>
    <w:rsid w:val="00E77C70"/>
    <w:rsid w:val="00E808B6"/>
    <w:rsid w:val="00E8408C"/>
    <w:rsid w:val="00E8661B"/>
    <w:rsid w:val="00E91FD5"/>
    <w:rsid w:val="00E92E09"/>
    <w:rsid w:val="00E944EE"/>
    <w:rsid w:val="00E95C1C"/>
    <w:rsid w:val="00EA6337"/>
    <w:rsid w:val="00EA689F"/>
    <w:rsid w:val="00EA76CB"/>
    <w:rsid w:val="00EA7E3E"/>
    <w:rsid w:val="00EB119D"/>
    <w:rsid w:val="00EB749E"/>
    <w:rsid w:val="00EC1A7D"/>
    <w:rsid w:val="00EC55B8"/>
    <w:rsid w:val="00ED2FDB"/>
    <w:rsid w:val="00EF1D00"/>
    <w:rsid w:val="00EF2100"/>
    <w:rsid w:val="00EF2866"/>
    <w:rsid w:val="00EF33BE"/>
    <w:rsid w:val="00EF4E6C"/>
    <w:rsid w:val="00F0383C"/>
    <w:rsid w:val="00F0669A"/>
    <w:rsid w:val="00F11631"/>
    <w:rsid w:val="00F12A43"/>
    <w:rsid w:val="00F15684"/>
    <w:rsid w:val="00F200DA"/>
    <w:rsid w:val="00F24AB0"/>
    <w:rsid w:val="00F309CB"/>
    <w:rsid w:val="00F30E62"/>
    <w:rsid w:val="00F3296D"/>
    <w:rsid w:val="00F33E2E"/>
    <w:rsid w:val="00F44A0E"/>
    <w:rsid w:val="00F5066B"/>
    <w:rsid w:val="00F51D8A"/>
    <w:rsid w:val="00F60C79"/>
    <w:rsid w:val="00F62578"/>
    <w:rsid w:val="00F62A51"/>
    <w:rsid w:val="00F70E44"/>
    <w:rsid w:val="00F75A2E"/>
    <w:rsid w:val="00F8305C"/>
    <w:rsid w:val="00F8646E"/>
    <w:rsid w:val="00F90E59"/>
    <w:rsid w:val="00F92098"/>
    <w:rsid w:val="00F9675E"/>
    <w:rsid w:val="00FA05AF"/>
    <w:rsid w:val="00FA3A4E"/>
    <w:rsid w:val="00FB0943"/>
    <w:rsid w:val="00FB37FF"/>
    <w:rsid w:val="00FC3F00"/>
    <w:rsid w:val="00FE4B8E"/>
    <w:rsid w:val="00FE7FE6"/>
    <w:rsid w:val="00FF1D71"/>
    <w:rsid w:val="00FF3FE9"/>
    <w:rsid w:val="00FF70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c,f,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pa/Stand/Glossary%20of%20Terms/Glossary_of_Term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3A841A37-C25B-4F9D-8CA5-CA72712A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5.xml><?xml version="1.0" encoding="utf-8"?>
<ds:datastoreItem xmlns:ds="http://schemas.openxmlformats.org/officeDocument/2006/customXml" ds:itemID="{7EFF7A82-ED67-4839-9341-8D5313938B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2016-12-20T13:40:00Z</cp:lastPrinted>
  <dcterms:created xsi:type="dcterms:W3CDTF">2024-07-03T17:28:00Z</dcterms:created>
  <dcterms:modified xsi:type="dcterms:W3CDTF">2024-07-03T17:28:00Z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1a396af4-36c0-4350-ab67-6215fa31ea7a</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2024-07-03T17:27:44Z</vt:lpwstr>
  </property>
  <property fmtid="{D5CDD505-2E9C-101B-9397-08002B2CF9AE}" pid="8" name="MSIP_Label_6155a89b-0f08-4a93-8ea2-8a916d6643b5_SiteId">
    <vt:lpwstr>19caa9e9-04ff-43fa-885f-d77fac387903</vt:lpwstr>
  </property>
</Properties>
</file>