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4B7" w:rsidP="006E6345" w14:paraId="6647A247" w14:textId="4CC3D945">
      <w:pPr>
        <w:jc w:val="center"/>
      </w:pPr>
      <w:r w:rsidRPr="00FC74B7">
        <w:t>Supporting Statement</w:t>
      </w:r>
    </w:p>
    <w:p w:rsidR="001077AF" w:rsidRPr="003C1AC5" w:rsidP="006E6345" w14:paraId="1072F86C" w14:textId="14D0EDB2">
      <w:pPr>
        <w:jc w:val="center"/>
        <w:rPr>
          <w:b/>
          <w:bCs/>
        </w:rPr>
      </w:pPr>
      <w:r>
        <w:rPr>
          <w:b/>
          <w:bCs/>
          <w:iCs/>
        </w:rPr>
        <w:t xml:space="preserve">FERC-725D, </w:t>
      </w:r>
      <w:r w:rsidRPr="002B332F" w:rsidR="002B332F">
        <w:rPr>
          <w:b/>
          <w:bCs/>
          <w:iCs/>
        </w:rPr>
        <w:t>Mandatory Reliability Standards FAC-001-4 and FAC-002-4</w:t>
      </w:r>
      <w:r w:rsidRPr="003C1AC5" w:rsidR="002B332F">
        <w:rPr>
          <w:b/>
          <w:bCs/>
          <w:iCs/>
        </w:rPr>
        <w:t>,</w:t>
      </w:r>
    </w:p>
    <w:p w:rsidR="00FC74B7" w:rsidP="00775A56" w14:paraId="5AF0ED4D" w14:textId="34DD1BC1">
      <w:pPr>
        <w:jc w:val="center"/>
      </w:pPr>
      <w:r>
        <w:rPr>
          <w:b/>
          <w:bCs/>
        </w:rPr>
        <w:t>RD22-5-000</w:t>
      </w:r>
      <w:r w:rsidR="006E6345">
        <w:rPr>
          <w:b/>
          <w:bCs/>
        </w:rPr>
        <w:t xml:space="preserve"> (1902-</w:t>
      </w:r>
      <w:r w:rsidR="00C6795C">
        <w:rPr>
          <w:b/>
          <w:bCs/>
        </w:rPr>
        <w:t>0247</w:t>
      </w:r>
      <w:r w:rsidR="006E6345">
        <w:rPr>
          <w:b/>
          <w:bCs/>
        </w:rPr>
        <w:t>)</w:t>
      </w:r>
    </w:p>
    <w:p w:rsidR="00FC74B7" w14:paraId="4463A0CA" w14:textId="77777777"/>
    <w:p w:rsidR="00E21680" w14:paraId="2346D1B8" w14:textId="4D329A2F">
      <w:r>
        <w:t>T</w:t>
      </w:r>
      <w:r w:rsidRPr="007634A1" w:rsidR="007634A1">
        <w:t xml:space="preserve">he Federal Energy Regulatory Commission (Commission or FERC) is </w:t>
      </w:r>
      <w:r w:rsidR="0041088C">
        <w:t>requesting approval of</w:t>
      </w:r>
      <w:r w:rsidR="00E25125">
        <w:t xml:space="preserve"> </w:t>
      </w:r>
      <w:r w:rsidR="007317EE">
        <w:t xml:space="preserve">a </w:t>
      </w:r>
      <w:r w:rsidR="00E25125">
        <w:t>revision of</w:t>
      </w:r>
      <w:r w:rsidRPr="007634A1" w:rsidR="007634A1">
        <w:t xml:space="preserve"> FERC-725D </w:t>
      </w:r>
      <w:r w:rsidR="00E25125">
        <w:t xml:space="preserve">to </w:t>
      </w:r>
      <w:r w:rsidR="007317EE">
        <w:t>replace Reliability Standards FAC-001-3 and FAC-00</w:t>
      </w:r>
      <w:r w:rsidR="00D92801">
        <w:t xml:space="preserve">2-3 with </w:t>
      </w:r>
      <w:r w:rsidRPr="007634A1" w:rsidR="007634A1">
        <w:t>Reliability Standards FAC-001-4 and FAC-002-4</w:t>
      </w:r>
      <w:r w:rsidR="00E25125">
        <w:t xml:space="preserve">, which were approved by the Commission </w:t>
      </w:r>
      <w:r w:rsidR="000A2097">
        <w:t>in Docket No. RD22-5-000.</w:t>
      </w:r>
    </w:p>
    <w:p w:rsidR="00796A00" w:rsidP="00B46CFC" w14:paraId="2F1DB528" w14:textId="0EB807ED">
      <w:pPr>
        <w:rPr>
          <w:b/>
        </w:rPr>
      </w:pPr>
    </w:p>
    <w:p w:rsidR="00B46CFC" w:rsidRPr="00B46CFC" w:rsidP="00D90B34" w14:paraId="02ADD6B0" w14:textId="77777777">
      <w:pPr>
        <w:numPr>
          <w:ilvl w:val="0"/>
          <w:numId w:val="1"/>
        </w:numPr>
        <w:ind w:left="0" w:firstLine="0"/>
        <w:rPr>
          <w:b/>
        </w:rPr>
      </w:pPr>
      <w:r w:rsidRPr="00B46CFC">
        <w:rPr>
          <w:b/>
        </w:rPr>
        <w:t>CIRCUMSTANCES THAT MAKE THE COLLECTION OF INFORMATION NECESSARY</w:t>
      </w:r>
    </w:p>
    <w:p w:rsidR="00796A00" w:rsidRPr="00796A00" w:rsidP="00796A00" w14:paraId="21BB93FA" w14:textId="77777777"/>
    <w:p w:rsidR="00796A00" w:rsidRPr="00796A00" w:rsidP="00796A00" w14:paraId="3428AC7F" w14:textId="03816D39">
      <w:r w:rsidRPr="00796A00">
        <w:t xml:space="preserve">On August 8, 2005, </w:t>
      </w:r>
      <w:r w:rsidR="009B3B7A">
        <w:t>t</w:t>
      </w:r>
      <w:r w:rsidRPr="00796A00">
        <w:t>he Electricity Modernization Act of 2005, which is Title XII of the Energy Policy Act of 2005 (EPAct 2005), was enacted into law</w:t>
      </w:r>
      <w:r w:rsidR="00BE7C76">
        <w:t>.</w:t>
      </w:r>
      <w:r>
        <w:rPr>
          <w:vertAlign w:val="superscript"/>
        </w:rPr>
        <w:footnoteReference w:id="2"/>
      </w:r>
      <w:r w:rsidRPr="00796A00">
        <w:t xml:space="preserve">  EPAct 2005 added a new section 215 to the Federal Power Act (FPA), which requires a Commission-certified Electric Reliability Organization (ERO) to develop mandatory and enforceable Reliability Standards, subject to Commission review and approval.</w:t>
      </w:r>
    </w:p>
    <w:p w:rsidR="00796A00" w:rsidRPr="00796A00" w:rsidP="00796A00" w14:paraId="176E5357" w14:textId="77777777"/>
    <w:p w:rsidR="00796A00" w:rsidP="00796A00" w14:paraId="7E7FE3DA" w14:textId="3182D56B">
      <w:r w:rsidRPr="00796A00">
        <w:t>Section 215 of the FPA requires a Commission-certified ERO to develop mandatory and enforceable Reliability Standards, subject to Commission review and approval.</w:t>
      </w:r>
      <w:r>
        <w:rPr>
          <w:bCs/>
          <w:vertAlign w:val="superscript"/>
        </w:rPr>
        <w:footnoteReference w:id="3"/>
      </w:r>
      <w:r w:rsidRPr="00796A00">
        <w:t xml:space="preserve">  Once approved, the Reliability Standards may be enforced by the ERO subject to Commission oversight or by the Commission independently.</w:t>
      </w:r>
      <w:r>
        <w:rPr>
          <w:bCs/>
          <w:vertAlign w:val="superscript"/>
        </w:rPr>
        <w:footnoteReference w:id="4"/>
      </w:r>
      <w:r w:rsidRPr="00796A00">
        <w:t xml:space="preserve">  In 2006, the Commission certified </w:t>
      </w:r>
      <w:r w:rsidR="008374D0">
        <w:t xml:space="preserve">the </w:t>
      </w:r>
      <w:r w:rsidRPr="00796A00">
        <w:t>North American Electric Reliability Corporation</w:t>
      </w:r>
      <w:r w:rsidR="008374D0">
        <w:t xml:space="preserve"> (NERC)</w:t>
      </w:r>
      <w:r w:rsidRPr="00796A00">
        <w:t xml:space="preserve"> as the ERO</w:t>
      </w:r>
      <w:r>
        <w:rPr>
          <w:vertAlign w:val="superscript"/>
        </w:rPr>
        <w:footnoteReference w:id="5"/>
      </w:r>
      <w:r w:rsidRPr="00796A00">
        <w:t xml:space="preserve"> pursuant to section 215 of the FPA.</w:t>
      </w:r>
      <w:r>
        <w:rPr>
          <w:bCs/>
          <w:vertAlign w:val="superscript"/>
        </w:rPr>
        <w:footnoteReference w:id="6"/>
      </w:r>
    </w:p>
    <w:p w:rsidR="00B46CFC" w:rsidP="00796A00" w14:paraId="3FC4D544" w14:textId="54572FDA"/>
    <w:p w:rsidR="00095811" w:rsidP="00095811" w14:paraId="5F24F827" w14:textId="034240A4">
      <w:pPr>
        <w:rPr>
          <w:iCs/>
        </w:rPr>
      </w:pPr>
      <w:r>
        <w:t>F</w:t>
      </w:r>
      <w:r w:rsidRPr="00095811">
        <w:t>acilities Design, Connections, and Maintenance Reliability Standards address topics such as facility interconnection requirements, facility ratings, system operating limits, and transfer capabilities.  These Reliability Standards are designated with the prefix “FAC.”</w:t>
      </w:r>
      <w:r>
        <w:t xml:space="preserve">  </w:t>
      </w:r>
      <w:r w:rsidRPr="00095811">
        <w:t>On November 23, 20</w:t>
      </w:r>
      <w:r w:rsidR="008374D0">
        <w:t>2</w:t>
      </w:r>
      <w:r w:rsidRPr="00095811">
        <w:t>2</w:t>
      </w:r>
      <w:r w:rsidR="00400D0D">
        <w:t>,</w:t>
      </w:r>
      <w:r w:rsidRPr="00095811">
        <w:t xml:space="preserve"> the Commission published an order approving new Reliability Standards FAC-001-4 and FAC-002-4 (87 FR 71602).  </w:t>
      </w:r>
      <w:r w:rsidR="004B3DD6">
        <w:t>Those new standards replace previously approved Reliability Standard FA</w:t>
      </w:r>
      <w:r w:rsidR="008D54D8">
        <w:t>C-</w:t>
      </w:r>
      <w:r w:rsidR="00F118FB">
        <w:t>00</w:t>
      </w:r>
      <w:r w:rsidR="008D54D8">
        <w:t xml:space="preserve">1-3 and FAC-002-3, </w:t>
      </w:r>
      <w:r w:rsidR="00F118FB">
        <w:t xml:space="preserve">and </w:t>
      </w:r>
      <w:r w:rsidRPr="00095811">
        <w:rPr>
          <w:iCs/>
        </w:rPr>
        <w:t xml:space="preserve">help </w:t>
      </w:r>
      <w:r w:rsidRPr="00095811">
        <w:rPr>
          <w:iCs/>
        </w:rPr>
        <w:t>ensure appropriate coordination and communication regarding the interconnection of facilities.</w:t>
      </w:r>
    </w:p>
    <w:p w:rsidR="00400D0D" w:rsidRPr="00095811" w:rsidP="00095811" w14:paraId="7EB2343C" w14:textId="77777777"/>
    <w:p w:rsidR="00AE473D" w:rsidP="00095811" w14:paraId="7436771D" w14:textId="77777777">
      <w:r>
        <w:t>T</w:t>
      </w:r>
      <w:r w:rsidRPr="00095811" w:rsidR="00095811">
        <w:t xml:space="preserve">he </w:t>
      </w:r>
      <w:r>
        <w:t xml:space="preserve">previously approved </w:t>
      </w:r>
      <w:r w:rsidRPr="00095811" w:rsidR="00095811">
        <w:t xml:space="preserve">collections of information associated with “FAC” Reliability Standards are </w:t>
      </w:r>
      <w:r>
        <w:t xml:space="preserve">designated as </w:t>
      </w:r>
      <w:r w:rsidRPr="00095811" w:rsidR="00095811">
        <w:t xml:space="preserve">FERC-725D (OMB Control Number 1902-0247).  </w:t>
      </w:r>
      <w:r w:rsidR="00810AD2">
        <w:t xml:space="preserve">As explained in </w:t>
      </w:r>
      <w:r w:rsidR="009B4FF0">
        <w:t xml:space="preserve">the order published </w:t>
      </w:r>
      <w:r w:rsidR="003C0678">
        <w:t xml:space="preserve">on November </w:t>
      </w:r>
      <w:r w:rsidR="0064597F">
        <w:t xml:space="preserve">23, 2022 </w:t>
      </w:r>
      <w:r w:rsidR="009B4FF0">
        <w:t>in Docket No. RD22-5-000</w:t>
      </w:r>
      <w:r w:rsidR="00011F6E">
        <w:t>,</w:t>
      </w:r>
      <w:r w:rsidR="00D714F4">
        <w:t xml:space="preserve"> </w:t>
      </w:r>
      <w:r w:rsidRPr="00095811" w:rsidR="00095811">
        <w:t xml:space="preserve">another information collection request pertaining to FERC-725D </w:t>
      </w:r>
      <w:r w:rsidR="00D714F4">
        <w:t>was</w:t>
      </w:r>
      <w:r w:rsidRPr="00095811" w:rsidR="00095811">
        <w:t xml:space="preserve"> pending at OMB, and only one request per information collection is allowed to be pending at OMB at the same time.  FERC-725D(1) </w:t>
      </w:r>
      <w:r w:rsidR="007A1A9E">
        <w:t>wa</w:t>
      </w:r>
      <w:r w:rsidRPr="00095811" w:rsidR="00095811">
        <w:t xml:space="preserve">s </w:t>
      </w:r>
      <w:r w:rsidR="007A1A9E">
        <w:t xml:space="preserve">designated as </w:t>
      </w:r>
      <w:r w:rsidRPr="00095811" w:rsidR="00095811">
        <w:t>a temporary placeholder number to avoid conflicting with the pending request already submitted to OMB regarding FERC-725D.</w:t>
      </w:r>
      <w:r w:rsidR="00011F6E">
        <w:t xml:space="preserve"> </w:t>
      </w:r>
    </w:p>
    <w:p w:rsidR="00AE473D" w:rsidP="00095811" w14:paraId="1B1ED22D" w14:textId="77777777"/>
    <w:p w:rsidR="00155E55" w:rsidP="00095811" w14:paraId="7B284B86" w14:textId="386CDF99">
      <w:r>
        <w:t>T</w:t>
      </w:r>
      <w:r w:rsidRPr="00095811">
        <w:t xml:space="preserve">he Commission </w:t>
      </w:r>
      <w:r w:rsidR="001A26D2">
        <w:t xml:space="preserve">has never </w:t>
      </w:r>
      <w:r w:rsidRPr="00095811">
        <w:t>ask</w:t>
      </w:r>
      <w:r w:rsidR="001A26D2">
        <w:t>ed</w:t>
      </w:r>
      <w:r w:rsidRPr="00095811">
        <w:t xml:space="preserve"> OMB to approve the collections of information associated with the new Reliability Standards as FERC-725D</w:t>
      </w:r>
      <w:r w:rsidR="001A26D2">
        <w:t xml:space="preserve">(1).  </w:t>
      </w:r>
      <w:r w:rsidR="00073FF7">
        <w:t xml:space="preserve">In view of OMB’s approval of the previously pending </w:t>
      </w:r>
      <w:r w:rsidR="00890014">
        <w:t>FERC-</w:t>
      </w:r>
      <w:r w:rsidR="00073FF7">
        <w:t xml:space="preserve">725D </w:t>
      </w:r>
      <w:r w:rsidR="00B95123">
        <w:t xml:space="preserve">request, we now ask OMB to </w:t>
      </w:r>
      <w:r w:rsidR="00D277D6">
        <w:t xml:space="preserve">revise FERC-725D by replacing </w:t>
      </w:r>
      <w:r w:rsidR="00BE008A">
        <w:t xml:space="preserve">replace Reliability Standards FAC-001-3 and </w:t>
      </w:r>
      <w:r w:rsidR="00D277D6">
        <w:t xml:space="preserve">FAC-002-3 with Reliability Standards </w:t>
      </w:r>
      <w:r w:rsidR="009E3B9C">
        <w:t>FAC-001-4 and FAC-002-4</w:t>
      </w:r>
      <w:r w:rsidR="00890014">
        <w:t>.</w:t>
      </w:r>
      <w:r w:rsidR="00C7326B">
        <w:t xml:space="preserve"> </w:t>
      </w:r>
    </w:p>
    <w:p w:rsidR="00C448DB" w:rsidRPr="00BD0FD5" w:rsidP="00C448DB" w14:paraId="1A930613" w14:textId="77777777">
      <w:pPr>
        <w:rPr>
          <w:rFonts w:cs="Times New Roman"/>
          <w:sz w:val="24"/>
        </w:rPr>
      </w:pPr>
    </w:p>
    <w:p w:rsidR="00C448DB" w:rsidRPr="00BD0FD5" w:rsidP="00AC07B9" w14:paraId="155CD0EF" w14:textId="77777777">
      <w:pPr>
        <w:pStyle w:val="ListParagraph"/>
        <w:widowControl/>
        <w:numPr>
          <w:ilvl w:val="0"/>
          <w:numId w:val="1"/>
        </w:numPr>
        <w:autoSpaceDE/>
        <w:autoSpaceDN/>
        <w:adjustRightInd/>
        <w:ind w:left="0" w:firstLine="0"/>
        <w:rPr>
          <w:b/>
          <w:sz w:val="24"/>
        </w:rPr>
      </w:pPr>
      <w:r w:rsidRPr="00BD0FD5">
        <w:rPr>
          <w:b/>
          <w:sz w:val="24"/>
        </w:rPr>
        <w:t>HOW, BY WHOM, AND FOR WHAT PURPOSE THE INFORMATION IS TO BE USED AND THE CONSEQUENCES OF NOT COLLECTING THE INFORMATION</w:t>
      </w:r>
    </w:p>
    <w:p w:rsidR="006B6B83" w:rsidP="00095811" w14:paraId="739A0D32" w14:textId="77777777"/>
    <w:p w:rsidR="007D1A4B" w:rsidP="00095811" w14:paraId="06B80D97" w14:textId="6D577255">
      <w:r>
        <w:t xml:space="preserve">In accordance with NERC procedures, all organizations involved in ensuring reliability </w:t>
      </w:r>
      <w:r w:rsidR="005962F7">
        <w:t>identify the functions they perform, and they register with NERC as one or more “</w:t>
      </w:r>
      <w:r w:rsidR="00DC43FC">
        <w:t>Functional Entities</w:t>
      </w:r>
      <w:r w:rsidR="005962F7">
        <w:t>.</w:t>
      </w:r>
      <w:r w:rsidR="00DC43FC">
        <w:t>”</w:t>
      </w:r>
      <w:r w:rsidR="007A4C6D">
        <w:t xml:space="preserve">  Each</w:t>
      </w:r>
      <w:r w:rsidR="00606780">
        <w:t xml:space="preserve"> respondent</w:t>
      </w:r>
      <w:r w:rsidR="00FD1BB4">
        <w:t xml:space="preserve"> </w:t>
      </w:r>
      <w:r w:rsidR="00606780">
        <w:t>in this information collection</w:t>
      </w:r>
      <w:r w:rsidR="00FD1BB4">
        <w:t xml:space="preserve"> has registered as one or more of </w:t>
      </w:r>
      <w:r w:rsidR="0044443E">
        <w:t xml:space="preserve">three types of Functional Entities:  transmission owners, generator owners, </w:t>
      </w:r>
      <w:r w:rsidR="00927F2B">
        <w:t>or planning coordinators.</w:t>
      </w:r>
    </w:p>
    <w:p w:rsidR="007D1A4B" w:rsidP="00095811" w14:paraId="03F717A6" w14:textId="77777777"/>
    <w:p w:rsidR="00095811" w:rsidRPr="00095811" w:rsidP="00095811" w14:paraId="436486B8" w14:textId="12F46EA0">
      <w:r>
        <w:t>Previously approved R</w:t>
      </w:r>
      <w:r w:rsidRPr="00095811">
        <w:t>eliability Standard FAC-001-003 require</w:t>
      </w:r>
      <w:r w:rsidR="00F21AD8">
        <w:t>d</w:t>
      </w:r>
      <w:r w:rsidRPr="00095811">
        <w:t xml:space="preserve"> transmission owners and generator owners to complete coordinated studies on new or “materially modified” existing interconnections.  As approved in the November 23, 2022 order,</w:t>
      </w:r>
      <w:r w:rsidR="00593D02">
        <w:t xml:space="preserve"> new Reliability Standard </w:t>
      </w:r>
      <w:r w:rsidRPr="00095811">
        <w:t xml:space="preserve"> FAC-001-4 requires coordinated studies of “qualified changes” in interconnections instead of “materially modified” interconnections.  This revision is intended to prevent confusion with the Commission-defined term “Material Modification” in </w:t>
      </w:r>
      <w:r w:rsidRPr="00095811">
        <w:rPr>
          <w:i/>
          <w:iCs/>
        </w:rPr>
        <w:t xml:space="preserve">pro forma </w:t>
      </w:r>
      <w:r w:rsidRPr="00095811">
        <w:t>interconnection procedures and agreements</w:t>
      </w:r>
      <w:r w:rsidRPr="00072686">
        <w:t>.</w:t>
      </w:r>
      <w:r>
        <w:rPr>
          <w:vertAlign w:val="superscript"/>
        </w:rPr>
        <w:footnoteReference w:id="7"/>
      </w:r>
      <w:r w:rsidRPr="00072686">
        <w:t xml:space="preserve">  The term </w:t>
      </w:r>
      <w:r w:rsidRPr="00072686">
        <w:t>“qualified changes” refers to changes in existing interconnected facilities that c</w:t>
      </w:r>
      <w:r w:rsidRPr="00095811">
        <w:t>an have reliability impacts and helps ensure that they are properly addressed in interconnection requirements and studies.</w:t>
      </w:r>
      <w:r w:rsidR="003F3759">
        <w:t xml:space="preserve">  </w:t>
      </w:r>
      <w:r w:rsidRPr="003F3759" w:rsidR="003F3759">
        <w:rPr>
          <w:iCs/>
        </w:rPr>
        <w:t>Th</w:t>
      </w:r>
      <w:r w:rsidR="006B72F1">
        <w:rPr>
          <w:iCs/>
        </w:rPr>
        <w:t>is clarification does not change the</w:t>
      </w:r>
      <w:r w:rsidRPr="003F3759" w:rsidR="003F3759">
        <w:rPr>
          <w:iCs/>
        </w:rPr>
        <w:t xml:space="preserve"> responsibilities of applicable entities</w:t>
      </w:r>
      <w:r w:rsidR="00AF66D0">
        <w:rPr>
          <w:iCs/>
        </w:rPr>
        <w:t xml:space="preserve"> </w:t>
      </w:r>
      <w:r w:rsidRPr="003F3759" w:rsidR="003F3759">
        <w:rPr>
          <w:iCs/>
        </w:rPr>
        <w:t>(i.e., transmission owners and generator owners)</w:t>
      </w:r>
      <w:r w:rsidR="00AF66D0">
        <w:rPr>
          <w:iCs/>
        </w:rPr>
        <w:t>.</w:t>
      </w:r>
    </w:p>
    <w:p w:rsidR="00890A58" w:rsidP="00095811" w14:paraId="712DC3B5" w14:textId="77777777">
      <w:pPr>
        <w:rPr>
          <w:iCs/>
        </w:rPr>
      </w:pPr>
    </w:p>
    <w:p w:rsidR="00BB4081" w:rsidRPr="00BB4081" w:rsidP="00BB4081" w14:paraId="03380128" w14:textId="19385F10">
      <w:pPr>
        <w:rPr>
          <w:iCs/>
        </w:rPr>
      </w:pPr>
      <w:r w:rsidRPr="00095811">
        <w:rPr>
          <w:iCs/>
        </w:rPr>
        <w:t>In the November 23</w:t>
      </w:r>
      <w:r w:rsidR="008374D0">
        <w:rPr>
          <w:iCs/>
        </w:rPr>
        <w:t>, 2022</w:t>
      </w:r>
      <w:r w:rsidR="002A6E0A">
        <w:rPr>
          <w:iCs/>
        </w:rPr>
        <w:t>,</w:t>
      </w:r>
      <w:r w:rsidRPr="00095811">
        <w:rPr>
          <w:iCs/>
        </w:rPr>
        <w:t xml:space="preserve"> order, the Commission also </w:t>
      </w:r>
      <w:r w:rsidR="008374D0">
        <w:rPr>
          <w:iCs/>
        </w:rPr>
        <w:t xml:space="preserve">approved a </w:t>
      </w:r>
      <w:r w:rsidRPr="00095811">
        <w:rPr>
          <w:iCs/>
        </w:rPr>
        <w:t>revis</w:t>
      </w:r>
      <w:r w:rsidR="008374D0">
        <w:rPr>
          <w:iCs/>
        </w:rPr>
        <w:t>ion to</w:t>
      </w:r>
      <w:r w:rsidRPr="00095811">
        <w:rPr>
          <w:iCs/>
        </w:rPr>
        <w:t xml:space="preserve"> Requirement R6 of </w:t>
      </w:r>
      <w:r w:rsidR="006C29E7">
        <w:rPr>
          <w:iCs/>
        </w:rPr>
        <w:t>previously approved</w:t>
      </w:r>
      <w:r w:rsidRPr="00095811">
        <w:rPr>
          <w:iCs/>
        </w:rPr>
        <w:t xml:space="preserve"> Reliability Standard FAC-002-3 by authorizing the planning coordinator to define the term “qualified change” and requiring public posting of the definition</w:t>
      </w:r>
      <w:r w:rsidR="008374D0">
        <w:rPr>
          <w:iCs/>
        </w:rPr>
        <w:t xml:space="preserve"> under FAC-002-4</w:t>
      </w:r>
      <w:r w:rsidRPr="00095811">
        <w:rPr>
          <w:iCs/>
        </w:rPr>
        <w:t>.</w:t>
      </w:r>
      <w:r w:rsidR="00890A58">
        <w:rPr>
          <w:iCs/>
        </w:rPr>
        <w:t xml:space="preserve">  </w:t>
      </w:r>
      <w:r w:rsidR="00976270">
        <w:rPr>
          <w:iCs/>
        </w:rPr>
        <w:t xml:space="preserve">Reliability Standard </w:t>
      </w:r>
      <w:r w:rsidRPr="003C5474" w:rsidR="003C5474">
        <w:rPr>
          <w:iCs/>
        </w:rPr>
        <w:t>FAC-002-4 represents a minor additional burden to planning coordinators, due to the requirement that they develop the definition of “qualified change” for new and existing interconnections of generation, transmission</w:t>
      </w:r>
      <w:r w:rsidR="008374D0">
        <w:rPr>
          <w:iCs/>
        </w:rPr>
        <w:t>,</w:t>
      </w:r>
      <w:r w:rsidRPr="003C5474" w:rsidR="003C5474">
        <w:rPr>
          <w:iCs/>
        </w:rPr>
        <w:t xml:space="preserve"> or electricity end user facilities.  This burden is expected to be greater in years one and two than in year three and beyond for FAC-002-4.  The burden and cost estimates for FAC-002-4 are based on the increase in the reporting and recordkeeping burden imposed by the revised Reliability Standards.</w:t>
      </w:r>
    </w:p>
    <w:p w:rsidR="00BB4081" w:rsidRPr="00BB4081" w:rsidP="00BB4081" w14:paraId="16910C2A" w14:textId="77777777">
      <w:pPr>
        <w:rPr>
          <w:bCs/>
          <w:iCs/>
        </w:rPr>
      </w:pPr>
    </w:p>
    <w:p w:rsidR="00BB4081" w:rsidP="00AC07B9" w14:paraId="558C5650" w14:textId="3FEB3CE2">
      <w:pPr>
        <w:numPr>
          <w:ilvl w:val="0"/>
          <w:numId w:val="1"/>
        </w:numPr>
        <w:ind w:left="0" w:firstLine="0"/>
        <w:rPr>
          <w:b/>
          <w:iCs/>
        </w:rPr>
      </w:pPr>
      <w:r w:rsidRPr="00BB4081">
        <w:rPr>
          <w:b/>
          <w:iCs/>
        </w:rPr>
        <w:t>DESCRIBE ANY CONSIDERATION OF THE USE OF IMPROVED INFORMATION TECHNOLOGY TO REDUCE THE BURDEN AND TECHNICAL OR LEGAL OBSTACLES TO REDUCING BURDEN</w:t>
      </w:r>
    </w:p>
    <w:p w:rsidR="00BB4081" w:rsidP="00BB4081" w14:paraId="3E8B8ECE" w14:textId="55833FC0">
      <w:pPr>
        <w:rPr>
          <w:b/>
          <w:iCs/>
        </w:rPr>
      </w:pPr>
    </w:p>
    <w:p w:rsidR="00DE66BF" w:rsidP="00972AD9" w14:paraId="71B6776F" w14:textId="3196EDB1">
      <w:pPr>
        <w:rPr>
          <w:bCs/>
          <w:iCs/>
        </w:rPr>
      </w:pPr>
      <w:r w:rsidRPr="00972AD9">
        <w:rPr>
          <w:bCs/>
          <w:iCs/>
        </w:rPr>
        <w:t>The use of current or improved technology is not covered in</w:t>
      </w:r>
      <w:r w:rsidR="008374D0">
        <w:rPr>
          <w:bCs/>
          <w:iCs/>
        </w:rPr>
        <w:t xml:space="preserve"> </w:t>
      </w:r>
      <w:r w:rsidR="00E6014C">
        <w:t>F</w:t>
      </w:r>
      <w:r w:rsidRPr="00095811" w:rsidR="00E6014C">
        <w:t>acilities Design, Connections, and Maintenance</w:t>
      </w:r>
      <w:r w:rsidRPr="00972AD9" w:rsidR="00E6014C">
        <w:rPr>
          <w:bCs/>
          <w:iCs/>
        </w:rPr>
        <w:t xml:space="preserve"> </w:t>
      </w:r>
      <w:r w:rsidRPr="00972AD9">
        <w:rPr>
          <w:bCs/>
          <w:iCs/>
        </w:rPr>
        <w:t>Reliability Standards and is therefore left to the discretion of each reporting entity.  Commission staff estimates that nearly all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454B32" w:rsidRPr="00454B32" w:rsidP="00454B32" w14:paraId="430423E4" w14:textId="77777777">
      <w:pPr>
        <w:rPr>
          <w:bCs/>
          <w:iCs/>
        </w:rPr>
      </w:pPr>
    </w:p>
    <w:p w:rsidR="00454B32" w:rsidRPr="00454B32" w:rsidP="00AC07B9" w14:paraId="10E1AAE3" w14:textId="6093DDBA">
      <w:pPr>
        <w:pStyle w:val="ListParagraph"/>
        <w:numPr>
          <w:ilvl w:val="0"/>
          <w:numId w:val="1"/>
        </w:numPr>
        <w:ind w:left="0" w:firstLine="0"/>
        <w:rPr>
          <w:b/>
          <w:bCs/>
          <w:iCs/>
        </w:rPr>
      </w:pPr>
      <w:r w:rsidRPr="00454B32">
        <w:rPr>
          <w:b/>
          <w:bCs/>
          <w:iCs/>
        </w:rPr>
        <w:t>DESCRIBE EFFORTS TO IDENTIFY DUPLICATION AND SHOW SPECIFICALLY WHY ANY SIMILAR INFORMATION ALREADY AVAILABLE CANNOT BE USED OR MODIFIED FOR USE FOR THE PURPOSE(S) DESCRIBED IN INSTRUCTION NO. 2</w:t>
      </w:r>
    </w:p>
    <w:p w:rsidR="00454B32" w:rsidRPr="00454B32" w:rsidP="00454B32" w14:paraId="3C657DC3" w14:textId="77777777">
      <w:pPr>
        <w:rPr>
          <w:bCs/>
          <w:iCs/>
        </w:rPr>
      </w:pPr>
    </w:p>
    <w:p w:rsidR="00454B32" w:rsidRPr="00454B32" w:rsidP="00454B32" w14:paraId="545E5085" w14:textId="3B65BCA9">
      <w:pPr>
        <w:rPr>
          <w:bCs/>
          <w:iCs/>
        </w:rPr>
      </w:pPr>
      <w:r w:rsidRPr="00454B32">
        <w:rPr>
          <w:bCs/>
          <w:iCs/>
        </w:rPr>
        <w:t>The Commission periodically reviews filing requirements concurrent with OMB review or as the Commission deems necessary to eliminate duplicative filing and to minimize the filing burden.</w:t>
      </w:r>
      <w:r>
        <w:rPr>
          <w:bCs/>
          <w:iCs/>
        </w:rPr>
        <w:t xml:space="preserve">  </w:t>
      </w:r>
      <w:r w:rsidRPr="00454B32">
        <w:rPr>
          <w:bCs/>
          <w:iCs/>
        </w:rPr>
        <w:t>Reliability Standards are developed by a collaborative process which requires industry participation.  The Commission is unaware of any other source of information similar to the additional requirements.</w:t>
      </w:r>
    </w:p>
    <w:p w:rsidR="00F75B1D" w:rsidRPr="00F75B1D" w:rsidP="00F75B1D" w14:paraId="4EAE7F5A" w14:textId="4324B7B2">
      <w:pPr>
        <w:rPr>
          <w:bCs/>
          <w:iCs/>
        </w:rPr>
      </w:pPr>
    </w:p>
    <w:p w:rsidR="00F75B1D" w:rsidRPr="00F75B1D" w:rsidP="00AC07B9" w14:paraId="3B184D77" w14:textId="01C24CE0">
      <w:pPr>
        <w:pStyle w:val="ListParagraph"/>
        <w:numPr>
          <w:ilvl w:val="0"/>
          <w:numId w:val="1"/>
        </w:numPr>
        <w:ind w:left="0" w:firstLine="0"/>
        <w:rPr>
          <w:bCs/>
          <w:iCs/>
        </w:rPr>
      </w:pPr>
      <w:r w:rsidRPr="00F75B1D">
        <w:rPr>
          <w:b/>
          <w:bCs/>
          <w:iCs/>
        </w:rPr>
        <w:t xml:space="preserve">METHODS USED TO MINIMIZE THE BURDEN IN COLLECTION OF </w:t>
      </w:r>
      <w:r w:rsidRPr="00F75B1D">
        <w:rPr>
          <w:b/>
          <w:bCs/>
          <w:iCs/>
        </w:rPr>
        <w:t>INFORMATION INVOLVING SMALL ENTITIES</w:t>
      </w:r>
    </w:p>
    <w:p w:rsidR="00F75B1D" w:rsidRPr="00F75B1D" w:rsidP="00F75B1D" w14:paraId="2E609890" w14:textId="77777777">
      <w:pPr>
        <w:rPr>
          <w:bCs/>
          <w:iCs/>
        </w:rPr>
      </w:pPr>
    </w:p>
    <w:p w:rsidR="00F75B1D" w:rsidRPr="00F75B1D" w:rsidP="00F75B1D" w14:paraId="4AC986FB" w14:textId="77777777">
      <w:pPr>
        <w:rPr>
          <w:bCs/>
          <w:iCs/>
        </w:rPr>
      </w:pPr>
      <w:r w:rsidRPr="00F75B1D">
        <w:rPr>
          <w:bCs/>
          <w:iCs/>
        </w:rPr>
        <w:t>In general, small entities may reduce their burden by taking part in a joint registration organization or a coordinated functional registration.  These options allow an entity to share its compliance burden with other entities.</w:t>
      </w:r>
    </w:p>
    <w:p w:rsidR="00F75B1D" w:rsidRPr="00F75B1D" w:rsidP="00F75B1D" w14:paraId="304C2DA4" w14:textId="77777777">
      <w:pPr>
        <w:rPr>
          <w:bCs/>
          <w:iCs/>
        </w:rPr>
      </w:pPr>
    </w:p>
    <w:p w:rsidR="009A377B" w14:paraId="0494D113" w14:textId="4416C875">
      <w:pPr>
        <w:rPr>
          <w:bCs/>
          <w:iCs/>
        </w:rPr>
      </w:pPr>
      <w:r w:rsidRPr="00F75B1D">
        <w:rPr>
          <w:bCs/>
          <w:iCs/>
        </w:rPr>
        <w:t>Detailed information regarding these options is available in NERC’s Rules of Procedure at sections 507 and 508</w:t>
      </w:r>
      <w:r w:rsidR="00821B36">
        <w:rPr>
          <w:bCs/>
          <w:iCs/>
        </w:rPr>
        <w:t xml:space="preserve">.  </w:t>
      </w:r>
      <w:r w:rsidRPr="00CB3E88" w:rsidR="00CB3E88">
        <w:rPr>
          <w:bCs/>
          <w:iCs/>
        </w:rPr>
        <w:t xml:space="preserve">Details of </w:t>
      </w:r>
      <w:r w:rsidR="00E459DA">
        <w:rPr>
          <w:bCs/>
          <w:iCs/>
        </w:rPr>
        <w:t>NERC’s</w:t>
      </w:r>
      <w:r w:rsidRPr="00CB3E88" w:rsidR="00CB3E88">
        <w:rPr>
          <w:bCs/>
          <w:iCs/>
        </w:rPr>
        <w:t xml:space="preserve"> current </w:t>
      </w:r>
      <w:r w:rsidR="00E459DA">
        <w:rPr>
          <w:bCs/>
          <w:iCs/>
        </w:rPr>
        <w:t>Rules of Procedure</w:t>
      </w:r>
      <w:r w:rsidRPr="00CB3E88" w:rsidR="00CB3E88">
        <w:rPr>
          <w:bCs/>
          <w:iCs/>
        </w:rPr>
        <w:t xml:space="preserve"> are available on the NERC website at</w:t>
      </w:r>
      <w:r w:rsidR="00C06E63">
        <w:rPr>
          <w:bCs/>
          <w:iCs/>
        </w:rPr>
        <w:t xml:space="preserve"> </w:t>
      </w:r>
      <w:hyperlink r:id="rId6" w:history="1">
        <w:r w:rsidRPr="000B7A18" w:rsidR="000B7A18">
          <w:rPr>
            <w:rStyle w:val="Hyperlink"/>
            <w:rFonts w:cstheme="minorBidi"/>
            <w:bCs/>
            <w:iCs/>
          </w:rPr>
          <w:t>NERC ROP effective 20240627_with appendicies_signed.pdf</w:t>
        </w:r>
      </w:hyperlink>
      <w:r w:rsidRPr="00CB3E88" w:rsidR="00CB3E88">
        <w:rPr>
          <w:bCs/>
          <w:iCs/>
        </w:rPr>
        <w:t>.</w:t>
      </w:r>
    </w:p>
    <w:p w:rsidR="005A4F8E" w:rsidRPr="005A4F8E" w:rsidP="005A4F8E" w14:paraId="664116EC" w14:textId="77777777">
      <w:pPr>
        <w:rPr>
          <w:bCs/>
          <w:iCs/>
        </w:rPr>
      </w:pPr>
    </w:p>
    <w:p w:rsidR="005A4F8E" w:rsidRPr="005A4F8E" w:rsidP="00AC07B9" w14:paraId="6A195A23" w14:textId="3CF4A5A3">
      <w:pPr>
        <w:pStyle w:val="ListParagraph"/>
        <w:numPr>
          <w:ilvl w:val="0"/>
          <w:numId w:val="1"/>
        </w:numPr>
        <w:ind w:left="0" w:firstLine="0"/>
        <w:rPr>
          <w:b/>
          <w:bCs/>
          <w:iCs/>
        </w:rPr>
      </w:pPr>
      <w:r w:rsidRPr="005A4F8E">
        <w:rPr>
          <w:b/>
          <w:bCs/>
          <w:iCs/>
        </w:rPr>
        <w:t>CONSEQUENCE TO FEDERAL PROGRAM IF COLLECTION WERE CONDUCTED LESS FREQUENTLY</w:t>
      </w:r>
    </w:p>
    <w:p w:rsidR="005A4F8E" w:rsidP="005A4F8E" w14:paraId="10833369" w14:textId="5E6E5809">
      <w:pPr>
        <w:rPr>
          <w:b/>
          <w:bCs/>
          <w:iCs/>
        </w:rPr>
      </w:pPr>
    </w:p>
    <w:p w:rsidR="007A3F1D" w:rsidRPr="007A3F1D" w:rsidP="007A3F1D" w14:paraId="7DACAF35" w14:textId="0B12C147">
      <w:pPr>
        <w:rPr>
          <w:iCs/>
        </w:rPr>
      </w:pPr>
      <w:r>
        <w:rPr>
          <w:iCs/>
        </w:rPr>
        <w:t xml:space="preserve">New Reliability Standard </w:t>
      </w:r>
      <w:r w:rsidRPr="007A3F1D">
        <w:rPr>
          <w:iCs/>
        </w:rPr>
        <w:t>FAC-001-</w:t>
      </w:r>
      <w:r w:rsidR="00CA6CBE">
        <w:rPr>
          <w:iCs/>
        </w:rPr>
        <w:t>4</w:t>
      </w:r>
      <w:r w:rsidRPr="007A3F1D">
        <w:rPr>
          <w:iCs/>
        </w:rPr>
        <w:t xml:space="preserve"> </w:t>
      </w:r>
      <w:r w:rsidR="00B823FA">
        <w:rPr>
          <w:iCs/>
        </w:rPr>
        <w:t xml:space="preserve">requires all applicable entities </w:t>
      </w:r>
      <w:r w:rsidRPr="007A3F1D">
        <w:rPr>
          <w:iCs/>
        </w:rPr>
        <w:t xml:space="preserve">to document, maintain, and publish interconnection requirements. </w:t>
      </w:r>
      <w:r w:rsidR="002A6E0A">
        <w:rPr>
          <w:iCs/>
        </w:rPr>
        <w:t xml:space="preserve"> </w:t>
      </w:r>
      <w:r w:rsidRPr="007A3F1D">
        <w:rPr>
          <w:iCs/>
        </w:rPr>
        <w:t xml:space="preserve">Failure to properly maintain the interconnection requirement documents and make them available to entities upon request could adversely impact </w:t>
      </w:r>
      <w:r w:rsidR="002A6E0A">
        <w:rPr>
          <w:iCs/>
        </w:rPr>
        <w:t xml:space="preserve">the </w:t>
      </w:r>
      <w:r w:rsidRPr="007A3F1D">
        <w:rPr>
          <w:iCs/>
        </w:rPr>
        <w:t xml:space="preserve">reliable planning and operation of the </w:t>
      </w:r>
      <w:r w:rsidR="002A6E0A">
        <w:rPr>
          <w:iCs/>
        </w:rPr>
        <w:t>b</w:t>
      </w:r>
      <w:r w:rsidRPr="007A3F1D">
        <w:rPr>
          <w:iCs/>
        </w:rPr>
        <w:t xml:space="preserve">ulk </w:t>
      </w:r>
      <w:r w:rsidR="002A6E0A">
        <w:rPr>
          <w:iCs/>
        </w:rPr>
        <w:t>e</w:t>
      </w:r>
      <w:r w:rsidRPr="007A3F1D">
        <w:rPr>
          <w:iCs/>
        </w:rPr>
        <w:t xml:space="preserve">lectric </w:t>
      </w:r>
      <w:r w:rsidR="002A6E0A">
        <w:rPr>
          <w:iCs/>
        </w:rPr>
        <w:t>s</w:t>
      </w:r>
      <w:r w:rsidRPr="007A3F1D">
        <w:rPr>
          <w:iCs/>
        </w:rPr>
        <w:t xml:space="preserve">ystem because </w:t>
      </w:r>
      <w:r w:rsidR="002A6E0A">
        <w:rPr>
          <w:iCs/>
        </w:rPr>
        <w:t xml:space="preserve">the </w:t>
      </w:r>
      <w:r w:rsidRPr="007A3F1D">
        <w:rPr>
          <w:iCs/>
        </w:rPr>
        <w:t xml:space="preserve">data needed to perform </w:t>
      </w:r>
      <w:r w:rsidR="002A6E0A">
        <w:rPr>
          <w:iCs/>
        </w:rPr>
        <w:t xml:space="preserve">these </w:t>
      </w:r>
      <w:r w:rsidRPr="007A3F1D">
        <w:rPr>
          <w:iCs/>
        </w:rPr>
        <w:t xml:space="preserve">studies to determine the impact of interconnecting facilities on existing interconnections as well as on affected systems may not be provided. </w:t>
      </w:r>
      <w:r w:rsidR="002A6E0A">
        <w:rPr>
          <w:iCs/>
        </w:rPr>
        <w:t xml:space="preserve"> </w:t>
      </w:r>
      <w:r w:rsidRPr="007A3F1D">
        <w:rPr>
          <w:iCs/>
        </w:rPr>
        <w:t xml:space="preserve">Further, lack of these documents could result in inaccurate and uncoordinated interconnection studies, leading to possible instances of instability, uncontrolled separation, and cascading failures. </w:t>
      </w:r>
      <w:r w:rsidR="002A6E0A">
        <w:rPr>
          <w:iCs/>
        </w:rPr>
        <w:t xml:space="preserve"> </w:t>
      </w:r>
      <w:r w:rsidRPr="007A3F1D">
        <w:rPr>
          <w:iCs/>
        </w:rPr>
        <w:t xml:space="preserve">The requirements include retention periods that identify the period of time an entity is required to retain specific evidence to demonstrate compliance. </w:t>
      </w:r>
    </w:p>
    <w:p w:rsidR="007A3F1D" w:rsidRPr="007A3F1D" w:rsidP="007A3F1D" w14:paraId="64CA79E4" w14:textId="77777777">
      <w:pPr>
        <w:rPr>
          <w:iCs/>
        </w:rPr>
      </w:pPr>
    </w:p>
    <w:p w:rsidR="005A4F8E" w:rsidP="005A4F8E" w14:paraId="4A343752" w14:textId="33950FF3">
      <w:pPr>
        <w:rPr>
          <w:iCs/>
        </w:rPr>
      </w:pPr>
      <w:r>
        <w:rPr>
          <w:iCs/>
        </w:rPr>
        <w:t>N</w:t>
      </w:r>
      <w:r w:rsidR="00CA15D3">
        <w:rPr>
          <w:iCs/>
        </w:rPr>
        <w:t xml:space="preserve">ew </w:t>
      </w:r>
      <w:r w:rsidRPr="007A3F1D" w:rsidR="007A3F1D">
        <w:rPr>
          <w:iCs/>
        </w:rPr>
        <w:t>Reliability Standard FAC-002-</w:t>
      </w:r>
      <w:r w:rsidR="00CA6CBE">
        <w:rPr>
          <w:iCs/>
        </w:rPr>
        <w:t>4</w:t>
      </w:r>
      <w:r w:rsidR="00B823FA">
        <w:rPr>
          <w:iCs/>
        </w:rPr>
        <w:t xml:space="preserve"> requires </w:t>
      </w:r>
      <w:r w:rsidRPr="007A3F1D" w:rsidR="007A3F1D">
        <w:rPr>
          <w:iCs/>
        </w:rPr>
        <w:t xml:space="preserve">all applicable entities to cooperate in sharing data so </w:t>
      </w:r>
      <w:r w:rsidR="00615906">
        <w:rPr>
          <w:iCs/>
        </w:rPr>
        <w:t xml:space="preserve">that </w:t>
      </w:r>
      <w:r w:rsidRPr="007A3F1D" w:rsidR="007A3F1D">
        <w:rPr>
          <w:iCs/>
        </w:rPr>
        <w:t>valid and complete studies can be performed to accurately assess the reliability impact of interconnecting new facilities</w:t>
      </w:r>
      <w:r w:rsidR="002A6E0A">
        <w:rPr>
          <w:iCs/>
        </w:rPr>
        <w:t xml:space="preserve"> or those facilities that underwent a qualified change</w:t>
      </w:r>
      <w:r w:rsidRPr="007A3F1D" w:rsidR="007A3F1D">
        <w:rPr>
          <w:iCs/>
        </w:rPr>
        <w:t xml:space="preserve">. </w:t>
      </w:r>
      <w:r w:rsidR="002A6E0A">
        <w:rPr>
          <w:iCs/>
        </w:rPr>
        <w:t xml:space="preserve"> </w:t>
      </w:r>
      <w:r w:rsidRPr="007A3F1D" w:rsidR="007A3F1D">
        <w:rPr>
          <w:iCs/>
        </w:rPr>
        <w:t xml:space="preserve">Failing to conduct studies of these interconnecting facilities could lead to instances of violation with other national and regional standards. </w:t>
      </w:r>
      <w:r w:rsidR="002A6E0A">
        <w:rPr>
          <w:iCs/>
        </w:rPr>
        <w:t xml:space="preserve"> </w:t>
      </w:r>
      <w:r w:rsidRPr="007A3F1D" w:rsidR="007A3F1D">
        <w:rPr>
          <w:iCs/>
        </w:rPr>
        <w:t xml:space="preserve">Also, actual system performance under normal and emergency conditions may not match the results of steady-state, short circuit, and dynamic studies, which could impact </w:t>
      </w:r>
      <w:r w:rsidR="002A6E0A">
        <w:rPr>
          <w:iCs/>
        </w:rPr>
        <w:t>b</w:t>
      </w:r>
      <w:r w:rsidRPr="007A3F1D" w:rsidR="007A3F1D">
        <w:rPr>
          <w:iCs/>
        </w:rPr>
        <w:t xml:space="preserve">ulk </w:t>
      </w:r>
      <w:r w:rsidR="002A6E0A">
        <w:rPr>
          <w:iCs/>
        </w:rPr>
        <w:t>e</w:t>
      </w:r>
      <w:r w:rsidRPr="007A3F1D" w:rsidR="007A3F1D">
        <w:rPr>
          <w:iCs/>
        </w:rPr>
        <w:t xml:space="preserve">lectric </w:t>
      </w:r>
      <w:r w:rsidR="002A6E0A">
        <w:rPr>
          <w:iCs/>
        </w:rPr>
        <w:t>s</w:t>
      </w:r>
      <w:r w:rsidRPr="007A3F1D" w:rsidR="007A3F1D">
        <w:rPr>
          <w:iCs/>
        </w:rPr>
        <w:t xml:space="preserve">ystem reliability and lead to instances of instability, uncontrolled separation, and cascading failures. </w:t>
      </w:r>
      <w:r w:rsidR="002A6E0A">
        <w:rPr>
          <w:iCs/>
        </w:rPr>
        <w:t xml:space="preserve"> </w:t>
      </w:r>
      <w:r w:rsidRPr="007A3F1D" w:rsidR="007A3F1D">
        <w:rPr>
          <w:iCs/>
        </w:rPr>
        <w:t xml:space="preserve">These requirements include retention periods that identify the period of time an entity is required to retain specific evidence to demonstrate compliance. </w:t>
      </w:r>
      <w:r w:rsidR="002A6E0A">
        <w:rPr>
          <w:iCs/>
        </w:rPr>
        <w:t xml:space="preserve"> </w:t>
      </w:r>
      <w:r w:rsidRPr="007A3F1D" w:rsidR="007A3F1D">
        <w:rPr>
          <w:iCs/>
        </w:rPr>
        <w:t>If a responsible entity is found non-compliant, it shall keep information related to the non-compliance until mitigation is complete and approved.</w:t>
      </w:r>
    </w:p>
    <w:p w:rsidR="003865F8" w:rsidRPr="003865F8" w:rsidP="003865F8" w14:paraId="6B04F07C" w14:textId="77777777">
      <w:pPr>
        <w:rPr>
          <w:iCs/>
        </w:rPr>
      </w:pPr>
    </w:p>
    <w:p w:rsidR="003865F8" w:rsidRPr="00261C0F" w:rsidP="00AC07B9" w14:paraId="378AC301" w14:textId="73F228FA">
      <w:pPr>
        <w:pStyle w:val="ListParagraph"/>
        <w:numPr>
          <w:ilvl w:val="0"/>
          <w:numId w:val="1"/>
        </w:numPr>
        <w:ind w:left="0" w:firstLine="0"/>
        <w:rPr>
          <w:b/>
          <w:iCs/>
        </w:rPr>
      </w:pPr>
      <w:r w:rsidRPr="004D03FA">
        <w:rPr>
          <w:b/>
          <w:iCs/>
        </w:rPr>
        <w:t>EXPLAIN ANY SPECIAL CIRCUMSTANCES RELATING TO THE INFORMATION COLLECTION</w:t>
      </w:r>
    </w:p>
    <w:p w:rsidR="00261C0F" w:rsidRPr="00261C0F" w:rsidP="00261C0F" w14:paraId="2C1AF236" w14:textId="77777777">
      <w:pPr>
        <w:rPr>
          <w:b/>
          <w:iCs/>
        </w:rPr>
      </w:pPr>
    </w:p>
    <w:p w:rsidR="00261C0F" w:rsidP="00261C0F" w14:paraId="09028D42" w14:textId="41325FF0">
      <w:pPr>
        <w:rPr>
          <w:szCs w:val="26"/>
        </w:rPr>
      </w:pPr>
      <w:r w:rsidRPr="00261C0F">
        <w:rPr>
          <w:szCs w:val="26"/>
        </w:rPr>
        <w:t>FERC-725</w:t>
      </w:r>
      <w:r>
        <w:rPr>
          <w:szCs w:val="26"/>
        </w:rPr>
        <w:t xml:space="preserve">D has </w:t>
      </w:r>
      <w:r w:rsidRPr="00261C0F">
        <w:rPr>
          <w:szCs w:val="26"/>
        </w:rPr>
        <w:t>no special circumstances associated with the information collection.</w:t>
      </w:r>
    </w:p>
    <w:p w:rsidR="00A72097" w:rsidRPr="00A72097" w:rsidP="00A72097" w14:paraId="5EDED7EE" w14:textId="77777777">
      <w:pPr>
        <w:rPr>
          <w:b/>
          <w:bCs/>
          <w:szCs w:val="26"/>
        </w:rPr>
      </w:pPr>
    </w:p>
    <w:p w:rsidR="00A72097" w:rsidRPr="00A72097" w:rsidP="00AC07B9" w14:paraId="260EA047" w14:textId="17F1A4D9">
      <w:pPr>
        <w:pStyle w:val="ListParagraph"/>
        <w:numPr>
          <w:ilvl w:val="0"/>
          <w:numId w:val="1"/>
        </w:numPr>
        <w:ind w:left="0" w:firstLine="0"/>
        <w:rPr>
          <w:b/>
          <w:szCs w:val="26"/>
        </w:rPr>
      </w:pPr>
      <w:r w:rsidRPr="00A72097">
        <w:rPr>
          <w:b/>
          <w:szCs w:val="26"/>
        </w:rPr>
        <w:t>DESCRIBE EFFORTS TO CONSULT OUTSIDE THE AGENCY: SUMMARIZE PUBLIC COMMENTS AND THE AGENCY’S RESPONSE</w:t>
      </w:r>
    </w:p>
    <w:p w:rsidR="00A72097" w:rsidRPr="00A72097" w:rsidP="00A72097" w14:paraId="1A277CF7" w14:textId="77777777">
      <w:pPr>
        <w:rPr>
          <w:szCs w:val="26"/>
        </w:rPr>
      </w:pPr>
    </w:p>
    <w:p w:rsidR="00D532E5" w:rsidP="00A72097" w14:paraId="4C0E22BE" w14:textId="77777777">
      <w:pPr>
        <w:rPr>
          <w:szCs w:val="26"/>
        </w:rPr>
      </w:pPr>
      <w:r w:rsidRPr="005D0CD6">
        <w:rPr>
          <w:szCs w:val="26"/>
        </w:rPr>
        <w:t>On November 23, 20</w:t>
      </w:r>
      <w:r w:rsidR="002A6E0A">
        <w:rPr>
          <w:szCs w:val="26"/>
        </w:rPr>
        <w:t>2</w:t>
      </w:r>
      <w:r w:rsidRPr="005D0CD6">
        <w:rPr>
          <w:szCs w:val="26"/>
        </w:rPr>
        <w:t>2</w:t>
      </w:r>
      <w:r w:rsidR="002A6E0A">
        <w:rPr>
          <w:szCs w:val="26"/>
        </w:rPr>
        <w:t>,</w:t>
      </w:r>
      <w:r w:rsidRPr="005D0CD6">
        <w:rPr>
          <w:szCs w:val="26"/>
        </w:rPr>
        <w:t xml:space="preserve"> the Commission </w:t>
      </w:r>
      <w:r>
        <w:rPr>
          <w:szCs w:val="26"/>
        </w:rPr>
        <w:t xml:space="preserve">included in the </w:t>
      </w:r>
      <w:r w:rsidRPr="005D0CD6">
        <w:rPr>
          <w:szCs w:val="26"/>
        </w:rPr>
        <w:t>order approving new Reliability Standards FAC-001-4 and FAC-002-4 (87 FR 71602)</w:t>
      </w:r>
      <w:r>
        <w:rPr>
          <w:szCs w:val="26"/>
        </w:rPr>
        <w:t xml:space="preserve"> </w:t>
      </w:r>
      <w:r w:rsidR="00D03EBE">
        <w:rPr>
          <w:szCs w:val="26"/>
        </w:rPr>
        <w:t>a 60-day notice for the associated information collection designated as FER</w:t>
      </w:r>
      <w:r w:rsidR="003245B5">
        <w:rPr>
          <w:szCs w:val="26"/>
        </w:rPr>
        <w:t>C</w:t>
      </w:r>
      <w:r w:rsidR="00D03EBE">
        <w:rPr>
          <w:szCs w:val="26"/>
        </w:rPr>
        <w:t>-725D(1</w:t>
      </w:r>
      <w:r w:rsidR="003245B5">
        <w:rPr>
          <w:szCs w:val="26"/>
        </w:rPr>
        <w:t>)</w:t>
      </w:r>
      <w:r w:rsidRPr="005D0CD6">
        <w:rPr>
          <w:szCs w:val="26"/>
        </w:rPr>
        <w:t>.</w:t>
      </w:r>
      <w:r w:rsidR="003245B5">
        <w:rPr>
          <w:szCs w:val="26"/>
        </w:rPr>
        <w:t xml:space="preserve">  </w:t>
      </w:r>
      <w:r w:rsidRPr="00A72097" w:rsidR="00A72097">
        <w:rPr>
          <w:szCs w:val="26"/>
        </w:rPr>
        <w:t xml:space="preserve">No comments were received in response to the 60-day </w:t>
      </w:r>
      <w:r w:rsidR="002A6E0A">
        <w:rPr>
          <w:szCs w:val="26"/>
        </w:rPr>
        <w:t>n</w:t>
      </w:r>
      <w:r w:rsidRPr="00A72097" w:rsidR="00A72097">
        <w:rPr>
          <w:szCs w:val="26"/>
        </w:rPr>
        <w:t>otice.</w:t>
      </w:r>
    </w:p>
    <w:p w:rsidR="00D532E5" w:rsidP="00A72097" w14:paraId="21895533" w14:textId="77777777">
      <w:pPr>
        <w:rPr>
          <w:szCs w:val="26"/>
        </w:rPr>
      </w:pPr>
    </w:p>
    <w:p w:rsidR="00CB7C2C" w:rsidP="00A72097" w14:paraId="11AD6708" w14:textId="02607814">
      <w:pPr>
        <w:rPr>
          <w:szCs w:val="26"/>
        </w:rPr>
      </w:pPr>
      <w:r>
        <w:rPr>
          <w:szCs w:val="26"/>
        </w:rPr>
        <w:t>T</w:t>
      </w:r>
      <w:r w:rsidR="00367AC5">
        <w:rPr>
          <w:szCs w:val="26"/>
        </w:rPr>
        <w:t>he Commission published a 30-day notice for FERC-725D(1)</w:t>
      </w:r>
      <w:r>
        <w:rPr>
          <w:szCs w:val="26"/>
        </w:rPr>
        <w:t xml:space="preserve"> on May 16, 2023</w:t>
      </w:r>
      <w:r>
        <w:rPr>
          <w:szCs w:val="26"/>
        </w:rPr>
        <w:t xml:space="preserve"> (88 FR 31258)</w:t>
      </w:r>
      <w:r w:rsidRPr="00A72097">
        <w:rPr>
          <w:szCs w:val="26"/>
        </w:rPr>
        <w:t>.</w:t>
      </w:r>
      <w:r w:rsidR="00AA0529">
        <w:rPr>
          <w:szCs w:val="26"/>
        </w:rPr>
        <w:t xml:space="preserve">  No comments were received in response to the </w:t>
      </w:r>
      <w:r w:rsidR="00864C12">
        <w:rPr>
          <w:szCs w:val="26"/>
        </w:rPr>
        <w:t>30-day notice.</w:t>
      </w:r>
    </w:p>
    <w:p w:rsidR="00864C12" w:rsidP="00A72097" w14:paraId="6379B9DD" w14:textId="77777777">
      <w:pPr>
        <w:rPr>
          <w:szCs w:val="26"/>
        </w:rPr>
      </w:pPr>
    </w:p>
    <w:p w:rsidR="00864C12" w:rsidP="00A72097" w14:paraId="2A6D7594" w14:textId="4099A5A7">
      <w:pPr>
        <w:rPr>
          <w:szCs w:val="26"/>
        </w:rPr>
      </w:pPr>
      <w:r>
        <w:rPr>
          <w:szCs w:val="26"/>
        </w:rPr>
        <w:t xml:space="preserve">As explained </w:t>
      </w:r>
      <w:r w:rsidR="00811D49">
        <w:rPr>
          <w:szCs w:val="26"/>
        </w:rPr>
        <w:t xml:space="preserve">above and </w:t>
      </w:r>
      <w:r>
        <w:rPr>
          <w:szCs w:val="26"/>
        </w:rPr>
        <w:t>in the</w:t>
      </w:r>
      <w:r w:rsidR="00811D49">
        <w:t xml:space="preserve"> order published on November 23, 2022, </w:t>
      </w:r>
      <w:r w:rsidRPr="00095811" w:rsidR="00811D49">
        <w:t xml:space="preserve">another information collection request pertaining to FERC-725D </w:t>
      </w:r>
      <w:r w:rsidR="00811D49">
        <w:t>was</w:t>
      </w:r>
      <w:r w:rsidRPr="00095811" w:rsidR="00811D49">
        <w:t xml:space="preserve"> pending at OMB</w:t>
      </w:r>
      <w:r w:rsidR="008C6E49">
        <w:t xml:space="preserve"> at that time</w:t>
      </w:r>
      <w:r w:rsidRPr="00095811" w:rsidR="00811D49">
        <w:t xml:space="preserve">, and FERC-725D(1) </w:t>
      </w:r>
      <w:r w:rsidR="00811D49">
        <w:t>wa</w:t>
      </w:r>
      <w:r w:rsidRPr="00095811" w:rsidR="00811D49">
        <w:t xml:space="preserve">s </w:t>
      </w:r>
      <w:r w:rsidR="00811D49">
        <w:t xml:space="preserve">designated as </w:t>
      </w:r>
      <w:r w:rsidRPr="00095811" w:rsidR="00811D49">
        <w:t>a temporary placeholder number to avoid conflicting with the pending request already submitted to OMB regarding FERC-725D.</w:t>
      </w:r>
      <w:r w:rsidR="00811D49">
        <w:t xml:space="preserve"> </w:t>
      </w:r>
      <w:r w:rsidR="008E0CBB">
        <w:t xml:space="preserve"> </w:t>
      </w:r>
      <w:r w:rsidR="00354B5D">
        <w:t>Subsequently, OMB approved the previously pending information collection request</w:t>
      </w:r>
      <w:r w:rsidR="00CD0772">
        <w:t>, and we now seek approval of the new Reliability Standards in FERC-725D.</w:t>
      </w:r>
    </w:p>
    <w:p w:rsidR="00303E8F" w:rsidRPr="00303E8F" w:rsidP="00303E8F" w14:paraId="702A39CC" w14:textId="77777777">
      <w:pPr>
        <w:rPr>
          <w:szCs w:val="26"/>
        </w:rPr>
      </w:pPr>
    </w:p>
    <w:p w:rsidR="00303E8F" w:rsidRPr="00303E8F" w:rsidP="00C14AC3" w14:paraId="1EF8399A" w14:textId="40245581">
      <w:pPr>
        <w:pStyle w:val="ListParagraph"/>
        <w:numPr>
          <w:ilvl w:val="0"/>
          <w:numId w:val="1"/>
        </w:numPr>
        <w:ind w:left="0" w:firstLine="0"/>
        <w:rPr>
          <w:b/>
          <w:szCs w:val="26"/>
        </w:rPr>
      </w:pPr>
      <w:r w:rsidRPr="00303E8F">
        <w:rPr>
          <w:b/>
          <w:szCs w:val="26"/>
        </w:rPr>
        <w:t>EXPLAIN ANY PAYMENT OR GIFTS TO RESPONDENTS</w:t>
      </w:r>
    </w:p>
    <w:p w:rsidR="00303E8F" w:rsidRPr="00303E8F" w:rsidP="00303E8F" w14:paraId="33C69167" w14:textId="77777777">
      <w:pPr>
        <w:rPr>
          <w:szCs w:val="26"/>
        </w:rPr>
      </w:pPr>
    </w:p>
    <w:p w:rsidR="00303E8F" w:rsidRPr="00303E8F" w:rsidP="00303E8F" w14:paraId="63C4E8B1" w14:textId="77777777">
      <w:pPr>
        <w:rPr>
          <w:szCs w:val="26"/>
        </w:rPr>
      </w:pPr>
      <w:r w:rsidRPr="00303E8F">
        <w:rPr>
          <w:szCs w:val="26"/>
        </w:rPr>
        <w:t>The Commission does not make payments or provide gifts for respondents related to this collection.</w:t>
      </w:r>
    </w:p>
    <w:p w:rsidR="00303E8F" w:rsidRPr="00303E8F" w:rsidP="00303E8F" w14:paraId="141FCB0F" w14:textId="77777777">
      <w:pPr>
        <w:rPr>
          <w:szCs w:val="26"/>
        </w:rPr>
      </w:pPr>
    </w:p>
    <w:p w:rsidR="00303E8F" w:rsidRPr="00303E8F" w:rsidP="00C14AC3" w14:paraId="22BDC27C" w14:textId="77777777">
      <w:pPr>
        <w:numPr>
          <w:ilvl w:val="0"/>
          <w:numId w:val="6"/>
        </w:numPr>
        <w:ind w:left="0" w:firstLine="0"/>
        <w:rPr>
          <w:b/>
          <w:szCs w:val="26"/>
        </w:rPr>
      </w:pPr>
      <w:r w:rsidRPr="00303E8F">
        <w:rPr>
          <w:b/>
          <w:szCs w:val="26"/>
        </w:rPr>
        <w:t>DESCRIBE ANY ASSURANCE OF CONFIDENTIALITY PROVIDED TO RESPONDENTS</w:t>
      </w:r>
    </w:p>
    <w:p w:rsidR="00303E8F" w:rsidRPr="00303E8F" w:rsidP="00303E8F" w14:paraId="64DAE630" w14:textId="77777777">
      <w:pPr>
        <w:rPr>
          <w:szCs w:val="26"/>
        </w:rPr>
      </w:pPr>
    </w:p>
    <w:p w:rsidR="00303E8F" w:rsidRPr="00303E8F" w:rsidP="00303E8F" w14:paraId="3CBDA2CB" w14:textId="77777777">
      <w:pPr>
        <w:rPr>
          <w:szCs w:val="26"/>
        </w:rPr>
      </w:pPr>
      <w:r w:rsidRPr="00303E8F">
        <w:rPr>
          <w:szCs w:val="26"/>
        </w:rPr>
        <w:t>There are no specific assurances of confidentiality mentioned to respondents.</w:t>
      </w:r>
    </w:p>
    <w:p w:rsidR="00303E8F" w:rsidRPr="00303E8F" w:rsidP="00303E8F" w14:paraId="521B1A0A" w14:textId="77777777">
      <w:pPr>
        <w:rPr>
          <w:szCs w:val="26"/>
        </w:rPr>
      </w:pPr>
    </w:p>
    <w:p w:rsidR="00303E8F" w:rsidRPr="00303E8F" w:rsidP="00C14AC3" w14:paraId="74C2D8BB" w14:textId="77777777">
      <w:pPr>
        <w:numPr>
          <w:ilvl w:val="0"/>
          <w:numId w:val="6"/>
        </w:numPr>
        <w:ind w:left="0" w:firstLine="0"/>
        <w:rPr>
          <w:b/>
          <w:szCs w:val="26"/>
        </w:rPr>
      </w:pPr>
      <w:r w:rsidRPr="00303E8F">
        <w:rPr>
          <w:b/>
          <w:szCs w:val="26"/>
        </w:rPr>
        <w:t>PROVIDE ADDITIONAL JUSTIFICATION FOR ANY QUESTIONS OF A SENSITIVE NATURE</w:t>
      </w:r>
    </w:p>
    <w:p w:rsidR="00303E8F" w:rsidRPr="00303E8F" w:rsidP="00303E8F" w14:paraId="72017BBC" w14:textId="77777777">
      <w:pPr>
        <w:rPr>
          <w:szCs w:val="26"/>
        </w:rPr>
      </w:pPr>
    </w:p>
    <w:p w:rsidR="00303E8F" w:rsidP="00303E8F" w14:paraId="3DF4DA9A" w14:textId="6E04F531">
      <w:pPr>
        <w:rPr>
          <w:szCs w:val="26"/>
        </w:rPr>
      </w:pPr>
      <w:r w:rsidRPr="00303E8F">
        <w:rPr>
          <w:szCs w:val="26"/>
        </w:rPr>
        <w:t>This collection does not include any questions of a sensitive nature.</w:t>
      </w:r>
    </w:p>
    <w:p w:rsidR="00896D26" w:rsidRPr="00896D26" w:rsidP="00896D26" w14:paraId="6A8CE1F2" w14:textId="77777777">
      <w:pPr>
        <w:rPr>
          <w:szCs w:val="26"/>
        </w:rPr>
      </w:pPr>
    </w:p>
    <w:p w:rsidR="00896D26" w:rsidRPr="00896D26" w:rsidP="00C14AC3" w14:paraId="39C4E6AB" w14:textId="6422E369">
      <w:pPr>
        <w:pStyle w:val="ListParagraph"/>
        <w:numPr>
          <w:ilvl w:val="0"/>
          <w:numId w:val="6"/>
        </w:numPr>
        <w:ind w:left="0" w:firstLine="0"/>
        <w:rPr>
          <w:b/>
          <w:szCs w:val="26"/>
        </w:rPr>
      </w:pPr>
      <w:r w:rsidRPr="00896D26">
        <w:rPr>
          <w:b/>
          <w:szCs w:val="26"/>
        </w:rPr>
        <w:t>ESTIMATED BURDEN OF COLLECTION OF INFORMATION</w:t>
      </w:r>
    </w:p>
    <w:p w:rsidR="00896D26" w:rsidP="00896D26" w14:paraId="297B117B" w14:textId="1E796654">
      <w:pPr>
        <w:rPr>
          <w:b/>
          <w:szCs w:val="26"/>
        </w:rPr>
      </w:pPr>
    </w:p>
    <w:p w:rsidR="006F4A6A" w:rsidP="006F4A6A" w14:paraId="56CE53C3" w14:textId="001BCB7D">
      <w:pPr>
        <w:rPr>
          <w:bCs/>
          <w:iCs/>
          <w:szCs w:val="26"/>
        </w:rPr>
      </w:pPr>
      <w:r w:rsidRPr="006F4A6A">
        <w:rPr>
          <w:bCs/>
          <w:szCs w:val="26"/>
        </w:rPr>
        <w:t>The</w:t>
      </w:r>
      <w:r w:rsidRPr="006F4A6A">
        <w:rPr>
          <w:bCs/>
          <w:iCs/>
          <w:szCs w:val="26"/>
        </w:rPr>
        <w:t xml:space="preserve"> responsibilities of applicable entities for </w:t>
      </w:r>
      <w:r w:rsidR="002A6E0A">
        <w:rPr>
          <w:bCs/>
          <w:iCs/>
          <w:szCs w:val="26"/>
        </w:rPr>
        <w:t xml:space="preserve">Reliability Standard </w:t>
      </w:r>
      <w:r w:rsidRPr="006F4A6A">
        <w:rPr>
          <w:bCs/>
          <w:iCs/>
          <w:szCs w:val="26"/>
        </w:rPr>
        <w:t xml:space="preserve">FAC-001-4 (i.e., transmission owners and generator owners) are the same as those </w:t>
      </w:r>
      <w:r w:rsidR="009F041F">
        <w:rPr>
          <w:bCs/>
          <w:iCs/>
          <w:szCs w:val="26"/>
        </w:rPr>
        <w:t xml:space="preserve">previously </w:t>
      </w:r>
      <w:r w:rsidRPr="006F4A6A">
        <w:rPr>
          <w:bCs/>
          <w:iCs/>
          <w:szCs w:val="26"/>
        </w:rPr>
        <w:t xml:space="preserve">approved for Reliability Standard FAC-001-3 </w:t>
      </w:r>
      <w:r w:rsidR="0001683E">
        <w:rPr>
          <w:bCs/>
          <w:iCs/>
          <w:szCs w:val="26"/>
        </w:rPr>
        <w:t>(Documentation and Updates)</w:t>
      </w:r>
      <w:r w:rsidRPr="006F4A6A">
        <w:rPr>
          <w:bCs/>
          <w:iCs/>
          <w:szCs w:val="26"/>
        </w:rPr>
        <w:t>.</w:t>
      </w:r>
    </w:p>
    <w:p w:rsidR="00921371" w14:paraId="07D98172" w14:textId="2B5227DD">
      <w:pPr>
        <w:widowControl/>
        <w:autoSpaceDE/>
        <w:autoSpaceDN/>
        <w:adjustRightInd/>
        <w:spacing w:after="160" w:line="259" w:lineRule="auto"/>
        <w:rPr>
          <w:bCs/>
          <w:iCs/>
          <w:szCs w:val="26"/>
        </w:rPr>
      </w:pPr>
      <w:r>
        <w:rPr>
          <w:bCs/>
          <w:iCs/>
          <w:szCs w:val="26"/>
        </w:rPr>
        <w:br w:type="page"/>
      </w:r>
    </w:p>
    <w:p w:rsidR="00BE76B0" w:rsidP="006F4A6A" w14:paraId="1AD1BD81" w14:textId="77777777">
      <w:pPr>
        <w:rPr>
          <w:bCs/>
          <w:iCs/>
          <w:szCs w:val="26"/>
        </w:rPr>
      </w:pPr>
    </w:p>
    <w:p w:rsidR="004578C0" w:rsidP="008F0729" w14:paraId="026B0AFB" w14:textId="5D24ED91">
      <w:pPr>
        <w:rPr>
          <w:bCs/>
          <w:iCs/>
          <w:szCs w:val="26"/>
        </w:rPr>
      </w:pPr>
      <w:r>
        <w:rPr>
          <w:bCs/>
          <w:iCs/>
          <w:szCs w:val="26"/>
        </w:rPr>
        <w:t xml:space="preserve">Compared </w:t>
      </w:r>
      <w:r w:rsidR="00465361">
        <w:rPr>
          <w:bCs/>
          <w:iCs/>
          <w:szCs w:val="26"/>
        </w:rPr>
        <w:t>to Reliability Standard FAC-002-3</w:t>
      </w:r>
      <w:r w:rsidR="009D07EC">
        <w:rPr>
          <w:bCs/>
          <w:iCs/>
          <w:szCs w:val="26"/>
        </w:rPr>
        <w:t xml:space="preserve"> (St</w:t>
      </w:r>
      <w:r w:rsidR="00E05946">
        <w:rPr>
          <w:bCs/>
          <w:iCs/>
          <w:szCs w:val="26"/>
        </w:rPr>
        <w:t>udy and Coordination)</w:t>
      </w:r>
      <w:r w:rsidR="00465361">
        <w:rPr>
          <w:bCs/>
          <w:iCs/>
          <w:szCs w:val="26"/>
        </w:rPr>
        <w:t xml:space="preserve">, </w:t>
      </w:r>
      <w:r w:rsidR="002A6E0A">
        <w:rPr>
          <w:bCs/>
          <w:iCs/>
          <w:szCs w:val="26"/>
        </w:rPr>
        <w:t xml:space="preserve">Reliability Standard </w:t>
      </w:r>
      <w:r w:rsidRPr="006F4A6A" w:rsidR="006F4A6A">
        <w:rPr>
          <w:bCs/>
          <w:iCs/>
          <w:szCs w:val="26"/>
        </w:rPr>
        <w:t xml:space="preserve">FAC-002-4 </w:t>
      </w:r>
      <w:r w:rsidR="00E05946">
        <w:rPr>
          <w:bCs/>
          <w:iCs/>
          <w:szCs w:val="26"/>
        </w:rPr>
        <w:t xml:space="preserve">(Study and Coordination) </w:t>
      </w:r>
      <w:r w:rsidRPr="006F4A6A" w:rsidR="006F4A6A">
        <w:rPr>
          <w:bCs/>
          <w:iCs/>
          <w:szCs w:val="26"/>
        </w:rPr>
        <w:t>represents a minor additional burden to planning coordinators, due to the requirement that they develop the definition of “qualified change” for new and existing interconnections of generation, transmission</w:t>
      </w:r>
      <w:r w:rsidR="002A6E0A">
        <w:rPr>
          <w:bCs/>
          <w:iCs/>
          <w:szCs w:val="26"/>
        </w:rPr>
        <w:t>,</w:t>
      </w:r>
      <w:r w:rsidRPr="006F4A6A" w:rsidR="006F4A6A">
        <w:rPr>
          <w:bCs/>
          <w:iCs/>
          <w:szCs w:val="26"/>
        </w:rPr>
        <w:t xml:space="preserve"> or electricity end user facilities.  This burden is expected to be greater in years one and two than in year three and beyond for FAC-002-4.  The burden and cost estimates for </w:t>
      </w:r>
      <w:r w:rsidR="002A6E0A">
        <w:rPr>
          <w:bCs/>
          <w:iCs/>
          <w:szCs w:val="26"/>
        </w:rPr>
        <w:t xml:space="preserve">Reliability Standard </w:t>
      </w:r>
      <w:r w:rsidRPr="006F4A6A" w:rsidR="006F4A6A">
        <w:rPr>
          <w:bCs/>
          <w:iCs/>
          <w:szCs w:val="26"/>
        </w:rPr>
        <w:t xml:space="preserve">FAC-002-4 </w:t>
      </w:r>
      <w:r w:rsidR="00905C6A">
        <w:rPr>
          <w:bCs/>
          <w:iCs/>
          <w:szCs w:val="26"/>
        </w:rPr>
        <w:t xml:space="preserve">(Study and Coordination) </w:t>
      </w:r>
      <w:r w:rsidRPr="006F4A6A" w:rsidR="006F4A6A">
        <w:rPr>
          <w:bCs/>
          <w:iCs/>
          <w:szCs w:val="26"/>
        </w:rPr>
        <w:t xml:space="preserve">are based on the increase in the reporting and recordkeeping burden imposed by the revised Reliability Standards.  Our estimates are based on the NERC </w:t>
      </w:r>
      <w:r w:rsidR="00E928CE">
        <w:rPr>
          <w:bCs/>
          <w:iCs/>
          <w:szCs w:val="26"/>
        </w:rPr>
        <w:t xml:space="preserve">Petition for Approval of </w:t>
      </w:r>
      <w:r w:rsidR="007C592B">
        <w:rPr>
          <w:bCs/>
          <w:iCs/>
          <w:szCs w:val="26"/>
        </w:rPr>
        <w:t xml:space="preserve">Reliability Standards </w:t>
      </w:r>
      <w:r w:rsidR="00E928CE">
        <w:rPr>
          <w:bCs/>
          <w:iCs/>
          <w:szCs w:val="26"/>
        </w:rPr>
        <w:t>FAC-001-</w:t>
      </w:r>
      <w:r w:rsidR="007C592B">
        <w:rPr>
          <w:bCs/>
          <w:iCs/>
          <w:szCs w:val="26"/>
        </w:rPr>
        <w:t xml:space="preserve">4 and FAC-002-4, which states that the </w:t>
      </w:r>
      <w:r w:rsidRPr="006F4A6A" w:rsidR="006F4A6A">
        <w:rPr>
          <w:bCs/>
          <w:iCs/>
          <w:szCs w:val="26"/>
        </w:rPr>
        <w:t>Compliance Registry indicates</w:t>
      </w:r>
      <w:r w:rsidR="00400D0D">
        <w:rPr>
          <w:bCs/>
          <w:iCs/>
          <w:szCs w:val="26"/>
        </w:rPr>
        <w:t xml:space="preserve"> that there are</w:t>
      </w:r>
      <w:r w:rsidRPr="006F4A6A" w:rsidR="006F4A6A">
        <w:rPr>
          <w:bCs/>
          <w:iCs/>
          <w:szCs w:val="26"/>
        </w:rPr>
        <w:t xml:space="preserve"> </w:t>
      </w:r>
      <w:r w:rsidR="0022300D">
        <w:rPr>
          <w:bCs/>
          <w:iCs/>
          <w:szCs w:val="26"/>
        </w:rPr>
        <w:t>62</w:t>
      </w:r>
      <w:r w:rsidRPr="006F4A6A" w:rsidR="006F4A6A">
        <w:rPr>
          <w:bCs/>
          <w:iCs/>
          <w:szCs w:val="26"/>
        </w:rPr>
        <w:t xml:space="preserve"> planning coordinators.</w:t>
      </w:r>
    </w:p>
    <w:p w:rsidR="003226D2" w:rsidP="001D7B3F" w14:paraId="578B4179" w14:textId="49C70080">
      <w:pPr>
        <w:jc w:val="center"/>
        <w:rPr>
          <w:b/>
          <w:bCs/>
          <w:iCs/>
          <w:szCs w:val="26"/>
        </w:rPr>
      </w:pPr>
    </w:p>
    <w:p w:rsidR="006F4A6A" w:rsidRPr="006F4A6A" w:rsidP="001D7B3F" w14:paraId="475E90DF" w14:textId="11693AEA">
      <w:pPr>
        <w:jc w:val="center"/>
        <w:rPr>
          <w:b/>
          <w:bCs/>
          <w:iCs/>
          <w:szCs w:val="26"/>
        </w:rPr>
      </w:pPr>
      <w:r>
        <w:rPr>
          <w:b/>
          <w:bCs/>
          <w:iCs/>
          <w:szCs w:val="26"/>
        </w:rPr>
        <w:t>Est</w:t>
      </w:r>
      <w:r w:rsidRPr="006F4A6A">
        <w:rPr>
          <w:b/>
          <w:bCs/>
          <w:iCs/>
          <w:szCs w:val="26"/>
        </w:rPr>
        <w:t>imated</w:t>
      </w:r>
      <w:r w:rsidR="00F43677">
        <w:rPr>
          <w:b/>
          <w:bCs/>
          <w:iCs/>
          <w:szCs w:val="26"/>
        </w:rPr>
        <w:t xml:space="preserve"> Annual</w:t>
      </w:r>
      <w:r w:rsidRPr="006F4A6A">
        <w:rPr>
          <w:b/>
          <w:bCs/>
          <w:iCs/>
          <w:szCs w:val="26"/>
        </w:rPr>
        <w:t xml:space="preserve"> Burdens for FAC-002-4</w:t>
      </w:r>
      <w:r w:rsidR="006B533F">
        <w:rPr>
          <w:b/>
          <w:bCs/>
          <w:iCs/>
          <w:szCs w:val="26"/>
        </w:rPr>
        <w:t xml:space="preserve"> (Study and Coordination)</w:t>
      </w:r>
    </w:p>
    <w:p w:rsidR="006F4A6A" w:rsidRPr="006F4A6A" w:rsidP="006F4A6A" w14:paraId="11E89EE5" w14:textId="77777777">
      <w:pPr>
        <w:rPr>
          <w:b/>
          <w:bCs/>
          <w:iCs/>
          <w:szCs w:val="26"/>
        </w:rPr>
      </w:pPr>
    </w:p>
    <w:tbl>
      <w:tblPr>
        <w:tblW w:w="0" w:type="auto"/>
        <w:tblLook w:val="04A0"/>
      </w:tblPr>
      <w:tblGrid>
        <w:gridCol w:w="2059"/>
        <w:gridCol w:w="2058"/>
        <w:gridCol w:w="1624"/>
        <w:gridCol w:w="2089"/>
        <w:gridCol w:w="1520"/>
      </w:tblGrid>
      <w:tr w14:paraId="5D5A5258" w14:textId="77777777" w:rsidTr="001B43A6">
        <w:tblPrEx>
          <w:tblW w:w="0" w:type="auto"/>
          <w:tblLook w:val="04A0"/>
        </w:tblPrEx>
        <w:trPr>
          <w:trHeight w:val="1953"/>
        </w:trPr>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F4A6A" w:rsidRPr="006F4A6A" w:rsidP="001B43A6" w14:paraId="24246F8A" w14:textId="77777777">
            <w:pPr>
              <w:jc w:val="center"/>
              <w:rPr>
                <w:b/>
                <w:iCs/>
                <w:szCs w:val="26"/>
              </w:rPr>
            </w:pPr>
            <w:r w:rsidRPr="006F4A6A">
              <w:rPr>
                <w:b/>
                <w:iCs/>
                <w:szCs w:val="26"/>
              </w:rPr>
              <w:t>A.</w:t>
            </w:r>
          </w:p>
          <w:p w:rsidR="006F4A6A" w:rsidRPr="006F4A6A" w:rsidP="001B43A6" w14:paraId="24D7CB64" w14:textId="12C4255F">
            <w:pPr>
              <w:jc w:val="center"/>
              <w:rPr>
                <w:b/>
                <w:iCs/>
                <w:szCs w:val="26"/>
              </w:rPr>
            </w:pPr>
            <w:r w:rsidRPr="006F4A6A">
              <w:rPr>
                <w:b/>
                <w:iCs/>
                <w:szCs w:val="26"/>
              </w:rPr>
              <w:t>Type and Numbers of Respondents</w:t>
            </w:r>
            <w:r>
              <w:rPr>
                <w:rStyle w:val="FootnoteReference"/>
                <w:b/>
                <w:iCs/>
                <w:szCs w:val="26"/>
                <w:vertAlign w:val="superscript"/>
              </w:rPr>
              <w:footnoteReference w:id="8"/>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F4A6A" w:rsidRPr="006F4A6A" w:rsidP="001B43A6" w14:paraId="05A26F08" w14:textId="77777777">
            <w:pPr>
              <w:jc w:val="center"/>
              <w:rPr>
                <w:b/>
                <w:iCs/>
                <w:szCs w:val="26"/>
              </w:rPr>
            </w:pPr>
            <w:r w:rsidRPr="006F4A6A">
              <w:rPr>
                <w:b/>
                <w:iCs/>
                <w:szCs w:val="26"/>
              </w:rPr>
              <w:t>B.</w:t>
            </w:r>
          </w:p>
          <w:p w:rsidR="006F4A6A" w:rsidRPr="006F4A6A" w:rsidP="001B43A6" w14:paraId="438A461F" w14:textId="77777777">
            <w:pPr>
              <w:jc w:val="center"/>
              <w:rPr>
                <w:b/>
                <w:iCs/>
                <w:szCs w:val="26"/>
              </w:rPr>
            </w:pPr>
            <w:r w:rsidRPr="006F4A6A">
              <w:rPr>
                <w:b/>
                <w:iCs/>
                <w:szCs w:val="26"/>
              </w:rPr>
              <w:t>Number of Annual Responses Per Respondent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F4A6A" w:rsidRPr="006F4A6A" w:rsidP="001B43A6" w14:paraId="2AB0E04A" w14:textId="77777777">
            <w:pPr>
              <w:jc w:val="center"/>
              <w:rPr>
                <w:b/>
                <w:iCs/>
                <w:szCs w:val="26"/>
              </w:rPr>
            </w:pPr>
            <w:r w:rsidRPr="006F4A6A">
              <w:rPr>
                <w:b/>
                <w:iCs/>
                <w:szCs w:val="26"/>
              </w:rPr>
              <w:t>C.</w:t>
            </w:r>
          </w:p>
          <w:p w:rsidR="006F4A6A" w:rsidRPr="006F4A6A" w:rsidP="001B43A6" w14:paraId="5E99463B" w14:textId="77777777">
            <w:pPr>
              <w:jc w:val="center"/>
              <w:rPr>
                <w:b/>
                <w:iCs/>
                <w:szCs w:val="26"/>
              </w:rPr>
            </w:pPr>
            <w:r w:rsidRPr="006F4A6A">
              <w:rPr>
                <w:b/>
                <w:iCs/>
                <w:szCs w:val="26"/>
              </w:rPr>
              <w:t>Total Number of Responses</w:t>
            </w:r>
          </w:p>
          <w:p w:rsidR="006F4A6A" w:rsidRPr="006F4A6A" w:rsidP="001B43A6" w14:paraId="39282CFC" w14:textId="77777777">
            <w:pPr>
              <w:jc w:val="center"/>
              <w:rPr>
                <w:b/>
                <w:iCs/>
                <w:szCs w:val="26"/>
              </w:rPr>
            </w:pPr>
            <w:r w:rsidRPr="006F4A6A">
              <w:rPr>
                <w:b/>
                <w:iCs/>
                <w:szCs w:val="26"/>
              </w:rPr>
              <w:t>(Column A x Column 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F4A6A" w:rsidRPr="006F4A6A" w:rsidP="001B43A6" w14:paraId="55529A6F" w14:textId="77777777">
            <w:pPr>
              <w:jc w:val="center"/>
              <w:rPr>
                <w:b/>
                <w:iCs/>
                <w:szCs w:val="26"/>
              </w:rPr>
            </w:pPr>
            <w:r w:rsidRPr="006F4A6A">
              <w:rPr>
                <w:b/>
                <w:iCs/>
                <w:szCs w:val="26"/>
              </w:rPr>
              <w:t>D.</w:t>
            </w:r>
          </w:p>
          <w:p w:rsidR="006F4A6A" w:rsidRPr="006F4A6A" w:rsidP="001B43A6" w14:paraId="5CFB7AD3" w14:textId="7F551F64">
            <w:pPr>
              <w:jc w:val="center"/>
              <w:rPr>
                <w:b/>
                <w:iCs/>
                <w:szCs w:val="26"/>
              </w:rPr>
            </w:pPr>
            <w:r w:rsidRPr="006F4A6A">
              <w:rPr>
                <w:b/>
                <w:iCs/>
                <w:szCs w:val="26"/>
              </w:rPr>
              <w:t>Average Number of Burden Hours and Cost per Response</w:t>
            </w:r>
            <w:r>
              <w:rPr>
                <w:rStyle w:val="FootnoteReference"/>
                <w:b/>
                <w:iCs/>
                <w:szCs w:val="26"/>
                <w:vertAlign w:val="superscript"/>
              </w:rPr>
              <w:footnoteReference w:id="9"/>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6F4A6A" w:rsidRPr="006F4A6A" w:rsidP="001B43A6" w14:paraId="36A3DD13" w14:textId="77777777">
            <w:pPr>
              <w:jc w:val="center"/>
              <w:rPr>
                <w:b/>
                <w:iCs/>
                <w:szCs w:val="26"/>
              </w:rPr>
            </w:pPr>
            <w:r w:rsidRPr="006F4A6A">
              <w:rPr>
                <w:b/>
                <w:iCs/>
                <w:szCs w:val="26"/>
              </w:rPr>
              <w:t>E.</w:t>
            </w:r>
          </w:p>
          <w:p w:rsidR="006F4A6A" w:rsidRPr="006F4A6A" w:rsidP="001B43A6" w14:paraId="4764F55F" w14:textId="77777777">
            <w:pPr>
              <w:jc w:val="center"/>
              <w:rPr>
                <w:b/>
                <w:iCs/>
                <w:szCs w:val="26"/>
              </w:rPr>
            </w:pPr>
            <w:r w:rsidRPr="006F4A6A">
              <w:rPr>
                <w:b/>
                <w:iCs/>
                <w:szCs w:val="26"/>
              </w:rPr>
              <w:t>Total Burden Hours and Cost</w:t>
            </w:r>
          </w:p>
          <w:p w:rsidR="006F4A6A" w:rsidRPr="006F4A6A" w:rsidP="001B43A6" w14:paraId="072624B1" w14:textId="77777777">
            <w:pPr>
              <w:jc w:val="center"/>
              <w:rPr>
                <w:b/>
                <w:iCs/>
                <w:szCs w:val="26"/>
              </w:rPr>
            </w:pPr>
            <w:r w:rsidRPr="006F4A6A">
              <w:rPr>
                <w:b/>
                <w:iCs/>
                <w:szCs w:val="26"/>
              </w:rPr>
              <w:t>(Column C x  Column D)</w:t>
            </w:r>
          </w:p>
        </w:tc>
      </w:tr>
      <w:tr w14:paraId="2DC4AA4D" w14:textId="77777777" w:rsidTr="001B43A6">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6D15F513" w14:textId="0F3A22A2">
            <w:pPr>
              <w:jc w:val="center"/>
              <w:rPr>
                <w:bCs/>
                <w:iCs/>
                <w:szCs w:val="26"/>
              </w:rPr>
            </w:pPr>
            <w:r>
              <w:rPr>
                <w:bCs/>
                <w:iCs/>
                <w:szCs w:val="26"/>
              </w:rPr>
              <w:t>62</w:t>
            </w:r>
            <w:r w:rsidRPr="006F4A6A">
              <w:rPr>
                <w:bCs/>
                <w:iCs/>
                <w:szCs w:val="26"/>
              </w:rPr>
              <w:t xml:space="preserve"> PCs</w:t>
            </w:r>
          </w:p>
          <w:p w:rsidR="006F4A6A" w:rsidRPr="006F4A6A" w:rsidP="001B43A6" w14:paraId="7E67C472" w14:textId="77777777">
            <w:pPr>
              <w:jc w:val="center"/>
              <w:rPr>
                <w:bCs/>
                <w:iCs/>
                <w:szCs w:val="26"/>
              </w:rPr>
            </w:pPr>
            <w:r w:rsidRPr="006F4A6A">
              <w:rPr>
                <w:bCs/>
                <w:iCs/>
                <w:szCs w:val="26"/>
              </w:rPr>
              <w:t>Years 1 and 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6DE85501" w14:textId="77777777">
            <w:pPr>
              <w:jc w:val="right"/>
              <w:rPr>
                <w:bCs/>
                <w:iCs/>
                <w:szCs w:val="26"/>
              </w:rPr>
            </w:pPr>
            <w:r w:rsidRPr="006F4A6A">
              <w:rPr>
                <w:bCs/>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0511F07E" w14:textId="5FB1A673">
            <w:pPr>
              <w:jc w:val="right"/>
              <w:rPr>
                <w:bCs/>
                <w:iCs/>
                <w:szCs w:val="26"/>
              </w:rPr>
            </w:pPr>
            <w:r>
              <w:rPr>
                <w:bCs/>
                <w:iCs/>
                <w:szCs w:val="26"/>
              </w:rPr>
              <w:t>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1C43BF42" w14:textId="77777777">
            <w:pPr>
              <w:jc w:val="right"/>
              <w:rPr>
                <w:bCs/>
                <w:iCs/>
                <w:szCs w:val="26"/>
              </w:rPr>
            </w:pPr>
            <w:r w:rsidRPr="006F4A6A">
              <w:rPr>
                <w:bCs/>
                <w:iCs/>
                <w:szCs w:val="26"/>
              </w:rPr>
              <w:t>120 hrs.;</w:t>
            </w:r>
          </w:p>
          <w:p w:rsidR="006F4A6A" w:rsidRPr="006F4A6A" w:rsidP="001B43A6" w14:paraId="6E0D0444" w14:textId="0C2DB848">
            <w:pPr>
              <w:jc w:val="right"/>
              <w:rPr>
                <w:bCs/>
                <w:iCs/>
                <w:szCs w:val="26"/>
              </w:rPr>
            </w:pPr>
            <w:r w:rsidRPr="006F4A6A">
              <w:rPr>
                <w:bCs/>
                <w:iCs/>
                <w:szCs w:val="26"/>
              </w:rPr>
              <w:t>$</w:t>
            </w:r>
            <w:r w:rsidR="003F347D">
              <w:rPr>
                <w:bCs/>
                <w:iCs/>
                <w:szCs w:val="26"/>
              </w:rPr>
              <w:t>12,000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046994E0" w14:textId="1255BB3C">
            <w:pPr>
              <w:jc w:val="right"/>
              <w:rPr>
                <w:bCs/>
                <w:iCs/>
                <w:szCs w:val="26"/>
              </w:rPr>
            </w:pPr>
            <w:r>
              <w:rPr>
                <w:bCs/>
                <w:iCs/>
                <w:szCs w:val="26"/>
              </w:rPr>
              <w:t>7,440</w:t>
            </w:r>
            <w:r w:rsidR="00CC2A67">
              <w:rPr>
                <w:bCs/>
                <w:iCs/>
                <w:szCs w:val="26"/>
              </w:rPr>
              <w:t xml:space="preserve"> </w:t>
            </w:r>
            <w:r w:rsidRPr="006F4A6A">
              <w:rPr>
                <w:bCs/>
                <w:iCs/>
                <w:szCs w:val="26"/>
              </w:rPr>
              <w:t>hrs.;</w:t>
            </w:r>
          </w:p>
          <w:p w:rsidR="006F4A6A" w:rsidRPr="006F4A6A" w:rsidP="001B43A6" w14:paraId="618105B4" w14:textId="1E7F5911">
            <w:pPr>
              <w:jc w:val="right"/>
              <w:rPr>
                <w:bCs/>
                <w:iCs/>
                <w:szCs w:val="26"/>
              </w:rPr>
            </w:pPr>
            <w:r w:rsidRPr="006F4A6A">
              <w:rPr>
                <w:bCs/>
                <w:iCs/>
                <w:szCs w:val="26"/>
              </w:rPr>
              <w:t>$</w:t>
            </w:r>
            <w:r w:rsidR="006F0A3F">
              <w:rPr>
                <w:bCs/>
                <w:iCs/>
                <w:szCs w:val="26"/>
              </w:rPr>
              <w:t>744,000</w:t>
            </w:r>
          </w:p>
        </w:tc>
      </w:tr>
      <w:tr w14:paraId="7523C04C" w14:textId="77777777" w:rsidTr="001B43A6">
        <w:tblPrEx>
          <w:tblW w:w="0" w:type="auto"/>
          <w:tblLook w:val="04A0"/>
        </w:tblPrEx>
        <w:tc>
          <w:tcPr>
            <w:tcW w:w="0" w:type="auto"/>
            <w:tcBorders>
              <w:top w:val="single" w:sz="4" w:space="0" w:color="auto"/>
              <w:left w:val="single" w:sz="4" w:space="0" w:color="auto"/>
              <w:bottom w:val="single" w:sz="4" w:space="0" w:color="auto"/>
              <w:right w:val="single" w:sz="4" w:space="0" w:color="auto"/>
            </w:tcBorders>
            <w:vAlign w:val="bottom"/>
          </w:tcPr>
          <w:p w:rsidR="006F4A6A" w:rsidRPr="006F4A6A" w:rsidP="001B43A6" w14:paraId="6CC612A1" w14:textId="13ACBA76">
            <w:pPr>
              <w:jc w:val="center"/>
              <w:rPr>
                <w:bCs/>
                <w:iCs/>
                <w:szCs w:val="26"/>
              </w:rPr>
            </w:pPr>
            <w:r>
              <w:rPr>
                <w:bCs/>
                <w:iCs/>
                <w:szCs w:val="26"/>
              </w:rPr>
              <w:t>62</w:t>
            </w:r>
            <w:r w:rsidRPr="006F4A6A">
              <w:rPr>
                <w:bCs/>
                <w:iCs/>
                <w:szCs w:val="26"/>
              </w:rPr>
              <w:t xml:space="preserve"> PCs</w:t>
            </w:r>
          </w:p>
          <w:p w:rsidR="006F4A6A" w:rsidRPr="006F4A6A" w:rsidP="001B43A6" w14:paraId="05C58F58" w14:textId="77777777">
            <w:pPr>
              <w:jc w:val="center"/>
              <w:rPr>
                <w:bCs/>
                <w:iCs/>
                <w:szCs w:val="26"/>
              </w:rPr>
            </w:pPr>
            <w:r w:rsidRPr="006F4A6A">
              <w:rPr>
                <w:bCs/>
                <w:iCs/>
                <w:szCs w:val="26"/>
              </w:rPr>
              <w:t>Ongoing, beginning in Year 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0718E955" w14:textId="77777777">
            <w:pPr>
              <w:jc w:val="right"/>
              <w:rPr>
                <w:bCs/>
                <w:iCs/>
                <w:szCs w:val="26"/>
              </w:rPr>
            </w:pPr>
            <w:r w:rsidRPr="006F4A6A">
              <w:rPr>
                <w:bCs/>
                <w:iCs/>
                <w:szCs w:val="26"/>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61BC047E" w14:textId="139D8F04">
            <w:pPr>
              <w:jc w:val="right"/>
              <w:rPr>
                <w:bCs/>
                <w:iCs/>
                <w:szCs w:val="26"/>
              </w:rPr>
            </w:pPr>
            <w:r>
              <w:rPr>
                <w:bCs/>
                <w:iCs/>
                <w:szCs w:val="26"/>
              </w:rPr>
              <w:t>62</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050552D5" w14:textId="77777777">
            <w:pPr>
              <w:jc w:val="right"/>
              <w:rPr>
                <w:bCs/>
                <w:iCs/>
                <w:szCs w:val="26"/>
              </w:rPr>
            </w:pPr>
            <w:r w:rsidRPr="006F4A6A">
              <w:rPr>
                <w:bCs/>
                <w:iCs/>
                <w:szCs w:val="26"/>
              </w:rPr>
              <w:t>40 hrs.;</w:t>
            </w:r>
          </w:p>
          <w:p w:rsidR="006F4A6A" w:rsidRPr="006F4A6A" w:rsidP="001B43A6" w14:paraId="38476EED" w14:textId="24DFAE1A">
            <w:pPr>
              <w:jc w:val="right"/>
              <w:rPr>
                <w:bCs/>
                <w:iCs/>
                <w:szCs w:val="26"/>
              </w:rPr>
            </w:pPr>
            <w:r w:rsidRPr="006F4A6A">
              <w:rPr>
                <w:bCs/>
                <w:iCs/>
                <w:szCs w:val="26"/>
              </w:rPr>
              <w:t>$</w:t>
            </w:r>
            <w:r w:rsidR="009B67A1">
              <w:rPr>
                <w:bCs/>
                <w:iCs/>
                <w:szCs w:val="26"/>
              </w:rPr>
              <w:t>4,000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6F4A6A" w:rsidRPr="006F4A6A" w:rsidP="001B43A6" w14:paraId="277740C2" w14:textId="52A146B7">
            <w:pPr>
              <w:jc w:val="right"/>
              <w:rPr>
                <w:bCs/>
                <w:iCs/>
                <w:szCs w:val="26"/>
              </w:rPr>
            </w:pPr>
            <w:r>
              <w:rPr>
                <w:bCs/>
                <w:iCs/>
                <w:szCs w:val="26"/>
              </w:rPr>
              <w:t>2,480</w:t>
            </w:r>
            <w:r w:rsidRPr="006F4A6A">
              <w:rPr>
                <w:bCs/>
                <w:iCs/>
                <w:szCs w:val="26"/>
              </w:rPr>
              <w:t xml:space="preserve"> hrs.;</w:t>
            </w:r>
          </w:p>
          <w:p w:rsidR="006F4A6A" w:rsidRPr="006F4A6A" w:rsidP="001B43A6" w14:paraId="24FC10F8" w14:textId="3D8EE1F5">
            <w:pPr>
              <w:jc w:val="right"/>
              <w:rPr>
                <w:bCs/>
                <w:iCs/>
                <w:szCs w:val="26"/>
              </w:rPr>
            </w:pPr>
            <w:r w:rsidRPr="006F4A6A">
              <w:rPr>
                <w:bCs/>
                <w:iCs/>
                <w:szCs w:val="26"/>
              </w:rPr>
              <w:t>$</w:t>
            </w:r>
            <w:r w:rsidR="00330730">
              <w:rPr>
                <w:bCs/>
                <w:iCs/>
                <w:szCs w:val="26"/>
              </w:rPr>
              <w:t>248</w:t>
            </w:r>
            <w:r w:rsidR="000C255E">
              <w:rPr>
                <w:bCs/>
                <w:iCs/>
                <w:szCs w:val="26"/>
              </w:rPr>
              <w:t>,</w:t>
            </w:r>
            <w:r w:rsidR="00330730">
              <w:rPr>
                <w:bCs/>
                <w:iCs/>
                <w:szCs w:val="26"/>
              </w:rPr>
              <w:t>000</w:t>
            </w:r>
          </w:p>
        </w:tc>
      </w:tr>
    </w:tbl>
    <w:p w:rsidR="001D7793" w14:paraId="31637519" w14:textId="38F98CFF">
      <w:pPr>
        <w:rPr>
          <w:bCs/>
          <w:iCs/>
        </w:rPr>
      </w:pPr>
    </w:p>
    <w:p w:rsidR="00A25A3E" w:rsidRPr="00A25A3E" w:rsidP="00A25A3E" w14:paraId="200AB891" w14:textId="327A9207">
      <w:pPr>
        <w:pStyle w:val="ListParagraph"/>
        <w:numPr>
          <w:ilvl w:val="0"/>
          <w:numId w:val="6"/>
        </w:numPr>
        <w:rPr>
          <w:b/>
          <w:bCs/>
          <w:iCs/>
        </w:rPr>
      </w:pPr>
      <w:r w:rsidRPr="00A25A3E">
        <w:rPr>
          <w:b/>
          <w:bCs/>
          <w:iCs/>
        </w:rPr>
        <w:t>ESTIMATE OF THE TOTAL ANNUAL COST BURDEN TO RESPONDENTS</w:t>
      </w:r>
    </w:p>
    <w:p w:rsidR="00A25A3E" w:rsidRPr="00A25A3E" w:rsidP="00A25A3E" w14:paraId="56575F7A" w14:textId="77777777">
      <w:pPr>
        <w:rPr>
          <w:bCs/>
          <w:iCs/>
        </w:rPr>
      </w:pPr>
    </w:p>
    <w:p w:rsidR="00A25A3E" w:rsidRPr="00A25A3E" w:rsidP="00A25A3E" w14:paraId="70F6AC20" w14:textId="745C3E2E">
      <w:pPr>
        <w:rPr>
          <w:bCs/>
          <w:iCs/>
        </w:rPr>
      </w:pPr>
      <w:r w:rsidRPr="00A25A3E">
        <w:rPr>
          <w:bCs/>
          <w:iCs/>
        </w:rPr>
        <w:t xml:space="preserve">There </w:t>
      </w:r>
      <w:r w:rsidR="000C255E">
        <w:rPr>
          <w:bCs/>
          <w:iCs/>
        </w:rPr>
        <w:t>are</w:t>
      </w:r>
      <w:r w:rsidRPr="00A25A3E">
        <w:rPr>
          <w:bCs/>
          <w:iCs/>
        </w:rPr>
        <w:t xml:space="preserve"> no start-up or other non-labor hour cost</w:t>
      </w:r>
      <w:r w:rsidR="00400D0D">
        <w:rPr>
          <w:bCs/>
          <w:iCs/>
        </w:rPr>
        <w:t>s</w:t>
      </w:r>
      <w:r w:rsidRPr="00A25A3E">
        <w:rPr>
          <w:bCs/>
          <w:iCs/>
        </w:rPr>
        <w:t xml:space="preserve"> associated with this collection.</w:t>
      </w:r>
    </w:p>
    <w:p w:rsidR="00A25A3E" w:rsidRPr="00A25A3E" w:rsidP="00A25A3E" w14:paraId="42363B8A" w14:textId="77777777">
      <w:pPr>
        <w:rPr>
          <w:bCs/>
          <w:iCs/>
        </w:rPr>
      </w:pPr>
    </w:p>
    <w:p w:rsidR="00A25A3E" w:rsidRPr="00A25A3E" w:rsidP="00A25A3E" w14:paraId="3596F6F9" w14:textId="77777777">
      <w:pPr>
        <w:numPr>
          <w:ilvl w:val="0"/>
          <w:numId w:val="9"/>
        </w:numPr>
        <w:rPr>
          <w:b/>
          <w:bCs/>
          <w:iCs/>
        </w:rPr>
      </w:pPr>
      <w:r w:rsidRPr="00A25A3E">
        <w:rPr>
          <w:b/>
          <w:bCs/>
          <w:iCs/>
        </w:rPr>
        <w:t>ESTIMATED ANNUALIZED COST TO FEDERAL GOVERNMENT</w:t>
      </w:r>
    </w:p>
    <w:p w:rsidR="00A25A3E" w:rsidRPr="00A25A3E" w:rsidP="00A25A3E" w14:paraId="7B8D8020" w14:textId="77777777">
      <w:pPr>
        <w:rPr>
          <w:bCs/>
          <w:iCs/>
        </w:rPr>
      </w:pPr>
    </w:p>
    <w:p w:rsidR="00E34E83" w:rsidP="006D2F04" w14:paraId="355EE614" w14:textId="7BDFE2C8">
      <w:pPr>
        <w:rPr>
          <w:bCs/>
          <w:iCs/>
        </w:rPr>
      </w:pPr>
      <w:r w:rsidRPr="006D2F04">
        <w:rPr>
          <w:bCs/>
          <w:iCs/>
        </w:rPr>
        <w:t>The Regional Entities and NERC do the data processing, monitoring</w:t>
      </w:r>
      <w:r w:rsidR="00400D0D">
        <w:rPr>
          <w:bCs/>
          <w:iCs/>
        </w:rPr>
        <w:t>,</w:t>
      </w:r>
      <w:r w:rsidRPr="006D2F04">
        <w:rPr>
          <w:bCs/>
          <w:iCs/>
        </w:rPr>
        <w:t xml:space="preserve"> and compliance work for Reliability Standards.  Any involvement by the Commission </w:t>
      </w:r>
      <w:r w:rsidR="0060150A">
        <w:rPr>
          <w:bCs/>
          <w:iCs/>
        </w:rPr>
        <w:t xml:space="preserve">in those activities </w:t>
      </w:r>
      <w:r w:rsidRPr="006D2F04">
        <w:rPr>
          <w:bCs/>
          <w:iCs/>
        </w:rPr>
        <w:t>is covered under the FERC-725 collection (OMB Control No. 1902-0225) and is not part of this reques</w:t>
      </w:r>
      <w:r w:rsidR="0060150A">
        <w:rPr>
          <w:bCs/>
          <w:iCs/>
        </w:rPr>
        <w:t>t</w:t>
      </w:r>
      <w:r w:rsidRPr="006D2F04">
        <w:rPr>
          <w:bCs/>
          <w:iCs/>
        </w:rPr>
        <w:t>.</w:t>
      </w:r>
    </w:p>
    <w:p w:rsidR="006D2F04" w:rsidRPr="006D2F04" w:rsidP="006D2F04" w14:paraId="0558B07E" w14:textId="006E130B">
      <w:pPr>
        <w:rPr>
          <w:bCs/>
          <w:iCs/>
        </w:rPr>
      </w:pPr>
    </w:p>
    <w:p w:rsidR="00E959BF" w:rsidP="008F0729" w14:paraId="1618AC74" w14:textId="7688F08C">
      <w:pPr>
        <w:rPr>
          <w:bCs/>
          <w:iCs/>
        </w:rPr>
      </w:pPr>
      <w:r w:rsidRPr="00E34CF2">
        <w:rPr>
          <w:bCs/>
          <w:iCs/>
        </w:rPr>
        <w:t xml:space="preserve">The estimated </w:t>
      </w:r>
      <w:r w:rsidR="008B732F">
        <w:rPr>
          <w:bCs/>
          <w:iCs/>
        </w:rPr>
        <w:t>Paperwork Reduction Act (</w:t>
      </w:r>
      <w:r w:rsidRPr="00E34CF2">
        <w:rPr>
          <w:bCs/>
          <w:iCs/>
        </w:rPr>
        <w:t>PRA</w:t>
      </w:r>
      <w:r w:rsidR="008B732F">
        <w:rPr>
          <w:bCs/>
          <w:iCs/>
        </w:rPr>
        <w:t>)</w:t>
      </w:r>
      <w:r w:rsidRPr="00E34CF2">
        <w:rPr>
          <w:bCs/>
          <w:iCs/>
        </w:rPr>
        <w:t xml:space="preserve"> Administrative Cost of $</w:t>
      </w:r>
      <w:r w:rsidR="00036AD2">
        <w:rPr>
          <w:bCs/>
          <w:iCs/>
        </w:rPr>
        <w:t>8.396</w:t>
      </w:r>
      <w:r w:rsidRPr="00A25A3E" w:rsidR="00A25A3E">
        <w:rPr>
          <w:bCs/>
          <w:iCs/>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8F0729" w:rsidP="008F0729" w14:paraId="5B8C23F9" w14:textId="77777777">
      <w:pPr>
        <w:rPr>
          <w:bCs/>
          <w:iCs/>
        </w:rPr>
      </w:pPr>
    </w:p>
    <w:p w:rsidR="00E959BF" w:rsidRPr="00C40F8A" w:rsidP="00C40F8A" w14:paraId="7428E980" w14:textId="14646D78">
      <w:pPr>
        <w:jc w:val="center"/>
        <w:rPr>
          <w:b/>
          <w:iCs/>
        </w:rPr>
      </w:pPr>
      <w:r w:rsidRPr="00C40F8A">
        <w:rPr>
          <w:b/>
          <w:iCs/>
        </w:rPr>
        <w:t xml:space="preserve">Federal </w:t>
      </w:r>
      <w:r w:rsidRPr="00C40F8A" w:rsidR="00C40F8A">
        <w:rPr>
          <w:b/>
          <w:iCs/>
        </w:rPr>
        <w:t>Costs</w:t>
      </w:r>
    </w:p>
    <w:p w:rsidR="00A25A3E" w:rsidRPr="00A25A3E" w:rsidP="00A25A3E" w14:paraId="5C04BF49" w14:textId="77777777">
      <w:pPr>
        <w:rPr>
          <w:b/>
          <w:bCs/>
          <w:i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0766C753" w14:textId="77777777" w:rsidTr="00A25A3E">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A25A3E" w:rsidRPr="00A25A3E" w:rsidP="00A25A3E" w14:paraId="3D2B30A8" w14:textId="503ABB25">
            <w:pPr>
              <w:rPr>
                <w:b/>
                <w:bCs/>
                <w:iCs/>
              </w:rPr>
            </w:pPr>
            <w:r w:rsidRPr="00A25A3E">
              <w:rPr>
                <w:b/>
                <w:bCs/>
                <w:iCs/>
              </w:rPr>
              <w:t>FERC-725</w:t>
            </w:r>
            <w:r w:rsidR="00EA2932">
              <w:rPr>
                <w:b/>
                <w:bCs/>
                <w:iCs/>
              </w:rPr>
              <w:t>D</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A25A3E" w:rsidRPr="00A25A3E" w:rsidP="00A25A3E" w14:paraId="3CF66E67" w14:textId="77777777">
            <w:pPr>
              <w:rPr>
                <w:b/>
                <w:bCs/>
                <w:iCs/>
              </w:rPr>
            </w:pPr>
            <w:r w:rsidRPr="00A25A3E">
              <w:rPr>
                <w:b/>
                <w:bCs/>
                <w:iCs/>
              </w:rPr>
              <w:t>Number of Employees (FTEs)</w:t>
            </w:r>
          </w:p>
        </w:tc>
        <w:tc>
          <w:tcPr>
            <w:tcW w:w="3985" w:type="dxa"/>
            <w:tcBorders>
              <w:top w:val="single" w:sz="4" w:space="0" w:color="auto"/>
              <w:left w:val="single" w:sz="4" w:space="0" w:color="auto"/>
              <w:bottom w:val="single" w:sz="4" w:space="0" w:color="auto"/>
              <w:right w:val="single" w:sz="4" w:space="0" w:color="auto"/>
            </w:tcBorders>
            <w:shd w:val="clear" w:color="auto" w:fill="CCCCCC"/>
            <w:hideMark/>
          </w:tcPr>
          <w:p w:rsidR="00A25A3E" w:rsidRPr="00A25A3E" w:rsidP="00A25A3E" w14:paraId="54F6494C" w14:textId="77777777">
            <w:pPr>
              <w:rPr>
                <w:b/>
                <w:bCs/>
                <w:iCs/>
              </w:rPr>
            </w:pPr>
            <w:r w:rsidRPr="00A25A3E">
              <w:rPr>
                <w:b/>
                <w:bCs/>
                <w:iCs/>
              </w:rPr>
              <w:t>Estimated Annual Federal Cost</w:t>
            </w:r>
          </w:p>
        </w:tc>
      </w:tr>
      <w:tr w14:paraId="022C0293" w14:textId="77777777" w:rsidTr="0055704F">
        <w:tblPrEx>
          <w:tblW w:w="1036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25A3E" w:rsidRPr="00A25A3E" w:rsidP="00A25A3E" w14:paraId="0CF95F0C" w14:textId="77777777">
            <w:pPr>
              <w:rPr>
                <w:bCs/>
                <w:iCs/>
              </w:rPr>
            </w:pPr>
            <w:r w:rsidRPr="00A25A3E">
              <w:rPr>
                <w:bCs/>
                <w:iCs/>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A25A3E" w:rsidRPr="00A25A3E" w:rsidP="0055704F" w14:paraId="55C0030F" w14:textId="77777777">
            <w:pPr>
              <w:jc w:val="right"/>
              <w:rPr>
                <w:bCs/>
                <w:iCs/>
              </w:rPr>
            </w:pPr>
            <w:r w:rsidRPr="00A25A3E">
              <w:rPr>
                <w:bCs/>
                <w:iCs/>
              </w:rPr>
              <w:t>0</w:t>
            </w:r>
          </w:p>
        </w:tc>
        <w:tc>
          <w:tcPr>
            <w:tcW w:w="3985" w:type="dxa"/>
            <w:tcBorders>
              <w:top w:val="single" w:sz="4" w:space="0" w:color="auto"/>
              <w:left w:val="single" w:sz="4" w:space="0" w:color="auto"/>
              <w:bottom w:val="single" w:sz="4" w:space="0" w:color="auto"/>
              <w:right w:val="single" w:sz="4" w:space="0" w:color="auto"/>
            </w:tcBorders>
            <w:vAlign w:val="bottom"/>
            <w:hideMark/>
          </w:tcPr>
          <w:p w:rsidR="00A25A3E" w:rsidRPr="00A25A3E" w:rsidP="0055704F" w14:paraId="42423D07" w14:textId="77777777">
            <w:pPr>
              <w:jc w:val="right"/>
              <w:rPr>
                <w:bCs/>
                <w:iCs/>
              </w:rPr>
            </w:pPr>
            <w:r w:rsidRPr="00A25A3E">
              <w:rPr>
                <w:bCs/>
                <w:iCs/>
              </w:rPr>
              <w:t>$0</w:t>
            </w:r>
          </w:p>
        </w:tc>
      </w:tr>
      <w:tr w14:paraId="03C2C7C7" w14:textId="77777777" w:rsidTr="0055704F">
        <w:tblPrEx>
          <w:tblW w:w="1036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25A3E" w:rsidRPr="00A25A3E" w:rsidP="00A25A3E" w14:paraId="6D6B6A63" w14:textId="77777777">
            <w:pPr>
              <w:rPr>
                <w:bCs/>
                <w:iCs/>
              </w:rPr>
            </w:pPr>
            <w:r w:rsidRPr="00A25A3E">
              <w:rPr>
                <w:bCs/>
                <w:iCs/>
              </w:rPr>
              <w:t>PRA Administrative Cost</w:t>
            </w:r>
          </w:p>
        </w:tc>
        <w:tc>
          <w:tcPr>
            <w:tcW w:w="3201" w:type="dxa"/>
            <w:tcBorders>
              <w:top w:val="single" w:sz="4" w:space="0" w:color="auto"/>
              <w:left w:val="single" w:sz="4" w:space="0" w:color="auto"/>
              <w:bottom w:val="single" w:sz="4" w:space="0" w:color="auto"/>
              <w:right w:val="single" w:sz="4" w:space="0" w:color="auto"/>
            </w:tcBorders>
            <w:vAlign w:val="bottom"/>
          </w:tcPr>
          <w:p w:rsidR="00A25A3E" w:rsidRPr="00A25A3E" w:rsidP="0055704F" w14:paraId="4CDD3F85" w14:textId="06DD20D8">
            <w:pPr>
              <w:jc w:val="right"/>
              <w:rPr>
                <w:bCs/>
                <w:iCs/>
              </w:rPr>
            </w:pPr>
            <w:r>
              <w:rPr>
                <w:bCs/>
                <w:iCs/>
              </w:rPr>
              <w:t>N</w:t>
            </w:r>
            <w:r w:rsidR="00400D0D">
              <w:rPr>
                <w:bCs/>
                <w:iCs/>
              </w:rPr>
              <w:t>/</w:t>
            </w:r>
            <w:r>
              <w:rPr>
                <w:bCs/>
                <w:iCs/>
              </w:rPr>
              <w:t>A</w:t>
            </w:r>
          </w:p>
        </w:tc>
        <w:tc>
          <w:tcPr>
            <w:tcW w:w="3985" w:type="dxa"/>
            <w:tcBorders>
              <w:top w:val="single" w:sz="4" w:space="0" w:color="auto"/>
              <w:left w:val="single" w:sz="4" w:space="0" w:color="auto"/>
              <w:bottom w:val="single" w:sz="4" w:space="0" w:color="auto"/>
              <w:right w:val="single" w:sz="4" w:space="0" w:color="auto"/>
            </w:tcBorders>
            <w:vAlign w:val="bottom"/>
            <w:hideMark/>
          </w:tcPr>
          <w:p w:rsidR="00A25A3E" w:rsidRPr="00A25A3E" w:rsidP="0055704F" w14:paraId="5EDA9CEB" w14:textId="2D14AE92">
            <w:pPr>
              <w:jc w:val="right"/>
              <w:rPr>
                <w:bCs/>
                <w:iCs/>
              </w:rPr>
            </w:pPr>
            <w:r w:rsidRPr="00A25A3E">
              <w:rPr>
                <w:bCs/>
                <w:iCs/>
              </w:rPr>
              <w:t>$</w:t>
            </w:r>
            <w:r w:rsidRPr="00095CCA" w:rsidR="00095CCA">
              <w:rPr>
                <w:bCs/>
                <w:iCs/>
              </w:rPr>
              <w:t>8,396.00</w:t>
            </w:r>
          </w:p>
        </w:tc>
      </w:tr>
      <w:tr w14:paraId="04C820D1" w14:textId="77777777" w:rsidTr="0055704F">
        <w:tblPrEx>
          <w:tblW w:w="1036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25A3E" w:rsidRPr="00A25A3E" w:rsidP="00A25A3E" w14:paraId="6276E00D" w14:textId="77777777">
            <w:pPr>
              <w:rPr>
                <w:b/>
                <w:bCs/>
                <w:iCs/>
              </w:rPr>
            </w:pPr>
            <w:r w:rsidRPr="00A25A3E">
              <w:rPr>
                <w:b/>
                <w:bCs/>
                <w:iCs/>
              </w:rPr>
              <w:t>FERC Total</w:t>
            </w:r>
          </w:p>
        </w:tc>
        <w:tc>
          <w:tcPr>
            <w:tcW w:w="3201" w:type="dxa"/>
            <w:tcBorders>
              <w:top w:val="single" w:sz="4" w:space="0" w:color="auto"/>
              <w:left w:val="single" w:sz="4" w:space="0" w:color="auto"/>
              <w:bottom w:val="single" w:sz="4" w:space="0" w:color="auto"/>
              <w:right w:val="single" w:sz="4" w:space="0" w:color="auto"/>
            </w:tcBorders>
            <w:vAlign w:val="bottom"/>
          </w:tcPr>
          <w:p w:rsidR="00A25A3E" w:rsidRPr="00A25A3E" w:rsidP="0055704F" w14:paraId="057E4CDC" w14:textId="77777777">
            <w:pPr>
              <w:jc w:val="right"/>
              <w:rPr>
                <w:bCs/>
                <w:iCs/>
              </w:rPr>
            </w:pPr>
          </w:p>
        </w:tc>
        <w:tc>
          <w:tcPr>
            <w:tcW w:w="3985" w:type="dxa"/>
            <w:tcBorders>
              <w:top w:val="single" w:sz="4" w:space="0" w:color="auto"/>
              <w:left w:val="single" w:sz="4" w:space="0" w:color="auto"/>
              <w:bottom w:val="single" w:sz="4" w:space="0" w:color="auto"/>
              <w:right w:val="single" w:sz="4" w:space="0" w:color="auto"/>
            </w:tcBorders>
            <w:vAlign w:val="bottom"/>
            <w:hideMark/>
          </w:tcPr>
          <w:p w:rsidR="00A25A3E" w:rsidRPr="00A25A3E" w:rsidP="0055704F" w14:paraId="59574A3E" w14:textId="0D79E1E5">
            <w:pPr>
              <w:jc w:val="right"/>
              <w:rPr>
                <w:bCs/>
                <w:iCs/>
              </w:rPr>
            </w:pPr>
            <w:r w:rsidRPr="00A25A3E">
              <w:rPr>
                <w:bCs/>
                <w:iCs/>
              </w:rPr>
              <w:t>$</w:t>
            </w:r>
            <w:r w:rsidRPr="00095CCA" w:rsidR="00095CCA">
              <w:rPr>
                <w:bCs/>
                <w:iCs/>
              </w:rPr>
              <w:t>8,396.00</w:t>
            </w:r>
          </w:p>
        </w:tc>
      </w:tr>
    </w:tbl>
    <w:p w:rsidR="00837F6B" w:rsidRPr="00837F6B" w:rsidP="00837F6B" w14:paraId="59F1664D" w14:textId="77777777">
      <w:pPr>
        <w:rPr>
          <w:bCs/>
          <w:iCs/>
        </w:rPr>
      </w:pPr>
    </w:p>
    <w:p w:rsidR="007E03E2" w:rsidRPr="0014219F" w:rsidP="000867AB" w14:paraId="5AF4398E" w14:textId="72DFEFC7">
      <w:pPr>
        <w:pStyle w:val="ListParagraph"/>
        <w:numPr>
          <w:ilvl w:val="0"/>
          <w:numId w:val="9"/>
        </w:numPr>
        <w:rPr>
          <w:b/>
          <w:bCs/>
          <w:iCs/>
        </w:rPr>
      </w:pPr>
      <w:r w:rsidRPr="0014219F">
        <w:rPr>
          <w:b/>
          <w:bCs/>
          <w:iCs/>
        </w:rPr>
        <w:t>REASONS FOR CHANGES IN BURDEN INCLUDING THE NEED FOR ANY INCREASE</w:t>
      </w:r>
    </w:p>
    <w:p w:rsidR="0014219F" w:rsidRPr="0014219F" w:rsidP="0014219F" w14:paraId="15D54DFF" w14:textId="77777777">
      <w:pPr>
        <w:rPr>
          <w:iCs/>
        </w:rPr>
      </w:pPr>
    </w:p>
    <w:p w:rsidR="0014219F" w:rsidRPr="0014219F" w:rsidP="0014219F" w14:paraId="331DE2E4" w14:textId="77777777">
      <w:pPr>
        <w:rPr>
          <w:iCs/>
        </w:rPr>
      </w:pPr>
      <w:r w:rsidRPr="0014219F">
        <w:rPr>
          <w:iCs/>
        </w:rPr>
        <w:t>As approved in the November 23, 2022, order, Reliability Standard FAC-001-4 does not change the estimated burden for generator owners and transmission owners, who will have the same responsibilities as they have had under Reliability Standard FAC-001-3 to complete coordinated studies on existing interconnections. Reliability Standard FAC-001-4 requires coordinated studies of “qualified changes” in interconnections instead of “materially modified” interconnections.</w:t>
      </w:r>
    </w:p>
    <w:p w:rsidR="0014219F" w:rsidRPr="0014219F" w:rsidP="0014219F" w14:paraId="1C960199" w14:textId="77777777">
      <w:pPr>
        <w:rPr>
          <w:iCs/>
        </w:rPr>
      </w:pPr>
    </w:p>
    <w:p w:rsidR="008C60F9" w:rsidP="00637F98" w14:paraId="7BF15CAC" w14:textId="0828C3FE">
      <w:pPr>
        <w:rPr>
          <w:iCs/>
        </w:rPr>
      </w:pPr>
      <w:r>
        <w:rPr>
          <w:iCs/>
        </w:rPr>
        <w:t xml:space="preserve">The only change in burden in this collection of information is </w:t>
      </w:r>
      <w:r w:rsidR="007154F1">
        <w:rPr>
          <w:iCs/>
        </w:rPr>
        <w:t xml:space="preserve">a minor additional burden for </w:t>
      </w:r>
      <w:r w:rsidRPr="0014219F" w:rsidR="0014219F">
        <w:rPr>
          <w:iCs/>
        </w:rPr>
        <w:t xml:space="preserve">FAC-002-4 </w:t>
      </w:r>
      <w:r w:rsidRPr="003C5474" w:rsidR="006431F6">
        <w:rPr>
          <w:iCs/>
        </w:rPr>
        <w:t xml:space="preserve">due to the requirement </w:t>
      </w:r>
      <w:r w:rsidR="00E30E7C">
        <w:rPr>
          <w:iCs/>
        </w:rPr>
        <w:t xml:space="preserve">to </w:t>
      </w:r>
      <w:r w:rsidRPr="003C5474" w:rsidR="006431F6">
        <w:rPr>
          <w:iCs/>
        </w:rPr>
        <w:t>develop the definition of “qualified change” for new and existing interconnections of generation, transmission</w:t>
      </w:r>
      <w:r w:rsidR="006431F6">
        <w:rPr>
          <w:iCs/>
        </w:rPr>
        <w:t>,</w:t>
      </w:r>
      <w:r w:rsidRPr="003C5474" w:rsidR="006431F6">
        <w:rPr>
          <w:iCs/>
        </w:rPr>
        <w:t xml:space="preserve"> or electricity end user facilities.</w:t>
      </w:r>
      <w:r w:rsidR="00E30E7C">
        <w:rPr>
          <w:iCs/>
        </w:rPr>
        <w:t xml:space="preserve">  </w:t>
      </w:r>
      <w:r w:rsidR="0013700E">
        <w:rPr>
          <w:iCs/>
        </w:rPr>
        <w:t>This minor additional burden is a program change</w:t>
      </w:r>
      <w:r w:rsidR="00EC6977">
        <w:rPr>
          <w:iCs/>
        </w:rPr>
        <w:t xml:space="preserve"> that </w:t>
      </w:r>
      <w:r w:rsidRPr="0014219F" w:rsidR="0014219F">
        <w:rPr>
          <w:iCs/>
        </w:rPr>
        <w:t xml:space="preserve">is estimated to be greater in years one and two than in year three and beyond.  This estimated burden is </w:t>
      </w:r>
      <w:r w:rsidR="00DD61E7">
        <w:rPr>
          <w:iCs/>
        </w:rPr>
        <w:t xml:space="preserve">needed </w:t>
      </w:r>
      <w:r w:rsidR="00846624">
        <w:rPr>
          <w:iCs/>
        </w:rPr>
        <w:t xml:space="preserve">so that </w:t>
      </w:r>
      <w:r w:rsidRPr="007A3F1D" w:rsidR="00DD61E7">
        <w:rPr>
          <w:iCs/>
        </w:rPr>
        <w:t>valid and complete studies can be performed to accurately assess the reliability impact of interconnecting new facilities</w:t>
      </w:r>
      <w:r w:rsidR="00DD61E7">
        <w:rPr>
          <w:iCs/>
        </w:rPr>
        <w:t xml:space="preserve"> or those facilities that underwent a qualified change</w:t>
      </w:r>
      <w:r w:rsidRPr="007A3F1D" w:rsidR="00DD61E7">
        <w:rPr>
          <w:iCs/>
        </w:rPr>
        <w:t>.</w:t>
      </w:r>
    </w:p>
    <w:p w:rsidR="008C60F9" w14:paraId="2102812E" w14:textId="77777777">
      <w:pPr>
        <w:widowControl/>
        <w:autoSpaceDE/>
        <w:autoSpaceDN/>
        <w:adjustRightInd/>
        <w:spacing w:after="160" w:line="259" w:lineRule="auto"/>
        <w:rPr>
          <w:iCs/>
        </w:rPr>
      </w:pPr>
      <w:r>
        <w:rPr>
          <w:iCs/>
        </w:rPr>
        <w:br w:type="page"/>
      </w:r>
    </w:p>
    <w:p w:rsidR="00837F6B" w:rsidP="00861770" w14:paraId="04B051CC" w14:textId="46C8D879">
      <w:pPr>
        <w:jc w:val="center"/>
        <w:rPr>
          <w:b/>
          <w:bCs/>
          <w:iCs/>
        </w:rPr>
      </w:pPr>
      <w:r>
        <w:rPr>
          <w:b/>
          <w:bCs/>
          <w:iCs/>
        </w:rPr>
        <w:t xml:space="preserve">Estimated Annual </w:t>
      </w:r>
      <w:r w:rsidR="004813F8">
        <w:rPr>
          <w:b/>
          <w:bCs/>
          <w:iCs/>
        </w:rPr>
        <w:t xml:space="preserve">Burdens </w:t>
      </w:r>
      <w:r w:rsidRPr="00817C21" w:rsidR="00817C21">
        <w:rPr>
          <w:b/>
          <w:bCs/>
          <w:iCs/>
        </w:rPr>
        <w:t xml:space="preserve">Due to the </w:t>
      </w:r>
      <w:r w:rsidR="008955BF">
        <w:rPr>
          <w:b/>
          <w:bCs/>
          <w:iCs/>
        </w:rPr>
        <w:t xml:space="preserve">Approval of Reliability Standard FAC-002-4 in Docket No. </w:t>
      </w:r>
      <w:r w:rsidR="00F31328">
        <w:rPr>
          <w:b/>
          <w:bCs/>
          <w:iCs/>
        </w:rPr>
        <w:t>RD22-5-000</w:t>
      </w:r>
    </w:p>
    <w:p w:rsidR="00861770" w:rsidRPr="00837F6B" w:rsidP="00861770" w14:paraId="57C0E78A" w14:textId="77777777">
      <w:pPr>
        <w:jc w:val="center"/>
        <w:rPr>
          <w:b/>
          <w:bCs/>
          <w:iCs/>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1451"/>
        <w:gridCol w:w="1611"/>
        <w:gridCol w:w="1531"/>
        <w:gridCol w:w="2140"/>
      </w:tblGrid>
      <w:tr w14:paraId="747DAE22" w14:textId="77777777" w:rsidTr="00E17B9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7F6B" w:rsidRPr="00837F6B" w:rsidP="00E17B95" w14:paraId="7B3EA685" w14:textId="7E48DB37">
            <w:pPr>
              <w:jc w:val="center"/>
              <w:rPr>
                <w:b/>
                <w:bCs/>
                <w:iCs/>
              </w:rPr>
            </w:pPr>
            <w:r w:rsidRPr="00837F6B">
              <w:rPr>
                <w:b/>
                <w:bCs/>
                <w:iCs/>
              </w:rPr>
              <w:t>FERC-725D</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7F6B" w:rsidRPr="00837F6B" w:rsidP="00E17B95" w14:paraId="2D872AFD" w14:textId="5AAF228B">
            <w:pPr>
              <w:jc w:val="center"/>
              <w:rPr>
                <w:b/>
                <w:bCs/>
                <w:iCs/>
              </w:rPr>
            </w:pPr>
            <w:r w:rsidRPr="00837F6B">
              <w:rPr>
                <w:b/>
                <w:bCs/>
                <w:iCs/>
              </w:rPr>
              <w:t>Total Request</w:t>
            </w:r>
            <w:r w:rsidR="007C0047">
              <w:rPr>
                <w:b/>
                <w:bCs/>
                <w:iCs/>
              </w:rPr>
              <w:t>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7F6B" w:rsidRPr="00837F6B" w:rsidP="00E17B95" w14:paraId="3588EA54" w14:textId="77777777">
            <w:pPr>
              <w:jc w:val="center"/>
              <w:rPr>
                <w:b/>
                <w:bCs/>
                <w:iCs/>
              </w:rPr>
            </w:pPr>
            <w:r w:rsidRPr="00837F6B">
              <w:rPr>
                <w:b/>
                <w:bCs/>
                <w:iCs/>
              </w:rPr>
              <w:t>Previously Approved</w:t>
            </w:r>
          </w:p>
        </w:tc>
        <w:tc>
          <w:tcPr>
            <w:tcW w:w="142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7F6B" w:rsidRPr="00837F6B" w:rsidP="00E17B95" w14:paraId="609257C1" w14:textId="77777777">
            <w:pPr>
              <w:jc w:val="center"/>
              <w:rPr>
                <w:b/>
                <w:bCs/>
                <w:iCs/>
              </w:rPr>
            </w:pPr>
            <w:r w:rsidRPr="00837F6B">
              <w:rPr>
                <w:b/>
                <w:bCs/>
                <w:iCs/>
              </w:rPr>
              <w:t>Change due to Adjustment in Estimate</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7F6B" w:rsidRPr="00837F6B" w:rsidP="00E17B95" w14:paraId="693D6CA4" w14:textId="77777777">
            <w:pPr>
              <w:jc w:val="center"/>
              <w:rPr>
                <w:b/>
                <w:bCs/>
                <w:iCs/>
              </w:rPr>
            </w:pPr>
            <w:r w:rsidRPr="00837F6B">
              <w:rPr>
                <w:b/>
                <w:bCs/>
                <w:iCs/>
              </w:rPr>
              <w:t>Change Due to Agency Discretion</w:t>
            </w:r>
          </w:p>
        </w:tc>
      </w:tr>
      <w:tr w14:paraId="3F12A4CC" w14:textId="77777777" w:rsidTr="004813F8">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837F6B" w:rsidRPr="00837F6B" w:rsidP="00E17B95" w14:paraId="148E5766" w14:textId="77777777">
            <w:pPr>
              <w:jc w:val="center"/>
              <w:rPr>
                <w:bCs/>
                <w:iCs/>
              </w:rPr>
            </w:pPr>
            <w:r w:rsidRPr="00837F6B">
              <w:rPr>
                <w:bCs/>
                <w:iCs/>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33BBA013" w14:textId="7B78311A">
            <w:pPr>
              <w:jc w:val="right"/>
              <w:rPr>
                <w:bCs/>
                <w:iCs/>
              </w:rPr>
            </w:pPr>
            <w:r>
              <w:rPr>
                <w:bCs/>
                <w:iCs/>
              </w:rPr>
              <w:t>62</w:t>
            </w:r>
          </w:p>
        </w:tc>
        <w:tc>
          <w:tcPr>
            <w:tcW w:w="1620"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3FF8BF56" w14:textId="38504DFB">
            <w:pPr>
              <w:jc w:val="right"/>
              <w:rPr>
                <w:bCs/>
                <w:iCs/>
              </w:rPr>
            </w:pPr>
            <w:r>
              <w:rPr>
                <w:bCs/>
                <w:iCs/>
              </w:rPr>
              <w:t>0</w:t>
            </w:r>
          </w:p>
        </w:tc>
        <w:tc>
          <w:tcPr>
            <w:tcW w:w="1429"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44D11631" w14:textId="6AAC222A">
            <w:pPr>
              <w:jc w:val="right"/>
              <w:rPr>
                <w:bCs/>
                <w:iCs/>
              </w:rPr>
            </w:pPr>
            <w:r>
              <w:rPr>
                <w:bCs/>
                <w:iCs/>
              </w:rPr>
              <w:t>0</w:t>
            </w:r>
          </w:p>
        </w:tc>
        <w:tc>
          <w:tcPr>
            <w:tcW w:w="2171"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244D2860" w14:textId="4D00A370">
            <w:pPr>
              <w:jc w:val="right"/>
              <w:rPr>
                <w:bCs/>
                <w:iCs/>
              </w:rPr>
            </w:pPr>
            <w:r>
              <w:rPr>
                <w:bCs/>
                <w:iCs/>
              </w:rPr>
              <w:t>+</w:t>
            </w:r>
            <w:r w:rsidR="004E385D">
              <w:rPr>
                <w:bCs/>
                <w:iCs/>
              </w:rPr>
              <w:t>62</w:t>
            </w:r>
          </w:p>
        </w:tc>
      </w:tr>
      <w:tr w14:paraId="4B0B0C30" w14:textId="77777777" w:rsidTr="004813F8">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837F6B" w:rsidRPr="00837F6B" w:rsidP="00E17B95" w14:paraId="4948E93F" w14:textId="77777777">
            <w:pPr>
              <w:jc w:val="center"/>
              <w:rPr>
                <w:bCs/>
                <w:iCs/>
              </w:rPr>
            </w:pPr>
            <w:r w:rsidRPr="00837F6B">
              <w:rPr>
                <w:bCs/>
                <w:iCs/>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0D28E623" w14:textId="4C10CFAE">
            <w:pPr>
              <w:jc w:val="right"/>
              <w:rPr>
                <w:bCs/>
                <w:iCs/>
              </w:rPr>
            </w:pPr>
            <w:r>
              <w:rPr>
                <w:bCs/>
                <w:iCs/>
              </w:rPr>
              <w:t>5</w:t>
            </w:r>
            <w:r w:rsidR="00790654">
              <w:rPr>
                <w:bCs/>
                <w:iCs/>
              </w:rPr>
              <w:t>,</w:t>
            </w:r>
            <w:r>
              <w:rPr>
                <w:bCs/>
                <w:iCs/>
              </w:rPr>
              <w:t>787</w:t>
            </w:r>
            <w:r>
              <w:rPr>
                <w:rStyle w:val="FootnoteReference"/>
                <w:bCs/>
                <w:iCs/>
                <w:vertAlign w:val="superscript"/>
              </w:rPr>
              <w:footnoteReference w:id="10"/>
            </w:r>
          </w:p>
        </w:tc>
        <w:tc>
          <w:tcPr>
            <w:tcW w:w="1620"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751194CB" w14:textId="20240433">
            <w:pPr>
              <w:jc w:val="right"/>
              <w:rPr>
                <w:bCs/>
                <w:iCs/>
              </w:rPr>
            </w:pPr>
            <w:r>
              <w:rPr>
                <w:bCs/>
                <w:iCs/>
              </w:rPr>
              <w:t>0</w:t>
            </w:r>
          </w:p>
        </w:tc>
        <w:tc>
          <w:tcPr>
            <w:tcW w:w="1429"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3E8625E9" w14:textId="4ADCA1B6">
            <w:pPr>
              <w:jc w:val="right"/>
              <w:rPr>
                <w:bCs/>
                <w:iCs/>
              </w:rPr>
            </w:pPr>
            <w:r>
              <w:rPr>
                <w:bCs/>
                <w:iCs/>
              </w:rPr>
              <w:t>0</w:t>
            </w:r>
          </w:p>
        </w:tc>
        <w:tc>
          <w:tcPr>
            <w:tcW w:w="2171" w:type="dxa"/>
            <w:tcBorders>
              <w:top w:val="single" w:sz="4" w:space="0" w:color="auto"/>
              <w:left w:val="single" w:sz="4" w:space="0" w:color="auto"/>
              <w:bottom w:val="single" w:sz="4" w:space="0" w:color="auto"/>
              <w:right w:val="single" w:sz="4" w:space="0" w:color="auto"/>
            </w:tcBorders>
            <w:vAlign w:val="bottom"/>
          </w:tcPr>
          <w:p w:rsidR="00837F6B" w:rsidRPr="00837F6B" w:rsidP="004813F8" w14:paraId="3B69205B" w14:textId="3BFC2A51">
            <w:pPr>
              <w:jc w:val="right"/>
              <w:rPr>
                <w:bCs/>
                <w:iCs/>
              </w:rPr>
            </w:pPr>
            <w:r>
              <w:rPr>
                <w:bCs/>
                <w:iCs/>
              </w:rPr>
              <w:t>+</w:t>
            </w:r>
            <w:r w:rsidR="00790654">
              <w:rPr>
                <w:bCs/>
                <w:iCs/>
              </w:rPr>
              <w:t>5,787</w:t>
            </w:r>
          </w:p>
        </w:tc>
      </w:tr>
      <w:tr w14:paraId="5A3F54B2" w14:textId="77777777" w:rsidTr="004813F8">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837F6B" w:rsidRPr="00837F6B" w:rsidP="00E17B95" w14:paraId="01DF7212" w14:textId="77777777">
            <w:pPr>
              <w:jc w:val="center"/>
              <w:rPr>
                <w:bCs/>
                <w:iCs/>
              </w:rPr>
            </w:pPr>
            <w:r w:rsidRPr="00837F6B">
              <w:rPr>
                <w:bCs/>
                <w:iCs/>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rsidR="00837F6B" w:rsidRPr="00837F6B" w:rsidP="004813F8" w14:paraId="7427CDD7" w14:textId="77777777">
            <w:pPr>
              <w:jc w:val="right"/>
              <w:rPr>
                <w:bCs/>
                <w:iCs/>
              </w:rPr>
            </w:pPr>
            <w:r w:rsidRPr="00837F6B">
              <w:rPr>
                <w:bCs/>
                <w:iCs/>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837F6B" w:rsidRPr="00837F6B" w:rsidP="004813F8" w14:paraId="36109EE1" w14:textId="77777777">
            <w:pPr>
              <w:jc w:val="right"/>
              <w:rPr>
                <w:bCs/>
                <w:iCs/>
              </w:rPr>
            </w:pPr>
            <w:r w:rsidRPr="00837F6B">
              <w:rPr>
                <w:bCs/>
                <w:iCs/>
              </w:rPr>
              <w:t>0</w:t>
            </w:r>
          </w:p>
        </w:tc>
        <w:tc>
          <w:tcPr>
            <w:tcW w:w="1429" w:type="dxa"/>
            <w:tcBorders>
              <w:top w:val="single" w:sz="4" w:space="0" w:color="auto"/>
              <w:left w:val="single" w:sz="4" w:space="0" w:color="auto"/>
              <w:bottom w:val="single" w:sz="4" w:space="0" w:color="auto"/>
              <w:right w:val="single" w:sz="4" w:space="0" w:color="auto"/>
            </w:tcBorders>
            <w:vAlign w:val="bottom"/>
            <w:hideMark/>
          </w:tcPr>
          <w:p w:rsidR="00837F6B" w:rsidRPr="00837F6B" w:rsidP="004813F8" w14:paraId="36ABEC30" w14:textId="77777777">
            <w:pPr>
              <w:jc w:val="right"/>
              <w:rPr>
                <w:bCs/>
                <w:iCs/>
              </w:rPr>
            </w:pPr>
            <w:r w:rsidRPr="00837F6B">
              <w:rPr>
                <w:bCs/>
                <w:iCs/>
              </w:rPr>
              <w:t>0</w:t>
            </w:r>
          </w:p>
        </w:tc>
        <w:tc>
          <w:tcPr>
            <w:tcW w:w="2171" w:type="dxa"/>
            <w:tcBorders>
              <w:top w:val="single" w:sz="4" w:space="0" w:color="auto"/>
              <w:left w:val="single" w:sz="4" w:space="0" w:color="auto"/>
              <w:bottom w:val="single" w:sz="4" w:space="0" w:color="auto"/>
              <w:right w:val="single" w:sz="4" w:space="0" w:color="auto"/>
            </w:tcBorders>
            <w:vAlign w:val="bottom"/>
            <w:hideMark/>
          </w:tcPr>
          <w:p w:rsidR="00837F6B" w:rsidRPr="00837F6B" w:rsidP="004813F8" w14:paraId="7C90CE17" w14:textId="77777777">
            <w:pPr>
              <w:jc w:val="right"/>
              <w:rPr>
                <w:bCs/>
                <w:iCs/>
              </w:rPr>
            </w:pPr>
            <w:r w:rsidRPr="00837F6B">
              <w:rPr>
                <w:bCs/>
                <w:iCs/>
              </w:rPr>
              <w:t>0</w:t>
            </w:r>
          </w:p>
        </w:tc>
      </w:tr>
    </w:tbl>
    <w:p w:rsidR="00837F6B" w:rsidP="00837F6B" w14:paraId="4AA112BF" w14:textId="79960FEB">
      <w:pPr>
        <w:rPr>
          <w:b/>
          <w:bCs/>
          <w:iCs/>
        </w:rPr>
      </w:pPr>
    </w:p>
    <w:p w:rsidR="00FE189A" w:rsidRPr="00B27041" w:rsidP="00FE189A" w14:paraId="30BEDD66" w14:textId="77777777">
      <w:pPr>
        <w:pStyle w:val="ListParagraph"/>
        <w:widowControl/>
        <w:numPr>
          <w:ilvl w:val="0"/>
          <w:numId w:val="1"/>
        </w:numPr>
        <w:autoSpaceDE/>
        <w:autoSpaceDN/>
        <w:adjustRightInd/>
        <w:ind w:left="360"/>
        <w:rPr>
          <w:b/>
          <w:szCs w:val="26"/>
        </w:rPr>
      </w:pPr>
      <w:r w:rsidRPr="00B27041">
        <w:rPr>
          <w:b/>
          <w:szCs w:val="26"/>
        </w:rPr>
        <w:t>TIME SCHEDULE FOR PUBLICATION OF DATA</w:t>
      </w:r>
    </w:p>
    <w:p w:rsidR="00FE189A" w:rsidRPr="00B27041" w:rsidP="00FE189A" w14:paraId="2540593D" w14:textId="77777777">
      <w:pPr>
        <w:rPr>
          <w:rFonts w:cs="Times New Roman"/>
          <w:szCs w:val="26"/>
        </w:rPr>
      </w:pPr>
    </w:p>
    <w:p w:rsidR="00FE189A" w:rsidRPr="00B27041" w:rsidP="00FE189A" w14:paraId="30AC4211" w14:textId="799712C8">
      <w:pPr>
        <w:rPr>
          <w:rFonts w:cs="Times New Roman"/>
          <w:szCs w:val="26"/>
        </w:rPr>
      </w:pPr>
      <w:r w:rsidRPr="00B27041">
        <w:rPr>
          <w:rFonts w:cs="Times New Roman"/>
          <w:szCs w:val="26"/>
        </w:rPr>
        <w:t>There are no data publications as part of this collection</w:t>
      </w:r>
      <w:r w:rsidRPr="00400D0D" w:rsidR="00400D0D">
        <w:rPr>
          <w:rFonts w:cs="Times New Roman"/>
          <w:szCs w:val="26"/>
        </w:rPr>
        <w:t>.</w:t>
      </w:r>
    </w:p>
    <w:p w:rsidR="00FE189A" w:rsidRPr="00B27041" w:rsidP="00FE189A" w14:paraId="5B6F55E6" w14:textId="77777777">
      <w:pPr>
        <w:rPr>
          <w:rFonts w:cs="Times New Roman"/>
          <w:szCs w:val="26"/>
        </w:rPr>
      </w:pPr>
    </w:p>
    <w:p w:rsidR="00FE189A" w:rsidRPr="00B27041" w:rsidP="00FE189A" w14:paraId="593F3C95" w14:textId="77777777">
      <w:pPr>
        <w:pStyle w:val="ListParagraph"/>
        <w:widowControl/>
        <w:numPr>
          <w:ilvl w:val="0"/>
          <w:numId w:val="1"/>
        </w:numPr>
        <w:autoSpaceDE/>
        <w:autoSpaceDN/>
        <w:adjustRightInd/>
        <w:ind w:left="360"/>
        <w:rPr>
          <w:b/>
          <w:szCs w:val="26"/>
        </w:rPr>
      </w:pPr>
      <w:r w:rsidRPr="00B27041">
        <w:rPr>
          <w:b/>
          <w:szCs w:val="26"/>
        </w:rPr>
        <w:t>DISPLAY OF EXPIRATION DATE</w:t>
      </w:r>
    </w:p>
    <w:p w:rsidR="00FE189A" w:rsidRPr="00B27041" w:rsidP="00FE189A" w14:paraId="6A040CC6" w14:textId="77777777">
      <w:pPr>
        <w:rPr>
          <w:rFonts w:cs="Times New Roman"/>
          <w:szCs w:val="26"/>
        </w:rPr>
      </w:pPr>
    </w:p>
    <w:p w:rsidR="00FE189A" w:rsidRPr="00B27041" w:rsidP="00FE189A" w14:paraId="386AF04E" w14:textId="77777777">
      <w:pPr>
        <w:rPr>
          <w:rFonts w:cs="Times New Roman"/>
          <w:szCs w:val="26"/>
        </w:rPr>
      </w:pPr>
      <w:r w:rsidRPr="00B27041">
        <w:rPr>
          <w:rFonts w:cs="Times New Roman"/>
          <w:szCs w:val="26"/>
        </w:rPr>
        <w:t>It is not appropriate to display the expiration date because the information is not collected on a preformatted form or is part of a Reliability Standard, which do not display OMB expiration dates.</w:t>
      </w:r>
    </w:p>
    <w:p w:rsidR="00FE189A" w:rsidRPr="00B27041" w:rsidP="00FE189A" w14:paraId="7991BB25" w14:textId="77777777">
      <w:pPr>
        <w:rPr>
          <w:rFonts w:cs="Times New Roman"/>
          <w:szCs w:val="26"/>
        </w:rPr>
      </w:pPr>
    </w:p>
    <w:p w:rsidR="00FE189A" w:rsidRPr="00B27041" w:rsidP="00FE189A" w14:paraId="66C58056" w14:textId="77777777">
      <w:pPr>
        <w:pStyle w:val="ListParagraph"/>
        <w:widowControl/>
        <w:numPr>
          <w:ilvl w:val="0"/>
          <w:numId w:val="1"/>
        </w:numPr>
        <w:autoSpaceDE/>
        <w:autoSpaceDN/>
        <w:adjustRightInd/>
        <w:ind w:left="360"/>
        <w:rPr>
          <w:b/>
          <w:szCs w:val="26"/>
        </w:rPr>
      </w:pPr>
      <w:r w:rsidRPr="00B27041">
        <w:rPr>
          <w:b/>
          <w:szCs w:val="26"/>
        </w:rPr>
        <w:t>EXCEPTIONS TO THE CERTIFICATION STATEMENT</w:t>
      </w:r>
    </w:p>
    <w:p w:rsidR="00FE189A" w:rsidRPr="00BD0FD5" w:rsidP="00FE189A" w14:paraId="41D953DC" w14:textId="77777777">
      <w:pPr>
        <w:rPr>
          <w:rFonts w:cs="Times New Roman"/>
          <w:b/>
          <w:sz w:val="24"/>
        </w:rPr>
      </w:pPr>
    </w:p>
    <w:p w:rsidR="00FE189A" w:rsidRPr="00BD0FD5" w:rsidP="00FE189A" w14:paraId="161212A7" w14:textId="6D3DE46E">
      <w:pPr>
        <w:rPr>
          <w:rFonts w:cs="Times New Roman"/>
          <w:sz w:val="24"/>
        </w:rPr>
      </w:pPr>
      <w:r w:rsidRPr="00B27041">
        <w:rPr>
          <w:rFonts w:eastAsia="Calibri" w:cs="Times New Roman"/>
          <w:szCs w:val="26"/>
        </w:rPr>
        <w:t>The</w:t>
      </w:r>
      <w:r w:rsidR="000F0908">
        <w:rPr>
          <w:rFonts w:eastAsia="Calibri" w:cs="Times New Roman"/>
          <w:szCs w:val="26"/>
        </w:rPr>
        <w:t>re are no exceptions</w:t>
      </w:r>
      <w:r w:rsidR="001F0CEA">
        <w:rPr>
          <w:rFonts w:eastAsia="Calibri" w:cs="Times New Roman"/>
          <w:szCs w:val="26"/>
        </w:rPr>
        <w:t xml:space="preserve"> to the certification statement.</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6158630"/>
      <w:docPartObj>
        <w:docPartGallery w:val="Page Numbers (Bottom of Page)"/>
        <w:docPartUnique/>
      </w:docPartObj>
    </w:sdtPr>
    <w:sdtEndPr>
      <w:rPr>
        <w:noProof/>
      </w:rPr>
    </w:sdtEndPr>
    <w:sdtContent>
      <w:p w:rsidR="00233CDB" w14:paraId="4836E1A0" w14:textId="06BBD2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3CDB" w14:paraId="0EB14C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438A" w:rsidP="00A74C2E" w14:paraId="4CC909D0" w14:textId="77777777">
      <w:r>
        <w:separator/>
      </w:r>
    </w:p>
  </w:footnote>
  <w:footnote w:type="continuationSeparator" w:id="1">
    <w:p w:rsidR="000D438A" w:rsidP="00A74C2E" w14:paraId="6E0D71D5" w14:textId="77777777">
      <w:r>
        <w:continuationSeparator/>
      </w:r>
    </w:p>
  </w:footnote>
  <w:footnote w:id="2">
    <w:p w:rsidR="00796A00" w:rsidRPr="00B27041" w:rsidP="00796A00" w14:paraId="0B552BB1" w14:textId="6BDF83E3">
      <w:pPr>
        <w:pStyle w:val="FootnoteText"/>
        <w:rPr>
          <w:sz w:val="26"/>
          <w:szCs w:val="26"/>
        </w:rPr>
      </w:pPr>
      <w:r w:rsidRPr="00B27041">
        <w:rPr>
          <w:rStyle w:val="FootnoteReference"/>
          <w:sz w:val="26"/>
          <w:szCs w:val="26"/>
          <w:vertAlign w:val="superscript"/>
        </w:rPr>
        <w:footnoteRef/>
      </w:r>
      <w:r w:rsidRPr="00B27041">
        <w:rPr>
          <w:sz w:val="26"/>
          <w:szCs w:val="26"/>
          <w:vertAlign w:val="superscript"/>
        </w:rPr>
        <w:t xml:space="preserve"> </w:t>
      </w:r>
      <w:r w:rsidRPr="00B27041">
        <w:rPr>
          <w:sz w:val="26"/>
          <w:szCs w:val="26"/>
        </w:rPr>
        <w:t xml:space="preserve">The Energy Policy Act of 2005, Pub. L. No 109-58, Title XII, Subtitle A, 119 Stat. 594, 941 (2005), codified at 16 U.S.C. </w:t>
      </w:r>
      <w:r w:rsidRPr="00400D0D" w:rsidR="00400D0D">
        <w:rPr>
          <w:sz w:val="26"/>
          <w:szCs w:val="26"/>
        </w:rPr>
        <w:t>§</w:t>
      </w:r>
      <w:r w:rsidR="00400D0D">
        <w:rPr>
          <w:sz w:val="26"/>
          <w:szCs w:val="26"/>
        </w:rPr>
        <w:t xml:space="preserve"> </w:t>
      </w:r>
      <w:r w:rsidRPr="00B27041">
        <w:rPr>
          <w:sz w:val="26"/>
          <w:szCs w:val="26"/>
        </w:rPr>
        <w:t>824o (2006).</w:t>
      </w:r>
    </w:p>
  </w:footnote>
  <w:footnote w:id="3">
    <w:p w:rsidR="00796A00" w:rsidRPr="00B27041" w:rsidP="00796A00" w14:paraId="5D79E4C3" w14:textId="32DED5DC">
      <w:pPr>
        <w:pStyle w:val="FootnoteText"/>
        <w:rPr>
          <w:sz w:val="26"/>
          <w:szCs w:val="26"/>
        </w:rPr>
      </w:pPr>
      <w:r w:rsidRPr="00B27041">
        <w:rPr>
          <w:rStyle w:val="FootnoteReference"/>
          <w:sz w:val="26"/>
          <w:szCs w:val="26"/>
          <w:vertAlign w:val="superscript"/>
        </w:rPr>
        <w:footnoteRef/>
      </w:r>
      <w:r w:rsidRPr="00B27041">
        <w:rPr>
          <w:sz w:val="26"/>
          <w:szCs w:val="26"/>
        </w:rPr>
        <w:t xml:space="preserve"> </w:t>
      </w:r>
      <w:r w:rsidRPr="00B27041">
        <w:rPr>
          <w:i/>
          <w:iCs/>
          <w:sz w:val="26"/>
          <w:szCs w:val="26"/>
        </w:rPr>
        <w:t xml:space="preserve">Id. </w:t>
      </w:r>
      <w:r w:rsidRPr="00B27041" w:rsidR="00400D0D">
        <w:rPr>
          <w:sz w:val="26"/>
          <w:szCs w:val="26"/>
        </w:rPr>
        <w:t>§</w:t>
      </w:r>
      <w:r w:rsidR="00400D0D">
        <w:rPr>
          <w:i/>
          <w:iCs/>
          <w:sz w:val="26"/>
          <w:szCs w:val="26"/>
        </w:rPr>
        <w:t xml:space="preserve"> </w:t>
      </w:r>
      <w:r w:rsidRPr="00B27041">
        <w:rPr>
          <w:sz w:val="26"/>
          <w:szCs w:val="26"/>
        </w:rPr>
        <w:t>824o(c), (d).</w:t>
      </w:r>
    </w:p>
  </w:footnote>
  <w:footnote w:id="4">
    <w:p w:rsidR="00796A00" w:rsidRPr="00B27041" w:rsidP="00796A00" w14:paraId="284A0746" w14:textId="15B4AA89">
      <w:pPr>
        <w:pStyle w:val="FootnoteText"/>
        <w:rPr>
          <w:sz w:val="26"/>
          <w:szCs w:val="26"/>
        </w:rPr>
      </w:pPr>
      <w:r w:rsidRPr="00B27041">
        <w:rPr>
          <w:rStyle w:val="FootnoteReference"/>
          <w:sz w:val="26"/>
          <w:szCs w:val="26"/>
          <w:vertAlign w:val="superscript"/>
        </w:rPr>
        <w:footnoteRef/>
      </w:r>
      <w:r w:rsidRPr="00B27041">
        <w:rPr>
          <w:sz w:val="26"/>
          <w:szCs w:val="26"/>
        </w:rPr>
        <w:t xml:space="preserve"> </w:t>
      </w:r>
      <w:r w:rsidRPr="00B27041">
        <w:rPr>
          <w:i/>
          <w:iCs/>
          <w:sz w:val="26"/>
          <w:szCs w:val="26"/>
        </w:rPr>
        <w:t xml:space="preserve">Id. </w:t>
      </w:r>
      <w:r w:rsidRPr="0095583E" w:rsidR="00400D0D">
        <w:rPr>
          <w:sz w:val="26"/>
          <w:szCs w:val="26"/>
        </w:rPr>
        <w:t>§</w:t>
      </w:r>
      <w:r w:rsidR="00400D0D">
        <w:rPr>
          <w:sz w:val="26"/>
          <w:szCs w:val="26"/>
        </w:rPr>
        <w:t xml:space="preserve"> </w:t>
      </w:r>
      <w:r w:rsidRPr="00B27041">
        <w:rPr>
          <w:sz w:val="26"/>
          <w:szCs w:val="26"/>
        </w:rPr>
        <w:t>824o(e).</w:t>
      </w:r>
    </w:p>
  </w:footnote>
  <w:footnote w:id="5">
    <w:p w:rsidR="00796A00" w:rsidRPr="00B27041" w:rsidP="00796A00" w14:paraId="3B05DAA0" w14:textId="77777777">
      <w:pPr>
        <w:pStyle w:val="FootnoteText"/>
        <w:rPr>
          <w:sz w:val="26"/>
          <w:szCs w:val="26"/>
        </w:rPr>
      </w:pPr>
      <w:r w:rsidRPr="00B27041">
        <w:rPr>
          <w:rStyle w:val="FootnoteReference"/>
          <w:sz w:val="26"/>
          <w:szCs w:val="26"/>
          <w:vertAlign w:val="superscript"/>
        </w:rPr>
        <w:footnoteRef/>
      </w:r>
      <w:r w:rsidRPr="00B27041">
        <w:rPr>
          <w:sz w:val="26"/>
          <w:szCs w:val="26"/>
        </w:rPr>
        <w:t xml:space="preserve"> “Electric Reliability Organization” or “ERO” means the organization certified by the Commission the purpose of which is to establish and enforce Reliability Standards for the Bulk-Power System, subject to Commission review.</w:t>
      </w:r>
    </w:p>
  </w:footnote>
  <w:footnote w:id="6">
    <w:p w:rsidR="00796A00" w:rsidRPr="00632F48" w:rsidP="00796A00" w14:paraId="6AA10FED" w14:textId="77777777">
      <w:pPr>
        <w:pStyle w:val="FootnoteText"/>
        <w:rPr>
          <w:sz w:val="24"/>
          <w:szCs w:val="24"/>
        </w:rPr>
      </w:pPr>
      <w:r w:rsidRPr="00B27041">
        <w:rPr>
          <w:rStyle w:val="FootnoteReference"/>
          <w:sz w:val="26"/>
          <w:szCs w:val="26"/>
          <w:vertAlign w:val="superscript"/>
        </w:rPr>
        <w:footnoteRef/>
      </w:r>
      <w:r w:rsidRPr="00B27041">
        <w:rPr>
          <w:sz w:val="26"/>
          <w:szCs w:val="26"/>
        </w:rPr>
        <w:t xml:space="preserve"> </w:t>
      </w:r>
      <w:r w:rsidRPr="00B27041">
        <w:rPr>
          <w:i/>
          <w:sz w:val="26"/>
          <w:szCs w:val="26"/>
        </w:rPr>
        <w:t>North American Electric Reliability Corp.</w:t>
      </w:r>
      <w:r w:rsidRPr="00B27041">
        <w:rPr>
          <w:sz w:val="26"/>
          <w:szCs w:val="26"/>
        </w:rPr>
        <w:t xml:space="preserve">, 116 FERC ¶ 61,062, </w:t>
      </w:r>
      <w:r w:rsidRPr="00B27041">
        <w:rPr>
          <w:i/>
          <w:sz w:val="26"/>
          <w:szCs w:val="26"/>
        </w:rPr>
        <w:t>order on reh’g and compliance</w:t>
      </w:r>
      <w:r w:rsidRPr="00B27041">
        <w:rPr>
          <w:sz w:val="26"/>
          <w:szCs w:val="26"/>
        </w:rPr>
        <w:t xml:space="preserve">, 117 FERC ¶ 61,126 (2006), </w:t>
      </w:r>
      <w:r w:rsidRPr="00B27041">
        <w:rPr>
          <w:i/>
          <w:sz w:val="26"/>
          <w:szCs w:val="26"/>
        </w:rPr>
        <w:t>order on compliance</w:t>
      </w:r>
      <w:r w:rsidRPr="00B27041">
        <w:rPr>
          <w:sz w:val="26"/>
          <w:szCs w:val="26"/>
        </w:rPr>
        <w:t xml:space="preserve">, 118 FERC ¶ 61,190, </w:t>
      </w:r>
      <w:r w:rsidRPr="00B27041">
        <w:rPr>
          <w:i/>
          <w:sz w:val="26"/>
          <w:szCs w:val="26"/>
        </w:rPr>
        <w:t>order on reh’g</w:t>
      </w:r>
      <w:r w:rsidRPr="00B27041">
        <w:rPr>
          <w:sz w:val="26"/>
          <w:szCs w:val="26"/>
        </w:rPr>
        <w:t xml:space="preserve">, 119 FERC ¶ 61,046 (2007), </w:t>
      </w:r>
      <w:r w:rsidRPr="00B27041">
        <w:rPr>
          <w:i/>
          <w:sz w:val="26"/>
          <w:szCs w:val="26"/>
        </w:rPr>
        <w:t>aff’d sub nom. Alcoa Inc. v. FERC</w:t>
      </w:r>
      <w:r w:rsidRPr="00B27041">
        <w:rPr>
          <w:sz w:val="26"/>
          <w:szCs w:val="26"/>
        </w:rPr>
        <w:t>, 564 F.3d 1342 (D.C. Cir. 2009).</w:t>
      </w:r>
    </w:p>
  </w:footnote>
  <w:footnote w:id="7">
    <w:p w:rsidR="00095811" w:rsidRPr="00CB74A2" w:rsidP="00095811" w14:paraId="76051821" w14:textId="6602CEE2">
      <w:pPr>
        <w:pStyle w:val="FootnoteText"/>
        <w:rPr>
          <w:sz w:val="26"/>
          <w:szCs w:val="26"/>
        </w:rPr>
      </w:pPr>
      <w:r w:rsidRPr="00B27041">
        <w:rPr>
          <w:rStyle w:val="FootnoteReference"/>
          <w:bCs/>
          <w:sz w:val="26"/>
          <w:szCs w:val="26"/>
          <w:vertAlign w:val="superscript"/>
        </w:rPr>
        <w:footnoteRef/>
      </w:r>
      <w:r w:rsidRPr="00400D0D">
        <w:rPr>
          <w:sz w:val="26"/>
          <w:szCs w:val="26"/>
        </w:rPr>
        <w:t xml:space="preserve"> </w:t>
      </w:r>
      <w:r w:rsidRPr="00CB74A2">
        <w:rPr>
          <w:sz w:val="26"/>
          <w:szCs w:val="26"/>
        </w:rPr>
        <w:t>The regulation at 18 C</w:t>
      </w:r>
      <w:r w:rsidR="00CD713B">
        <w:rPr>
          <w:sz w:val="26"/>
          <w:szCs w:val="26"/>
        </w:rPr>
        <w:t>FR</w:t>
      </w:r>
      <w:r w:rsidRPr="00CB74A2">
        <w:rPr>
          <w:sz w:val="26"/>
          <w:szCs w:val="26"/>
        </w:rPr>
        <w:t xml:space="preserve"> 35.28(c)(1) requires every public utility that owns, controls, or operates facilities used for the transmission of electric energy in interstate commerce to have on file with the Commission an open access transmission tariff consisting of the </w:t>
      </w:r>
      <w:r w:rsidRPr="00CB74A2">
        <w:rPr>
          <w:i/>
          <w:iCs/>
          <w:sz w:val="26"/>
          <w:szCs w:val="26"/>
        </w:rPr>
        <w:t>pro forma</w:t>
      </w:r>
      <w:r w:rsidRPr="00CB74A2">
        <w:rPr>
          <w:sz w:val="26"/>
          <w:szCs w:val="26"/>
        </w:rPr>
        <w:t xml:space="preserve"> tariff promulgated by the Commission, or such other tariff as may be approved by the Commission.  The regulation at 18 CFR</w:t>
      </w:r>
      <w:r w:rsidR="00400D0D">
        <w:rPr>
          <w:sz w:val="26"/>
          <w:szCs w:val="26"/>
        </w:rPr>
        <w:t xml:space="preserve"> </w:t>
      </w:r>
      <w:r w:rsidRPr="00CB74A2">
        <w:rPr>
          <w:sz w:val="26"/>
          <w:szCs w:val="26"/>
        </w:rPr>
        <w:t>35.28(f)(1) requires every public utility that is required to have on file a non-discriminatory open access transmission tariff to amend such tariff by adding the standard interconnection procedures and agreement and the standard small generator interconnection procedures and agreement required by the Commission.</w:t>
      </w:r>
    </w:p>
  </w:footnote>
  <w:footnote w:id="8">
    <w:p w:rsidR="00400D0D" w14:paraId="09DA578D" w14:textId="29CA6765">
      <w:pPr>
        <w:pStyle w:val="FootnoteText"/>
      </w:pPr>
      <w:r w:rsidRPr="00B27041">
        <w:rPr>
          <w:rStyle w:val="FootnoteReference"/>
          <w:vertAlign w:val="superscript"/>
        </w:rPr>
        <w:footnoteRef/>
      </w:r>
      <w:r w:rsidR="00055320">
        <w:t xml:space="preserve"> </w:t>
      </w:r>
      <w:r w:rsidRPr="00B27041">
        <w:rPr>
          <w:sz w:val="26"/>
          <w:szCs w:val="26"/>
        </w:rPr>
        <w:t>Planning Coordinators (PC).</w:t>
      </w:r>
      <w:r>
        <w:t xml:space="preserve"> </w:t>
      </w:r>
    </w:p>
  </w:footnote>
  <w:footnote w:id="9">
    <w:p w:rsidR="009D4CDC" w:rsidRPr="00EF40D4" w14:paraId="7FA24DFD" w14:textId="7A1CE58C">
      <w:pPr>
        <w:pStyle w:val="FootnoteText"/>
        <w:rPr>
          <w:sz w:val="26"/>
        </w:rPr>
      </w:pPr>
      <w:r w:rsidRPr="00EF40D4">
        <w:rPr>
          <w:rStyle w:val="FootnoteReference"/>
          <w:sz w:val="26"/>
          <w:vertAlign w:val="superscript"/>
        </w:rPr>
        <w:footnoteRef/>
      </w:r>
      <w:r w:rsidRPr="00EF40D4">
        <w:rPr>
          <w:sz w:val="26"/>
        </w:rPr>
        <w:t xml:space="preserve"> </w:t>
      </w:r>
      <w:r w:rsidRPr="00EF40D4" w:rsidR="00F11841">
        <w:rPr>
          <w:sz w:val="26"/>
        </w:rPr>
        <w:t xml:space="preserve">The Commission staff estimates that the average respondent for FERC-725D </w:t>
      </w:r>
      <w:r w:rsidRPr="00EF40D4" w:rsidR="00A94EDD">
        <w:rPr>
          <w:sz w:val="26"/>
        </w:rPr>
        <w:t>and RD22-5-000</w:t>
      </w:r>
      <w:r w:rsidRPr="00EF40D4" w:rsidR="00F11841">
        <w:rPr>
          <w:sz w:val="26"/>
        </w:rPr>
        <w:t xml:space="preserve"> is similarly situated to the Commission, in terms of salary plus benefits.  Based on FERC’s 2024 annual average of $</w:t>
      </w:r>
      <w:r w:rsidRPr="00EF40D4" w:rsidR="00F11841">
        <w:rPr>
          <w:bCs/>
          <w:sz w:val="26"/>
        </w:rPr>
        <w:t>207,786 (for salary plus benefits), the average hourly cost per full time equivalent is $100/hour.</w:t>
      </w:r>
    </w:p>
  </w:footnote>
  <w:footnote w:id="10">
    <w:p w:rsidR="00D066AD" w:rsidRPr="00433D8A" w14:paraId="15EEB806" w14:textId="61DEFB38">
      <w:pPr>
        <w:pStyle w:val="FootnoteText"/>
        <w:rPr>
          <w:sz w:val="26"/>
        </w:rPr>
      </w:pPr>
      <w:r w:rsidRPr="00B27041">
        <w:rPr>
          <w:rStyle w:val="FootnoteReference"/>
          <w:sz w:val="26"/>
          <w:vertAlign w:val="superscript"/>
        </w:rPr>
        <w:footnoteRef/>
      </w:r>
      <w:r w:rsidRPr="00433D8A">
        <w:rPr>
          <w:sz w:val="26"/>
        </w:rPr>
        <w:t xml:space="preserve"> This estimated </w:t>
      </w:r>
      <w:r w:rsidR="00844DAD">
        <w:rPr>
          <w:sz w:val="26"/>
        </w:rPr>
        <w:t xml:space="preserve">burden </w:t>
      </w:r>
      <w:r w:rsidRPr="00433D8A">
        <w:rPr>
          <w:sz w:val="26"/>
        </w:rPr>
        <w:t xml:space="preserve">represents the average of </w:t>
      </w:r>
      <w:r w:rsidRPr="00433D8A" w:rsidR="00C41B54">
        <w:rPr>
          <w:sz w:val="26"/>
        </w:rPr>
        <w:t>the burdens for Year 1, Year 2, and Year 3</w:t>
      </w:r>
      <w:r w:rsidRPr="00433D8A" w:rsidR="00D10BE7">
        <w:rPr>
          <w:sz w:val="26"/>
        </w:rPr>
        <w:t xml:space="preserve">, </w:t>
      </w:r>
      <w:r w:rsidRPr="00433D8A" w:rsidR="00C41B54">
        <w:rPr>
          <w:sz w:val="26"/>
        </w:rPr>
        <w:t xml:space="preserve">i.e., </w:t>
      </w:r>
      <w:r w:rsidRPr="00433D8A" w:rsidR="00573EC8">
        <w:rPr>
          <w:sz w:val="26"/>
        </w:rPr>
        <w:t>(</w:t>
      </w:r>
      <w:r w:rsidR="008B7F86">
        <w:rPr>
          <w:sz w:val="26"/>
        </w:rPr>
        <w:t>7,440</w:t>
      </w:r>
      <w:r w:rsidRPr="00433D8A" w:rsidR="00D10BE7">
        <w:rPr>
          <w:sz w:val="26"/>
        </w:rPr>
        <w:t xml:space="preserve"> hours + </w:t>
      </w:r>
      <w:r w:rsidR="008B7F86">
        <w:rPr>
          <w:sz w:val="26"/>
        </w:rPr>
        <w:t>7,440</w:t>
      </w:r>
      <w:r w:rsidRPr="00433D8A" w:rsidR="00D10BE7">
        <w:rPr>
          <w:sz w:val="26"/>
        </w:rPr>
        <w:t xml:space="preserve"> Hours + </w:t>
      </w:r>
      <w:r w:rsidR="00DB41C6">
        <w:rPr>
          <w:sz w:val="26"/>
        </w:rPr>
        <w:t>2,480</w:t>
      </w:r>
      <w:r w:rsidRPr="00433D8A" w:rsidR="00D10BE7">
        <w:rPr>
          <w:sz w:val="26"/>
        </w:rPr>
        <w:t xml:space="preserve"> hours</w:t>
      </w:r>
      <w:r w:rsidRPr="00433D8A" w:rsidR="00573EC8">
        <w:rPr>
          <w:sz w:val="26"/>
        </w:rPr>
        <w:t>)</w:t>
      </w:r>
      <w:r w:rsidRPr="00433D8A" w:rsidR="00D10BE7">
        <w:rPr>
          <w:sz w:val="26"/>
        </w:rPr>
        <w:t xml:space="preserve"> </w:t>
      </w:r>
      <w:r w:rsidRPr="00433D8A" w:rsidR="00573EC8">
        <w:rPr>
          <w:rFonts w:cs="Times New Roman"/>
          <w:sz w:val="26"/>
        </w:rPr>
        <w: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1D7" w:rsidRPr="00BA61D7" w:rsidP="00BA61D7" w14:paraId="785085B9" w14:textId="3C684E3A">
    <w:pPr>
      <w:pStyle w:val="Header"/>
    </w:pPr>
    <w:r w:rsidRPr="00BA61D7">
      <w:t>Order in Docket No. RD22-</w:t>
    </w:r>
    <w:r>
      <w:t>5</w:t>
    </w:r>
    <w:r w:rsidRPr="00BA61D7">
      <w:t>-000</w:t>
    </w:r>
    <w:r w:rsidR="00955BC6">
      <w:t xml:space="preserve">, </w:t>
    </w:r>
    <w:r w:rsidR="006E6345">
      <w:t xml:space="preserve">FERC-725D, </w:t>
    </w:r>
    <w:r w:rsidR="00955BC6">
      <w:t>1902-</w:t>
    </w:r>
    <w:r w:rsidR="00651C07">
      <w:t>0247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17C2F"/>
    <w:multiLevelType w:val="hybridMultilevel"/>
    <w:tmpl w:val="18DE7B4A"/>
    <w:lvl w:ilvl="0">
      <w:start w:val="8"/>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3C6417"/>
    <w:multiLevelType w:val="hybridMultilevel"/>
    <w:tmpl w:val="75F48E50"/>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2629705">
    <w:abstractNumId w:val="2"/>
  </w:num>
  <w:num w:numId="2" w16cid:durableId="94636403">
    <w:abstractNumId w:val="3"/>
  </w:num>
  <w:num w:numId="3" w16cid:durableId="2092892994">
    <w:abstractNumId w:val="2"/>
  </w:num>
  <w:num w:numId="4" w16cid:durableId="1433476781">
    <w:abstractNumId w:val="2"/>
  </w:num>
  <w:num w:numId="5" w16cid:durableId="1837186815">
    <w:abstractNumId w:val="2"/>
  </w:num>
  <w:num w:numId="6" w16cid:durableId="813986212">
    <w:abstractNumId w:val="2"/>
  </w:num>
  <w:num w:numId="7" w16cid:durableId="292249454">
    <w:abstractNumId w:val="0"/>
  </w:num>
  <w:num w:numId="8" w16cid:durableId="917400188">
    <w:abstractNumId w:val="2"/>
  </w:num>
  <w:num w:numId="9" w16cid:durableId="1946039645">
    <w:abstractNumId w:val="2"/>
  </w:num>
  <w:num w:numId="10" w16cid:durableId="1250430228">
    <w:abstractNumId w:val="2"/>
  </w:num>
  <w:num w:numId="11" w16cid:durableId="32991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87"/>
    <w:rsid w:val="00000180"/>
    <w:rsid w:val="00007734"/>
    <w:rsid w:val="00011F6E"/>
    <w:rsid w:val="0001683E"/>
    <w:rsid w:val="00023082"/>
    <w:rsid w:val="00023EEC"/>
    <w:rsid w:val="00036AD2"/>
    <w:rsid w:val="00055320"/>
    <w:rsid w:val="0005796A"/>
    <w:rsid w:val="000632F8"/>
    <w:rsid w:val="00064A92"/>
    <w:rsid w:val="000675A2"/>
    <w:rsid w:val="00072686"/>
    <w:rsid w:val="0007282A"/>
    <w:rsid w:val="00073FF7"/>
    <w:rsid w:val="000867AB"/>
    <w:rsid w:val="00095811"/>
    <w:rsid w:val="00095CCA"/>
    <w:rsid w:val="000A2097"/>
    <w:rsid w:val="000B2165"/>
    <w:rsid w:val="000B7A18"/>
    <w:rsid w:val="000C255E"/>
    <w:rsid w:val="000C5561"/>
    <w:rsid w:val="000D438A"/>
    <w:rsid w:val="000F0908"/>
    <w:rsid w:val="0010424D"/>
    <w:rsid w:val="001077AF"/>
    <w:rsid w:val="00110285"/>
    <w:rsid w:val="00134811"/>
    <w:rsid w:val="001353BD"/>
    <w:rsid w:val="0013700E"/>
    <w:rsid w:val="0014219F"/>
    <w:rsid w:val="001421A7"/>
    <w:rsid w:val="00155842"/>
    <w:rsid w:val="00155E55"/>
    <w:rsid w:val="00160E22"/>
    <w:rsid w:val="001629E9"/>
    <w:rsid w:val="00176293"/>
    <w:rsid w:val="00177779"/>
    <w:rsid w:val="00182A1D"/>
    <w:rsid w:val="00185BD7"/>
    <w:rsid w:val="00194E92"/>
    <w:rsid w:val="001968F4"/>
    <w:rsid w:val="001A0842"/>
    <w:rsid w:val="001A1014"/>
    <w:rsid w:val="001A26D2"/>
    <w:rsid w:val="001A4A42"/>
    <w:rsid w:val="001B17D2"/>
    <w:rsid w:val="001B43A6"/>
    <w:rsid w:val="001B4FA8"/>
    <w:rsid w:val="001B6230"/>
    <w:rsid w:val="001D0C42"/>
    <w:rsid w:val="001D22F3"/>
    <w:rsid w:val="001D7793"/>
    <w:rsid w:val="001D7B3F"/>
    <w:rsid w:val="001E58D2"/>
    <w:rsid w:val="001F0CEA"/>
    <w:rsid w:val="00203148"/>
    <w:rsid w:val="00213C23"/>
    <w:rsid w:val="0022300D"/>
    <w:rsid w:val="00233CDB"/>
    <w:rsid w:val="00236FC8"/>
    <w:rsid w:val="002375A0"/>
    <w:rsid w:val="002430AC"/>
    <w:rsid w:val="00253CB4"/>
    <w:rsid w:val="00255366"/>
    <w:rsid w:val="00261C0F"/>
    <w:rsid w:val="002A4811"/>
    <w:rsid w:val="002A6E0A"/>
    <w:rsid w:val="002B28F8"/>
    <w:rsid w:val="002B332F"/>
    <w:rsid w:val="002C6C6B"/>
    <w:rsid w:val="002D3820"/>
    <w:rsid w:val="002E0156"/>
    <w:rsid w:val="002F15D2"/>
    <w:rsid w:val="00303E8F"/>
    <w:rsid w:val="003226D2"/>
    <w:rsid w:val="003245B5"/>
    <w:rsid w:val="00330730"/>
    <w:rsid w:val="0034671D"/>
    <w:rsid w:val="00354B5D"/>
    <w:rsid w:val="00367AC5"/>
    <w:rsid w:val="00377EAB"/>
    <w:rsid w:val="003865F8"/>
    <w:rsid w:val="00387AF7"/>
    <w:rsid w:val="00394487"/>
    <w:rsid w:val="003A0464"/>
    <w:rsid w:val="003A23CF"/>
    <w:rsid w:val="003B2836"/>
    <w:rsid w:val="003C0678"/>
    <w:rsid w:val="003C1AC5"/>
    <w:rsid w:val="003C5474"/>
    <w:rsid w:val="003C582C"/>
    <w:rsid w:val="003D387B"/>
    <w:rsid w:val="003D6D0B"/>
    <w:rsid w:val="003E5568"/>
    <w:rsid w:val="003E6BFF"/>
    <w:rsid w:val="003F03FB"/>
    <w:rsid w:val="003F347D"/>
    <w:rsid w:val="003F3759"/>
    <w:rsid w:val="00400D0D"/>
    <w:rsid w:val="00404D63"/>
    <w:rsid w:val="0041088C"/>
    <w:rsid w:val="00433D8A"/>
    <w:rsid w:val="004434C5"/>
    <w:rsid w:val="00443EC0"/>
    <w:rsid w:val="0044443E"/>
    <w:rsid w:val="00454752"/>
    <w:rsid w:val="00454B32"/>
    <w:rsid w:val="004578C0"/>
    <w:rsid w:val="00465361"/>
    <w:rsid w:val="0047642E"/>
    <w:rsid w:val="004813F8"/>
    <w:rsid w:val="00481C2E"/>
    <w:rsid w:val="004B3DD6"/>
    <w:rsid w:val="004C48AB"/>
    <w:rsid w:val="004D03FA"/>
    <w:rsid w:val="004D63BE"/>
    <w:rsid w:val="004D645B"/>
    <w:rsid w:val="004E06F3"/>
    <w:rsid w:val="004E385D"/>
    <w:rsid w:val="004F41C3"/>
    <w:rsid w:val="00537437"/>
    <w:rsid w:val="00550725"/>
    <w:rsid w:val="00552404"/>
    <w:rsid w:val="0055704F"/>
    <w:rsid w:val="00563BEB"/>
    <w:rsid w:val="00573EC8"/>
    <w:rsid w:val="005823F7"/>
    <w:rsid w:val="005851D7"/>
    <w:rsid w:val="00593D02"/>
    <w:rsid w:val="005962F7"/>
    <w:rsid w:val="005A4F8E"/>
    <w:rsid w:val="005B002F"/>
    <w:rsid w:val="005C1279"/>
    <w:rsid w:val="005D0CD6"/>
    <w:rsid w:val="005E41CC"/>
    <w:rsid w:val="005F701E"/>
    <w:rsid w:val="0060150A"/>
    <w:rsid w:val="00606780"/>
    <w:rsid w:val="00615906"/>
    <w:rsid w:val="0061787D"/>
    <w:rsid w:val="00632F48"/>
    <w:rsid w:val="00637E26"/>
    <w:rsid w:val="00637F98"/>
    <w:rsid w:val="006431F6"/>
    <w:rsid w:val="0064597F"/>
    <w:rsid w:val="00650521"/>
    <w:rsid w:val="00650D03"/>
    <w:rsid w:val="00650ED6"/>
    <w:rsid w:val="00651C07"/>
    <w:rsid w:val="00655DFF"/>
    <w:rsid w:val="00673EA9"/>
    <w:rsid w:val="00682206"/>
    <w:rsid w:val="0069071A"/>
    <w:rsid w:val="006B2D6C"/>
    <w:rsid w:val="006B533F"/>
    <w:rsid w:val="006B6B83"/>
    <w:rsid w:val="006B72F1"/>
    <w:rsid w:val="006B7E65"/>
    <w:rsid w:val="006C29E7"/>
    <w:rsid w:val="006C7905"/>
    <w:rsid w:val="006D2369"/>
    <w:rsid w:val="006D2F04"/>
    <w:rsid w:val="006E27B6"/>
    <w:rsid w:val="006E6345"/>
    <w:rsid w:val="006E7014"/>
    <w:rsid w:val="006F0A3F"/>
    <w:rsid w:val="006F4A6A"/>
    <w:rsid w:val="007052AE"/>
    <w:rsid w:val="007116B1"/>
    <w:rsid w:val="0071183E"/>
    <w:rsid w:val="007154F1"/>
    <w:rsid w:val="00722764"/>
    <w:rsid w:val="00723BDA"/>
    <w:rsid w:val="007317EE"/>
    <w:rsid w:val="007341F7"/>
    <w:rsid w:val="00736244"/>
    <w:rsid w:val="0074109D"/>
    <w:rsid w:val="00744C6A"/>
    <w:rsid w:val="007479C9"/>
    <w:rsid w:val="007634A1"/>
    <w:rsid w:val="007665DE"/>
    <w:rsid w:val="00775A56"/>
    <w:rsid w:val="00790654"/>
    <w:rsid w:val="007949A9"/>
    <w:rsid w:val="00796A00"/>
    <w:rsid w:val="007A1A9E"/>
    <w:rsid w:val="007A327C"/>
    <w:rsid w:val="007A3F1D"/>
    <w:rsid w:val="007A4C6D"/>
    <w:rsid w:val="007B5FFF"/>
    <w:rsid w:val="007C0047"/>
    <w:rsid w:val="007C1B4E"/>
    <w:rsid w:val="007C592B"/>
    <w:rsid w:val="007D0489"/>
    <w:rsid w:val="007D1A4B"/>
    <w:rsid w:val="007D27A6"/>
    <w:rsid w:val="007D3E42"/>
    <w:rsid w:val="007E03E2"/>
    <w:rsid w:val="00810AD2"/>
    <w:rsid w:val="00811D49"/>
    <w:rsid w:val="00817C21"/>
    <w:rsid w:val="00821B36"/>
    <w:rsid w:val="008374D0"/>
    <w:rsid w:val="00837F6B"/>
    <w:rsid w:val="00844DAD"/>
    <w:rsid w:val="00846624"/>
    <w:rsid w:val="008573FB"/>
    <w:rsid w:val="00861770"/>
    <w:rsid w:val="00864C12"/>
    <w:rsid w:val="00873D96"/>
    <w:rsid w:val="00883AD7"/>
    <w:rsid w:val="00890014"/>
    <w:rsid w:val="00890A58"/>
    <w:rsid w:val="008955BF"/>
    <w:rsid w:val="00896D26"/>
    <w:rsid w:val="008A2B0B"/>
    <w:rsid w:val="008B732F"/>
    <w:rsid w:val="008B7F86"/>
    <w:rsid w:val="008C60F9"/>
    <w:rsid w:val="008C6E49"/>
    <w:rsid w:val="008D54D8"/>
    <w:rsid w:val="008E0CBB"/>
    <w:rsid w:val="008F0729"/>
    <w:rsid w:val="008F4FD4"/>
    <w:rsid w:val="00905C6A"/>
    <w:rsid w:val="009068AD"/>
    <w:rsid w:val="00913BD7"/>
    <w:rsid w:val="00915EE5"/>
    <w:rsid w:val="00921371"/>
    <w:rsid w:val="00927E68"/>
    <w:rsid w:val="00927F2B"/>
    <w:rsid w:val="00940C89"/>
    <w:rsid w:val="009447F8"/>
    <w:rsid w:val="00952871"/>
    <w:rsid w:val="0095583E"/>
    <w:rsid w:val="00955BC6"/>
    <w:rsid w:val="00962128"/>
    <w:rsid w:val="009635C1"/>
    <w:rsid w:val="00964876"/>
    <w:rsid w:val="00972AD9"/>
    <w:rsid w:val="00976270"/>
    <w:rsid w:val="0097702C"/>
    <w:rsid w:val="00980A78"/>
    <w:rsid w:val="00994505"/>
    <w:rsid w:val="009A137E"/>
    <w:rsid w:val="009A377B"/>
    <w:rsid w:val="009A56DF"/>
    <w:rsid w:val="009A6652"/>
    <w:rsid w:val="009B3B7A"/>
    <w:rsid w:val="009B4FF0"/>
    <w:rsid w:val="009B67A1"/>
    <w:rsid w:val="009D07EC"/>
    <w:rsid w:val="009D4CDC"/>
    <w:rsid w:val="009E3B9C"/>
    <w:rsid w:val="009E6F29"/>
    <w:rsid w:val="009F041F"/>
    <w:rsid w:val="009F0ED1"/>
    <w:rsid w:val="009F3137"/>
    <w:rsid w:val="00A06FFC"/>
    <w:rsid w:val="00A14609"/>
    <w:rsid w:val="00A161F4"/>
    <w:rsid w:val="00A25A3E"/>
    <w:rsid w:val="00A66D4F"/>
    <w:rsid w:val="00A72097"/>
    <w:rsid w:val="00A74C2E"/>
    <w:rsid w:val="00A94EDD"/>
    <w:rsid w:val="00A95D12"/>
    <w:rsid w:val="00AA0529"/>
    <w:rsid w:val="00AA31F8"/>
    <w:rsid w:val="00AA6061"/>
    <w:rsid w:val="00AB1C22"/>
    <w:rsid w:val="00AB68F3"/>
    <w:rsid w:val="00AC07B9"/>
    <w:rsid w:val="00AC0BE8"/>
    <w:rsid w:val="00AC352D"/>
    <w:rsid w:val="00AC372D"/>
    <w:rsid w:val="00AC6D29"/>
    <w:rsid w:val="00AD350C"/>
    <w:rsid w:val="00AD4676"/>
    <w:rsid w:val="00AE473D"/>
    <w:rsid w:val="00AF66D0"/>
    <w:rsid w:val="00B076DD"/>
    <w:rsid w:val="00B22210"/>
    <w:rsid w:val="00B24E93"/>
    <w:rsid w:val="00B27041"/>
    <w:rsid w:val="00B307BA"/>
    <w:rsid w:val="00B348C5"/>
    <w:rsid w:val="00B42FF9"/>
    <w:rsid w:val="00B43852"/>
    <w:rsid w:val="00B43A19"/>
    <w:rsid w:val="00B46CFC"/>
    <w:rsid w:val="00B6434C"/>
    <w:rsid w:val="00B823FA"/>
    <w:rsid w:val="00B932A2"/>
    <w:rsid w:val="00B95123"/>
    <w:rsid w:val="00BA05A9"/>
    <w:rsid w:val="00BA4A65"/>
    <w:rsid w:val="00BA61D7"/>
    <w:rsid w:val="00BB4081"/>
    <w:rsid w:val="00BC156F"/>
    <w:rsid w:val="00BC6AD2"/>
    <w:rsid w:val="00BD0FD5"/>
    <w:rsid w:val="00BE008A"/>
    <w:rsid w:val="00BE76B0"/>
    <w:rsid w:val="00BE7C76"/>
    <w:rsid w:val="00BF0E4E"/>
    <w:rsid w:val="00C00E79"/>
    <w:rsid w:val="00C06E63"/>
    <w:rsid w:val="00C14AC3"/>
    <w:rsid w:val="00C2279B"/>
    <w:rsid w:val="00C23A4D"/>
    <w:rsid w:val="00C40F8A"/>
    <w:rsid w:val="00C410A6"/>
    <w:rsid w:val="00C41B54"/>
    <w:rsid w:val="00C41BA9"/>
    <w:rsid w:val="00C42D13"/>
    <w:rsid w:val="00C448DB"/>
    <w:rsid w:val="00C50585"/>
    <w:rsid w:val="00C6795C"/>
    <w:rsid w:val="00C7326B"/>
    <w:rsid w:val="00C955CD"/>
    <w:rsid w:val="00CA15D3"/>
    <w:rsid w:val="00CA6CBE"/>
    <w:rsid w:val="00CB3E88"/>
    <w:rsid w:val="00CB41D8"/>
    <w:rsid w:val="00CB5626"/>
    <w:rsid w:val="00CB74A2"/>
    <w:rsid w:val="00CB7C2C"/>
    <w:rsid w:val="00CC2A67"/>
    <w:rsid w:val="00CD0772"/>
    <w:rsid w:val="00CD713B"/>
    <w:rsid w:val="00CF45EC"/>
    <w:rsid w:val="00D00A51"/>
    <w:rsid w:val="00D011B2"/>
    <w:rsid w:val="00D03EBE"/>
    <w:rsid w:val="00D05227"/>
    <w:rsid w:val="00D066AD"/>
    <w:rsid w:val="00D10BE7"/>
    <w:rsid w:val="00D23BF8"/>
    <w:rsid w:val="00D23C66"/>
    <w:rsid w:val="00D277D6"/>
    <w:rsid w:val="00D532E5"/>
    <w:rsid w:val="00D53E1C"/>
    <w:rsid w:val="00D714F4"/>
    <w:rsid w:val="00D7683F"/>
    <w:rsid w:val="00D87438"/>
    <w:rsid w:val="00D90B34"/>
    <w:rsid w:val="00D92801"/>
    <w:rsid w:val="00D9411A"/>
    <w:rsid w:val="00D94A2A"/>
    <w:rsid w:val="00D972FA"/>
    <w:rsid w:val="00DA3430"/>
    <w:rsid w:val="00DB41C6"/>
    <w:rsid w:val="00DC22CB"/>
    <w:rsid w:val="00DC43FC"/>
    <w:rsid w:val="00DC640D"/>
    <w:rsid w:val="00DD61E7"/>
    <w:rsid w:val="00DE66BF"/>
    <w:rsid w:val="00DF1B2F"/>
    <w:rsid w:val="00E05946"/>
    <w:rsid w:val="00E163C0"/>
    <w:rsid w:val="00E17B95"/>
    <w:rsid w:val="00E21680"/>
    <w:rsid w:val="00E25125"/>
    <w:rsid w:val="00E30E7C"/>
    <w:rsid w:val="00E34CF2"/>
    <w:rsid w:val="00E34E83"/>
    <w:rsid w:val="00E459DA"/>
    <w:rsid w:val="00E45A2F"/>
    <w:rsid w:val="00E57F9D"/>
    <w:rsid w:val="00E6014C"/>
    <w:rsid w:val="00E76E54"/>
    <w:rsid w:val="00E85654"/>
    <w:rsid w:val="00E869DC"/>
    <w:rsid w:val="00E86ECA"/>
    <w:rsid w:val="00E91F29"/>
    <w:rsid w:val="00E928CE"/>
    <w:rsid w:val="00E959BF"/>
    <w:rsid w:val="00EA2932"/>
    <w:rsid w:val="00EC0E49"/>
    <w:rsid w:val="00EC371F"/>
    <w:rsid w:val="00EC6977"/>
    <w:rsid w:val="00EE0C35"/>
    <w:rsid w:val="00EF40D4"/>
    <w:rsid w:val="00F009C1"/>
    <w:rsid w:val="00F11841"/>
    <w:rsid w:val="00F118FB"/>
    <w:rsid w:val="00F21AD8"/>
    <w:rsid w:val="00F25748"/>
    <w:rsid w:val="00F31328"/>
    <w:rsid w:val="00F43677"/>
    <w:rsid w:val="00F50CA3"/>
    <w:rsid w:val="00F67461"/>
    <w:rsid w:val="00F72F88"/>
    <w:rsid w:val="00F75B1D"/>
    <w:rsid w:val="00F91CB4"/>
    <w:rsid w:val="00F97165"/>
    <w:rsid w:val="00FA462A"/>
    <w:rsid w:val="00FB2CF8"/>
    <w:rsid w:val="00FB2E20"/>
    <w:rsid w:val="00FC2D15"/>
    <w:rsid w:val="00FC74B7"/>
    <w:rsid w:val="00FD1BB4"/>
    <w:rsid w:val="00FD33EF"/>
    <w:rsid w:val="00FD5A51"/>
    <w:rsid w:val="00FE0718"/>
    <w:rsid w:val="00FE189A"/>
    <w:rsid w:val="00FE677C"/>
    <w:rsid w:val="00FF2E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F6C093"/>
  <w15:chartTrackingRefBased/>
  <w15:docId w15:val="{C95C7EBE-5763-4DF4-9C21-20FE4511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48"/>
    <w:pPr>
      <w:ind w:left="720"/>
      <w:contextualSpacing/>
    </w:pPr>
    <w:rPr>
      <w:rFonts w:eastAsia="Times New Roman" w:cs="Times New Roman"/>
    </w:rPr>
  </w:style>
  <w:style w:type="paragraph" w:styleId="Header">
    <w:name w:val="header"/>
    <w:basedOn w:val="Normal"/>
    <w:link w:val="HeaderChar"/>
    <w:uiPriority w:val="99"/>
    <w:unhideWhenUsed/>
    <w:rsid w:val="00A74C2E"/>
    <w:pPr>
      <w:tabs>
        <w:tab w:val="center" w:pos="4680"/>
        <w:tab w:val="right" w:pos="9360"/>
      </w:tabs>
    </w:pPr>
  </w:style>
  <w:style w:type="character" w:customStyle="1" w:styleId="HeaderChar">
    <w:name w:val="Header Char"/>
    <w:basedOn w:val="DefaultParagraphFont"/>
    <w:link w:val="Header"/>
    <w:uiPriority w:val="99"/>
    <w:rsid w:val="00A74C2E"/>
    <w:rPr>
      <w:rFonts w:ascii="Times New Roman" w:hAnsi="Times New Roman"/>
      <w:sz w:val="26"/>
      <w:szCs w:val="24"/>
    </w:rPr>
  </w:style>
  <w:style w:type="paragraph" w:styleId="Footer">
    <w:name w:val="footer"/>
    <w:basedOn w:val="Normal"/>
    <w:link w:val="FooterChar"/>
    <w:uiPriority w:val="99"/>
    <w:unhideWhenUsed/>
    <w:rsid w:val="00A74C2E"/>
    <w:pPr>
      <w:tabs>
        <w:tab w:val="center" w:pos="4680"/>
        <w:tab w:val="right" w:pos="9360"/>
      </w:tabs>
    </w:pPr>
  </w:style>
  <w:style w:type="character" w:customStyle="1" w:styleId="FooterChar">
    <w:name w:val="Footer Char"/>
    <w:basedOn w:val="DefaultParagraphFont"/>
    <w:link w:val="Footer"/>
    <w:uiPriority w:val="99"/>
    <w:rsid w:val="00A74C2E"/>
    <w:rPr>
      <w:rFonts w:ascii="Times New Roman" w:hAnsi="Times New Roman"/>
      <w:sz w:val="26"/>
      <w:szCs w:val="24"/>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c,f,fn,fn1,fn3,fn4,ft"/>
    <w:basedOn w:val="Normal"/>
    <w:link w:val="FootnoteTextChar"/>
    <w:uiPriority w:val="99"/>
    <w:unhideWhenUsed/>
    <w:rsid w:val="00796A00"/>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796A00"/>
    <w:rPr>
      <w:rFonts w:ascii="Times New Roman" w:hAnsi="Times New Roman"/>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796A00"/>
  </w:style>
  <w:style w:type="character" w:styleId="Hyperlink">
    <w:name w:val="Hyperlink"/>
    <w:basedOn w:val="DefaultParagraphFont"/>
    <w:uiPriority w:val="99"/>
    <w:unhideWhenUsed/>
    <w:rsid w:val="00F75B1D"/>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4C48AB"/>
    <w:rPr>
      <w:color w:val="605E5C"/>
      <w:shd w:val="clear" w:color="auto" w:fill="E1DFDD"/>
    </w:rPr>
  </w:style>
  <w:style w:type="character" w:styleId="FollowedHyperlink">
    <w:name w:val="FollowedHyperlink"/>
    <w:basedOn w:val="DefaultParagraphFont"/>
    <w:uiPriority w:val="99"/>
    <w:semiHidden/>
    <w:unhideWhenUsed/>
    <w:rsid w:val="00CB3E88"/>
    <w:rPr>
      <w:color w:val="954F72" w:themeColor="followedHyperlink"/>
      <w:u w:val="single"/>
    </w:rPr>
  </w:style>
  <w:style w:type="character" w:styleId="CommentReference">
    <w:name w:val="annotation reference"/>
    <w:basedOn w:val="DefaultParagraphFont"/>
    <w:uiPriority w:val="99"/>
    <w:semiHidden/>
    <w:unhideWhenUsed/>
    <w:rsid w:val="002A6E0A"/>
    <w:rPr>
      <w:sz w:val="16"/>
      <w:szCs w:val="16"/>
    </w:rPr>
  </w:style>
  <w:style w:type="paragraph" w:styleId="CommentText">
    <w:name w:val="annotation text"/>
    <w:basedOn w:val="Normal"/>
    <w:link w:val="CommentTextChar"/>
    <w:uiPriority w:val="99"/>
    <w:unhideWhenUsed/>
    <w:rsid w:val="002A6E0A"/>
    <w:rPr>
      <w:sz w:val="20"/>
      <w:szCs w:val="20"/>
    </w:rPr>
  </w:style>
  <w:style w:type="character" w:customStyle="1" w:styleId="CommentTextChar">
    <w:name w:val="Comment Text Char"/>
    <w:basedOn w:val="DefaultParagraphFont"/>
    <w:link w:val="CommentText"/>
    <w:uiPriority w:val="99"/>
    <w:rsid w:val="002A6E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6E0A"/>
    <w:rPr>
      <w:b/>
      <w:bCs/>
    </w:rPr>
  </w:style>
  <w:style w:type="character" w:customStyle="1" w:styleId="CommentSubjectChar">
    <w:name w:val="Comment Subject Char"/>
    <w:basedOn w:val="CommentTextChar"/>
    <w:link w:val="CommentSubject"/>
    <w:uiPriority w:val="99"/>
    <w:semiHidden/>
    <w:rsid w:val="002A6E0A"/>
    <w:rPr>
      <w:rFonts w:ascii="Times New Roman" w:hAnsi="Times New Roman"/>
      <w:b/>
      <w:bCs/>
      <w:sz w:val="20"/>
      <w:szCs w:val="20"/>
    </w:rPr>
  </w:style>
  <w:style w:type="table" w:styleId="TableGrid">
    <w:name w:val="Table Grid"/>
    <w:basedOn w:val="TableNormal"/>
    <w:uiPriority w:val="39"/>
    <w:rsid w:val="00A1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3430"/>
    <w:pPr>
      <w:spacing w:after="0" w:line="240" w:lineRule="auto"/>
    </w:pPr>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erc.com/AboutNERC/RulesOfProcedure/NERC%20ROP%20effective%2020240627_with%20appendicies_signed.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95091-BBCE-44B7-B491-400BD76D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20</cp:revision>
  <dcterms:created xsi:type="dcterms:W3CDTF">2024-07-22T19:57:00Z</dcterms:created>
  <dcterms:modified xsi:type="dcterms:W3CDTF">2024-07-23T12:29:00Z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da3c65a7-0aa3-48c9-8bf7-bc465d870afd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2023-05-19T15:15:52Z</vt:lpwstr>
  </property>
  <property fmtid="{D5CDD505-2E9C-101B-9397-08002B2CF9AE}" pid="8" name="MSIP_Label_6155a89b-0f08-4a93-8ea2-8a916d6643b5_SiteId">
    <vt:lpwstr>19caa9e9-04ff-43fa-885f-d77fac387903</vt:lpwstr>
  </property>
</Properties>
</file>