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D3F" w:rsidRPr="00466D3F" w:rsidP="00FB7F53" w14:paraId="7A4CC2D0" w14:textId="77777777">
      <w:pPr>
        <w:spacing w:after="0" w:line="240" w:lineRule="auto"/>
        <w:jc w:val="center"/>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UNITED STATES OF AMERICA</w:t>
      </w:r>
    </w:p>
    <w:p w:rsidR="00466D3F" w:rsidRPr="00466D3F" w:rsidP="00466D3F" w14:paraId="6DDAAE14" w14:textId="77777777">
      <w:pPr>
        <w:spacing w:after="0" w:line="240" w:lineRule="auto"/>
        <w:jc w:val="center"/>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FEDERAL ENERGY REGULATORY COMMISSION</w:t>
      </w:r>
    </w:p>
    <w:p w:rsidR="00466D3F" w:rsidRPr="00466D3F" w:rsidP="00466D3F" w14:paraId="795533AB" w14:textId="77777777">
      <w:pPr>
        <w:spacing w:after="0" w:line="240" w:lineRule="auto"/>
        <w:rPr>
          <w:rFonts w:ascii="Times New Roman" w:eastAsia="Times New Roman" w:hAnsi="Times New Roman" w:cs="Times New Roman"/>
          <w:sz w:val="26"/>
          <w:szCs w:val="24"/>
        </w:rPr>
      </w:pPr>
    </w:p>
    <w:p w:rsidR="00466D3F" w:rsidRPr="00466D3F" w:rsidP="00466D3F" w14:paraId="54AC1172" w14:textId="14902FB8">
      <w:pPr>
        <w:spacing w:after="0" w:line="240" w:lineRule="auto"/>
        <w:jc w:val="center"/>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[Docket No. IC</w:t>
      </w:r>
      <w:r w:rsidR="00D033ED">
        <w:rPr>
          <w:rFonts w:ascii="Times New Roman" w:eastAsia="Times New Roman" w:hAnsi="Times New Roman" w:cs="Times New Roman"/>
          <w:sz w:val="26"/>
          <w:szCs w:val="24"/>
        </w:rPr>
        <w:t>24</w:t>
      </w:r>
      <w:r w:rsidR="00845498">
        <w:rPr>
          <w:rFonts w:ascii="Times New Roman" w:eastAsia="Times New Roman" w:hAnsi="Times New Roman" w:cs="Times New Roman"/>
          <w:sz w:val="26"/>
          <w:szCs w:val="24"/>
        </w:rPr>
        <w:t>-</w:t>
      </w:r>
      <w:r w:rsidR="00D033ED">
        <w:rPr>
          <w:rFonts w:ascii="Times New Roman" w:eastAsia="Times New Roman" w:hAnsi="Times New Roman" w:cs="Times New Roman"/>
          <w:sz w:val="26"/>
          <w:szCs w:val="24"/>
        </w:rPr>
        <w:t>21</w:t>
      </w:r>
      <w:r w:rsidR="005B1860">
        <w:rPr>
          <w:rFonts w:ascii="Times New Roman" w:eastAsia="Times New Roman" w:hAnsi="Times New Roman" w:cs="Times New Roman"/>
          <w:sz w:val="26"/>
          <w:szCs w:val="24"/>
        </w:rPr>
        <w:t>-000]</w:t>
      </w:r>
    </w:p>
    <w:p w:rsidR="00466D3F" w:rsidRPr="00466D3F" w:rsidP="00466D3F" w14:paraId="682612A9" w14:textId="77777777">
      <w:pPr>
        <w:spacing w:after="0" w:line="240" w:lineRule="auto"/>
        <w:rPr>
          <w:rFonts w:ascii="Times New Roman" w:eastAsia="Times New Roman" w:hAnsi="Times New Roman" w:cs="Times New Roman"/>
          <w:sz w:val="26"/>
          <w:szCs w:val="24"/>
        </w:rPr>
      </w:pPr>
    </w:p>
    <w:p w:rsidR="00466D3F" w:rsidRPr="00466D3F" w:rsidP="00466D3F" w14:paraId="17A6CBD7" w14:textId="4E82A419">
      <w:pPr>
        <w:spacing w:after="0" w:line="240" w:lineRule="auto"/>
        <w:jc w:val="center"/>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COMMISSION INFORMATION COLLECTION ACTIVITIES (</w:t>
      </w:r>
      <w:r w:rsidR="007B14B6">
        <w:rPr>
          <w:rFonts w:ascii="Times New Roman" w:eastAsia="Times New Roman" w:hAnsi="Times New Roman" w:cs="Times New Roman"/>
          <w:sz w:val="26"/>
          <w:szCs w:val="24"/>
        </w:rPr>
        <w:t>FERC</w:t>
      </w:r>
      <w:r w:rsidR="00B5308F">
        <w:rPr>
          <w:rFonts w:ascii="Times New Roman" w:eastAsia="Times New Roman" w:hAnsi="Times New Roman" w:cs="Times New Roman"/>
          <w:sz w:val="26"/>
          <w:szCs w:val="24"/>
        </w:rPr>
        <w:t>-</w:t>
      </w:r>
      <w:r w:rsidR="00D033ED">
        <w:rPr>
          <w:rFonts w:ascii="Times New Roman" w:eastAsia="Times New Roman" w:hAnsi="Times New Roman" w:cs="Times New Roman"/>
          <w:sz w:val="26"/>
          <w:szCs w:val="24"/>
        </w:rPr>
        <w:t>588</w:t>
      </w:r>
      <w:r w:rsidRPr="00466D3F">
        <w:rPr>
          <w:rFonts w:ascii="Times New Roman" w:eastAsia="Times New Roman" w:hAnsi="Times New Roman" w:cs="Times New Roman"/>
          <w:sz w:val="26"/>
          <w:szCs w:val="24"/>
        </w:rPr>
        <w:t>);</w:t>
      </w:r>
    </w:p>
    <w:p w:rsidR="00466D3F" w:rsidRPr="00466D3F" w:rsidP="00466D3F" w14:paraId="74E6C6E7" w14:textId="3CA48941">
      <w:pPr>
        <w:spacing w:after="0" w:line="240" w:lineRule="auto"/>
        <w:jc w:val="center"/>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COMMENT REQUEST; EXTENSION</w:t>
      </w:r>
    </w:p>
    <w:p w:rsidR="00466D3F" w:rsidRPr="00466D3F" w:rsidP="00466D3F" w14:paraId="546976EA" w14:textId="77777777">
      <w:pPr>
        <w:spacing w:after="0" w:line="240" w:lineRule="auto"/>
        <w:jc w:val="center"/>
        <w:rPr>
          <w:rFonts w:ascii="Times New Roman" w:eastAsia="Times New Roman" w:hAnsi="Times New Roman" w:cs="Times New Roman"/>
          <w:sz w:val="26"/>
          <w:szCs w:val="24"/>
        </w:rPr>
      </w:pPr>
    </w:p>
    <w:p w:rsidR="00DC177A" w:rsidP="00671368" w14:paraId="552AA6DF" w14:textId="75A91CBA">
      <w:pPr>
        <w:spacing w:after="0" w:line="240" w:lineRule="auto"/>
        <w:jc w:val="center"/>
        <w:rPr>
          <w:rFonts w:ascii="Times New Roman" w:eastAsia="Times New Roman" w:hAnsi="Times New Roman" w:cs="Times New Roman"/>
          <w:sz w:val="26"/>
          <w:szCs w:val="24"/>
        </w:rPr>
      </w:pPr>
      <w:r w:rsidRPr="00671368">
        <w:rPr>
          <w:rFonts w:ascii="Times New Roman" w:eastAsia="Times New Roman" w:hAnsi="Times New Roman" w:cs="Times New Roman"/>
          <w:sz w:val="26"/>
          <w:szCs w:val="24"/>
        </w:rPr>
        <w:t>(July 12, 2024)</w:t>
      </w:r>
    </w:p>
    <w:p w:rsidR="00671368" w:rsidRPr="00671368" w:rsidP="00671368" w14:paraId="46B8A410" w14:textId="77777777">
      <w:pPr>
        <w:spacing w:after="0" w:line="240" w:lineRule="auto"/>
        <w:rPr>
          <w:rFonts w:ascii="Times New Roman" w:eastAsia="Times New Roman" w:hAnsi="Times New Roman" w:cs="Times New Roman"/>
          <w:sz w:val="26"/>
          <w:szCs w:val="24"/>
        </w:rPr>
      </w:pPr>
    </w:p>
    <w:p w:rsidR="00466D3F" w:rsidRPr="00466D3F" w:rsidP="00466D3F" w14:paraId="3DE586F9" w14:textId="77777777">
      <w:pPr>
        <w:spacing w:after="0" w:line="240" w:lineRule="auto"/>
        <w:rPr>
          <w:rFonts w:ascii="Times New Roman" w:eastAsia="Times New Roman" w:hAnsi="Times New Roman" w:cs="Times New Roman"/>
          <w:sz w:val="26"/>
          <w:szCs w:val="24"/>
        </w:rPr>
      </w:pPr>
      <w:r w:rsidRPr="00466D3F">
        <w:rPr>
          <w:rFonts w:ascii="Times New Roman" w:eastAsia="Times New Roman" w:hAnsi="Times New Roman" w:cs="Times New Roman"/>
          <w:b/>
          <w:sz w:val="26"/>
          <w:szCs w:val="24"/>
        </w:rPr>
        <w:t>AGENCY:</w:t>
      </w:r>
      <w:r w:rsidRPr="00466D3F">
        <w:rPr>
          <w:rFonts w:ascii="Times New Roman" w:eastAsia="Times New Roman" w:hAnsi="Times New Roman" w:cs="Times New Roman"/>
          <w:sz w:val="26"/>
          <w:szCs w:val="24"/>
        </w:rPr>
        <w:t xml:space="preserve">  Federal Energy Regulatory Commission.</w:t>
      </w:r>
    </w:p>
    <w:p w:rsidR="00466D3F" w:rsidRPr="00466D3F" w:rsidP="00466D3F" w14:paraId="2977D753" w14:textId="77777777">
      <w:pPr>
        <w:spacing w:after="0" w:line="240" w:lineRule="auto"/>
        <w:rPr>
          <w:rFonts w:ascii="Times New Roman" w:eastAsia="Times New Roman" w:hAnsi="Times New Roman" w:cs="Times New Roman"/>
          <w:sz w:val="26"/>
          <w:szCs w:val="24"/>
        </w:rPr>
      </w:pPr>
    </w:p>
    <w:p w:rsidR="00466D3F" w:rsidRPr="00466D3F" w:rsidP="00466D3F" w14:paraId="758C4EF6" w14:textId="67C373D6">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b/>
          <w:sz w:val="26"/>
          <w:szCs w:val="24"/>
        </w:rPr>
        <w:t>ACTION:</w:t>
      </w:r>
      <w:r w:rsidRPr="00466D3F">
        <w:rPr>
          <w:rFonts w:ascii="Times New Roman" w:eastAsia="Times New Roman" w:hAnsi="Times New Roman" w:cs="Times New Roman"/>
          <w:sz w:val="26"/>
          <w:szCs w:val="24"/>
        </w:rPr>
        <w:t xml:space="preserve">  </w:t>
      </w:r>
      <w:bookmarkStart w:id="0" w:name="_Hlk68091542"/>
      <w:r w:rsidRPr="00466D3F">
        <w:rPr>
          <w:rFonts w:ascii="Times New Roman" w:eastAsia="Times New Roman" w:hAnsi="Times New Roman" w:cs="Times New Roman"/>
          <w:sz w:val="26"/>
          <w:szCs w:val="24"/>
        </w:rPr>
        <w:t xml:space="preserve">Notice of information collection </w:t>
      </w:r>
      <w:bookmarkEnd w:id="0"/>
      <w:r w:rsidRPr="00466D3F">
        <w:rPr>
          <w:rFonts w:ascii="Times New Roman" w:eastAsia="Times New Roman" w:hAnsi="Times New Roman" w:cs="Times New Roman"/>
          <w:sz w:val="26"/>
          <w:szCs w:val="24"/>
        </w:rPr>
        <w:t>and request for comments.</w:t>
      </w:r>
    </w:p>
    <w:p w:rsidR="00466D3F" w:rsidRPr="00466D3F" w:rsidP="00466D3F" w14:paraId="22BE1BF8" w14:textId="4EDA79D1">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b/>
          <w:sz w:val="26"/>
          <w:szCs w:val="24"/>
        </w:rPr>
        <w:t>SUMMARY:</w:t>
      </w:r>
      <w:r w:rsidRPr="00466D3F">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w:t>
      </w:r>
      <w:r w:rsidR="00422264">
        <w:rPr>
          <w:rFonts w:ascii="Times New Roman" w:eastAsia="Times New Roman" w:hAnsi="Times New Roman" w:cs="Times New Roman"/>
          <w:sz w:val="26"/>
          <w:szCs w:val="24"/>
        </w:rPr>
        <w:t xml:space="preserve"> FERC-</w:t>
      </w:r>
      <w:r w:rsidR="00D033ED">
        <w:rPr>
          <w:rFonts w:ascii="Times New Roman" w:eastAsia="Times New Roman" w:hAnsi="Times New Roman" w:cs="Times New Roman"/>
          <w:sz w:val="26"/>
          <w:szCs w:val="24"/>
        </w:rPr>
        <w:t>588</w:t>
      </w:r>
      <w:r w:rsidR="000674B6">
        <w:rPr>
          <w:rFonts w:ascii="Times New Roman" w:eastAsia="Times New Roman" w:hAnsi="Times New Roman" w:cs="Times New Roman"/>
          <w:sz w:val="26"/>
          <w:szCs w:val="24"/>
        </w:rPr>
        <w:t xml:space="preserve">, </w:t>
      </w:r>
      <w:r w:rsidRPr="00B22BA0" w:rsidR="00B22BA0">
        <w:rPr>
          <w:rFonts w:ascii="Times New Roman" w:eastAsia="Times New Roman" w:hAnsi="Times New Roman" w:cs="Times New Roman"/>
          <w:sz w:val="26"/>
          <w:szCs w:val="24"/>
        </w:rPr>
        <w:t>Emergency Natural Gas Transportation, Sale, and Exchange Transactions</w:t>
      </w:r>
      <w:r w:rsidR="000674B6">
        <w:rPr>
          <w:rFonts w:ascii="Times New Roman" w:eastAsia="Times New Roman" w:hAnsi="Times New Roman" w:cs="Times New Roman"/>
          <w:sz w:val="26"/>
          <w:szCs w:val="24"/>
        </w:rPr>
        <w:t xml:space="preserve"> (OMB Control Number 1902-0144).</w:t>
      </w:r>
    </w:p>
    <w:p w:rsidR="00466D3F" w:rsidRPr="00466D3F" w:rsidP="00466D3F" w14:paraId="7243C272" w14:textId="45232966">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b/>
          <w:sz w:val="26"/>
          <w:szCs w:val="24"/>
        </w:rPr>
        <w:t>DATES:</w:t>
      </w:r>
      <w:r w:rsidRPr="00466D3F">
        <w:rPr>
          <w:rFonts w:ascii="Times New Roman" w:eastAsia="Times New Roman" w:hAnsi="Times New Roman" w:cs="Times New Roman"/>
          <w:sz w:val="26"/>
          <w:szCs w:val="24"/>
        </w:rPr>
        <w:t xml:space="preserve">  Comments on the collection</w:t>
      </w:r>
      <w:r w:rsidR="00093E00">
        <w:rPr>
          <w:rFonts w:ascii="Times New Roman" w:eastAsia="Times New Roman" w:hAnsi="Times New Roman" w:cs="Times New Roman"/>
          <w:sz w:val="26"/>
          <w:szCs w:val="24"/>
        </w:rPr>
        <w:t>s</w:t>
      </w:r>
      <w:r w:rsidRPr="00466D3F">
        <w:rPr>
          <w:rFonts w:ascii="Times New Roman" w:eastAsia="Times New Roman" w:hAnsi="Times New Roman" w:cs="Times New Roman"/>
          <w:sz w:val="26"/>
          <w:szCs w:val="24"/>
        </w:rPr>
        <w:t xml:space="preserve"> of information are due [</w:t>
      </w:r>
      <w:r w:rsidRPr="00466D3F">
        <w:rPr>
          <w:rFonts w:ascii="Times New Roman" w:eastAsia="Times New Roman" w:hAnsi="Times New Roman" w:cs="Times New Roman"/>
          <w:b/>
          <w:sz w:val="26"/>
          <w:szCs w:val="24"/>
        </w:rPr>
        <w:t>INSERT DATE 60 days after date of publication in the Federal Register</w:t>
      </w:r>
      <w:r w:rsidRPr="00466D3F">
        <w:rPr>
          <w:rFonts w:ascii="Times New Roman" w:eastAsia="Times New Roman" w:hAnsi="Times New Roman" w:cs="Times New Roman"/>
          <w:sz w:val="26"/>
          <w:szCs w:val="24"/>
        </w:rPr>
        <w:t xml:space="preserve">]. </w:t>
      </w:r>
    </w:p>
    <w:p w:rsidR="00466D3F" w:rsidRPr="00466D3F" w:rsidP="00466D3F" w14:paraId="2C8788F3" w14:textId="0D83D05C">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b/>
          <w:sz w:val="26"/>
          <w:szCs w:val="24"/>
        </w:rPr>
        <w:t>ADDRESSES:</w:t>
      </w:r>
      <w:r w:rsidRPr="00466D3F">
        <w:rPr>
          <w:rFonts w:ascii="Times New Roman" w:eastAsia="Times New Roman" w:hAnsi="Times New Roman" w:cs="Times New Roman"/>
          <w:sz w:val="26"/>
          <w:szCs w:val="24"/>
        </w:rPr>
        <w:t xml:space="preserve">  </w:t>
      </w:r>
      <w:bookmarkStart w:id="1" w:name="OLE_LINK1"/>
      <w:r w:rsidRPr="00466D3F">
        <w:rPr>
          <w:rFonts w:ascii="Times New Roman" w:eastAsia="Times New Roman" w:hAnsi="Times New Roman" w:cs="Times New Roman"/>
          <w:sz w:val="26"/>
          <w:szCs w:val="24"/>
        </w:rPr>
        <w:t>You may submit copies of your comments (identified by Docket No. IC</w:t>
      </w:r>
      <w:r w:rsidR="00147B6E">
        <w:rPr>
          <w:rFonts w:ascii="Times New Roman" w:eastAsia="Times New Roman" w:hAnsi="Times New Roman" w:cs="Times New Roman"/>
          <w:sz w:val="26"/>
          <w:szCs w:val="24"/>
        </w:rPr>
        <w:t>24</w:t>
      </w:r>
      <w:r w:rsidR="00845498">
        <w:rPr>
          <w:rFonts w:ascii="Times New Roman" w:eastAsia="Times New Roman" w:hAnsi="Times New Roman" w:cs="Times New Roman"/>
          <w:sz w:val="26"/>
          <w:szCs w:val="24"/>
        </w:rPr>
        <w:t>-</w:t>
      </w:r>
      <w:r w:rsidR="00147B6E">
        <w:rPr>
          <w:rFonts w:ascii="Times New Roman" w:eastAsia="Times New Roman" w:hAnsi="Times New Roman" w:cs="Times New Roman"/>
          <w:sz w:val="26"/>
          <w:szCs w:val="24"/>
        </w:rPr>
        <w:t>21</w:t>
      </w:r>
      <w:r w:rsidR="005B1860">
        <w:rPr>
          <w:rFonts w:ascii="Times New Roman" w:eastAsia="Times New Roman" w:hAnsi="Times New Roman" w:cs="Times New Roman"/>
          <w:sz w:val="26"/>
          <w:szCs w:val="24"/>
        </w:rPr>
        <w:t>-000</w:t>
      </w:r>
      <w:r w:rsidR="00624C22">
        <w:rPr>
          <w:rFonts w:ascii="Times New Roman" w:eastAsia="Times New Roman" w:hAnsi="Times New Roman" w:cs="Times New Roman"/>
          <w:sz w:val="26"/>
          <w:szCs w:val="24"/>
        </w:rPr>
        <w:t xml:space="preserve"> and the specific FERC collection number</w:t>
      </w:r>
      <w:r w:rsidR="00E77AF2">
        <w:rPr>
          <w:rFonts w:ascii="Times New Roman" w:eastAsia="Times New Roman" w:hAnsi="Times New Roman" w:cs="Times New Roman"/>
          <w:sz w:val="26"/>
          <w:szCs w:val="24"/>
        </w:rPr>
        <w:t xml:space="preserve"> </w:t>
      </w:r>
      <w:r w:rsidRPr="00E77AF2" w:rsidR="00E77AF2">
        <w:rPr>
          <w:rFonts w:ascii="Times New Roman" w:eastAsia="Times New Roman" w:hAnsi="Times New Roman" w:cs="Times New Roman"/>
          <w:sz w:val="26"/>
          <w:szCs w:val="24"/>
        </w:rPr>
        <w:t>(FERC-</w:t>
      </w:r>
      <w:r w:rsidR="00147B6E">
        <w:rPr>
          <w:rFonts w:ascii="Times New Roman" w:eastAsia="Times New Roman" w:hAnsi="Times New Roman" w:cs="Times New Roman"/>
          <w:sz w:val="26"/>
          <w:szCs w:val="24"/>
        </w:rPr>
        <w:t>588</w:t>
      </w:r>
      <w:r w:rsidR="005B1860">
        <w:rPr>
          <w:rFonts w:ascii="Times New Roman" w:eastAsia="Times New Roman" w:hAnsi="Times New Roman" w:cs="Times New Roman"/>
          <w:sz w:val="26"/>
          <w:szCs w:val="24"/>
        </w:rPr>
        <w:t>)</w:t>
      </w:r>
      <w:r w:rsidRPr="00466D3F">
        <w:rPr>
          <w:rFonts w:ascii="Times New Roman" w:eastAsia="Times New Roman" w:hAnsi="Times New Roman" w:cs="Times New Roman"/>
          <w:sz w:val="26"/>
          <w:szCs w:val="24"/>
        </w:rPr>
        <w:t>) by one of the following methods:</w:t>
      </w:r>
    </w:p>
    <w:p w:rsidR="00466D3F" w:rsidRPr="00466D3F" w:rsidP="00466D3F" w14:paraId="669D9DBA" w14:textId="14F6494F">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 xml:space="preserve">Electronic filing through </w:t>
      </w:r>
      <w:hyperlink r:id="rId10" w:history="1">
        <w:r w:rsidRPr="00466D3F">
          <w:rPr>
            <w:rFonts w:ascii="Times New Roman" w:eastAsia="Times New Roman" w:hAnsi="Times New Roman" w:cs="Times New Roman"/>
            <w:color w:val="0000FF"/>
            <w:sz w:val="26"/>
            <w:szCs w:val="24"/>
            <w:u w:val="single"/>
          </w:rPr>
          <w:t>http://www.ferc.gov</w:t>
        </w:r>
      </w:hyperlink>
      <w:r w:rsidRPr="00466D3F">
        <w:rPr>
          <w:rFonts w:ascii="Times New Roman" w:eastAsia="Times New Roman" w:hAnsi="Times New Roman" w:cs="Times New Roman"/>
          <w:sz w:val="26"/>
          <w:szCs w:val="24"/>
        </w:rPr>
        <w:t>, is preferred.</w:t>
      </w:r>
    </w:p>
    <w:p w:rsidR="002F2136" w:rsidRPr="004B287E" w:rsidP="004B287E" w14:paraId="4463AB74" w14:textId="10B2E0C8">
      <w:pPr>
        <w:pStyle w:val="ListParagraph"/>
        <w:numPr>
          <w:ilvl w:val="0"/>
          <w:numId w:val="3"/>
        </w:numPr>
        <w:spacing w:after="0" w:line="480" w:lineRule="auto"/>
        <w:rPr>
          <w:rFonts w:ascii="Times New Roman" w:eastAsia="Times New Roman" w:hAnsi="Times New Roman" w:cs="Times New Roman"/>
          <w:sz w:val="26"/>
          <w:szCs w:val="24"/>
        </w:rPr>
      </w:pPr>
      <w:r w:rsidRPr="004B287E">
        <w:rPr>
          <w:rFonts w:ascii="Times New Roman" w:eastAsia="Times New Roman" w:hAnsi="Times New Roman" w:cs="Times New Roman"/>
          <w:sz w:val="26"/>
          <w:szCs w:val="24"/>
        </w:rPr>
        <w:t xml:space="preserve">Electronic Filing: Documents must be filed in acceptable native applications and print-to-PDF, but not in scanned or picture format. </w:t>
      </w:r>
    </w:p>
    <w:p w:rsidR="00466D3F" w:rsidRPr="003A480E" w:rsidP="003A480E" w14:paraId="1B456B6C" w14:textId="79359D63">
      <w:pPr>
        <w:pStyle w:val="ListParagraph"/>
        <w:numPr>
          <w:ilvl w:val="0"/>
          <w:numId w:val="3"/>
        </w:numPr>
        <w:spacing w:after="0" w:line="480" w:lineRule="auto"/>
        <w:rPr>
          <w:rFonts w:ascii="Times New Roman" w:eastAsia="Times New Roman" w:hAnsi="Times New Roman" w:cs="Times New Roman"/>
          <w:sz w:val="26"/>
          <w:szCs w:val="24"/>
        </w:rPr>
      </w:pPr>
      <w:r w:rsidRPr="003A480E">
        <w:rPr>
          <w:rFonts w:ascii="Times New Roman" w:eastAsia="Times New Roman" w:hAnsi="Times New Roman" w:cs="Times New Roman"/>
          <w:sz w:val="26"/>
          <w:szCs w:val="24"/>
        </w:rPr>
        <w:t xml:space="preserve">For those unable to file electronically, comments may be filed by USPS mail or by </w:t>
      </w:r>
      <w:r w:rsidR="00AF3621">
        <w:rPr>
          <w:rFonts w:ascii="Times New Roman" w:eastAsia="Times New Roman" w:hAnsi="Times New Roman" w:cs="Times New Roman"/>
          <w:sz w:val="26"/>
          <w:szCs w:val="24"/>
        </w:rPr>
        <w:t>other delivery services</w:t>
      </w:r>
      <w:r w:rsidRPr="003A480E">
        <w:rPr>
          <w:rFonts w:ascii="Times New Roman" w:eastAsia="Times New Roman" w:hAnsi="Times New Roman" w:cs="Times New Roman"/>
          <w:sz w:val="26"/>
          <w:szCs w:val="24"/>
        </w:rPr>
        <w:t>:</w:t>
      </w:r>
    </w:p>
    <w:p w:rsidR="00466D3F" w:rsidRPr="00466D3F" w:rsidP="00466D3F" w14:paraId="5136E141" w14:textId="18E3E65D">
      <w:pPr>
        <w:numPr>
          <w:ilvl w:val="1"/>
          <w:numId w:val="1"/>
        </w:num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Mail via U.S. Postal Service Only:</w:t>
      </w:r>
      <w:r w:rsidR="00AF3621">
        <w:rPr>
          <w:rFonts w:ascii="Times New Roman" w:eastAsia="Times New Roman" w:hAnsi="Times New Roman" w:cs="Times New Roman"/>
          <w:sz w:val="26"/>
          <w:szCs w:val="24"/>
        </w:rPr>
        <w:t xml:space="preserve">  </w:t>
      </w:r>
      <w:r w:rsidRPr="00466D3F">
        <w:rPr>
          <w:rFonts w:ascii="Times New Roman" w:eastAsia="Times New Roman" w:hAnsi="Times New Roman" w:cs="Times New Roman"/>
          <w:sz w:val="26"/>
          <w:szCs w:val="24"/>
        </w:rPr>
        <w:t>Federal Energy Regulatory Commission, Secretary of the Commission, 888 First Street, N.E., Washington, DC 20426.</w:t>
      </w:r>
    </w:p>
    <w:p w:rsidR="00466D3F" w:rsidRPr="00466D3F" w:rsidP="00466D3F" w14:paraId="416C5E58" w14:textId="7A0939F3">
      <w:pPr>
        <w:numPr>
          <w:ilvl w:val="1"/>
          <w:numId w:val="1"/>
        </w:numPr>
        <w:spacing w:after="0" w:line="480" w:lineRule="auto"/>
        <w:contextualSpacing/>
        <w:rPr>
          <w:rFonts w:ascii="Times New Roman" w:eastAsia="Times New Roman" w:hAnsi="Times New Roman" w:cs="Times New Roman"/>
          <w:sz w:val="26"/>
          <w:szCs w:val="24"/>
        </w:rPr>
      </w:pPr>
      <w:r>
        <w:rPr>
          <w:rFonts w:ascii="Times New Roman" w:eastAsia="Times New Roman" w:hAnsi="Times New Roman" w:cs="Times New Roman"/>
          <w:sz w:val="26"/>
          <w:szCs w:val="24"/>
        </w:rPr>
        <w:t>All other delivery services</w:t>
      </w:r>
      <w:r w:rsidRPr="00466D3F">
        <w:rPr>
          <w:rFonts w:ascii="Times New Roman" w:eastAsia="Times New Roman" w:hAnsi="Times New Roman" w:cs="Times New Roman"/>
          <w:sz w:val="26"/>
          <w:szCs w:val="24"/>
        </w:rPr>
        <w:t xml:space="preserve">: Federal Energy Regulatory Commission, </w:t>
      </w:r>
      <w:r>
        <w:rPr>
          <w:rFonts w:ascii="Times New Roman" w:eastAsia="Times New Roman" w:hAnsi="Times New Roman" w:cs="Times New Roman"/>
          <w:sz w:val="26"/>
          <w:szCs w:val="24"/>
        </w:rPr>
        <w:t xml:space="preserve">Secretary of the Commission, </w:t>
      </w:r>
      <w:r w:rsidRPr="00466D3F">
        <w:rPr>
          <w:rFonts w:ascii="Times New Roman" w:eastAsia="Times New Roman" w:hAnsi="Times New Roman" w:cs="Times New Roman"/>
          <w:sz w:val="26"/>
          <w:szCs w:val="24"/>
        </w:rPr>
        <w:t>12225 Wilkins Avenue, Rockville, MD 20852.</w:t>
      </w:r>
    </w:p>
    <w:p w:rsidR="00466D3F" w:rsidRPr="00466D3F" w:rsidP="00466D3F" w14:paraId="756C26BD" w14:textId="2075548D">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i/>
          <w:sz w:val="26"/>
          <w:szCs w:val="24"/>
        </w:rPr>
        <w:t xml:space="preserve">Instructions: </w:t>
      </w:r>
      <w:r w:rsidRPr="00466D3F">
        <w:rPr>
          <w:rFonts w:ascii="Times New Roman" w:eastAsia="Times New Roman" w:hAnsi="Times New Roman" w:cs="Times New Roman"/>
          <w:sz w:val="26"/>
          <w:szCs w:val="24"/>
        </w:rPr>
        <w:t xml:space="preserve">All submissions must be formatted and filed in accordance with submission guidelines at: </w:t>
      </w:r>
      <w:hyperlink r:id="rId10" w:history="1">
        <w:r w:rsidRPr="00466D3F">
          <w:rPr>
            <w:rFonts w:ascii="Times New Roman" w:eastAsia="Times New Roman" w:hAnsi="Times New Roman" w:cs="Times New Roman"/>
            <w:color w:val="0000FF"/>
            <w:sz w:val="26"/>
            <w:szCs w:val="24"/>
            <w:u w:val="single"/>
          </w:rPr>
          <w:t>http://www.ferc.gov</w:t>
        </w:r>
      </w:hyperlink>
      <w:r w:rsidRPr="00466D3F">
        <w:rPr>
          <w:rFonts w:ascii="Times New Roman" w:eastAsia="Times New Roman" w:hAnsi="Times New Roman" w:cs="Times New Roman"/>
          <w:sz w:val="26"/>
          <w:szCs w:val="24"/>
        </w:rPr>
        <w:t xml:space="preserve">. </w:t>
      </w:r>
      <w:r w:rsidR="003A480E">
        <w:rPr>
          <w:rFonts w:ascii="Times New Roman" w:eastAsia="Times New Roman" w:hAnsi="Times New Roman" w:cs="Times New Roman"/>
          <w:sz w:val="26"/>
          <w:szCs w:val="24"/>
        </w:rPr>
        <w:t xml:space="preserve"> </w:t>
      </w:r>
      <w:r w:rsidRPr="00466D3F">
        <w:rPr>
          <w:rFonts w:ascii="Times New Roman" w:eastAsia="Times New Roman" w:hAnsi="Times New Roman" w:cs="Times New Roman"/>
          <w:sz w:val="26"/>
          <w:szCs w:val="24"/>
        </w:rPr>
        <w:t>For user assistance, contact FERC Online Support by e-mail at ferconlinesupport@ferc.gov, or by phone at (866) 208-3676 (toll-free).</w:t>
      </w:r>
    </w:p>
    <w:p w:rsidR="00466D3F" w:rsidRPr="00466D3F" w:rsidP="00466D3F" w14:paraId="51171985" w14:textId="77777777">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i/>
          <w:sz w:val="26"/>
          <w:szCs w:val="24"/>
        </w:rPr>
        <w:t>Docket:</w:t>
      </w:r>
      <w:r w:rsidRPr="00466D3F">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0" w:history="1">
        <w:r w:rsidRPr="00466D3F">
          <w:rPr>
            <w:rFonts w:ascii="Times New Roman" w:eastAsia="Times New Roman" w:hAnsi="Times New Roman" w:cs="Times New Roman"/>
            <w:color w:val="0000FF"/>
            <w:sz w:val="26"/>
            <w:szCs w:val="24"/>
            <w:u w:val="single"/>
          </w:rPr>
          <w:t>http://www.ferc.gov</w:t>
        </w:r>
      </w:hyperlink>
      <w:r w:rsidRPr="00466D3F">
        <w:rPr>
          <w:rFonts w:ascii="Times New Roman" w:eastAsia="Times New Roman" w:hAnsi="Times New Roman" w:cs="Times New Roman"/>
          <w:sz w:val="26"/>
          <w:szCs w:val="24"/>
        </w:rPr>
        <w:t xml:space="preserve">. </w:t>
      </w:r>
    </w:p>
    <w:bookmarkEnd w:id="1"/>
    <w:p w:rsidR="00466D3F" w:rsidP="00466D3F" w14:paraId="7E3ADCB4" w14:textId="1751F989">
      <w:pPr>
        <w:spacing w:after="0" w:line="480" w:lineRule="auto"/>
        <w:rPr>
          <w:rFonts w:ascii="Times New Roman" w:eastAsia="Times New Roman" w:hAnsi="Times New Roman" w:cs="Times New Roman"/>
          <w:sz w:val="26"/>
          <w:szCs w:val="26"/>
        </w:rPr>
      </w:pPr>
      <w:r w:rsidRPr="00466D3F">
        <w:rPr>
          <w:rFonts w:ascii="Times New Roman" w:eastAsia="Times New Roman" w:hAnsi="Times New Roman" w:cs="Times New Roman"/>
          <w:b/>
          <w:sz w:val="26"/>
          <w:szCs w:val="26"/>
        </w:rPr>
        <w:t>FOR FURTHER INFORMATION:</w:t>
      </w:r>
      <w:r w:rsidRPr="00466D3F">
        <w:rPr>
          <w:rFonts w:ascii="Times New Roman" w:eastAsia="Times New Roman" w:hAnsi="Times New Roman" w:cs="Times New Roman"/>
          <w:sz w:val="26"/>
          <w:szCs w:val="26"/>
        </w:rPr>
        <w:t xml:space="preserve">  </w:t>
      </w:r>
      <w:r w:rsidR="00CF168B">
        <w:rPr>
          <w:rFonts w:ascii="Times New Roman" w:eastAsia="Times New Roman" w:hAnsi="Times New Roman" w:cs="Times New Roman"/>
          <w:sz w:val="26"/>
          <w:szCs w:val="26"/>
        </w:rPr>
        <w:t>Jean Sonneman</w:t>
      </w:r>
      <w:r w:rsidRPr="00466D3F">
        <w:rPr>
          <w:rFonts w:ascii="Times New Roman" w:eastAsia="Times New Roman" w:hAnsi="Times New Roman" w:cs="Times New Roman"/>
          <w:sz w:val="26"/>
          <w:szCs w:val="26"/>
        </w:rPr>
        <w:t xml:space="preserve"> may be reached by e-mail at </w:t>
      </w:r>
      <w:r>
        <w:fldChar w:fldCharType="begin"/>
      </w:r>
      <w:r w:rsidRPr="00466D3F">
        <w:rPr>
          <w:rFonts w:ascii="Times New Roman" w:eastAsia="Times New Roman" w:hAnsi="Times New Roman" w:cs="Times New Roman"/>
          <w:color w:val="0000FF"/>
          <w:sz w:val="26"/>
          <w:szCs w:val="24"/>
          <w:u w:val="single"/>
        </w:rPr>
        <w:instrText xml:space="preserve"> HYPERLINK "mailto:DataClearance@FERC.gov" </w:instrText>
      </w:r>
      <w:r>
        <w:fldChar w:fldCharType="separate"/>
      </w:r>
      <w:r w:rsidRPr="00466D3F">
        <w:rPr>
          <w:rFonts w:ascii="Times New Roman" w:eastAsia="Times New Roman" w:hAnsi="Times New Roman" w:cs="Times New Roman"/>
          <w:color w:val="0000FF"/>
          <w:sz w:val="26"/>
          <w:szCs w:val="24"/>
          <w:u w:val="single"/>
        </w:rPr>
        <w:t>DataClearance@FERC.gov</w:t>
      </w:r>
      <w:r>
        <w:fldChar w:fldCharType="end"/>
      </w:r>
      <w:r w:rsidRPr="00466D3F">
        <w:rPr>
          <w:rFonts w:ascii="Times New Roman" w:eastAsia="Times New Roman" w:hAnsi="Times New Roman" w:cs="Times New Roman"/>
          <w:sz w:val="26"/>
          <w:szCs w:val="26"/>
        </w:rPr>
        <w:t>, telephone at (202) 502-</w:t>
      </w:r>
      <w:r w:rsidR="00C35D02">
        <w:rPr>
          <w:rFonts w:ascii="Times New Roman" w:eastAsia="Times New Roman" w:hAnsi="Times New Roman" w:cs="Times New Roman"/>
          <w:sz w:val="26"/>
          <w:szCs w:val="26"/>
        </w:rPr>
        <w:t>6362</w:t>
      </w:r>
      <w:r w:rsidRPr="00466D3F">
        <w:rPr>
          <w:rFonts w:ascii="Times New Roman" w:eastAsia="Times New Roman" w:hAnsi="Times New Roman" w:cs="Times New Roman"/>
          <w:sz w:val="26"/>
          <w:szCs w:val="26"/>
        </w:rPr>
        <w:t>.</w:t>
      </w:r>
    </w:p>
    <w:p w:rsidR="00466D3F" w:rsidRPr="00466D3F" w:rsidP="00466D3F" w14:paraId="3331D9FB" w14:textId="77777777">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b/>
          <w:sz w:val="26"/>
          <w:szCs w:val="24"/>
        </w:rPr>
        <w:t>SUPPLEMENTARY INFORMATION:</w:t>
      </w:r>
      <w:r w:rsidRPr="00466D3F">
        <w:rPr>
          <w:rFonts w:ascii="Times New Roman" w:eastAsia="Times New Roman" w:hAnsi="Times New Roman" w:cs="Times New Roman"/>
          <w:sz w:val="26"/>
          <w:szCs w:val="24"/>
        </w:rPr>
        <w:t xml:space="preserve">  </w:t>
      </w:r>
    </w:p>
    <w:p w:rsidR="0044364A" w:rsidRPr="0044364A" w:rsidP="0044364A" w14:paraId="72A0CFEF" w14:textId="77777777">
      <w:pPr>
        <w:spacing w:after="0" w:line="480" w:lineRule="auto"/>
        <w:rPr>
          <w:rFonts w:ascii="Times New Roman" w:eastAsia="Times New Roman" w:hAnsi="Times New Roman" w:cs="Times New Roman"/>
          <w:i/>
          <w:iCs/>
          <w:sz w:val="26"/>
          <w:szCs w:val="24"/>
        </w:rPr>
      </w:pPr>
      <w:r w:rsidRPr="0044364A">
        <w:rPr>
          <w:rFonts w:ascii="Times New Roman" w:eastAsia="Times New Roman" w:hAnsi="Times New Roman" w:cs="Times New Roman"/>
          <w:i/>
          <w:sz w:val="26"/>
          <w:szCs w:val="24"/>
        </w:rPr>
        <w:t>Title</w:t>
      </w:r>
      <w:r w:rsidRPr="0044364A">
        <w:rPr>
          <w:rFonts w:ascii="Times New Roman" w:eastAsia="Times New Roman" w:hAnsi="Times New Roman" w:cs="Times New Roman"/>
          <w:iCs/>
          <w:sz w:val="26"/>
          <w:szCs w:val="24"/>
        </w:rPr>
        <w:t>:  FERC-588 (Emergency Natural Gas Transportation, Sale, and Exchange Transactions).</w:t>
      </w:r>
    </w:p>
    <w:p w:rsidR="0044364A" w:rsidRPr="0044364A" w:rsidP="0044364A" w14:paraId="1E5608E6" w14:textId="77777777">
      <w:pPr>
        <w:spacing w:after="0" w:line="480" w:lineRule="auto"/>
        <w:rPr>
          <w:rFonts w:ascii="Times New Roman" w:eastAsia="Times New Roman" w:hAnsi="Times New Roman" w:cs="Times New Roman"/>
          <w:i/>
          <w:sz w:val="26"/>
          <w:szCs w:val="24"/>
        </w:rPr>
      </w:pPr>
      <w:r w:rsidRPr="0044364A">
        <w:rPr>
          <w:rFonts w:ascii="Times New Roman" w:eastAsia="Times New Roman" w:hAnsi="Times New Roman" w:cs="Times New Roman"/>
          <w:i/>
          <w:sz w:val="26"/>
          <w:szCs w:val="24"/>
        </w:rPr>
        <w:t>OMB Control No</w:t>
      </w:r>
      <w:r w:rsidRPr="0044364A">
        <w:rPr>
          <w:rFonts w:ascii="Times New Roman" w:eastAsia="Times New Roman" w:hAnsi="Times New Roman" w:cs="Times New Roman"/>
          <w:iCs/>
          <w:sz w:val="26"/>
          <w:szCs w:val="24"/>
        </w:rPr>
        <w:t>.: 1902-0144.</w:t>
      </w:r>
    </w:p>
    <w:p w:rsidR="0044364A" w:rsidRPr="0044364A" w:rsidP="0044364A" w14:paraId="65A029CF" w14:textId="77777777">
      <w:pPr>
        <w:spacing w:after="0" w:line="480" w:lineRule="auto"/>
        <w:rPr>
          <w:rFonts w:ascii="Times New Roman" w:eastAsia="Times New Roman" w:hAnsi="Times New Roman" w:cs="Times New Roman"/>
          <w:iCs/>
          <w:sz w:val="26"/>
          <w:szCs w:val="24"/>
        </w:rPr>
      </w:pPr>
      <w:r w:rsidRPr="0044364A">
        <w:rPr>
          <w:rFonts w:ascii="Times New Roman" w:eastAsia="Times New Roman" w:hAnsi="Times New Roman" w:cs="Times New Roman"/>
          <w:i/>
          <w:sz w:val="26"/>
          <w:szCs w:val="24"/>
        </w:rPr>
        <w:t>Type of Request</w:t>
      </w:r>
      <w:r w:rsidRPr="0044364A">
        <w:rPr>
          <w:rFonts w:ascii="Times New Roman" w:eastAsia="Times New Roman" w:hAnsi="Times New Roman" w:cs="Times New Roman"/>
          <w:iCs/>
          <w:sz w:val="26"/>
          <w:szCs w:val="24"/>
        </w:rPr>
        <w:t>: Three-year extension of the FERC-588 information collection requirements with no changes to the current reporting and recordkeeping requirements.</w:t>
      </w:r>
    </w:p>
    <w:p w:rsidR="00224CA3" w:rsidP="0044364A" w14:paraId="1A1E9A30" w14:textId="77777777">
      <w:pPr>
        <w:spacing w:after="0" w:line="480" w:lineRule="auto"/>
        <w:rPr>
          <w:rFonts w:ascii="Times New Roman" w:eastAsia="Times New Roman" w:hAnsi="Times New Roman" w:cs="Times New Roman"/>
          <w:iCs/>
          <w:sz w:val="26"/>
          <w:szCs w:val="24"/>
        </w:rPr>
      </w:pPr>
      <w:r w:rsidRPr="002D5EC5">
        <w:rPr>
          <w:rFonts w:ascii="Times New Roman" w:eastAsia="Times New Roman" w:hAnsi="Times New Roman" w:cs="Times New Roman"/>
          <w:i/>
          <w:sz w:val="26"/>
          <w:szCs w:val="24"/>
        </w:rPr>
        <w:t>Abstract</w:t>
      </w:r>
      <w:r w:rsidRPr="0044364A">
        <w:rPr>
          <w:rFonts w:ascii="Times New Roman" w:eastAsia="Times New Roman" w:hAnsi="Times New Roman" w:cs="Times New Roman"/>
          <w:iCs/>
          <w:sz w:val="26"/>
          <w:szCs w:val="24"/>
        </w:rPr>
        <w:t xml:space="preserve">:  FERC-588 is an existing information collection consisting of filing requirements and notice procedures </w:t>
      </w:r>
      <w:r w:rsidR="00641667">
        <w:rPr>
          <w:rFonts w:ascii="Times New Roman" w:eastAsia="Times New Roman" w:hAnsi="Times New Roman" w:cs="Times New Roman"/>
          <w:iCs/>
          <w:sz w:val="26"/>
          <w:szCs w:val="24"/>
        </w:rPr>
        <w:t xml:space="preserve">applicable to </w:t>
      </w:r>
      <w:r w:rsidR="00D15C92">
        <w:rPr>
          <w:rFonts w:ascii="Times New Roman" w:eastAsia="Times New Roman" w:hAnsi="Times New Roman" w:cs="Times New Roman"/>
          <w:iCs/>
          <w:sz w:val="26"/>
          <w:szCs w:val="24"/>
        </w:rPr>
        <w:t>response</w:t>
      </w:r>
      <w:r w:rsidR="00BE6BFD">
        <w:rPr>
          <w:rFonts w:ascii="Times New Roman" w:eastAsia="Times New Roman" w:hAnsi="Times New Roman" w:cs="Times New Roman"/>
          <w:iCs/>
          <w:sz w:val="26"/>
          <w:szCs w:val="24"/>
        </w:rPr>
        <w:t>s</w:t>
      </w:r>
      <w:r w:rsidR="00D15C92">
        <w:rPr>
          <w:rFonts w:ascii="Times New Roman" w:eastAsia="Times New Roman" w:hAnsi="Times New Roman" w:cs="Times New Roman"/>
          <w:iCs/>
          <w:sz w:val="26"/>
          <w:szCs w:val="24"/>
        </w:rPr>
        <w:t xml:space="preserve"> to </w:t>
      </w:r>
      <w:r w:rsidRPr="0044364A">
        <w:rPr>
          <w:rFonts w:ascii="Times New Roman" w:eastAsia="Times New Roman" w:hAnsi="Times New Roman" w:cs="Times New Roman"/>
          <w:iCs/>
          <w:sz w:val="26"/>
          <w:szCs w:val="24"/>
        </w:rPr>
        <w:t>natural gas emergency circumstances.</w:t>
      </w:r>
      <w:r w:rsidR="00F4073A">
        <w:rPr>
          <w:rFonts w:ascii="Times New Roman" w:eastAsia="Times New Roman" w:hAnsi="Times New Roman" w:cs="Times New Roman"/>
          <w:iCs/>
          <w:sz w:val="26"/>
          <w:szCs w:val="24"/>
        </w:rPr>
        <w:t xml:space="preserve">  T</w:t>
      </w:r>
      <w:r w:rsidR="00AE2A81">
        <w:rPr>
          <w:rFonts w:ascii="Times New Roman" w:eastAsia="Times New Roman" w:hAnsi="Times New Roman" w:cs="Times New Roman"/>
          <w:iCs/>
          <w:sz w:val="26"/>
          <w:szCs w:val="24"/>
        </w:rPr>
        <w:t xml:space="preserve">wo sets of </w:t>
      </w:r>
      <w:r w:rsidR="00803063">
        <w:rPr>
          <w:rFonts w:ascii="Times New Roman" w:eastAsia="Times New Roman" w:hAnsi="Times New Roman" w:cs="Times New Roman"/>
          <w:iCs/>
          <w:sz w:val="26"/>
          <w:szCs w:val="24"/>
        </w:rPr>
        <w:t xml:space="preserve">information collection activities </w:t>
      </w:r>
      <w:r>
        <w:rPr>
          <w:rFonts w:ascii="Times New Roman" w:eastAsia="Times New Roman" w:hAnsi="Times New Roman" w:cs="Times New Roman"/>
          <w:iCs/>
          <w:sz w:val="26"/>
          <w:szCs w:val="24"/>
        </w:rPr>
        <w:t>pertain to such responses.</w:t>
      </w:r>
    </w:p>
    <w:p w:rsidR="0044364A" w:rsidP="0044364A" w14:paraId="4C70C443" w14:textId="55E7439D">
      <w:pPr>
        <w:spacing w:after="0" w:line="480" w:lineRule="auto"/>
        <w:rPr>
          <w:rFonts w:ascii="Times New Roman" w:eastAsia="Times New Roman" w:hAnsi="Times New Roman" w:cs="Times New Roman"/>
          <w:iCs/>
          <w:sz w:val="26"/>
          <w:szCs w:val="24"/>
        </w:rPr>
      </w:pPr>
      <w:r>
        <w:rPr>
          <w:rFonts w:ascii="Times New Roman" w:eastAsia="Times New Roman" w:hAnsi="Times New Roman" w:cs="Times New Roman"/>
          <w:iCs/>
          <w:sz w:val="26"/>
          <w:szCs w:val="24"/>
        </w:rPr>
        <w:t>One set applies to</w:t>
      </w:r>
      <w:r w:rsidR="00B47E7A">
        <w:rPr>
          <w:rFonts w:ascii="Times New Roman" w:eastAsia="Times New Roman" w:hAnsi="Times New Roman" w:cs="Times New Roman"/>
          <w:iCs/>
          <w:sz w:val="26"/>
          <w:szCs w:val="24"/>
        </w:rPr>
        <w:t xml:space="preserve"> responses by a </w:t>
      </w:r>
      <w:r w:rsidR="00C11B52">
        <w:rPr>
          <w:rFonts w:ascii="Times New Roman" w:eastAsia="Times New Roman" w:hAnsi="Times New Roman" w:cs="Times New Roman"/>
          <w:iCs/>
          <w:sz w:val="26"/>
          <w:szCs w:val="24"/>
        </w:rPr>
        <w:t xml:space="preserve">jurisdictional </w:t>
      </w:r>
      <w:r w:rsidR="00030F57">
        <w:rPr>
          <w:rFonts w:ascii="Times New Roman" w:eastAsia="Times New Roman" w:hAnsi="Times New Roman" w:cs="Times New Roman"/>
          <w:iCs/>
          <w:sz w:val="26"/>
          <w:szCs w:val="24"/>
        </w:rPr>
        <w:t>“natural-gas compan</w:t>
      </w:r>
      <w:r w:rsidR="00B47E7A">
        <w:rPr>
          <w:rFonts w:ascii="Times New Roman" w:eastAsia="Times New Roman" w:hAnsi="Times New Roman" w:cs="Times New Roman"/>
          <w:iCs/>
          <w:sz w:val="26"/>
          <w:szCs w:val="24"/>
        </w:rPr>
        <w:t>y</w:t>
      </w:r>
      <w:r w:rsidR="00030F57">
        <w:rPr>
          <w:rFonts w:ascii="Times New Roman" w:eastAsia="Times New Roman" w:hAnsi="Times New Roman" w:cs="Times New Roman"/>
          <w:iCs/>
          <w:sz w:val="26"/>
          <w:szCs w:val="24"/>
        </w:rPr>
        <w:t>,</w:t>
      </w:r>
      <w:r w:rsidR="00623D85">
        <w:rPr>
          <w:rFonts w:ascii="Times New Roman" w:eastAsia="Times New Roman" w:hAnsi="Times New Roman" w:cs="Times New Roman"/>
          <w:iCs/>
          <w:sz w:val="26"/>
          <w:szCs w:val="24"/>
        </w:rPr>
        <w:t>”</w:t>
      </w:r>
      <w:r w:rsidR="00030F57">
        <w:rPr>
          <w:rFonts w:ascii="Times New Roman" w:eastAsia="Times New Roman" w:hAnsi="Times New Roman" w:cs="Times New Roman"/>
          <w:iCs/>
          <w:sz w:val="26"/>
          <w:szCs w:val="24"/>
        </w:rPr>
        <w:t xml:space="preserve"> i.e.</w:t>
      </w:r>
      <w:r w:rsidR="00623D85">
        <w:rPr>
          <w:rFonts w:ascii="Times New Roman" w:eastAsia="Times New Roman" w:hAnsi="Times New Roman" w:cs="Times New Roman"/>
          <w:iCs/>
          <w:sz w:val="26"/>
          <w:szCs w:val="24"/>
        </w:rPr>
        <w:t>,</w:t>
      </w:r>
      <w:r w:rsidR="00030F57">
        <w:rPr>
          <w:rFonts w:ascii="Times New Roman" w:eastAsia="Times New Roman" w:hAnsi="Times New Roman" w:cs="Times New Roman"/>
          <w:iCs/>
          <w:sz w:val="26"/>
          <w:szCs w:val="24"/>
        </w:rPr>
        <w:t xml:space="preserve"> </w:t>
      </w:r>
      <w:r w:rsidR="00B47E7A">
        <w:rPr>
          <w:rFonts w:ascii="Times New Roman" w:eastAsia="Times New Roman" w:hAnsi="Times New Roman" w:cs="Times New Roman"/>
          <w:iCs/>
          <w:sz w:val="26"/>
          <w:szCs w:val="24"/>
        </w:rPr>
        <w:t xml:space="preserve">a </w:t>
      </w:r>
      <w:r w:rsidR="00030F57">
        <w:rPr>
          <w:rFonts w:ascii="Times New Roman" w:eastAsia="Times New Roman" w:hAnsi="Times New Roman" w:cs="Times New Roman"/>
          <w:iCs/>
          <w:sz w:val="26"/>
          <w:szCs w:val="24"/>
        </w:rPr>
        <w:t xml:space="preserve">person </w:t>
      </w:r>
      <w:r w:rsidRPr="001A3DB7" w:rsidR="001A3DB7">
        <w:rPr>
          <w:rFonts w:ascii="Times New Roman" w:eastAsia="Times New Roman" w:hAnsi="Times New Roman" w:cs="Times New Roman"/>
          <w:iCs/>
          <w:sz w:val="26"/>
          <w:szCs w:val="24"/>
        </w:rPr>
        <w:t>engaged in the transportation of natural gas in interstate commerce, or the sale in interstate commerce of such gas for resale</w:t>
      </w:r>
      <w:r w:rsidR="00623D85">
        <w:rPr>
          <w:rFonts w:ascii="Times New Roman" w:eastAsia="Times New Roman" w:hAnsi="Times New Roman" w:cs="Times New Roman"/>
          <w:iCs/>
          <w:sz w:val="26"/>
          <w:szCs w:val="24"/>
        </w:rPr>
        <w:t>.</w:t>
      </w:r>
      <w:r>
        <w:rPr>
          <w:rStyle w:val="FootnoteReference"/>
          <w:rFonts w:eastAsia="Times New Roman" w:cs="Times New Roman"/>
          <w:iCs/>
        </w:rPr>
        <w:footnoteReference w:id="3"/>
      </w:r>
      <w:r w:rsidR="00941D27">
        <w:rPr>
          <w:rFonts w:ascii="Times New Roman" w:eastAsia="Times New Roman" w:hAnsi="Times New Roman" w:cs="Times New Roman"/>
          <w:iCs/>
          <w:sz w:val="26"/>
          <w:szCs w:val="24"/>
        </w:rPr>
        <w:t xml:space="preserve">  </w:t>
      </w:r>
      <w:r w:rsidR="002F73F7">
        <w:rPr>
          <w:rFonts w:ascii="Times New Roman" w:eastAsia="Times New Roman" w:hAnsi="Times New Roman" w:cs="Times New Roman"/>
          <w:iCs/>
          <w:sz w:val="26"/>
          <w:szCs w:val="24"/>
        </w:rPr>
        <w:t>Section 7</w:t>
      </w:r>
      <w:r w:rsidR="006D0FCF">
        <w:rPr>
          <w:rFonts w:ascii="Times New Roman" w:eastAsia="Times New Roman" w:hAnsi="Times New Roman" w:cs="Times New Roman"/>
          <w:iCs/>
          <w:sz w:val="26"/>
          <w:szCs w:val="24"/>
        </w:rPr>
        <w:t>(</w:t>
      </w:r>
      <w:r w:rsidR="00D22B16">
        <w:rPr>
          <w:rFonts w:ascii="Times New Roman" w:eastAsia="Times New Roman" w:hAnsi="Times New Roman" w:cs="Times New Roman"/>
          <w:iCs/>
          <w:sz w:val="26"/>
          <w:szCs w:val="24"/>
        </w:rPr>
        <w:t>c</w:t>
      </w:r>
      <w:r w:rsidR="006D0FCF">
        <w:rPr>
          <w:rFonts w:ascii="Times New Roman" w:eastAsia="Times New Roman" w:hAnsi="Times New Roman" w:cs="Times New Roman"/>
          <w:iCs/>
          <w:sz w:val="26"/>
          <w:szCs w:val="24"/>
        </w:rPr>
        <w:t>)</w:t>
      </w:r>
      <w:r w:rsidR="00D22B16">
        <w:rPr>
          <w:rFonts w:ascii="Times New Roman" w:eastAsia="Times New Roman" w:hAnsi="Times New Roman" w:cs="Times New Roman"/>
          <w:iCs/>
          <w:sz w:val="26"/>
          <w:szCs w:val="24"/>
        </w:rPr>
        <w:t>(1)(A)</w:t>
      </w:r>
      <w:r w:rsidR="002F73F7">
        <w:rPr>
          <w:rFonts w:ascii="Times New Roman" w:eastAsia="Times New Roman" w:hAnsi="Times New Roman" w:cs="Times New Roman"/>
          <w:iCs/>
          <w:sz w:val="26"/>
          <w:szCs w:val="24"/>
        </w:rPr>
        <w:t xml:space="preserve"> of the </w:t>
      </w:r>
      <w:r w:rsidR="00274740">
        <w:rPr>
          <w:rFonts w:ascii="Times New Roman" w:eastAsia="Times New Roman" w:hAnsi="Times New Roman" w:cs="Times New Roman"/>
          <w:iCs/>
          <w:sz w:val="26"/>
          <w:szCs w:val="24"/>
        </w:rPr>
        <w:t>Natural Gas Act</w:t>
      </w:r>
      <w:r>
        <w:rPr>
          <w:rStyle w:val="FootnoteReference"/>
          <w:rFonts w:eastAsia="Times New Roman" w:cs="Times New Roman"/>
          <w:iCs/>
        </w:rPr>
        <w:footnoteReference w:id="4"/>
      </w:r>
      <w:r w:rsidR="00274740">
        <w:rPr>
          <w:rFonts w:ascii="Times New Roman" w:eastAsia="Times New Roman" w:hAnsi="Times New Roman" w:cs="Times New Roman"/>
          <w:iCs/>
          <w:sz w:val="26"/>
          <w:szCs w:val="24"/>
        </w:rPr>
        <w:t xml:space="preserve"> requires </w:t>
      </w:r>
      <w:r w:rsidR="006D0FCF">
        <w:rPr>
          <w:rFonts w:ascii="Times New Roman" w:eastAsia="Times New Roman" w:hAnsi="Times New Roman" w:cs="Times New Roman"/>
          <w:iCs/>
          <w:sz w:val="26"/>
          <w:szCs w:val="24"/>
        </w:rPr>
        <w:t xml:space="preserve">any natural-gas company to obtain </w:t>
      </w:r>
      <w:r w:rsidRPr="00274740" w:rsidR="00E00C9E">
        <w:rPr>
          <w:rFonts w:ascii="Times New Roman" w:eastAsia="Times New Roman" w:hAnsi="Times New Roman" w:cs="Times New Roman"/>
          <w:iCs/>
          <w:sz w:val="26"/>
          <w:szCs w:val="24"/>
        </w:rPr>
        <w:t xml:space="preserve">a certificate of public convenience and necessity issued by the Commission </w:t>
      </w:r>
      <w:r w:rsidR="00E00C9E">
        <w:rPr>
          <w:rFonts w:ascii="Times New Roman" w:eastAsia="Times New Roman" w:hAnsi="Times New Roman" w:cs="Times New Roman"/>
          <w:iCs/>
          <w:sz w:val="26"/>
          <w:szCs w:val="24"/>
        </w:rPr>
        <w:t xml:space="preserve">before </w:t>
      </w:r>
      <w:r w:rsidR="009C0489">
        <w:rPr>
          <w:rFonts w:ascii="Times New Roman" w:eastAsia="Times New Roman" w:hAnsi="Times New Roman" w:cs="Times New Roman"/>
          <w:iCs/>
          <w:sz w:val="26"/>
          <w:szCs w:val="24"/>
        </w:rPr>
        <w:t xml:space="preserve">engaging in the </w:t>
      </w:r>
      <w:r w:rsidRPr="00274740" w:rsidR="00274740">
        <w:rPr>
          <w:rFonts w:ascii="Times New Roman" w:eastAsia="Times New Roman" w:hAnsi="Times New Roman" w:cs="Times New Roman"/>
          <w:iCs/>
          <w:sz w:val="26"/>
          <w:szCs w:val="24"/>
        </w:rPr>
        <w:t xml:space="preserve">transportation or sale of natural gas </w:t>
      </w:r>
      <w:r w:rsidR="006E3928">
        <w:rPr>
          <w:rFonts w:ascii="Times New Roman" w:eastAsia="Times New Roman" w:hAnsi="Times New Roman" w:cs="Times New Roman"/>
          <w:iCs/>
          <w:sz w:val="26"/>
          <w:szCs w:val="24"/>
        </w:rPr>
        <w:t xml:space="preserve">in interstate commerce, </w:t>
      </w:r>
      <w:r w:rsidRPr="00274740" w:rsidR="00274740">
        <w:rPr>
          <w:rFonts w:ascii="Times New Roman" w:eastAsia="Times New Roman" w:hAnsi="Times New Roman" w:cs="Times New Roman"/>
          <w:iCs/>
          <w:sz w:val="26"/>
          <w:szCs w:val="24"/>
        </w:rPr>
        <w:t>or undertak</w:t>
      </w:r>
      <w:r w:rsidR="00F05081">
        <w:rPr>
          <w:rFonts w:ascii="Times New Roman" w:eastAsia="Times New Roman" w:hAnsi="Times New Roman" w:cs="Times New Roman"/>
          <w:iCs/>
          <w:sz w:val="26"/>
          <w:szCs w:val="24"/>
        </w:rPr>
        <w:t>ing</w:t>
      </w:r>
      <w:r w:rsidRPr="00274740" w:rsidR="00274740">
        <w:rPr>
          <w:rFonts w:ascii="Times New Roman" w:eastAsia="Times New Roman" w:hAnsi="Times New Roman" w:cs="Times New Roman"/>
          <w:iCs/>
          <w:sz w:val="26"/>
          <w:szCs w:val="24"/>
        </w:rPr>
        <w:t xml:space="preserve"> the construction or extension of any facilities </w:t>
      </w:r>
      <w:r w:rsidR="00F05081">
        <w:rPr>
          <w:rFonts w:ascii="Times New Roman" w:eastAsia="Times New Roman" w:hAnsi="Times New Roman" w:cs="Times New Roman"/>
          <w:iCs/>
          <w:sz w:val="26"/>
          <w:szCs w:val="24"/>
        </w:rPr>
        <w:t xml:space="preserve">for </w:t>
      </w:r>
      <w:r w:rsidR="006E3928">
        <w:rPr>
          <w:rFonts w:ascii="Times New Roman" w:eastAsia="Times New Roman" w:hAnsi="Times New Roman" w:cs="Times New Roman"/>
          <w:iCs/>
          <w:sz w:val="26"/>
          <w:szCs w:val="24"/>
        </w:rPr>
        <w:t xml:space="preserve">the </w:t>
      </w:r>
      <w:r w:rsidRPr="00274740" w:rsidR="006E3928">
        <w:rPr>
          <w:rFonts w:ascii="Times New Roman" w:eastAsia="Times New Roman" w:hAnsi="Times New Roman" w:cs="Times New Roman"/>
          <w:iCs/>
          <w:sz w:val="26"/>
          <w:szCs w:val="24"/>
        </w:rPr>
        <w:t xml:space="preserve">transportation or sale of natural gas </w:t>
      </w:r>
      <w:r w:rsidR="006E3928">
        <w:rPr>
          <w:rFonts w:ascii="Times New Roman" w:eastAsia="Times New Roman" w:hAnsi="Times New Roman" w:cs="Times New Roman"/>
          <w:iCs/>
          <w:sz w:val="26"/>
          <w:szCs w:val="24"/>
        </w:rPr>
        <w:t>in interstate commerce.</w:t>
      </w:r>
      <w:r w:rsidR="00201B2C">
        <w:rPr>
          <w:rFonts w:ascii="Times New Roman" w:eastAsia="Times New Roman" w:hAnsi="Times New Roman" w:cs="Times New Roman"/>
          <w:iCs/>
          <w:sz w:val="26"/>
          <w:szCs w:val="24"/>
        </w:rPr>
        <w:t xml:space="preserve">  </w:t>
      </w:r>
      <w:r w:rsidR="007A10A2">
        <w:rPr>
          <w:rFonts w:ascii="Times New Roman" w:eastAsia="Times New Roman" w:hAnsi="Times New Roman" w:cs="Times New Roman"/>
          <w:iCs/>
          <w:sz w:val="26"/>
          <w:szCs w:val="24"/>
        </w:rPr>
        <w:t>Under 18 CFR 157.17, a</w:t>
      </w:r>
      <w:r w:rsidR="0061156C">
        <w:rPr>
          <w:rFonts w:ascii="Times New Roman" w:eastAsia="Times New Roman" w:hAnsi="Times New Roman" w:cs="Times New Roman"/>
          <w:iCs/>
          <w:sz w:val="26"/>
          <w:szCs w:val="24"/>
        </w:rPr>
        <w:t xml:space="preserve"> jurisdictional natural-gas company </w:t>
      </w:r>
      <w:r w:rsidR="009916F8">
        <w:rPr>
          <w:rFonts w:ascii="Times New Roman" w:eastAsia="Times New Roman" w:hAnsi="Times New Roman" w:cs="Times New Roman"/>
          <w:iCs/>
          <w:sz w:val="26"/>
          <w:szCs w:val="24"/>
        </w:rPr>
        <w:t xml:space="preserve">may </w:t>
      </w:r>
      <w:r w:rsidR="00246564">
        <w:rPr>
          <w:rFonts w:ascii="Times New Roman" w:eastAsia="Times New Roman" w:hAnsi="Times New Roman" w:cs="Times New Roman"/>
          <w:iCs/>
          <w:sz w:val="26"/>
          <w:szCs w:val="24"/>
        </w:rPr>
        <w:t xml:space="preserve">file </w:t>
      </w:r>
      <w:r w:rsidR="00B26126">
        <w:rPr>
          <w:rFonts w:ascii="Times New Roman" w:eastAsia="Times New Roman" w:hAnsi="Times New Roman" w:cs="Times New Roman"/>
          <w:iCs/>
          <w:sz w:val="26"/>
          <w:szCs w:val="24"/>
        </w:rPr>
        <w:t xml:space="preserve">an application for </w:t>
      </w:r>
      <w:r w:rsidRPr="00B26126" w:rsidR="00B26126">
        <w:rPr>
          <w:rFonts w:ascii="Times New Roman" w:eastAsia="Times New Roman" w:hAnsi="Times New Roman" w:cs="Times New Roman"/>
          <w:iCs/>
          <w:sz w:val="26"/>
          <w:szCs w:val="24"/>
        </w:rPr>
        <w:t>a temporary certificate authorizing the construction and operation of extensions of existing facilities, interconnections of pipeline systems, or sales of natural gas that may be required to assure maintenance of adequate service, or to service particular customers.</w:t>
      </w:r>
    </w:p>
    <w:p w:rsidR="00E52B6C" w:rsidRPr="00E52B6C" w:rsidP="00E52B6C" w14:paraId="004AB85A" w14:textId="3028F7EC">
      <w:pPr>
        <w:spacing w:after="0" w:line="480" w:lineRule="auto"/>
        <w:rPr>
          <w:rFonts w:ascii="Times New Roman" w:eastAsia="Times New Roman" w:hAnsi="Times New Roman" w:cs="Times New Roman"/>
          <w:iCs/>
          <w:sz w:val="26"/>
          <w:szCs w:val="24"/>
        </w:rPr>
      </w:pPr>
      <w:r>
        <w:rPr>
          <w:rFonts w:ascii="Times New Roman" w:eastAsia="Times New Roman" w:hAnsi="Times New Roman" w:cs="Times New Roman"/>
          <w:iCs/>
          <w:sz w:val="26"/>
          <w:szCs w:val="24"/>
        </w:rPr>
        <w:t>The other set of respon</w:t>
      </w:r>
      <w:r w:rsidR="00087EE4">
        <w:rPr>
          <w:rFonts w:ascii="Times New Roman" w:eastAsia="Times New Roman" w:hAnsi="Times New Roman" w:cs="Times New Roman"/>
          <w:iCs/>
          <w:sz w:val="26"/>
          <w:szCs w:val="24"/>
        </w:rPr>
        <w:t>ses to a natural gas emergency</w:t>
      </w:r>
      <w:r w:rsidR="00FE4C18">
        <w:rPr>
          <w:rFonts w:ascii="Times New Roman" w:eastAsia="Times New Roman" w:hAnsi="Times New Roman" w:cs="Times New Roman"/>
          <w:iCs/>
          <w:sz w:val="26"/>
          <w:szCs w:val="24"/>
        </w:rPr>
        <w:t xml:space="preserve">, at 18 CFR </w:t>
      </w:r>
      <w:r w:rsidR="0037552E">
        <w:rPr>
          <w:rFonts w:ascii="Times New Roman" w:eastAsia="Times New Roman" w:hAnsi="Times New Roman" w:cs="Times New Roman"/>
          <w:iCs/>
          <w:sz w:val="26"/>
          <w:szCs w:val="24"/>
        </w:rPr>
        <w:t xml:space="preserve">Part 284 Subpart I, </w:t>
      </w:r>
      <w:r w:rsidR="00087EE4">
        <w:rPr>
          <w:rFonts w:ascii="Times New Roman" w:eastAsia="Times New Roman" w:hAnsi="Times New Roman" w:cs="Times New Roman"/>
          <w:iCs/>
          <w:sz w:val="26"/>
          <w:szCs w:val="24"/>
        </w:rPr>
        <w:t xml:space="preserve"> </w:t>
      </w:r>
      <w:r w:rsidRPr="00CE445C" w:rsidR="00CE445C">
        <w:rPr>
          <w:rFonts w:ascii="Times New Roman" w:eastAsia="Times New Roman" w:hAnsi="Times New Roman" w:cs="Times New Roman"/>
          <w:iCs/>
          <w:sz w:val="26"/>
          <w:szCs w:val="24"/>
        </w:rPr>
        <w:t>exempts a person who engages in an emergency natural gas transaction in interstate commerce from the certificate requirements of section 7</w:t>
      </w:r>
      <w:r w:rsidR="002C5E1A">
        <w:rPr>
          <w:rFonts w:ascii="Times New Roman" w:eastAsia="Times New Roman" w:hAnsi="Times New Roman" w:cs="Times New Roman"/>
          <w:iCs/>
          <w:sz w:val="26"/>
          <w:szCs w:val="24"/>
        </w:rPr>
        <w:t xml:space="preserve"> of the Natural Gas Act.</w:t>
      </w:r>
      <w:r>
        <w:rPr>
          <w:rStyle w:val="FootnoteReference"/>
          <w:rFonts w:eastAsia="Times New Roman" w:cs="Times New Roman"/>
          <w:iCs/>
        </w:rPr>
        <w:footnoteReference w:id="5"/>
      </w:r>
      <w:r w:rsidR="00B2778D">
        <w:rPr>
          <w:rFonts w:ascii="Times New Roman" w:eastAsia="Times New Roman" w:hAnsi="Times New Roman" w:cs="Times New Roman"/>
          <w:iCs/>
          <w:sz w:val="26"/>
          <w:szCs w:val="24"/>
        </w:rPr>
        <w:t xml:space="preserve">  The term “emergency natural gas transaction” is defined at 18 CFR </w:t>
      </w:r>
      <w:r w:rsidR="00AF5B59">
        <w:rPr>
          <w:rFonts w:ascii="Times New Roman" w:eastAsia="Times New Roman" w:hAnsi="Times New Roman" w:cs="Times New Roman"/>
          <w:iCs/>
          <w:sz w:val="26"/>
          <w:szCs w:val="24"/>
        </w:rPr>
        <w:t xml:space="preserve">284.262 as </w:t>
      </w:r>
      <w:r w:rsidR="006D6E9C">
        <w:rPr>
          <w:rFonts w:ascii="Times New Roman" w:eastAsia="Times New Roman" w:hAnsi="Times New Roman" w:cs="Times New Roman"/>
          <w:iCs/>
          <w:sz w:val="26"/>
          <w:szCs w:val="24"/>
        </w:rPr>
        <w:t>the</w:t>
      </w:r>
      <w:r w:rsidRPr="00E52B6C">
        <w:rPr>
          <w:rFonts w:ascii="Times New Roman" w:eastAsia="Times New Roman" w:hAnsi="Times New Roman" w:cs="Times New Roman"/>
          <w:iCs/>
          <w:sz w:val="26"/>
          <w:szCs w:val="24"/>
        </w:rPr>
        <w:t xml:space="preserve"> sale, </w:t>
      </w:r>
      <w:r w:rsidRPr="00E52B6C">
        <w:rPr>
          <w:rFonts w:ascii="Times New Roman" w:eastAsia="Times New Roman" w:hAnsi="Times New Roman" w:cs="Times New Roman"/>
          <w:iCs/>
          <w:sz w:val="26"/>
          <w:szCs w:val="24"/>
        </w:rPr>
        <w:t>transportation, or exchange of natural gas (including the construction and operation of necessary facilities) conducted pursuant to this subpart, that is:</w:t>
      </w:r>
    </w:p>
    <w:p w:rsidR="00E52B6C" w:rsidRPr="00E52B6C" w:rsidP="00E52B6C" w14:paraId="4D8EFDE8" w14:textId="77777777">
      <w:pPr>
        <w:spacing w:after="0" w:line="480" w:lineRule="auto"/>
        <w:rPr>
          <w:rFonts w:ascii="Times New Roman" w:eastAsia="Times New Roman" w:hAnsi="Times New Roman" w:cs="Times New Roman"/>
          <w:iCs/>
          <w:sz w:val="26"/>
          <w:szCs w:val="24"/>
        </w:rPr>
      </w:pPr>
      <w:r w:rsidRPr="00E52B6C">
        <w:rPr>
          <w:rFonts w:ascii="Times New Roman" w:eastAsia="Times New Roman" w:hAnsi="Times New Roman" w:cs="Times New Roman"/>
          <w:iCs/>
          <w:sz w:val="26"/>
          <w:szCs w:val="24"/>
        </w:rPr>
        <w:t>(1) Necessary to alleviate an emergency; and</w:t>
      </w:r>
    </w:p>
    <w:p w:rsidR="00E52B6C" w:rsidRPr="00E52B6C" w:rsidP="00E52B6C" w14:paraId="01AF8361" w14:textId="77777777">
      <w:pPr>
        <w:spacing w:after="0" w:line="480" w:lineRule="auto"/>
        <w:rPr>
          <w:rFonts w:ascii="Times New Roman" w:eastAsia="Times New Roman" w:hAnsi="Times New Roman" w:cs="Times New Roman"/>
          <w:iCs/>
          <w:sz w:val="26"/>
          <w:szCs w:val="24"/>
        </w:rPr>
      </w:pPr>
      <w:r w:rsidRPr="00E52B6C">
        <w:rPr>
          <w:rFonts w:ascii="Times New Roman" w:eastAsia="Times New Roman" w:hAnsi="Times New Roman" w:cs="Times New Roman"/>
          <w:iCs/>
          <w:sz w:val="26"/>
          <w:szCs w:val="24"/>
        </w:rPr>
        <w:t>(2) Not anticipated to extend for more than 60 days in duration.</w:t>
      </w:r>
    </w:p>
    <w:p w:rsidR="00016596" w:rsidRPr="0044364A" w:rsidP="0044364A" w14:paraId="15552358" w14:textId="00237D3F">
      <w:pPr>
        <w:spacing w:after="0" w:line="480" w:lineRule="auto"/>
        <w:rPr>
          <w:rFonts w:ascii="Times New Roman" w:eastAsia="Times New Roman" w:hAnsi="Times New Roman" w:cs="Times New Roman"/>
          <w:iCs/>
          <w:sz w:val="26"/>
          <w:szCs w:val="24"/>
        </w:rPr>
      </w:pPr>
      <w:r>
        <w:rPr>
          <w:rFonts w:ascii="Times New Roman" w:eastAsia="Times New Roman" w:hAnsi="Times New Roman" w:cs="Times New Roman"/>
          <w:iCs/>
          <w:sz w:val="26"/>
          <w:szCs w:val="24"/>
        </w:rPr>
        <w:t xml:space="preserve">A </w:t>
      </w:r>
      <w:r w:rsidRPr="0044364A">
        <w:rPr>
          <w:rFonts w:ascii="Times New Roman" w:eastAsia="Times New Roman" w:hAnsi="Times New Roman" w:cs="Times New Roman"/>
          <w:iCs/>
          <w:sz w:val="26"/>
          <w:szCs w:val="24"/>
        </w:rPr>
        <w:t>non-jurisdictional compan</w:t>
      </w:r>
      <w:r>
        <w:rPr>
          <w:rFonts w:ascii="Times New Roman" w:eastAsia="Times New Roman" w:hAnsi="Times New Roman" w:cs="Times New Roman"/>
          <w:iCs/>
          <w:sz w:val="26"/>
          <w:szCs w:val="24"/>
        </w:rPr>
        <w:t>y</w:t>
      </w:r>
      <w:r w:rsidRPr="0044364A">
        <w:rPr>
          <w:rFonts w:ascii="Times New Roman" w:eastAsia="Times New Roman" w:hAnsi="Times New Roman" w:cs="Times New Roman"/>
          <w:iCs/>
          <w:sz w:val="26"/>
          <w:szCs w:val="24"/>
        </w:rPr>
        <w:t xml:space="preserve"> that </w:t>
      </w:r>
      <w:r w:rsidR="00274957">
        <w:rPr>
          <w:rFonts w:ascii="Times New Roman" w:eastAsia="Times New Roman" w:hAnsi="Times New Roman" w:cs="Times New Roman"/>
          <w:iCs/>
          <w:sz w:val="26"/>
          <w:szCs w:val="24"/>
        </w:rPr>
        <w:t xml:space="preserve">engages </w:t>
      </w:r>
      <w:r w:rsidRPr="0044364A">
        <w:rPr>
          <w:rFonts w:ascii="Times New Roman" w:eastAsia="Times New Roman" w:hAnsi="Times New Roman" w:cs="Times New Roman"/>
          <w:iCs/>
          <w:sz w:val="26"/>
          <w:szCs w:val="24"/>
        </w:rPr>
        <w:t xml:space="preserve">in </w:t>
      </w:r>
      <w:r w:rsidR="00366BF0">
        <w:rPr>
          <w:rFonts w:ascii="Times New Roman" w:eastAsia="Times New Roman" w:hAnsi="Times New Roman" w:cs="Times New Roman"/>
          <w:iCs/>
          <w:sz w:val="26"/>
          <w:szCs w:val="24"/>
        </w:rPr>
        <w:t xml:space="preserve">an </w:t>
      </w:r>
      <w:r w:rsidRPr="0044364A">
        <w:rPr>
          <w:rFonts w:ascii="Times New Roman" w:eastAsia="Times New Roman" w:hAnsi="Times New Roman" w:cs="Times New Roman"/>
          <w:iCs/>
          <w:sz w:val="26"/>
          <w:szCs w:val="24"/>
        </w:rPr>
        <w:t xml:space="preserve">emergency </w:t>
      </w:r>
      <w:r w:rsidR="00274957">
        <w:rPr>
          <w:rFonts w:ascii="Times New Roman" w:eastAsia="Times New Roman" w:hAnsi="Times New Roman" w:cs="Times New Roman"/>
          <w:iCs/>
          <w:sz w:val="26"/>
          <w:szCs w:val="24"/>
        </w:rPr>
        <w:t xml:space="preserve">natural gas </w:t>
      </w:r>
      <w:r w:rsidRPr="0044364A">
        <w:rPr>
          <w:rFonts w:ascii="Times New Roman" w:eastAsia="Times New Roman" w:hAnsi="Times New Roman" w:cs="Times New Roman"/>
          <w:iCs/>
          <w:sz w:val="26"/>
          <w:szCs w:val="24"/>
        </w:rPr>
        <w:t>transactions must file information with the Commission under 18 CFR 284.270, so that the Commission may ensure compliance with relevant legal requirements.</w:t>
      </w:r>
    </w:p>
    <w:p w:rsidR="0044364A" w:rsidRPr="0044364A" w:rsidP="0044364A" w14:paraId="1D2624EB" w14:textId="77777777">
      <w:pPr>
        <w:spacing w:after="0" w:line="480" w:lineRule="auto"/>
        <w:rPr>
          <w:rFonts w:ascii="Times New Roman" w:eastAsia="Times New Roman" w:hAnsi="Times New Roman" w:cs="Times New Roman"/>
          <w:bCs/>
          <w:iCs/>
          <w:sz w:val="26"/>
          <w:szCs w:val="24"/>
        </w:rPr>
      </w:pPr>
      <w:r w:rsidRPr="0044364A">
        <w:rPr>
          <w:rFonts w:ascii="Times New Roman" w:eastAsia="Times New Roman" w:hAnsi="Times New Roman" w:cs="Times New Roman"/>
          <w:bCs/>
          <w:i/>
          <w:sz w:val="26"/>
          <w:szCs w:val="24"/>
        </w:rPr>
        <w:t>Types of Respondent</w:t>
      </w:r>
      <w:r w:rsidRPr="0044364A">
        <w:rPr>
          <w:rFonts w:ascii="Times New Roman" w:eastAsia="Times New Roman" w:hAnsi="Times New Roman" w:cs="Times New Roman"/>
          <w:bCs/>
          <w:iCs/>
          <w:sz w:val="26"/>
          <w:szCs w:val="24"/>
        </w:rPr>
        <w:t>: Providers and recipients of assistance in natural gas emergency circumstances.</w:t>
      </w:r>
    </w:p>
    <w:p w:rsidR="0044364A" w:rsidRPr="0044364A" w:rsidP="0044364A" w14:paraId="5B631865" w14:textId="0F7BCDF0">
      <w:pPr>
        <w:spacing w:after="0" w:line="480" w:lineRule="auto"/>
        <w:rPr>
          <w:rFonts w:ascii="Times New Roman" w:eastAsia="Times New Roman" w:hAnsi="Times New Roman" w:cs="Times New Roman"/>
          <w:sz w:val="26"/>
          <w:szCs w:val="24"/>
        </w:rPr>
      </w:pPr>
      <w:r w:rsidRPr="0044364A">
        <w:rPr>
          <w:rFonts w:ascii="Times New Roman" w:eastAsia="Times New Roman" w:hAnsi="Times New Roman" w:cs="Times New Roman"/>
          <w:i/>
          <w:sz w:val="26"/>
          <w:szCs w:val="24"/>
        </w:rPr>
        <w:t>Estimate of Annual Bur</w:t>
      </w:r>
      <w:r w:rsidR="006C1770">
        <w:rPr>
          <w:rFonts w:ascii="Times New Roman" w:eastAsia="Times New Roman" w:hAnsi="Times New Roman" w:cs="Times New Roman"/>
          <w:i/>
          <w:sz w:val="26"/>
          <w:szCs w:val="24"/>
        </w:rPr>
        <w:t>den</w:t>
      </w:r>
      <w:r w:rsidR="00110ABC">
        <w:rPr>
          <w:rFonts w:ascii="Times New Roman" w:eastAsia="Times New Roman" w:hAnsi="Times New Roman" w:cs="Times New Roman"/>
          <w:iCs/>
          <w:sz w:val="26"/>
          <w:szCs w:val="24"/>
        </w:rPr>
        <w:t>:</w:t>
      </w:r>
      <w:r>
        <w:rPr>
          <w:rFonts w:ascii="Times New Roman" w:eastAsia="Times New Roman" w:hAnsi="Times New Roman" w:cs="Times New Roman"/>
          <w:b/>
          <w:sz w:val="26"/>
          <w:szCs w:val="24"/>
          <w:vertAlign w:val="superscript"/>
        </w:rPr>
        <w:footnoteReference w:id="6"/>
      </w:r>
      <w:r w:rsidR="00110ABC">
        <w:rPr>
          <w:rFonts w:ascii="Times New Roman" w:eastAsia="Times New Roman" w:hAnsi="Times New Roman" w:cs="Times New Roman"/>
          <w:sz w:val="26"/>
          <w:szCs w:val="24"/>
        </w:rPr>
        <w:t xml:space="preserve">  </w:t>
      </w:r>
      <w:r w:rsidRPr="0044364A">
        <w:rPr>
          <w:rFonts w:ascii="Times New Roman" w:eastAsia="Times New Roman" w:hAnsi="Times New Roman" w:cs="Times New Roman"/>
          <w:sz w:val="26"/>
          <w:szCs w:val="24"/>
        </w:rPr>
        <w:t>The Commission estimates the total annual burden and cost</w:t>
      </w:r>
      <w:r>
        <w:rPr>
          <w:rFonts w:ascii="Times New Roman" w:eastAsia="Times New Roman" w:hAnsi="Times New Roman" w:cs="Times New Roman"/>
          <w:b/>
          <w:sz w:val="26"/>
          <w:szCs w:val="24"/>
          <w:vertAlign w:val="superscript"/>
        </w:rPr>
        <w:footnoteReference w:id="7"/>
      </w:r>
      <w:r w:rsidRPr="0044364A">
        <w:rPr>
          <w:rFonts w:ascii="Times New Roman" w:eastAsia="Times New Roman" w:hAnsi="Times New Roman" w:cs="Times New Roman"/>
          <w:sz w:val="26"/>
          <w:szCs w:val="24"/>
        </w:rPr>
        <w:t xml:space="preserve"> for this information collection in the following table: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1"/>
        <w:gridCol w:w="2253"/>
        <w:gridCol w:w="1574"/>
        <w:gridCol w:w="2182"/>
        <w:gridCol w:w="1792"/>
      </w:tblGrid>
      <w:tr w14:paraId="33824DB6" w14:textId="77777777" w:rsidTr="00D87A11">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shd w:val="clear" w:color="auto" w:fill="D9D9D9"/>
            <w:vAlign w:val="bottom"/>
          </w:tcPr>
          <w:p w:rsidR="00D87A11" w:rsidRPr="00D87A11" w:rsidP="00D87A11" w14:paraId="2870DB3D" w14:textId="77777777">
            <w:pPr>
              <w:spacing w:after="0" w:line="240" w:lineRule="auto"/>
              <w:jc w:val="center"/>
              <w:rPr>
                <w:rFonts w:ascii="Times New Roman" w:hAnsi="Times New Roman" w:cs="Times New Roman"/>
                <w:b/>
                <w:szCs w:val="24"/>
              </w:rPr>
            </w:pPr>
            <w:r w:rsidRPr="00D87A11">
              <w:rPr>
                <w:rFonts w:ascii="Times New Roman" w:hAnsi="Times New Roman" w:cs="Times New Roman"/>
                <w:b/>
                <w:szCs w:val="24"/>
              </w:rPr>
              <w:t>A.</w:t>
            </w:r>
          </w:p>
          <w:p w:rsidR="00D87A11" w:rsidRPr="00D87A11" w:rsidP="00D87A11" w14:paraId="0C9774F3" w14:textId="77777777">
            <w:pPr>
              <w:spacing w:after="0" w:line="240" w:lineRule="auto"/>
              <w:jc w:val="center"/>
              <w:rPr>
                <w:rFonts w:ascii="Times New Roman" w:hAnsi="Times New Roman" w:cs="Times New Roman"/>
                <w:b/>
                <w:szCs w:val="24"/>
              </w:rPr>
            </w:pPr>
            <w:r w:rsidRPr="00D87A11">
              <w:rPr>
                <w:rFonts w:ascii="Times New Roman" w:hAnsi="Times New Roman" w:cs="Times New Roman"/>
                <w:b/>
                <w:szCs w:val="24"/>
              </w:rPr>
              <w:t>No. of Respondents</w:t>
            </w:r>
          </w:p>
        </w:tc>
        <w:tc>
          <w:tcPr>
            <w:tcW w:w="0" w:type="auto"/>
            <w:shd w:val="clear" w:color="auto" w:fill="D9D9D9"/>
            <w:vAlign w:val="bottom"/>
          </w:tcPr>
          <w:p w:rsidR="00D87A11" w:rsidRPr="00D87A11" w:rsidP="00D87A11" w14:paraId="296E5430" w14:textId="77777777">
            <w:pPr>
              <w:spacing w:after="0" w:line="240" w:lineRule="auto"/>
              <w:jc w:val="center"/>
              <w:rPr>
                <w:rFonts w:ascii="Times New Roman" w:hAnsi="Times New Roman" w:cs="Times New Roman"/>
                <w:b/>
                <w:szCs w:val="24"/>
              </w:rPr>
            </w:pPr>
            <w:r w:rsidRPr="00D87A11">
              <w:rPr>
                <w:rFonts w:ascii="Times New Roman" w:hAnsi="Times New Roman" w:cs="Times New Roman"/>
                <w:b/>
                <w:szCs w:val="24"/>
              </w:rPr>
              <w:t>B.</w:t>
            </w:r>
          </w:p>
          <w:p w:rsidR="00D87A11" w:rsidRPr="00D87A11" w:rsidP="00D87A11" w14:paraId="08A07AFA" w14:textId="77777777">
            <w:pPr>
              <w:spacing w:after="0" w:line="240" w:lineRule="auto"/>
              <w:jc w:val="center"/>
              <w:rPr>
                <w:rFonts w:ascii="Times New Roman" w:hAnsi="Times New Roman" w:cs="Times New Roman"/>
                <w:b/>
                <w:szCs w:val="24"/>
              </w:rPr>
            </w:pPr>
            <w:r w:rsidRPr="00D87A11">
              <w:rPr>
                <w:rFonts w:ascii="Times New Roman" w:hAnsi="Times New Roman" w:cs="Times New Roman"/>
                <w:b/>
                <w:szCs w:val="24"/>
              </w:rPr>
              <w:t>Annual No. of Responses per Respondent</w:t>
            </w:r>
          </w:p>
        </w:tc>
        <w:tc>
          <w:tcPr>
            <w:tcW w:w="0" w:type="auto"/>
            <w:shd w:val="clear" w:color="auto" w:fill="D9D9D9"/>
            <w:vAlign w:val="bottom"/>
          </w:tcPr>
          <w:p w:rsidR="00D87A11" w:rsidRPr="00D87A11" w:rsidP="00D87A11" w14:paraId="0F9A6B84" w14:textId="77777777">
            <w:pPr>
              <w:spacing w:after="0" w:line="240" w:lineRule="auto"/>
              <w:jc w:val="center"/>
              <w:rPr>
                <w:rFonts w:ascii="Times New Roman" w:hAnsi="Times New Roman" w:cs="Times New Roman"/>
                <w:b/>
                <w:szCs w:val="24"/>
              </w:rPr>
            </w:pPr>
            <w:r w:rsidRPr="00D87A11">
              <w:rPr>
                <w:rFonts w:ascii="Times New Roman" w:hAnsi="Times New Roman" w:cs="Times New Roman"/>
                <w:b/>
                <w:szCs w:val="24"/>
              </w:rPr>
              <w:t>C.</w:t>
            </w:r>
          </w:p>
          <w:p w:rsidR="00D87A11" w:rsidRPr="00D87A11" w:rsidP="00D87A11" w14:paraId="321B5E40" w14:textId="77777777">
            <w:pPr>
              <w:spacing w:after="0" w:line="240" w:lineRule="auto"/>
              <w:jc w:val="center"/>
              <w:rPr>
                <w:rFonts w:ascii="Times New Roman" w:hAnsi="Times New Roman" w:cs="Times New Roman"/>
                <w:b/>
                <w:szCs w:val="24"/>
              </w:rPr>
            </w:pPr>
            <w:r w:rsidRPr="00D87A11">
              <w:rPr>
                <w:rFonts w:ascii="Times New Roman" w:hAnsi="Times New Roman" w:cs="Times New Roman"/>
                <w:b/>
                <w:szCs w:val="24"/>
              </w:rPr>
              <w:t>Total No. of Responses</w:t>
            </w:r>
          </w:p>
          <w:p w:rsidR="00D87A11" w:rsidRPr="00D87A11" w:rsidP="00D87A11" w14:paraId="5EFB9909" w14:textId="77777777">
            <w:pPr>
              <w:spacing w:after="0" w:line="240" w:lineRule="auto"/>
              <w:jc w:val="center"/>
              <w:rPr>
                <w:rFonts w:ascii="Times New Roman" w:hAnsi="Times New Roman" w:cs="Times New Roman"/>
                <w:b/>
                <w:szCs w:val="24"/>
              </w:rPr>
            </w:pPr>
            <w:r w:rsidRPr="00D87A11">
              <w:rPr>
                <w:rFonts w:ascii="Times New Roman" w:hAnsi="Times New Roman" w:cs="Times New Roman"/>
                <w:b/>
                <w:szCs w:val="24"/>
              </w:rPr>
              <w:t>(Col. A x Col. B)</w:t>
            </w:r>
          </w:p>
        </w:tc>
        <w:tc>
          <w:tcPr>
            <w:tcW w:w="0" w:type="auto"/>
            <w:shd w:val="clear" w:color="auto" w:fill="D9D9D9"/>
            <w:vAlign w:val="bottom"/>
          </w:tcPr>
          <w:p w:rsidR="00D87A11" w:rsidRPr="00D87A11" w:rsidP="00D87A11" w14:paraId="752ADBA9" w14:textId="77777777">
            <w:pPr>
              <w:spacing w:after="0" w:line="240" w:lineRule="auto"/>
              <w:jc w:val="center"/>
              <w:rPr>
                <w:rFonts w:ascii="Times New Roman" w:hAnsi="Times New Roman" w:cs="Times New Roman"/>
                <w:b/>
                <w:szCs w:val="24"/>
              </w:rPr>
            </w:pPr>
            <w:r w:rsidRPr="00D87A11">
              <w:rPr>
                <w:rFonts w:ascii="Times New Roman" w:hAnsi="Times New Roman" w:cs="Times New Roman"/>
                <w:b/>
                <w:szCs w:val="24"/>
              </w:rPr>
              <w:t>D.</w:t>
            </w:r>
          </w:p>
          <w:p w:rsidR="00D87A11" w:rsidRPr="00D87A11" w:rsidP="00D87A11" w14:paraId="0839EA18" w14:textId="77777777">
            <w:pPr>
              <w:spacing w:after="0" w:line="240" w:lineRule="auto"/>
              <w:jc w:val="center"/>
              <w:rPr>
                <w:rFonts w:ascii="Times New Roman" w:hAnsi="Times New Roman" w:cs="Times New Roman"/>
                <w:b/>
                <w:szCs w:val="24"/>
              </w:rPr>
            </w:pPr>
            <w:r w:rsidRPr="00D87A11">
              <w:rPr>
                <w:rFonts w:ascii="Times New Roman" w:hAnsi="Times New Roman" w:cs="Times New Roman"/>
                <w:b/>
                <w:szCs w:val="24"/>
              </w:rPr>
              <w:t>Average Hr. Burden and Cost per Response</w:t>
            </w:r>
          </w:p>
        </w:tc>
        <w:tc>
          <w:tcPr>
            <w:tcW w:w="0" w:type="auto"/>
            <w:shd w:val="clear" w:color="auto" w:fill="D9D9D9"/>
            <w:vAlign w:val="bottom"/>
          </w:tcPr>
          <w:p w:rsidR="00D87A11" w:rsidRPr="00D87A11" w:rsidP="00D87A11" w14:paraId="30D64C66" w14:textId="77777777">
            <w:pPr>
              <w:spacing w:after="0" w:line="240" w:lineRule="auto"/>
              <w:jc w:val="center"/>
              <w:rPr>
                <w:rFonts w:ascii="Times New Roman" w:hAnsi="Times New Roman" w:cs="Times New Roman"/>
                <w:b/>
                <w:szCs w:val="24"/>
              </w:rPr>
            </w:pPr>
            <w:r w:rsidRPr="00D87A11">
              <w:rPr>
                <w:rFonts w:ascii="Times New Roman" w:hAnsi="Times New Roman" w:cs="Times New Roman"/>
                <w:b/>
                <w:szCs w:val="24"/>
              </w:rPr>
              <w:t>E.</w:t>
            </w:r>
          </w:p>
          <w:p w:rsidR="00D87A11" w:rsidRPr="00D87A11" w:rsidP="00D87A11" w14:paraId="283DA8F1" w14:textId="77777777">
            <w:pPr>
              <w:spacing w:after="0" w:line="240" w:lineRule="auto"/>
              <w:jc w:val="center"/>
              <w:rPr>
                <w:rFonts w:ascii="Times New Roman" w:hAnsi="Times New Roman" w:cs="Times New Roman"/>
                <w:b/>
                <w:szCs w:val="24"/>
              </w:rPr>
            </w:pPr>
            <w:r w:rsidRPr="00D87A11">
              <w:rPr>
                <w:rFonts w:ascii="Times New Roman" w:hAnsi="Times New Roman" w:cs="Times New Roman"/>
                <w:b/>
                <w:szCs w:val="24"/>
              </w:rPr>
              <w:t>Total Annual Hr. Burden and Cost</w:t>
            </w:r>
          </w:p>
          <w:p w:rsidR="00D87A11" w:rsidRPr="00D87A11" w:rsidP="00D87A11" w14:paraId="6086EEC1" w14:textId="77777777">
            <w:pPr>
              <w:spacing w:after="0" w:line="240" w:lineRule="auto"/>
              <w:jc w:val="center"/>
              <w:rPr>
                <w:rFonts w:ascii="Times New Roman" w:hAnsi="Times New Roman" w:cs="Times New Roman"/>
                <w:b/>
                <w:szCs w:val="24"/>
              </w:rPr>
            </w:pPr>
            <w:r w:rsidRPr="00D87A11">
              <w:rPr>
                <w:rFonts w:ascii="Times New Roman" w:hAnsi="Times New Roman" w:cs="Times New Roman"/>
                <w:b/>
                <w:szCs w:val="24"/>
              </w:rPr>
              <w:t>(Col. C x Col D)</w:t>
            </w:r>
          </w:p>
        </w:tc>
      </w:tr>
      <w:tr w14:paraId="2762D6B5" w14:textId="77777777" w:rsidTr="002961A1">
        <w:tblPrEx>
          <w:tblW w:w="0" w:type="auto"/>
          <w:tblInd w:w="-72" w:type="dxa"/>
          <w:tblLook w:val="01E0"/>
        </w:tblPrEx>
        <w:trPr>
          <w:cantSplit/>
        </w:trPr>
        <w:tc>
          <w:tcPr>
            <w:tcW w:w="0" w:type="auto"/>
            <w:vAlign w:val="bottom"/>
          </w:tcPr>
          <w:p w:rsidR="00D87A11" w:rsidRPr="00D87A11" w:rsidP="002961A1" w14:paraId="28EC12AA" w14:textId="77777777">
            <w:pPr>
              <w:spacing w:after="0" w:line="240" w:lineRule="auto"/>
              <w:jc w:val="right"/>
              <w:rPr>
                <w:rFonts w:ascii="Times New Roman" w:hAnsi="Times New Roman" w:cs="Times New Roman"/>
                <w:szCs w:val="24"/>
              </w:rPr>
            </w:pPr>
            <w:r w:rsidRPr="00D87A11">
              <w:rPr>
                <w:rFonts w:ascii="Times New Roman" w:hAnsi="Times New Roman" w:cs="Times New Roman"/>
                <w:szCs w:val="24"/>
              </w:rPr>
              <w:t>10</w:t>
            </w:r>
          </w:p>
        </w:tc>
        <w:tc>
          <w:tcPr>
            <w:tcW w:w="0" w:type="auto"/>
            <w:vAlign w:val="bottom"/>
          </w:tcPr>
          <w:p w:rsidR="00D87A11" w:rsidRPr="00D87A11" w:rsidP="002961A1" w14:paraId="0394CB8B" w14:textId="77777777">
            <w:pPr>
              <w:spacing w:after="0" w:line="240" w:lineRule="auto"/>
              <w:jc w:val="right"/>
              <w:rPr>
                <w:rFonts w:ascii="Times New Roman" w:hAnsi="Times New Roman" w:cs="Times New Roman"/>
                <w:szCs w:val="24"/>
              </w:rPr>
            </w:pPr>
            <w:r w:rsidRPr="00D87A11">
              <w:rPr>
                <w:rFonts w:ascii="Times New Roman" w:hAnsi="Times New Roman" w:cs="Times New Roman"/>
                <w:szCs w:val="24"/>
              </w:rPr>
              <w:t>3</w:t>
            </w:r>
          </w:p>
        </w:tc>
        <w:tc>
          <w:tcPr>
            <w:tcW w:w="0" w:type="auto"/>
            <w:vAlign w:val="bottom"/>
          </w:tcPr>
          <w:p w:rsidR="00D87A11" w:rsidRPr="00D87A11" w:rsidP="002961A1" w14:paraId="7E51476B" w14:textId="77777777">
            <w:pPr>
              <w:spacing w:after="0" w:line="240" w:lineRule="auto"/>
              <w:jc w:val="right"/>
              <w:rPr>
                <w:rFonts w:ascii="Times New Roman" w:hAnsi="Times New Roman" w:cs="Times New Roman"/>
                <w:szCs w:val="24"/>
              </w:rPr>
            </w:pPr>
            <w:r w:rsidRPr="00D87A11">
              <w:rPr>
                <w:rFonts w:ascii="Times New Roman" w:hAnsi="Times New Roman" w:cs="Times New Roman"/>
                <w:szCs w:val="24"/>
              </w:rPr>
              <w:t>30</w:t>
            </w:r>
          </w:p>
        </w:tc>
        <w:tc>
          <w:tcPr>
            <w:tcW w:w="0" w:type="auto"/>
            <w:vAlign w:val="bottom"/>
          </w:tcPr>
          <w:p w:rsidR="00D87A11" w:rsidRPr="00D87A11" w:rsidP="002961A1" w14:paraId="0F2DCF5B" w14:textId="77777777">
            <w:pPr>
              <w:spacing w:after="0" w:line="240" w:lineRule="auto"/>
              <w:jc w:val="right"/>
              <w:rPr>
                <w:rFonts w:ascii="Times New Roman" w:hAnsi="Times New Roman" w:cs="Times New Roman"/>
                <w:szCs w:val="24"/>
              </w:rPr>
            </w:pPr>
            <w:r w:rsidRPr="00D87A11">
              <w:rPr>
                <w:rFonts w:ascii="Times New Roman" w:hAnsi="Times New Roman" w:cs="Times New Roman"/>
                <w:szCs w:val="24"/>
              </w:rPr>
              <w:t>10 hrs;</w:t>
            </w:r>
          </w:p>
          <w:p w:rsidR="00D87A11" w:rsidRPr="00D87A11" w:rsidP="002961A1" w14:paraId="6B7896B8" w14:textId="7A35B3CB">
            <w:pPr>
              <w:spacing w:after="0" w:line="240" w:lineRule="auto"/>
              <w:jc w:val="right"/>
              <w:rPr>
                <w:rFonts w:ascii="Times New Roman" w:hAnsi="Times New Roman" w:cs="Times New Roman"/>
                <w:szCs w:val="24"/>
              </w:rPr>
            </w:pPr>
            <w:r w:rsidRPr="00D87A11">
              <w:rPr>
                <w:rFonts w:ascii="Times New Roman" w:hAnsi="Times New Roman" w:cs="Times New Roman"/>
                <w:szCs w:val="24"/>
              </w:rPr>
              <w:t>$</w:t>
            </w:r>
            <w:r w:rsidR="002961A1">
              <w:rPr>
                <w:rFonts w:ascii="Times New Roman" w:hAnsi="Times New Roman" w:cs="Times New Roman"/>
                <w:szCs w:val="24"/>
              </w:rPr>
              <w:t>1,000</w:t>
            </w:r>
          </w:p>
        </w:tc>
        <w:tc>
          <w:tcPr>
            <w:tcW w:w="0" w:type="auto"/>
            <w:vAlign w:val="bottom"/>
          </w:tcPr>
          <w:p w:rsidR="00D87A11" w:rsidRPr="00D87A11" w:rsidP="002961A1" w14:paraId="0C3B07AF" w14:textId="77777777">
            <w:pPr>
              <w:spacing w:after="0" w:line="240" w:lineRule="auto"/>
              <w:jc w:val="right"/>
              <w:rPr>
                <w:rFonts w:ascii="Times New Roman" w:hAnsi="Times New Roman" w:cs="Times New Roman"/>
                <w:szCs w:val="24"/>
              </w:rPr>
            </w:pPr>
            <w:r w:rsidRPr="00D87A11">
              <w:rPr>
                <w:rFonts w:ascii="Times New Roman" w:hAnsi="Times New Roman" w:cs="Times New Roman"/>
                <w:szCs w:val="24"/>
              </w:rPr>
              <w:t>300 hrs.;</w:t>
            </w:r>
          </w:p>
          <w:p w:rsidR="00D87A11" w:rsidRPr="00D87A11" w:rsidP="002961A1" w14:paraId="4FA27B59" w14:textId="2026FC4C">
            <w:pPr>
              <w:spacing w:after="0" w:line="240" w:lineRule="auto"/>
              <w:jc w:val="right"/>
              <w:rPr>
                <w:rFonts w:ascii="Times New Roman" w:hAnsi="Times New Roman" w:cs="Times New Roman"/>
                <w:szCs w:val="24"/>
              </w:rPr>
            </w:pPr>
            <w:r w:rsidRPr="00D87A11">
              <w:rPr>
                <w:rFonts w:ascii="Times New Roman" w:hAnsi="Times New Roman" w:cs="Times New Roman"/>
                <w:szCs w:val="24"/>
              </w:rPr>
              <w:t>$</w:t>
            </w:r>
            <w:r w:rsidR="002961A1">
              <w:rPr>
                <w:rFonts w:ascii="Times New Roman" w:hAnsi="Times New Roman" w:cs="Times New Roman"/>
                <w:szCs w:val="24"/>
              </w:rPr>
              <w:t>30,000</w:t>
            </w:r>
          </w:p>
        </w:tc>
      </w:tr>
    </w:tbl>
    <w:p w:rsidR="00C123B1" w:rsidP="00D87A11" w14:paraId="21C60156" w14:textId="77777777">
      <w:pPr>
        <w:spacing w:after="0" w:line="240" w:lineRule="auto"/>
        <w:rPr>
          <w:rFonts w:ascii="Times New Roman" w:hAnsi="Times New Roman" w:cs="Times New Roman"/>
          <w:sz w:val="24"/>
          <w:szCs w:val="24"/>
        </w:rPr>
      </w:pPr>
    </w:p>
    <w:p w:rsidR="006D1CBD" w:rsidRPr="00466D3F" w:rsidP="006D1CBD" w14:paraId="38A5FDD7" w14:textId="7E8BD101">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i/>
          <w:sz w:val="26"/>
          <w:szCs w:val="24"/>
        </w:rPr>
        <w:t xml:space="preserve">Comments:  </w:t>
      </w:r>
      <w:r w:rsidRPr="00466D3F">
        <w:rPr>
          <w:rFonts w:ascii="Times New Roman" w:eastAsia="Times New Roman" w:hAnsi="Times New Roman" w:cs="Times New Roman"/>
          <w:sz w:val="26"/>
          <w:szCs w:val="24"/>
        </w:rPr>
        <w:t>Comments are invited on:  (1) whether the collection</w:t>
      </w:r>
      <w:r>
        <w:rPr>
          <w:rFonts w:ascii="Times New Roman" w:eastAsia="Times New Roman" w:hAnsi="Times New Roman" w:cs="Times New Roman"/>
          <w:sz w:val="26"/>
          <w:szCs w:val="24"/>
        </w:rPr>
        <w:t>s</w:t>
      </w:r>
      <w:r w:rsidRPr="00466D3F">
        <w:rPr>
          <w:rFonts w:ascii="Times New Roman" w:eastAsia="Times New Roman" w:hAnsi="Times New Roman" w:cs="Times New Roman"/>
          <w:sz w:val="26"/>
          <w:szCs w:val="24"/>
        </w:rPr>
        <w:t xml:space="preserve"> of information is necessary for the proper performance of the functions of the Commission, including </w:t>
      </w:r>
      <w:r w:rsidRPr="00466D3F">
        <w:rPr>
          <w:rFonts w:ascii="Times New Roman" w:eastAsia="Times New Roman" w:hAnsi="Times New Roman" w:cs="Times New Roman"/>
          <w:sz w:val="26"/>
          <w:szCs w:val="24"/>
        </w:rPr>
        <w:t>whether the information will have practical utility; (2) the accuracy of the agency’s estimate of the burden and cost of the collection</w:t>
      </w:r>
      <w:r>
        <w:rPr>
          <w:rFonts w:ascii="Times New Roman" w:eastAsia="Times New Roman" w:hAnsi="Times New Roman" w:cs="Times New Roman"/>
          <w:sz w:val="26"/>
          <w:szCs w:val="24"/>
        </w:rPr>
        <w:t>s</w:t>
      </w:r>
      <w:r w:rsidRPr="00466D3F">
        <w:rPr>
          <w:rFonts w:ascii="Times New Roman" w:eastAsia="Times New Roman" w:hAnsi="Times New Roman" w:cs="Times New Roman"/>
          <w:sz w:val="26"/>
          <w:szCs w:val="24"/>
        </w:rPr>
        <w:t xml:space="preserve"> of information, including the validity of the methodology and assumptions used; (3) ways to enhance the quality, utility and clarity of the information collection</w:t>
      </w:r>
      <w:r>
        <w:rPr>
          <w:rFonts w:ascii="Times New Roman" w:eastAsia="Times New Roman" w:hAnsi="Times New Roman" w:cs="Times New Roman"/>
          <w:sz w:val="26"/>
          <w:szCs w:val="24"/>
        </w:rPr>
        <w:t>s</w:t>
      </w:r>
      <w:r w:rsidRPr="00466D3F">
        <w:rPr>
          <w:rFonts w:ascii="Times New Roman" w:eastAsia="Times New Roman" w:hAnsi="Times New Roman" w:cs="Times New Roman"/>
          <w:sz w:val="26"/>
          <w:szCs w:val="24"/>
        </w:rPr>
        <w:t xml:space="preserve">; and (4) ways to minimize the burden of the </w:t>
      </w:r>
    </w:p>
    <w:p w:rsidR="00466D3F" w:rsidP="00671368" w14:paraId="7F40E234" w14:textId="2FF32ED8">
      <w:pPr>
        <w:spacing w:after="0" w:line="480" w:lineRule="auto"/>
        <w:rPr>
          <w:rFonts w:ascii="Times New Roman" w:eastAsia="Times New Roman" w:hAnsi="Times New Roman" w:cs="Times New Roman"/>
          <w:sz w:val="26"/>
          <w:szCs w:val="24"/>
        </w:rPr>
      </w:pPr>
      <w:r w:rsidRPr="00466D3F">
        <w:rPr>
          <w:rFonts w:ascii="Times New Roman" w:eastAsia="Times New Roman" w:hAnsi="Times New Roman" w:cs="Times New Roman"/>
          <w:sz w:val="26"/>
          <w:szCs w:val="24"/>
        </w:rPr>
        <w:t>collection</w:t>
      </w:r>
      <w:r>
        <w:rPr>
          <w:rFonts w:ascii="Times New Roman" w:eastAsia="Times New Roman" w:hAnsi="Times New Roman" w:cs="Times New Roman"/>
          <w:sz w:val="26"/>
          <w:szCs w:val="24"/>
        </w:rPr>
        <w:t>s</w:t>
      </w:r>
      <w:r w:rsidRPr="00466D3F">
        <w:rPr>
          <w:rFonts w:ascii="Times New Roman" w:eastAsia="Times New Roman" w:hAnsi="Times New Roman" w:cs="Times New Roman"/>
          <w:sz w:val="26"/>
          <w:szCs w:val="24"/>
        </w:rPr>
        <w:t xml:space="preserve"> of information on those who are to respond, including the use of automated collection techniques or other forms of information technology. </w:t>
      </w:r>
    </w:p>
    <w:p w:rsidR="00671368" w:rsidP="00466D3F" w14:paraId="551367AD" w14:textId="77777777">
      <w:pPr>
        <w:rPr>
          <w:rFonts w:ascii="Times New Roman" w:eastAsia="Times New Roman" w:hAnsi="Times New Roman" w:cs="Times New Roman"/>
          <w:sz w:val="26"/>
          <w:szCs w:val="24"/>
        </w:rPr>
      </w:pPr>
    </w:p>
    <w:p w:rsidR="00671368" w:rsidP="00466D3F" w14:paraId="36336992" w14:textId="77777777">
      <w:pPr>
        <w:rPr>
          <w:rFonts w:ascii="Times New Roman" w:eastAsia="Times New Roman" w:hAnsi="Times New Roman" w:cs="Times New Roman"/>
          <w:sz w:val="26"/>
          <w:szCs w:val="24"/>
        </w:rPr>
      </w:pPr>
    </w:p>
    <w:p w:rsidR="00671368" w:rsidRPr="00671368" w:rsidP="00671368" w14:paraId="22F7551E" w14:textId="26A334AA">
      <w:pPr>
        <w:spacing w:after="0" w:line="240" w:lineRule="auto"/>
        <w:ind w:firstLine="2606"/>
        <w:jc w:val="center"/>
        <w:rPr>
          <w:rFonts w:ascii="Times New Roman" w:hAnsi="Times New Roman" w:cs="Times New Roman"/>
          <w:sz w:val="26"/>
        </w:rPr>
      </w:pPr>
      <w:r w:rsidRPr="00671368">
        <w:rPr>
          <w:rFonts w:ascii="Times New Roman" w:hAnsi="Times New Roman" w:cs="Times New Roman"/>
          <w:sz w:val="26"/>
        </w:rPr>
        <w:t>Debbie-Anne A. Reese,</w:t>
      </w:r>
    </w:p>
    <w:p w:rsidR="00671368" w:rsidRPr="00671368" w:rsidP="00671368" w14:paraId="79498731" w14:textId="5E282DA1">
      <w:pPr>
        <w:spacing w:after="0" w:line="240" w:lineRule="auto"/>
        <w:ind w:firstLine="2606"/>
        <w:jc w:val="center"/>
      </w:pPr>
      <w:r w:rsidRPr="00671368">
        <w:rPr>
          <w:rFonts w:ascii="Times New Roman" w:hAnsi="Times New Roman" w:cs="Times New Roman"/>
          <w:sz w:val="26"/>
        </w:rPr>
        <w:t>Acting Secretary.</w:t>
      </w:r>
    </w:p>
    <w:p w:rsidR="00671368" w:rsidRPr="00466D3F" w:rsidP="00466D3F" w14:paraId="21554248" w14:textId="77777777">
      <w:pPr>
        <w:rPr>
          <w:rFonts w:ascii="Times New Roman" w:eastAsia="Times New Roman" w:hAnsi="Times New Roman" w:cs="Times New Roman"/>
          <w:sz w:val="26"/>
          <w:szCs w:val="24"/>
        </w:rPr>
      </w:pPr>
    </w:p>
    <w:p w:rsidR="00466D3F" w:rsidRPr="00466D3F" w14:paraId="7732DA3A" w14:textId="77777777">
      <w:pPr>
        <w:rPr>
          <w:rFonts w:ascii="Times New Roman" w:hAnsi="Times New Roman" w:cs="Times New Roman"/>
          <w:sz w:val="24"/>
          <w:szCs w:val="24"/>
        </w:rPr>
      </w:pPr>
    </w:p>
    <w:sectPr w:rsidSect="002D2DBD">
      <w:head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0EF9" w:rsidP="00466D3F" w14:paraId="12C769D8" w14:textId="77777777">
      <w:pPr>
        <w:spacing w:after="0" w:line="240" w:lineRule="auto"/>
      </w:pPr>
      <w:r>
        <w:separator/>
      </w:r>
    </w:p>
  </w:footnote>
  <w:footnote w:type="continuationSeparator" w:id="1">
    <w:p w:rsidR="00770EF9" w:rsidP="00466D3F" w14:paraId="7B743954" w14:textId="77777777">
      <w:pPr>
        <w:spacing w:after="0" w:line="240" w:lineRule="auto"/>
      </w:pPr>
      <w:r>
        <w:continuationSeparator/>
      </w:r>
    </w:p>
  </w:footnote>
  <w:footnote w:type="continuationNotice" w:id="2">
    <w:p w:rsidR="00770EF9" w14:paraId="0418F77E" w14:textId="77777777">
      <w:pPr>
        <w:spacing w:after="0" w:line="240" w:lineRule="auto"/>
      </w:pPr>
    </w:p>
  </w:footnote>
  <w:footnote w:id="3">
    <w:p w:rsidR="00623D85" w:rsidRPr="00552DA0" w14:paraId="7C8E20D1" w14:textId="4E1D3D86">
      <w:pPr>
        <w:pStyle w:val="FootnoteText"/>
        <w:rPr>
          <w:rFonts w:ascii="Times New Roman" w:hAnsi="Times New Roman"/>
          <w:bCs/>
          <w:sz w:val="26"/>
        </w:rPr>
      </w:pPr>
      <w:r w:rsidRPr="00552DA0">
        <w:rPr>
          <w:rStyle w:val="FootnoteReference"/>
          <w:bCs/>
        </w:rPr>
        <w:footnoteRef/>
      </w:r>
      <w:r w:rsidRPr="00552DA0">
        <w:rPr>
          <w:rFonts w:ascii="Times New Roman" w:hAnsi="Times New Roman"/>
          <w:bCs/>
          <w:sz w:val="26"/>
        </w:rPr>
        <w:t xml:space="preserve"> </w:t>
      </w:r>
      <w:r w:rsidRPr="00552DA0" w:rsidR="00F22952">
        <w:rPr>
          <w:rFonts w:ascii="Times New Roman" w:hAnsi="Times New Roman"/>
          <w:bCs/>
          <w:sz w:val="26"/>
        </w:rPr>
        <w:t xml:space="preserve">The definition of “natural-gas company” is at 15 U.S.C. 717a(6). </w:t>
      </w:r>
    </w:p>
  </w:footnote>
  <w:footnote w:id="4">
    <w:p w:rsidR="006E3928" w:rsidRPr="00552DA0" w14:paraId="49221D77" w14:textId="620C4EB3">
      <w:pPr>
        <w:pStyle w:val="FootnoteText"/>
        <w:rPr>
          <w:rFonts w:ascii="Times New Roman" w:hAnsi="Times New Roman"/>
          <w:sz w:val="26"/>
        </w:rPr>
      </w:pPr>
      <w:r w:rsidRPr="00BC45E1">
        <w:rPr>
          <w:rStyle w:val="FootnoteReference"/>
        </w:rPr>
        <w:footnoteRef/>
      </w:r>
      <w:r w:rsidRPr="00BC45E1">
        <w:rPr>
          <w:rFonts w:ascii="Times New Roman" w:hAnsi="Times New Roman"/>
          <w:sz w:val="26"/>
        </w:rPr>
        <w:t xml:space="preserve"> </w:t>
      </w:r>
      <w:r w:rsidRPr="00552DA0">
        <w:rPr>
          <w:rFonts w:ascii="Times New Roman" w:hAnsi="Times New Roman"/>
          <w:sz w:val="26"/>
        </w:rPr>
        <w:t>15 U.S.C. 717f</w:t>
      </w:r>
      <w:r w:rsidRPr="00552DA0" w:rsidR="00D22B16">
        <w:rPr>
          <w:rFonts w:ascii="Times New Roman" w:hAnsi="Times New Roman"/>
          <w:sz w:val="26"/>
        </w:rPr>
        <w:t>(c)(1)(A)</w:t>
      </w:r>
      <w:r w:rsidRPr="00552DA0">
        <w:rPr>
          <w:rFonts w:ascii="Times New Roman" w:hAnsi="Times New Roman"/>
          <w:sz w:val="26"/>
        </w:rPr>
        <w:t>.</w:t>
      </w:r>
    </w:p>
  </w:footnote>
  <w:footnote w:id="5">
    <w:p w:rsidR="002C5E1A" w:rsidRPr="00BC45E1" w14:paraId="024B41D2" w14:textId="0D1A9126">
      <w:pPr>
        <w:pStyle w:val="FootnoteText"/>
        <w:rPr>
          <w:rFonts w:ascii="Times New Roman" w:hAnsi="Times New Roman"/>
          <w:sz w:val="26"/>
        </w:rPr>
      </w:pPr>
      <w:r w:rsidRPr="00BC45E1">
        <w:rPr>
          <w:rStyle w:val="FootnoteReference"/>
        </w:rPr>
        <w:footnoteRef/>
      </w:r>
      <w:r w:rsidRPr="00BC45E1">
        <w:rPr>
          <w:rFonts w:ascii="Times New Roman" w:hAnsi="Times New Roman"/>
          <w:sz w:val="26"/>
        </w:rPr>
        <w:t xml:space="preserve"> </w:t>
      </w:r>
      <w:r w:rsidRPr="00BC45E1" w:rsidR="00BC45E1">
        <w:rPr>
          <w:rFonts w:ascii="Times New Roman" w:hAnsi="Times New Roman"/>
          <w:sz w:val="26"/>
        </w:rPr>
        <w:t>18 CFR 284.261.</w:t>
      </w:r>
    </w:p>
  </w:footnote>
  <w:footnote w:id="6">
    <w:p w:rsidR="0044364A" w:rsidRPr="0085175F" w:rsidP="00886E1D" w14:paraId="03ABD068" w14:textId="77777777">
      <w:pPr>
        <w:pStyle w:val="FootnoteText"/>
        <w:rPr>
          <w:rFonts w:ascii="Times New Roman" w:hAnsi="Times New Roman"/>
          <w:sz w:val="26"/>
          <w:szCs w:val="26"/>
        </w:rPr>
      </w:pPr>
      <w:r w:rsidRPr="0085175F">
        <w:rPr>
          <w:rStyle w:val="FootnoteReference"/>
        </w:rPr>
        <w:footnoteRef/>
      </w:r>
      <w:r w:rsidRPr="0085175F">
        <w:rPr>
          <w:rFonts w:ascii="Times New Roman" w:hAnsi="Times New Roman"/>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7">
    <w:p w:rsidR="0044364A" w:rsidRPr="0085175F" w:rsidP="006B7907" w14:paraId="7166E6F7" w14:textId="0FC72087">
      <w:pPr>
        <w:pStyle w:val="FootnoteText"/>
        <w:rPr>
          <w:rFonts w:ascii="Times New Roman" w:hAnsi="Times New Roman"/>
          <w:sz w:val="26"/>
        </w:rPr>
      </w:pPr>
      <w:r w:rsidRPr="0085175F">
        <w:rPr>
          <w:rStyle w:val="FootnoteReference"/>
        </w:rPr>
        <w:footnoteRef/>
      </w:r>
      <w:r w:rsidRPr="0085175F">
        <w:rPr>
          <w:rFonts w:ascii="Times New Roman" w:hAnsi="Times New Roman"/>
          <w:sz w:val="26"/>
          <w:szCs w:val="26"/>
        </w:rPr>
        <w:t xml:space="preserve">  The Commission staff believes that industry is similarly situated </w:t>
      </w:r>
      <w:r w:rsidR="00670A4D">
        <w:rPr>
          <w:rFonts w:ascii="Times New Roman" w:hAnsi="Times New Roman"/>
          <w:sz w:val="26"/>
          <w:szCs w:val="26"/>
        </w:rPr>
        <w:t xml:space="preserve">to the Commission </w:t>
      </w:r>
      <w:r w:rsidRPr="0085175F">
        <w:rPr>
          <w:rFonts w:ascii="Times New Roman" w:hAnsi="Times New Roman"/>
          <w:sz w:val="26"/>
          <w:szCs w:val="26"/>
        </w:rPr>
        <w:t xml:space="preserve">in terms of cost for wages and benefits.  </w:t>
      </w:r>
      <w:r w:rsidRPr="006B7907" w:rsidR="006B7907">
        <w:rPr>
          <w:rFonts w:ascii="Times New Roman" w:hAnsi="Times New Roman"/>
          <w:sz w:val="26"/>
          <w:szCs w:val="26"/>
        </w:rPr>
        <w:t xml:space="preserve">Based on FERC’s current annual average </w:t>
      </w:r>
      <w:r w:rsidR="006B7907">
        <w:rPr>
          <w:rFonts w:ascii="Times New Roman" w:hAnsi="Times New Roman"/>
          <w:sz w:val="26"/>
          <w:szCs w:val="26"/>
        </w:rPr>
        <w:t xml:space="preserve">cost </w:t>
      </w:r>
      <w:r w:rsidRPr="006B7907" w:rsidR="006B7907">
        <w:rPr>
          <w:rFonts w:ascii="Times New Roman" w:hAnsi="Times New Roman"/>
          <w:sz w:val="26"/>
          <w:szCs w:val="26"/>
        </w:rPr>
        <w:t>of $207,786 (for salary plus benefits)</w:t>
      </w:r>
      <w:r w:rsidR="006B7907">
        <w:rPr>
          <w:rFonts w:ascii="Times New Roman" w:hAnsi="Times New Roman"/>
          <w:sz w:val="26"/>
          <w:szCs w:val="26"/>
        </w:rPr>
        <w:t xml:space="preserve"> for a full-time equivalent</w:t>
      </w:r>
      <w:r w:rsidRPr="006B7907" w:rsidR="006B7907">
        <w:rPr>
          <w:rFonts w:ascii="Times New Roman" w:hAnsi="Times New Roman"/>
          <w:sz w:val="26"/>
          <w:szCs w:val="26"/>
        </w:rPr>
        <w:t xml:space="preserve">, the average hourly cost is $100/hour. </w:t>
      </w:r>
      <w:r w:rsidR="006B7907">
        <w:rPr>
          <w:rFonts w:ascii="Times New Roman" w:hAnsi="Times New Roman"/>
          <w:sz w:val="26"/>
          <w:szCs w:val="26"/>
        </w:rPr>
        <w:t xml:space="preserve"> Therefore, the hourly cost used in the burden calculation is $100</w:t>
      </w:r>
      <w:r w:rsidRPr="0085175F">
        <w:rPr>
          <w:rFonts w:ascii="Times New Roman" w:hAnsi="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rsidRPr="00671368" w14:paraId="12F1BB6A" w14:textId="34360034">
    <w:pPr>
      <w:pStyle w:val="Header"/>
      <w:jc w:val="right"/>
      <w:rPr>
        <w:rFonts w:ascii="Times New Roman" w:hAnsi="Times New Roman" w:cs="Times New Roman"/>
        <w:sz w:val="26"/>
        <w:szCs w:val="26"/>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MSIPCM278d4912ac2691879d68ba6a"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95176" w:rsidRPr="00D95176" w:rsidP="00D95176" w14:textId="36E193C6">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278d4912ac2691879d68ba6a" o:spid="_x0000_s2049" type="#_x0000_t202" alt="{&quot;HashCode&quot;:1795946508,&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D95176" w:rsidRPr="00D95176" w:rsidP="00D95176" w14:paraId="00DF7675" w14:textId="36E193C6">
                    <w:pPr>
                      <w:spacing w:after="0"/>
                      <w:jc w:val="center"/>
                      <w:rPr>
                        <w:rFonts w:ascii="Times New Roman" w:hAnsi="Times New Roman" w:cs="Times New Roman"/>
                        <w:color w:val="FF0000"/>
                        <w:sz w:val="26"/>
                      </w:rPr>
                    </w:pPr>
                  </w:p>
                </w:txbxContent>
              </v:textbox>
            </v:shape>
          </w:pict>
        </mc:Fallback>
      </mc:AlternateContent>
    </w:r>
    <w:sdt>
      <w:sdtPr>
        <w:rPr>
          <w:rFonts w:ascii="Times New Roman" w:hAnsi="Times New Roman" w:cs="Times New Roman"/>
          <w:sz w:val="24"/>
          <w:szCs w:val="24"/>
        </w:rPr>
        <w:id w:val="1789858271"/>
        <w:docPartObj>
          <w:docPartGallery w:val="Page Numbers (Top of Page)"/>
          <w:docPartUnique/>
        </w:docPartObj>
      </w:sdtPr>
      <w:sdtEndPr>
        <w:rPr>
          <w:noProof/>
          <w:sz w:val="26"/>
          <w:szCs w:val="26"/>
        </w:rPr>
      </w:sdtEndPr>
      <w:sdtContent>
        <w:r w:rsidRPr="00671368" w:rsidR="00093E00">
          <w:rPr>
            <w:rFonts w:ascii="Times New Roman" w:hAnsi="Times New Roman" w:cs="Times New Roman"/>
            <w:sz w:val="26"/>
            <w:szCs w:val="26"/>
          </w:rPr>
          <w:t>Docket No. IC2</w:t>
        </w:r>
        <w:r w:rsidRPr="00671368" w:rsidR="002C65C8">
          <w:rPr>
            <w:rFonts w:ascii="Times New Roman" w:hAnsi="Times New Roman" w:cs="Times New Roman"/>
            <w:sz w:val="26"/>
            <w:szCs w:val="26"/>
          </w:rPr>
          <w:t>4</w:t>
        </w:r>
        <w:r w:rsidRPr="00671368" w:rsidR="00093E00">
          <w:rPr>
            <w:rFonts w:ascii="Times New Roman" w:hAnsi="Times New Roman" w:cs="Times New Roman"/>
            <w:sz w:val="26"/>
            <w:szCs w:val="26"/>
          </w:rPr>
          <w:t>-</w:t>
        </w:r>
        <w:r w:rsidRPr="00671368" w:rsidR="00BD3E2D">
          <w:rPr>
            <w:rFonts w:ascii="Times New Roman" w:hAnsi="Times New Roman" w:cs="Times New Roman"/>
            <w:sz w:val="26"/>
            <w:szCs w:val="26"/>
          </w:rPr>
          <w:t>21</w:t>
        </w:r>
        <w:r w:rsidRPr="00671368" w:rsidR="00093E00">
          <w:rPr>
            <w:rFonts w:ascii="Times New Roman" w:hAnsi="Times New Roman" w:cs="Times New Roman"/>
            <w:sz w:val="26"/>
            <w:szCs w:val="26"/>
          </w:rPr>
          <w:t>-000</w:t>
        </w:r>
        <w:r w:rsidRPr="00671368" w:rsidR="00093E00">
          <w:rPr>
            <w:rFonts w:ascii="Times New Roman" w:hAnsi="Times New Roman" w:cs="Times New Roman"/>
            <w:sz w:val="26"/>
            <w:szCs w:val="26"/>
          </w:rPr>
          <w:tab/>
        </w:r>
        <w:r w:rsidRPr="00671368" w:rsidR="00093E00">
          <w:rPr>
            <w:rFonts w:ascii="Times New Roman" w:hAnsi="Times New Roman" w:cs="Times New Roman"/>
            <w:sz w:val="26"/>
            <w:szCs w:val="26"/>
          </w:rPr>
          <w:tab/>
          <w:t xml:space="preserve"> </w:t>
        </w:r>
        <w:r w:rsidRPr="00671368" w:rsidR="00093E00">
          <w:rPr>
            <w:rFonts w:ascii="Times New Roman" w:hAnsi="Times New Roman" w:cs="Times New Roman"/>
            <w:sz w:val="26"/>
            <w:szCs w:val="26"/>
          </w:rPr>
          <w:fldChar w:fldCharType="begin"/>
        </w:r>
        <w:r w:rsidRPr="00671368" w:rsidR="00093E00">
          <w:rPr>
            <w:rFonts w:ascii="Times New Roman" w:hAnsi="Times New Roman" w:cs="Times New Roman"/>
            <w:sz w:val="26"/>
            <w:szCs w:val="26"/>
          </w:rPr>
          <w:instrText xml:space="preserve"> PAGE   \* MERGEFORMAT </w:instrText>
        </w:r>
        <w:r w:rsidRPr="00671368" w:rsidR="00093E00">
          <w:rPr>
            <w:rFonts w:ascii="Times New Roman" w:hAnsi="Times New Roman" w:cs="Times New Roman"/>
            <w:sz w:val="26"/>
            <w:szCs w:val="26"/>
          </w:rPr>
          <w:fldChar w:fldCharType="separate"/>
        </w:r>
        <w:r w:rsidRPr="00671368" w:rsidR="00093E00">
          <w:rPr>
            <w:rFonts w:ascii="Times New Roman" w:hAnsi="Times New Roman" w:cs="Times New Roman"/>
            <w:noProof/>
            <w:sz w:val="26"/>
            <w:szCs w:val="26"/>
          </w:rPr>
          <w:t>2</w:t>
        </w:r>
        <w:r w:rsidRPr="00671368" w:rsidR="00093E00">
          <w:rPr>
            <w:rFonts w:ascii="Times New Roman" w:hAnsi="Times New Roman" w:cs="Times New Roman"/>
            <w:noProof/>
            <w:sz w:val="26"/>
            <w:szCs w:val="26"/>
          </w:rPr>
          <w:fldChar w:fldCharType="end"/>
        </w:r>
      </w:sdtContent>
    </w:sdt>
  </w:p>
  <w:p w:rsidR="00093E00" w:rsidRPr="00093E00" w14:paraId="0DC0803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14:paraId="17542D39" w14:textId="2C761392">
    <w:pPr>
      <w:pStyle w:val="Header"/>
      <w:jc w:val="right"/>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66700"/>
              <wp:effectExtent l="0" t="0" r="0" b="0"/>
              <wp:wrapNone/>
              <wp:docPr id="2" name="MSIPCM8e6142d2ba1b0e9a2025a0cb"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95176" w:rsidRPr="00D95176" w:rsidP="00D95176" w14:textId="06EEEC8C">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8e6142d2ba1b0e9a2025a0cb" o:spid="_x0000_s2050" type="#_x0000_t202" alt="{&quot;HashCode&quot;:1795946508,&quot;Height&quot;:792.0,&quot;Width&quot;:612.0,&quot;Placement&quot;:&quot;Header&quot;,&quot;Index&quot;:&quot;FirstPage&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61312" o:allowincell="f" filled="f" stroked="f" strokeweight="0.5pt">
              <v:textbox inset=",0,,0">
                <w:txbxContent>
                  <w:p w:rsidR="00D95176" w:rsidRPr="00D95176" w:rsidP="00D95176" w14:paraId="12169302" w14:textId="06EEEC8C">
                    <w:pPr>
                      <w:spacing w:after="0"/>
                      <w:jc w:val="center"/>
                      <w:rPr>
                        <w:rFonts w:ascii="Times New Roman" w:hAnsi="Times New Roman" w:cs="Times New Roman"/>
                        <w:color w:val="FF0000"/>
                        <w:sz w:val="26"/>
                      </w:rPr>
                    </w:pPr>
                  </w:p>
                </w:txbxContent>
              </v:textbox>
            </v:shape>
          </w:pict>
        </mc:Fallback>
      </mc:AlternateContent>
    </w:r>
  </w:p>
  <w:p w:rsidR="00093E0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8E91307"/>
    <w:multiLevelType w:val="hybridMultilevel"/>
    <w:tmpl w:val="CFDE2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0607592">
    <w:abstractNumId w:val="0"/>
  </w:num>
  <w:num w:numId="2" w16cid:durableId="27220735">
    <w:abstractNumId w:val="1"/>
  </w:num>
  <w:num w:numId="3" w16cid:durableId="177624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16596"/>
    <w:rsid w:val="00030F57"/>
    <w:rsid w:val="00040226"/>
    <w:rsid w:val="00045348"/>
    <w:rsid w:val="000618EA"/>
    <w:rsid w:val="000674B6"/>
    <w:rsid w:val="00071BB8"/>
    <w:rsid w:val="00074992"/>
    <w:rsid w:val="00087AE1"/>
    <w:rsid w:val="00087EE4"/>
    <w:rsid w:val="00093E00"/>
    <w:rsid w:val="00096548"/>
    <w:rsid w:val="00096DF1"/>
    <w:rsid w:val="000B31E6"/>
    <w:rsid w:val="000C279B"/>
    <w:rsid w:val="000C2EAF"/>
    <w:rsid w:val="000F00C8"/>
    <w:rsid w:val="000F64A9"/>
    <w:rsid w:val="00103589"/>
    <w:rsid w:val="00110ABC"/>
    <w:rsid w:val="00120472"/>
    <w:rsid w:val="0013624B"/>
    <w:rsid w:val="00140E1F"/>
    <w:rsid w:val="00147B6E"/>
    <w:rsid w:val="00153B5B"/>
    <w:rsid w:val="0015762D"/>
    <w:rsid w:val="00165645"/>
    <w:rsid w:val="0017086C"/>
    <w:rsid w:val="001773DC"/>
    <w:rsid w:val="001853CB"/>
    <w:rsid w:val="00185B54"/>
    <w:rsid w:val="00185DCE"/>
    <w:rsid w:val="001A3DB7"/>
    <w:rsid w:val="001A5F43"/>
    <w:rsid w:val="001B3CE3"/>
    <w:rsid w:val="001B5755"/>
    <w:rsid w:val="001D5376"/>
    <w:rsid w:val="001D6121"/>
    <w:rsid w:val="001D6E01"/>
    <w:rsid w:val="001E0145"/>
    <w:rsid w:val="00201B2C"/>
    <w:rsid w:val="002079CF"/>
    <w:rsid w:val="002149DB"/>
    <w:rsid w:val="00224CA3"/>
    <w:rsid w:val="002408DA"/>
    <w:rsid w:val="002448F6"/>
    <w:rsid w:val="00246564"/>
    <w:rsid w:val="00274740"/>
    <w:rsid w:val="00274957"/>
    <w:rsid w:val="00276242"/>
    <w:rsid w:val="002961A1"/>
    <w:rsid w:val="002A3EDC"/>
    <w:rsid w:val="002C5E1A"/>
    <w:rsid w:val="002C65C8"/>
    <w:rsid w:val="002D2DBD"/>
    <w:rsid w:val="002D3D49"/>
    <w:rsid w:val="002D5EC5"/>
    <w:rsid w:val="002D79AD"/>
    <w:rsid w:val="002E69FD"/>
    <w:rsid w:val="002F2136"/>
    <w:rsid w:val="002F73C7"/>
    <w:rsid w:val="002F73F7"/>
    <w:rsid w:val="00302621"/>
    <w:rsid w:val="003301AE"/>
    <w:rsid w:val="0033464B"/>
    <w:rsid w:val="0034164D"/>
    <w:rsid w:val="00341F38"/>
    <w:rsid w:val="003528EC"/>
    <w:rsid w:val="00366BF0"/>
    <w:rsid w:val="0037552E"/>
    <w:rsid w:val="00386853"/>
    <w:rsid w:val="003A0D6B"/>
    <w:rsid w:val="003A3DAE"/>
    <w:rsid w:val="003A480E"/>
    <w:rsid w:val="003A49A7"/>
    <w:rsid w:val="003A5179"/>
    <w:rsid w:val="003D08C3"/>
    <w:rsid w:val="003D4A01"/>
    <w:rsid w:val="003F4939"/>
    <w:rsid w:val="00407F75"/>
    <w:rsid w:val="004158BA"/>
    <w:rsid w:val="00421B16"/>
    <w:rsid w:val="00422264"/>
    <w:rsid w:val="004226ED"/>
    <w:rsid w:val="004250F4"/>
    <w:rsid w:val="004307BC"/>
    <w:rsid w:val="0043474B"/>
    <w:rsid w:val="0044174D"/>
    <w:rsid w:val="0044364A"/>
    <w:rsid w:val="00456117"/>
    <w:rsid w:val="00464E7E"/>
    <w:rsid w:val="00466D3F"/>
    <w:rsid w:val="00467BC4"/>
    <w:rsid w:val="00472917"/>
    <w:rsid w:val="004826BF"/>
    <w:rsid w:val="00492AB8"/>
    <w:rsid w:val="0049403C"/>
    <w:rsid w:val="004962B2"/>
    <w:rsid w:val="004A24CA"/>
    <w:rsid w:val="004A6068"/>
    <w:rsid w:val="004B287E"/>
    <w:rsid w:val="004B7419"/>
    <w:rsid w:val="004C7FC1"/>
    <w:rsid w:val="00506395"/>
    <w:rsid w:val="0051037E"/>
    <w:rsid w:val="00526DFB"/>
    <w:rsid w:val="0054198E"/>
    <w:rsid w:val="00552DA0"/>
    <w:rsid w:val="00556B37"/>
    <w:rsid w:val="005622B9"/>
    <w:rsid w:val="00574F35"/>
    <w:rsid w:val="00576C92"/>
    <w:rsid w:val="005961BD"/>
    <w:rsid w:val="005A432A"/>
    <w:rsid w:val="005B1860"/>
    <w:rsid w:val="005B1F29"/>
    <w:rsid w:val="005E1C2A"/>
    <w:rsid w:val="005F055D"/>
    <w:rsid w:val="005F5CD0"/>
    <w:rsid w:val="00601C8D"/>
    <w:rsid w:val="00602FDE"/>
    <w:rsid w:val="0061156C"/>
    <w:rsid w:val="00623D85"/>
    <w:rsid w:val="00624C22"/>
    <w:rsid w:val="00631960"/>
    <w:rsid w:val="00641667"/>
    <w:rsid w:val="00644F07"/>
    <w:rsid w:val="00651E88"/>
    <w:rsid w:val="00670A4D"/>
    <w:rsid w:val="00671368"/>
    <w:rsid w:val="00697116"/>
    <w:rsid w:val="006A1898"/>
    <w:rsid w:val="006B2434"/>
    <w:rsid w:val="006B7907"/>
    <w:rsid w:val="006C1770"/>
    <w:rsid w:val="006C7F61"/>
    <w:rsid w:val="006D0FCF"/>
    <w:rsid w:val="006D1CBD"/>
    <w:rsid w:val="006D6E9C"/>
    <w:rsid w:val="006E3928"/>
    <w:rsid w:val="006E5367"/>
    <w:rsid w:val="006E53A3"/>
    <w:rsid w:val="006F60B0"/>
    <w:rsid w:val="00720B0D"/>
    <w:rsid w:val="00726BA7"/>
    <w:rsid w:val="00734086"/>
    <w:rsid w:val="00742A14"/>
    <w:rsid w:val="0075421E"/>
    <w:rsid w:val="00761C9E"/>
    <w:rsid w:val="00770EF9"/>
    <w:rsid w:val="00776A6D"/>
    <w:rsid w:val="0079291B"/>
    <w:rsid w:val="007A0833"/>
    <w:rsid w:val="007A10A2"/>
    <w:rsid w:val="007A505A"/>
    <w:rsid w:val="007B14B6"/>
    <w:rsid w:val="007B2F95"/>
    <w:rsid w:val="007B6B7D"/>
    <w:rsid w:val="007C5F3B"/>
    <w:rsid w:val="007E16F1"/>
    <w:rsid w:val="007E21CF"/>
    <w:rsid w:val="007E702E"/>
    <w:rsid w:val="007F0519"/>
    <w:rsid w:val="007F0818"/>
    <w:rsid w:val="007F3B51"/>
    <w:rsid w:val="007F76C2"/>
    <w:rsid w:val="00802DBF"/>
    <w:rsid w:val="00803063"/>
    <w:rsid w:val="0080685F"/>
    <w:rsid w:val="00817D98"/>
    <w:rsid w:val="00822D0D"/>
    <w:rsid w:val="00845498"/>
    <w:rsid w:val="0085175F"/>
    <w:rsid w:val="0088601C"/>
    <w:rsid w:val="00886E1D"/>
    <w:rsid w:val="008911B5"/>
    <w:rsid w:val="008A03DC"/>
    <w:rsid w:val="008B0F7D"/>
    <w:rsid w:val="008B5F9E"/>
    <w:rsid w:val="008C7763"/>
    <w:rsid w:val="008D34FD"/>
    <w:rsid w:val="008F1B6A"/>
    <w:rsid w:val="008F44FC"/>
    <w:rsid w:val="008F62C1"/>
    <w:rsid w:val="0090154F"/>
    <w:rsid w:val="00931B42"/>
    <w:rsid w:val="00941D27"/>
    <w:rsid w:val="00961875"/>
    <w:rsid w:val="00982FA8"/>
    <w:rsid w:val="009916F8"/>
    <w:rsid w:val="00997EB7"/>
    <w:rsid w:val="009A7ABF"/>
    <w:rsid w:val="009B36C8"/>
    <w:rsid w:val="009C0489"/>
    <w:rsid w:val="00A231C9"/>
    <w:rsid w:val="00A26EF3"/>
    <w:rsid w:val="00A30A36"/>
    <w:rsid w:val="00A3482E"/>
    <w:rsid w:val="00A47E79"/>
    <w:rsid w:val="00A60896"/>
    <w:rsid w:val="00A616D8"/>
    <w:rsid w:val="00A65B3B"/>
    <w:rsid w:val="00A75D89"/>
    <w:rsid w:val="00A76E67"/>
    <w:rsid w:val="00A81500"/>
    <w:rsid w:val="00A81895"/>
    <w:rsid w:val="00A83895"/>
    <w:rsid w:val="00A85C02"/>
    <w:rsid w:val="00AB4B7B"/>
    <w:rsid w:val="00AC0BB4"/>
    <w:rsid w:val="00AC26DD"/>
    <w:rsid w:val="00AC378A"/>
    <w:rsid w:val="00AD1A1E"/>
    <w:rsid w:val="00AE2A81"/>
    <w:rsid w:val="00AF3621"/>
    <w:rsid w:val="00AF5B59"/>
    <w:rsid w:val="00B07378"/>
    <w:rsid w:val="00B21535"/>
    <w:rsid w:val="00B22BA0"/>
    <w:rsid w:val="00B26126"/>
    <w:rsid w:val="00B2778D"/>
    <w:rsid w:val="00B34625"/>
    <w:rsid w:val="00B47E7A"/>
    <w:rsid w:val="00B5308F"/>
    <w:rsid w:val="00B55FF1"/>
    <w:rsid w:val="00B817BD"/>
    <w:rsid w:val="00B91135"/>
    <w:rsid w:val="00BC45E1"/>
    <w:rsid w:val="00BD3E2D"/>
    <w:rsid w:val="00BE3698"/>
    <w:rsid w:val="00BE6BFD"/>
    <w:rsid w:val="00C03BA7"/>
    <w:rsid w:val="00C11B52"/>
    <w:rsid w:val="00C123B1"/>
    <w:rsid w:val="00C3463E"/>
    <w:rsid w:val="00C35D02"/>
    <w:rsid w:val="00C37BEF"/>
    <w:rsid w:val="00C547B8"/>
    <w:rsid w:val="00C7061C"/>
    <w:rsid w:val="00C84243"/>
    <w:rsid w:val="00CA35AD"/>
    <w:rsid w:val="00CB2629"/>
    <w:rsid w:val="00CB2CE2"/>
    <w:rsid w:val="00CB3118"/>
    <w:rsid w:val="00CC018E"/>
    <w:rsid w:val="00CC0E69"/>
    <w:rsid w:val="00CD316F"/>
    <w:rsid w:val="00CD496E"/>
    <w:rsid w:val="00CD5564"/>
    <w:rsid w:val="00CE445C"/>
    <w:rsid w:val="00CF168B"/>
    <w:rsid w:val="00D0325F"/>
    <w:rsid w:val="00D033ED"/>
    <w:rsid w:val="00D0347B"/>
    <w:rsid w:val="00D15C92"/>
    <w:rsid w:val="00D17C7A"/>
    <w:rsid w:val="00D22B16"/>
    <w:rsid w:val="00D5241C"/>
    <w:rsid w:val="00D61C26"/>
    <w:rsid w:val="00D65B4A"/>
    <w:rsid w:val="00D86D33"/>
    <w:rsid w:val="00D87A11"/>
    <w:rsid w:val="00D90642"/>
    <w:rsid w:val="00D94B4E"/>
    <w:rsid w:val="00D95176"/>
    <w:rsid w:val="00DC177A"/>
    <w:rsid w:val="00E00C9E"/>
    <w:rsid w:val="00E10360"/>
    <w:rsid w:val="00E1540C"/>
    <w:rsid w:val="00E46A6C"/>
    <w:rsid w:val="00E52B6C"/>
    <w:rsid w:val="00E53F5D"/>
    <w:rsid w:val="00E62AB4"/>
    <w:rsid w:val="00E77AF2"/>
    <w:rsid w:val="00E92929"/>
    <w:rsid w:val="00EA17D8"/>
    <w:rsid w:val="00EB7C16"/>
    <w:rsid w:val="00EE49C7"/>
    <w:rsid w:val="00F01907"/>
    <w:rsid w:val="00F05081"/>
    <w:rsid w:val="00F10115"/>
    <w:rsid w:val="00F22952"/>
    <w:rsid w:val="00F23AD6"/>
    <w:rsid w:val="00F34792"/>
    <w:rsid w:val="00F4073A"/>
    <w:rsid w:val="00F50BD5"/>
    <w:rsid w:val="00F5413F"/>
    <w:rsid w:val="00F82A21"/>
    <w:rsid w:val="00F87BD5"/>
    <w:rsid w:val="00FA2AF3"/>
    <w:rsid w:val="00FA4E56"/>
    <w:rsid w:val="00FB7F53"/>
    <w:rsid w:val="00FC5D1C"/>
    <w:rsid w:val="00FC6DF4"/>
    <w:rsid w:val="00FD3B04"/>
    <w:rsid w:val="00FE4C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character" w:styleId="FollowedHyperlink">
    <w:name w:val="FollowedHyperlink"/>
    <w:basedOn w:val="DefaultParagraphFont"/>
    <w:uiPriority w:val="99"/>
    <w:semiHidden/>
    <w:unhideWhenUsed/>
    <w:rsid w:val="001E01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99D4-98F4-4AC7-818C-C90CA57F774A}">
  <ds:schemaRefs>
    <ds:schemaRef ds:uri="Microsoft.SharePoint.Taxonomy.ContentTypeSync"/>
  </ds:schemaRefs>
</ds:datastoreItem>
</file>

<file path=customXml/itemProps2.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3.xml><?xml version="1.0" encoding="utf-8"?>
<ds:datastoreItem xmlns:ds="http://schemas.openxmlformats.org/officeDocument/2006/customXml" ds:itemID="{BEA9F766-238E-458E-864A-6E8CCA7B27B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3640AFB-A7F4-4329-8D23-EE9080AB0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7BC1A7-52CD-4628-A22A-F66D9687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FERC-567 and FERC-576 Consolidated 60-day Notice</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dcterms:created xsi:type="dcterms:W3CDTF">2024-07-18T12:15:00Z</dcterms:created>
  <dcterms:modified xsi:type="dcterms:W3CDTF">2024-07-18T12:15:00Z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ecc3a5ec-ace0-4ff2-8ef3-176f65f0dd20</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2024-07-18T12:14:04Z</vt:lpwstr>
  </property>
  <property fmtid="{D5CDD505-2E9C-101B-9397-08002B2CF9AE}" pid="8" name="MSIP_Label_6155a89b-0f08-4a93-8ea2-8a916d6643b5_SiteId">
    <vt:lpwstr>19caa9e9-04ff-43fa-885f-d77fac387903</vt:lpwstr>
  </property>
</Properties>
</file>