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1E11" w:rsidRPr="00586F1B" w:rsidP="00D1202B" w14:paraId="2C141C34" w14:textId="4421B0FC">
      <w:pPr>
        <w:jc w:val="center"/>
        <w:rPr>
          <w:b/>
          <w:caps/>
          <w:sz w:val="22"/>
          <w:szCs w:val="22"/>
          <w:highlight w:val="yellow"/>
        </w:rPr>
      </w:pPr>
      <w:r w:rsidRPr="00D206B9">
        <w:rPr>
          <w:b/>
          <w:caps/>
          <w:sz w:val="22"/>
          <w:szCs w:val="22"/>
          <w:u w:val="single"/>
        </w:rPr>
        <w:t>SUPPORTING</w:t>
      </w:r>
      <w:r w:rsidRPr="00D206B9">
        <w:rPr>
          <w:u w:val="single"/>
        </w:rPr>
        <w:t xml:space="preserve"> </w:t>
      </w:r>
      <w:r w:rsidRPr="00D206B9" w:rsidR="00D540DD">
        <w:rPr>
          <w:b/>
          <w:caps/>
          <w:sz w:val="22"/>
          <w:szCs w:val="22"/>
          <w:u w:val="single"/>
        </w:rPr>
        <w:t>STATEMENT</w:t>
      </w:r>
    </w:p>
    <w:p w:rsidR="003D3547" w:rsidRPr="00662C2E" w:rsidP="00D1202B" w14:paraId="5BD7AE01" w14:textId="7C3B4782">
      <w:pPr>
        <w:jc w:val="center"/>
        <w:rPr>
          <w:b/>
          <w:caps/>
          <w:sz w:val="22"/>
          <w:szCs w:val="22"/>
        </w:rPr>
      </w:pPr>
    </w:p>
    <w:p w:rsidR="00DF64F0" w:rsidRPr="00C962E6" w:rsidP="00D206B9" w14:paraId="4FAB0B32" w14:textId="46EF6D71">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59116F">
        <w:rPr>
          <w:b/>
          <w:bCs/>
          <w:sz w:val="22"/>
          <w:szCs w:val="22"/>
        </w:rPr>
        <w:t>Title</w:t>
      </w:r>
      <w:r w:rsidRPr="00D206B9" w:rsidR="00D540DD">
        <w:rPr>
          <w:sz w:val="22"/>
          <w:szCs w:val="22"/>
        </w:rPr>
        <w:t>:</w:t>
      </w:r>
      <w:bookmarkStart w:id="0" w:name="_Hlk8806289"/>
      <w:r w:rsidRPr="00D540DD" w:rsidR="00D540DD">
        <w:rPr>
          <w:sz w:val="22"/>
          <w:szCs w:val="22"/>
        </w:rPr>
        <w:t xml:space="preserve"> </w:t>
      </w:r>
      <w:r w:rsidRPr="00167961" w:rsidR="00167961">
        <w:rPr>
          <w:sz w:val="22"/>
          <w:szCs w:val="22"/>
        </w:rPr>
        <w:t>Accidental Release Prevention Requirements: Risk Management Programs Under the Clean Air Act; Safer Communities by Chemical Accident Prevention</w:t>
      </w:r>
      <w:bookmarkEnd w:id="0"/>
      <w:r w:rsidRPr="00167961" w:rsidR="00E319FF">
        <w:rPr>
          <w:sz w:val="22"/>
          <w:szCs w:val="22"/>
        </w:rPr>
        <w:t xml:space="preserve"> </w:t>
      </w:r>
      <w:r w:rsidR="00404264">
        <w:rPr>
          <w:sz w:val="22"/>
          <w:szCs w:val="22"/>
        </w:rPr>
        <w:t xml:space="preserve">(Final Rule) </w:t>
      </w:r>
      <w:r w:rsidR="004E1871">
        <w:rPr>
          <w:sz w:val="22"/>
          <w:szCs w:val="22"/>
        </w:rPr>
        <w:t>(</w:t>
      </w:r>
      <w:r w:rsidRPr="00C962E6" w:rsidR="00E319FF">
        <w:rPr>
          <w:rStyle w:val="eop"/>
          <w:color w:val="000000"/>
          <w:sz w:val="22"/>
          <w:szCs w:val="22"/>
          <w:shd w:val="clear" w:color="auto" w:fill="FFFFFF"/>
        </w:rPr>
        <w:t>OMB Control</w:t>
      </w:r>
      <w:r w:rsidRPr="00167961" w:rsidR="00E319FF">
        <w:rPr>
          <w:rStyle w:val="eop"/>
          <w:color w:val="000000"/>
          <w:sz w:val="22"/>
          <w:szCs w:val="22"/>
          <w:shd w:val="clear" w:color="auto" w:fill="FFFFFF"/>
        </w:rPr>
        <w:t xml:space="preserve"> N</w:t>
      </w:r>
      <w:r w:rsidR="00452971">
        <w:rPr>
          <w:rStyle w:val="eop"/>
          <w:color w:val="000000"/>
          <w:sz w:val="22"/>
          <w:szCs w:val="22"/>
          <w:shd w:val="clear" w:color="auto" w:fill="FFFFFF"/>
        </w:rPr>
        <w:t>umber</w:t>
      </w:r>
      <w:r w:rsidRPr="00167961" w:rsidR="00075ABF">
        <w:rPr>
          <w:rStyle w:val="eop"/>
          <w:color w:val="000000"/>
          <w:sz w:val="22"/>
          <w:szCs w:val="22"/>
          <w:shd w:val="clear" w:color="auto" w:fill="FFFFFF"/>
        </w:rPr>
        <w:t xml:space="preserve"> </w:t>
      </w:r>
      <w:r w:rsidRPr="00C962E6" w:rsidR="00075ABF">
        <w:rPr>
          <w:sz w:val="22"/>
          <w:szCs w:val="22"/>
        </w:rPr>
        <w:t>2050-</w:t>
      </w:r>
      <w:r w:rsidRPr="006F62B5" w:rsidR="00B2225C">
        <w:rPr>
          <w:sz w:val="22"/>
          <w:szCs w:val="22"/>
        </w:rPr>
        <w:t>NEW</w:t>
      </w:r>
      <w:r w:rsidR="00BB7772">
        <w:rPr>
          <w:sz w:val="22"/>
          <w:szCs w:val="22"/>
        </w:rPr>
        <w:t>;</w:t>
      </w:r>
      <w:r w:rsidRPr="00BB7772" w:rsidR="00BB7772">
        <w:t xml:space="preserve"> </w:t>
      </w:r>
      <w:r w:rsidRPr="00BB7772" w:rsidR="00BB7772">
        <w:rPr>
          <w:sz w:val="22"/>
          <w:szCs w:val="22"/>
        </w:rPr>
        <w:t>EPA ICR No. 2725.0</w:t>
      </w:r>
      <w:r w:rsidRPr="00BB7772" w:rsidR="4DCDEA5B">
        <w:rPr>
          <w:sz w:val="22"/>
          <w:szCs w:val="22"/>
        </w:rPr>
        <w:t>2</w:t>
      </w:r>
      <w:r w:rsidR="00452971">
        <w:rPr>
          <w:sz w:val="22"/>
          <w:szCs w:val="22"/>
        </w:rPr>
        <w:t>)</w:t>
      </w:r>
      <w:r w:rsidRPr="006F62B5" w:rsidR="00391A8C">
        <w:rPr>
          <w:sz w:val="22"/>
          <w:szCs w:val="22"/>
        </w:rPr>
        <w:t>.</w:t>
      </w:r>
    </w:p>
    <w:p w:rsidR="00C61E11" w:rsidRPr="00462679" w:rsidP="00D206B9" w14:paraId="7A9C7B4C" w14:textId="1A08A88F">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351388" w:rsidRPr="00351388" w:rsidP="00351388" w14:paraId="72858F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sz w:val="22"/>
          <w:szCs w:val="22"/>
        </w:rPr>
      </w:pPr>
      <w:r w:rsidRPr="00351388">
        <w:rPr>
          <w:b/>
          <w:sz w:val="22"/>
          <w:szCs w:val="22"/>
          <w:u w:val="single"/>
        </w:rPr>
        <w:t xml:space="preserve">1.  Necessity of Collection </w:t>
      </w:r>
      <w:r w:rsidRPr="00351388">
        <w:rPr>
          <w:b/>
          <w:sz w:val="22"/>
          <w:szCs w:val="22"/>
        </w:rPr>
        <w:tab/>
      </w:r>
    </w:p>
    <w:p w:rsidR="00472ABA" w:rsidRPr="005F27B8" w:rsidP="008B549D" w14:paraId="6B5379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sz w:val="22"/>
          <w:szCs w:val="22"/>
        </w:rPr>
      </w:pPr>
    </w:p>
    <w:p w:rsidR="00C8122F" w:rsidP="00C962E6" w14:paraId="4E8746CC" w14:textId="4F1A876F">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8"/>
        </w:rPr>
      </w:pPr>
      <w:r w:rsidRPr="009C6838">
        <w:rPr>
          <w:sz w:val="22"/>
          <w:szCs w:val="28"/>
        </w:rPr>
        <w:t>The</w:t>
      </w:r>
      <w:r>
        <w:rPr>
          <w:sz w:val="22"/>
          <w:szCs w:val="28"/>
        </w:rPr>
        <w:t xml:space="preserve"> changes </w:t>
      </w:r>
      <w:r w:rsidRPr="009C6838">
        <w:rPr>
          <w:sz w:val="22"/>
          <w:szCs w:val="28"/>
        </w:rPr>
        <w:t xml:space="preserve">to the current </w:t>
      </w:r>
      <w:r w:rsidR="00606CBD">
        <w:rPr>
          <w:sz w:val="22"/>
          <w:szCs w:val="28"/>
        </w:rPr>
        <w:t>Risk Management Program (</w:t>
      </w:r>
      <w:r w:rsidRPr="009C6838">
        <w:rPr>
          <w:sz w:val="22"/>
          <w:szCs w:val="28"/>
        </w:rPr>
        <w:t>RMP</w:t>
      </w:r>
      <w:r w:rsidR="00606CBD">
        <w:rPr>
          <w:sz w:val="22"/>
          <w:szCs w:val="28"/>
        </w:rPr>
        <w:t>)</w:t>
      </w:r>
      <w:r>
        <w:rPr>
          <w:rStyle w:val="FootnoteReference"/>
          <w:sz w:val="22"/>
          <w:szCs w:val="28"/>
        </w:rPr>
        <w:footnoteReference w:id="3"/>
      </w:r>
      <w:r w:rsidRPr="009C6838">
        <w:rPr>
          <w:sz w:val="22"/>
          <w:szCs w:val="28"/>
        </w:rPr>
        <w:t xml:space="preserve"> </w:t>
      </w:r>
      <w:r w:rsidR="001078C3">
        <w:rPr>
          <w:sz w:val="22"/>
          <w:szCs w:val="28"/>
        </w:rPr>
        <w:t>regulations</w:t>
      </w:r>
      <w:r w:rsidRPr="009C6838">
        <w:rPr>
          <w:sz w:val="22"/>
          <w:szCs w:val="28"/>
        </w:rPr>
        <w:t xml:space="preserve"> </w:t>
      </w:r>
      <w:r w:rsidR="005F07DA">
        <w:rPr>
          <w:sz w:val="22"/>
          <w:szCs w:val="28"/>
        </w:rPr>
        <w:t xml:space="preserve">implemented by the </w:t>
      </w:r>
      <w:r w:rsidRPr="00BE3B98" w:rsidR="00E06AC4">
        <w:rPr>
          <w:sz w:val="22"/>
          <w:szCs w:val="22"/>
        </w:rPr>
        <w:t xml:space="preserve">Accidental Release Prevention Requirements: Risk Management Programs Under the Clean Air Act; Safer Communities by Chemical Accident Prevention </w:t>
      </w:r>
      <w:r w:rsidR="00A9138E">
        <w:rPr>
          <w:sz w:val="22"/>
          <w:szCs w:val="22"/>
        </w:rPr>
        <w:t xml:space="preserve">(SCAAP) </w:t>
      </w:r>
      <w:r w:rsidR="00E06AC4">
        <w:rPr>
          <w:sz w:val="22"/>
          <w:szCs w:val="22"/>
        </w:rPr>
        <w:t>final</w:t>
      </w:r>
      <w:r w:rsidRPr="00BE3B98" w:rsidR="00E06AC4">
        <w:rPr>
          <w:sz w:val="22"/>
          <w:szCs w:val="22"/>
        </w:rPr>
        <w:t xml:space="preserve"> rule</w:t>
      </w:r>
      <w:r w:rsidR="00E06AC4">
        <w:rPr>
          <w:sz w:val="22"/>
          <w:szCs w:val="28"/>
        </w:rPr>
        <w:t xml:space="preserve"> </w:t>
      </w:r>
      <w:r w:rsidR="005F07DA">
        <w:rPr>
          <w:sz w:val="22"/>
          <w:szCs w:val="28"/>
        </w:rPr>
        <w:t xml:space="preserve">will </w:t>
      </w:r>
      <w:r w:rsidRPr="009C6838">
        <w:rPr>
          <w:sz w:val="22"/>
          <w:szCs w:val="28"/>
        </w:rPr>
        <w:t xml:space="preserve">improve safety at facilities that use and distribute hazardous chemicals. </w:t>
      </w:r>
      <w:r w:rsidR="00072073">
        <w:rPr>
          <w:sz w:val="22"/>
          <w:szCs w:val="28"/>
        </w:rPr>
        <w:t>The U.S. Environmental Protection Agency (</w:t>
      </w:r>
      <w:r w:rsidRPr="009C6838">
        <w:rPr>
          <w:sz w:val="22"/>
          <w:szCs w:val="28"/>
        </w:rPr>
        <w:t>EPA</w:t>
      </w:r>
      <w:r w:rsidR="00072073">
        <w:rPr>
          <w:sz w:val="22"/>
          <w:szCs w:val="28"/>
        </w:rPr>
        <w:t>)</w:t>
      </w:r>
      <w:r w:rsidRPr="009C6838">
        <w:rPr>
          <w:sz w:val="22"/>
          <w:szCs w:val="28"/>
        </w:rPr>
        <w:t xml:space="preserve"> believes that the RMP regulations have been effective in preventing and mitigating chemical accidents in the United States and that the revisions, by giving special consideration to concerns about climate change and environmental justice and </w:t>
      </w:r>
      <w:r w:rsidR="008002D2">
        <w:rPr>
          <w:sz w:val="22"/>
          <w:szCs w:val="28"/>
        </w:rPr>
        <w:t xml:space="preserve">by </w:t>
      </w:r>
      <w:r w:rsidRPr="009C6838">
        <w:rPr>
          <w:sz w:val="22"/>
          <w:szCs w:val="28"/>
        </w:rPr>
        <w:t xml:space="preserve">building on lessons learned from the current regulatory program, </w:t>
      </w:r>
      <w:r w:rsidR="00DE599B">
        <w:rPr>
          <w:sz w:val="22"/>
          <w:szCs w:val="28"/>
        </w:rPr>
        <w:t>will</w:t>
      </w:r>
      <w:r w:rsidRPr="009C6838">
        <w:rPr>
          <w:sz w:val="22"/>
          <w:szCs w:val="28"/>
        </w:rPr>
        <w:t xml:space="preserve"> further protect human health and the environment from chemical hazards through advancement of process safety. These revisions are informed by EPA’s review of the current RMP rule and information EPA gathered from public listening sessions held in June and July 2021</w:t>
      </w:r>
      <w:r w:rsidR="008002D2">
        <w:rPr>
          <w:sz w:val="22"/>
          <w:szCs w:val="28"/>
        </w:rPr>
        <w:t xml:space="preserve"> and by public comments the Agency received on the proposed rule</w:t>
      </w:r>
      <w:r>
        <w:rPr>
          <w:sz w:val="22"/>
          <w:szCs w:val="28"/>
        </w:rPr>
        <w:t>.</w:t>
      </w:r>
      <w:r w:rsidR="00F72646">
        <w:rPr>
          <w:sz w:val="22"/>
          <w:szCs w:val="28"/>
        </w:rPr>
        <w:t xml:space="preserve"> </w:t>
      </w:r>
      <w:r w:rsidRPr="00BE3B98" w:rsidR="00F72646">
        <w:rPr>
          <w:sz w:val="22"/>
          <w:szCs w:val="22"/>
        </w:rPr>
        <w:t xml:space="preserve">The revisions </w:t>
      </w:r>
      <w:r w:rsidR="00F72646">
        <w:rPr>
          <w:sz w:val="22"/>
          <w:szCs w:val="22"/>
        </w:rPr>
        <w:t xml:space="preserve">in this final rule will </w:t>
      </w:r>
      <w:r w:rsidRPr="00BE3B98" w:rsidR="00F72646">
        <w:rPr>
          <w:sz w:val="22"/>
          <w:szCs w:val="22"/>
        </w:rPr>
        <w:t>improve chemical process safety, assist in planning, preparedness, and responding to RMP accidents, and improve public awareness of chemical hazards at regulated sources. To accomplish this, the</w:t>
      </w:r>
      <w:r w:rsidR="00F72646">
        <w:rPr>
          <w:sz w:val="22"/>
          <w:szCs w:val="22"/>
        </w:rPr>
        <w:t xml:space="preserve"> final rule </w:t>
      </w:r>
      <w:r w:rsidRPr="00BE3B98" w:rsidR="00F72646">
        <w:rPr>
          <w:sz w:val="22"/>
          <w:szCs w:val="22"/>
        </w:rPr>
        <w:t xml:space="preserve">provisions include several changes </w:t>
      </w:r>
      <w:r w:rsidR="00376393">
        <w:rPr>
          <w:sz w:val="22"/>
          <w:szCs w:val="22"/>
        </w:rPr>
        <w:t xml:space="preserve">and amplifications </w:t>
      </w:r>
      <w:r w:rsidRPr="00BE3B98" w:rsidR="00F72646">
        <w:rPr>
          <w:sz w:val="22"/>
          <w:szCs w:val="22"/>
        </w:rPr>
        <w:t xml:space="preserve">to the accident prevention program requirements, enhancements to the emergency preparedness requirements, </w:t>
      </w:r>
      <w:r w:rsidR="00F56D51">
        <w:rPr>
          <w:sz w:val="22"/>
          <w:szCs w:val="22"/>
        </w:rPr>
        <w:t xml:space="preserve">improvements to the </w:t>
      </w:r>
      <w:r w:rsidRPr="00BE3B98" w:rsidR="00F72646">
        <w:rPr>
          <w:sz w:val="22"/>
          <w:szCs w:val="22"/>
        </w:rPr>
        <w:t xml:space="preserve">public availability of chemical hazard information, and several other changes to certain regulatory definitions or points of clarification. </w:t>
      </w:r>
    </w:p>
    <w:p w:rsidR="008312B8" w:rsidP="00C962E6" w14:paraId="785946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8"/>
        </w:rPr>
      </w:pPr>
    </w:p>
    <w:p w:rsidR="00583EEB" w:rsidP="00BE3B98" w14:paraId="1141631A" w14:textId="08B117A0">
      <w:pPr>
        <w:numPr>
          <w:ilvl w:val="12"/>
          <w:numId w:val="0"/>
        </w:numPr>
        <w:rPr>
          <w:sz w:val="22"/>
          <w:szCs w:val="22"/>
        </w:rPr>
      </w:pPr>
      <w:r w:rsidRPr="00C962E6">
        <w:rPr>
          <w:sz w:val="22"/>
          <w:szCs w:val="22"/>
        </w:rPr>
        <w:t xml:space="preserve">The statutory authority for this action is provided by section 112(r) of the </w:t>
      </w:r>
      <w:r>
        <w:rPr>
          <w:sz w:val="22"/>
          <w:szCs w:val="22"/>
        </w:rPr>
        <w:t>Clean Air Act (</w:t>
      </w:r>
      <w:r w:rsidRPr="00C962E6">
        <w:rPr>
          <w:sz w:val="22"/>
          <w:szCs w:val="22"/>
        </w:rPr>
        <w:t>CAA</w:t>
      </w:r>
      <w:r>
        <w:rPr>
          <w:sz w:val="22"/>
          <w:szCs w:val="22"/>
        </w:rPr>
        <w:t>)</w:t>
      </w:r>
      <w:r w:rsidRPr="00C962E6">
        <w:rPr>
          <w:sz w:val="22"/>
          <w:szCs w:val="22"/>
        </w:rPr>
        <w:t xml:space="preserve"> as amended (42 U.S.C. § 7412(r)). Each modification of the RMP rule that EPA </w:t>
      </w:r>
      <w:r>
        <w:rPr>
          <w:sz w:val="22"/>
          <w:szCs w:val="22"/>
        </w:rPr>
        <w:t xml:space="preserve">discusses </w:t>
      </w:r>
      <w:r w:rsidRPr="00C962E6">
        <w:rPr>
          <w:sz w:val="22"/>
          <w:szCs w:val="22"/>
        </w:rPr>
        <w:t xml:space="preserve">in this document is based on EPA’s rulemaking authority under CAA section 112(r)(7) (42 U.S.C. § 7412(r)(7)). The agencies implementing the </w:t>
      </w:r>
      <w:r w:rsidR="00147123">
        <w:rPr>
          <w:sz w:val="22"/>
          <w:szCs w:val="22"/>
        </w:rPr>
        <w:t>RMP</w:t>
      </w:r>
      <w:r w:rsidRPr="00C962E6">
        <w:rPr>
          <w:sz w:val="22"/>
          <w:szCs w:val="22"/>
        </w:rPr>
        <w:t xml:space="preserve"> rule use RMPs to evaluate compliance with the Chemical Accident Prevention Provisions in </w:t>
      </w:r>
      <w:r w:rsidR="00E33568">
        <w:rPr>
          <w:sz w:val="22"/>
          <w:szCs w:val="22"/>
        </w:rPr>
        <w:t xml:space="preserve">Title </w:t>
      </w:r>
      <w:r w:rsidRPr="00C962E6">
        <w:rPr>
          <w:sz w:val="22"/>
          <w:szCs w:val="22"/>
        </w:rPr>
        <w:t xml:space="preserve">40 </w:t>
      </w:r>
      <w:r w:rsidR="00E33568">
        <w:rPr>
          <w:sz w:val="22"/>
          <w:szCs w:val="22"/>
        </w:rPr>
        <w:t xml:space="preserve">of the </w:t>
      </w:r>
      <w:r w:rsidRPr="00680250">
        <w:rPr>
          <w:i/>
          <w:iCs/>
          <w:sz w:val="22"/>
          <w:szCs w:val="22"/>
        </w:rPr>
        <w:t>C</w:t>
      </w:r>
      <w:r w:rsidRPr="00680250" w:rsidR="00E33568">
        <w:rPr>
          <w:i/>
          <w:iCs/>
          <w:sz w:val="22"/>
          <w:szCs w:val="22"/>
        </w:rPr>
        <w:t xml:space="preserve">ode of </w:t>
      </w:r>
      <w:r w:rsidRPr="00680250">
        <w:rPr>
          <w:i/>
          <w:iCs/>
          <w:sz w:val="22"/>
          <w:szCs w:val="22"/>
        </w:rPr>
        <w:t>F</w:t>
      </w:r>
      <w:r w:rsidRPr="00680250" w:rsidR="00E33568">
        <w:rPr>
          <w:i/>
          <w:iCs/>
          <w:sz w:val="22"/>
          <w:szCs w:val="22"/>
        </w:rPr>
        <w:t xml:space="preserve">ederal </w:t>
      </w:r>
      <w:r w:rsidRPr="00E33568" w:rsidR="00E33568">
        <w:rPr>
          <w:i/>
          <w:iCs/>
          <w:sz w:val="22"/>
          <w:szCs w:val="22"/>
        </w:rPr>
        <w:t>Regulations</w:t>
      </w:r>
      <w:r w:rsidR="008120E1">
        <w:rPr>
          <w:i/>
          <w:iCs/>
          <w:sz w:val="22"/>
          <w:szCs w:val="22"/>
        </w:rPr>
        <w:t xml:space="preserve"> </w:t>
      </w:r>
      <w:r w:rsidRPr="00680250" w:rsidR="008120E1">
        <w:rPr>
          <w:sz w:val="22"/>
          <w:szCs w:val="22"/>
        </w:rPr>
        <w:t>(</w:t>
      </w:r>
      <w:r w:rsidRPr="008448CB">
        <w:rPr>
          <w:sz w:val="22"/>
          <w:szCs w:val="22"/>
        </w:rPr>
        <w:t>CFR</w:t>
      </w:r>
      <w:r w:rsidRPr="00680250" w:rsidR="008120E1">
        <w:rPr>
          <w:sz w:val="22"/>
          <w:szCs w:val="22"/>
        </w:rPr>
        <w:t>)</w:t>
      </w:r>
      <w:r w:rsidRPr="00680250">
        <w:rPr>
          <w:i/>
          <w:iCs/>
          <w:sz w:val="22"/>
          <w:szCs w:val="22"/>
        </w:rPr>
        <w:t xml:space="preserve"> </w:t>
      </w:r>
      <w:r w:rsidR="00B110AB">
        <w:rPr>
          <w:sz w:val="22"/>
          <w:szCs w:val="22"/>
        </w:rPr>
        <w:t>P</w:t>
      </w:r>
      <w:r w:rsidRPr="00C962E6">
        <w:rPr>
          <w:sz w:val="22"/>
          <w:szCs w:val="22"/>
        </w:rPr>
        <w:t>art 68 and to identify sources for inspection that may pose significant risks to the community. Citizens may use the information to assess and address chemical hazards in their communities and to respond appropriately in the event of a release of a regulated substance.</w:t>
      </w:r>
    </w:p>
    <w:p w:rsidR="00AA3A93" w:rsidP="00AA3A93" w14:paraId="3B76C9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AA3A93" w:rsidP="00AA3A93" w14:paraId="570A3D9F" w14:textId="47BB3F6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sz w:val="22"/>
          <w:szCs w:val="22"/>
        </w:rPr>
        <w:t xml:space="preserve">Specifically, the final rule </w:t>
      </w:r>
      <w:r w:rsidR="00D77747">
        <w:rPr>
          <w:sz w:val="22"/>
          <w:szCs w:val="22"/>
        </w:rPr>
        <w:t>addresses t</w:t>
      </w:r>
      <w:r>
        <w:rPr>
          <w:sz w:val="22"/>
          <w:szCs w:val="22"/>
        </w:rPr>
        <w:t>he following information collection activities:</w:t>
      </w:r>
    </w:p>
    <w:p w:rsidR="00B56809" w:rsidP="00BE3B98" w14:paraId="514681CF" w14:textId="77777777">
      <w:pPr>
        <w:numPr>
          <w:ilvl w:val="12"/>
          <w:numId w:val="0"/>
        </w:numPr>
        <w:rPr>
          <w:sz w:val="22"/>
          <w:szCs w:val="22"/>
        </w:rPr>
      </w:pPr>
    </w:p>
    <w:p w:rsidR="00B56809" w:rsidRPr="0023365A" w:rsidP="00B56809" w14:paraId="0183E759"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u w:val="single"/>
        </w:rPr>
      </w:pPr>
      <w:r w:rsidRPr="008E376C">
        <w:rPr>
          <w:sz w:val="22"/>
          <w:szCs w:val="22"/>
          <w:u w:val="single"/>
        </w:rPr>
        <w:t>Rule</w:t>
      </w:r>
      <w:r w:rsidRPr="0023365A">
        <w:rPr>
          <w:sz w:val="22"/>
          <w:szCs w:val="22"/>
          <w:u w:val="single"/>
        </w:rPr>
        <w:t xml:space="preserve"> </w:t>
      </w:r>
      <w:r w:rsidRPr="008E376C">
        <w:rPr>
          <w:sz w:val="22"/>
          <w:szCs w:val="22"/>
          <w:u w:val="single"/>
        </w:rPr>
        <w:t>Familiarization</w:t>
      </w:r>
      <w:r w:rsidRPr="0023365A">
        <w:rPr>
          <w:sz w:val="22"/>
          <w:szCs w:val="22"/>
          <w:u w:val="single"/>
        </w:rPr>
        <w:t>:</w:t>
      </w:r>
    </w:p>
    <w:p w:rsidR="00B56809" w:rsidRPr="0023365A" w:rsidP="00B56809" w14:paraId="3C4EE560" w14:textId="6C9BD423">
      <w:pPr>
        <w:tabs>
          <w:tab w:val="left" w:pos="720"/>
          <w:tab w:val="left" w:pos="1440"/>
          <w:tab w:val="left" w:pos="2160"/>
          <w:tab w:val="left" w:pos="2880"/>
          <w:tab w:val="left" w:pos="3600"/>
          <w:tab w:val="left" w:pos="4320"/>
          <w:tab w:val="left" w:pos="5040"/>
          <w:tab w:val="left" w:pos="5850"/>
          <w:tab w:val="left" w:pos="6480"/>
          <w:tab w:val="left" w:pos="7200"/>
          <w:tab w:val="left" w:pos="7922"/>
        </w:tabs>
        <w:rPr>
          <w:i/>
          <w:iCs/>
          <w:sz w:val="22"/>
          <w:szCs w:val="22"/>
        </w:rPr>
      </w:pPr>
      <w:r w:rsidRPr="00DF6387">
        <w:rPr>
          <w:sz w:val="22"/>
          <w:szCs w:val="22"/>
        </w:rPr>
        <w:t xml:space="preserve">RMP facility staff will spend time to review the final rule and determine which provisions apply to their facility. </w:t>
      </w:r>
    </w:p>
    <w:p w:rsidR="00B56809" w:rsidP="00B56809" w14:paraId="39C25584" w14:textId="77777777">
      <w:pPr>
        <w:rPr>
          <w:iCs/>
          <w:sz w:val="22"/>
          <w:szCs w:val="22"/>
          <w:u w:val="single"/>
        </w:rPr>
      </w:pPr>
    </w:p>
    <w:p w:rsidR="00B56809" w:rsidRPr="0023365A" w:rsidP="00B56809" w14:paraId="6F576C63" w14:textId="77777777">
      <w:pPr>
        <w:rPr>
          <w:iCs/>
          <w:sz w:val="22"/>
          <w:szCs w:val="22"/>
          <w:u w:val="single"/>
        </w:rPr>
      </w:pPr>
      <w:r w:rsidRPr="0023365A">
        <w:rPr>
          <w:iCs/>
          <w:sz w:val="22"/>
          <w:szCs w:val="22"/>
          <w:u w:val="single"/>
        </w:rPr>
        <w:t>New Prevention Program Provisions</w:t>
      </w:r>
      <w:r>
        <w:rPr>
          <w:iCs/>
          <w:sz w:val="22"/>
          <w:szCs w:val="22"/>
          <w:u w:val="single"/>
        </w:rPr>
        <w:t>:</w:t>
      </w:r>
    </w:p>
    <w:p w:rsidR="00B56809" w:rsidP="00B56809" w14:paraId="1D517008" w14:textId="528458B3">
      <w:pPr>
        <w:tabs>
          <w:tab w:val="left" w:pos="720"/>
          <w:tab w:val="left" w:pos="1440"/>
          <w:tab w:val="left" w:pos="2160"/>
          <w:tab w:val="left" w:pos="2880"/>
          <w:tab w:val="left" w:pos="3600"/>
          <w:tab w:val="left" w:pos="4320"/>
          <w:tab w:val="left" w:pos="5040"/>
          <w:tab w:val="left" w:pos="5760"/>
          <w:tab w:val="right" w:pos="6483"/>
        </w:tabs>
        <w:rPr>
          <w:sz w:val="22"/>
          <w:szCs w:val="22"/>
        </w:rPr>
      </w:pPr>
      <w:r w:rsidRPr="0044594A">
        <w:rPr>
          <w:i/>
          <w:sz w:val="22"/>
          <w:szCs w:val="22"/>
        </w:rPr>
        <w:t xml:space="preserve">Safer Technology and Alternatives Analysis </w:t>
      </w:r>
      <w:r w:rsidRPr="00D3520E">
        <w:rPr>
          <w:i/>
          <w:sz w:val="22"/>
          <w:szCs w:val="22"/>
        </w:rPr>
        <w:t>(STAA)</w:t>
      </w:r>
      <w:r>
        <w:rPr>
          <w:i/>
          <w:sz w:val="22"/>
          <w:szCs w:val="22"/>
        </w:rPr>
        <w:t xml:space="preserve"> </w:t>
      </w:r>
      <w:r w:rsidR="00D33BB7">
        <w:rPr>
          <w:i/>
          <w:sz w:val="22"/>
          <w:szCs w:val="22"/>
        </w:rPr>
        <w:t xml:space="preserve">– </w:t>
      </w:r>
      <w:r w:rsidRPr="00994790" w:rsidR="00994790">
        <w:rPr>
          <w:iCs/>
          <w:sz w:val="22"/>
          <w:szCs w:val="22"/>
        </w:rPr>
        <w:t xml:space="preserve">The final rule STAA requirement includes two parts: the initial evaluation to identify alternatives and a practicability assessment to determine the costs and assess the reasonableness of implementing technology alternatives. Under the final rule, all facilities with Program 3 processes in North American Industrial Classification System (NAICS) code 324 and 325 are required to conduct the initial evaluation. Of those facilities, facilities that have had an accident since their most recent Process Hazard Analysis (PHA) or are located within one mile of another facility with a process in NAICS code 324 or 325, also are required to conduct a practicability assessment. The final rule </w:t>
      </w:r>
      <w:r w:rsidRPr="00994790" w:rsidR="00994790">
        <w:rPr>
          <w:iCs/>
          <w:sz w:val="22"/>
          <w:szCs w:val="22"/>
        </w:rPr>
        <w:t>also requires that all facilities in NAICS 324 using hydrofluoric acid (HF) in an alkylation unit (approximately 45 facilities) conduct a practicability assessment to assess inherently safer alternatives to HF alkylation, regardless of accident history or proximity to another NAICS 324- or 325-regulated facility.</w:t>
      </w:r>
    </w:p>
    <w:p w:rsidR="00B56809" w:rsidRPr="00586F1B" w:rsidP="00B56809" w14:paraId="33B0A1FE" w14:textId="77777777">
      <w:pPr>
        <w:tabs>
          <w:tab w:val="left" w:pos="720"/>
          <w:tab w:val="left" w:pos="1440"/>
          <w:tab w:val="left" w:pos="2160"/>
          <w:tab w:val="left" w:pos="2880"/>
          <w:tab w:val="left" w:pos="3600"/>
          <w:tab w:val="left" w:pos="4320"/>
          <w:tab w:val="left" w:pos="5040"/>
          <w:tab w:val="left" w:pos="5760"/>
          <w:tab w:val="right" w:pos="6483"/>
        </w:tabs>
        <w:rPr>
          <w:sz w:val="22"/>
          <w:szCs w:val="22"/>
          <w:highlight w:val="yellow"/>
        </w:rPr>
      </w:pPr>
    </w:p>
    <w:p w:rsidR="00B56809" w:rsidRPr="0023365A" w:rsidP="00B56809" w14:paraId="1A434A1E" w14:textId="410D70E3">
      <w:pPr>
        <w:tabs>
          <w:tab w:val="left" w:pos="720"/>
          <w:tab w:val="left" w:pos="1440"/>
          <w:tab w:val="left" w:pos="2160"/>
          <w:tab w:val="left" w:pos="2880"/>
          <w:tab w:val="left" w:pos="3600"/>
          <w:tab w:val="left" w:pos="4320"/>
          <w:tab w:val="left" w:pos="5040"/>
          <w:tab w:val="left" w:pos="5850"/>
          <w:tab w:val="left" w:pos="6480"/>
          <w:tab w:val="left" w:pos="7200"/>
          <w:tab w:val="left" w:pos="7922"/>
        </w:tabs>
        <w:rPr>
          <w:i/>
          <w:iCs/>
          <w:sz w:val="22"/>
          <w:szCs w:val="22"/>
        </w:rPr>
      </w:pPr>
      <w:r w:rsidRPr="00E56581">
        <w:rPr>
          <w:i/>
          <w:iCs/>
          <w:sz w:val="22"/>
          <w:szCs w:val="22"/>
        </w:rPr>
        <w:t xml:space="preserve">Root Cause Analysis </w:t>
      </w:r>
      <w:r>
        <w:rPr>
          <w:i/>
          <w:iCs/>
          <w:sz w:val="22"/>
          <w:szCs w:val="22"/>
        </w:rPr>
        <w:t xml:space="preserve">– </w:t>
      </w:r>
      <w:r w:rsidRPr="0023365A">
        <w:rPr>
          <w:sz w:val="22"/>
          <w:szCs w:val="22"/>
        </w:rPr>
        <w:t xml:space="preserve">Under the current RMP rule, facilities are required to conduct an incident investigation following an incident that resulted or reasonably could have resulted in a catastrophic release. The final rule requires facilities to conduct a root cause analysis as part of an incident investigation following an RMP-reportable accident. </w:t>
      </w:r>
      <w:r w:rsidRPr="00A06B3F" w:rsidR="00A06B3F">
        <w:rPr>
          <w:sz w:val="22"/>
          <w:szCs w:val="22"/>
        </w:rPr>
        <w:t>A root cause analysis is a formal process to identify underlying reasons for failures that led to accidental releases.</w:t>
      </w:r>
    </w:p>
    <w:p w:rsidR="00B56809" w:rsidP="00680250" w14:paraId="227F2742" w14:textId="54D13F84">
      <w:pPr>
        <w:tabs>
          <w:tab w:val="left" w:pos="720"/>
          <w:tab w:val="left" w:pos="3600"/>
        </w:tabs>
        <w:ind w:firstLine="720"/>
        <w:rPr>
          <w:sz w:val="22"/>
          <w:szCs w:val="22"/>
        </w:rPr>
      </w:pPr>
      <w:r>
        <w:rPr>
          <w:sz w:val="22"/>
          <w:szCs w:val="22"/>
        </w:rPr>
        <w:tab/>
      </w:r>
    </w:p>
    <w:p w:rsidR="00B56809" w:rsidRPr="009C4990" w:rsidP="00B56809" w14:paraId="0311D7F6" w14:textId="54658FC8">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F34063">
        <w:rPr>
          <w:i/>
          <w:iCs/>
          <w:sz w:val="22"/>
          <w:szCs w:val="22"/>
        </w:rPr>
        <w:t xml:space="preserve">Third-party Audits </w:t>
      </w:r>
      <w:r>
        <w:rPr>
          <w:i/>
          <w:iCs/>
          <w:sz w:val="22"/>
          <w:szCs w:val="22"/>
        </w:rPr>
        <w:t xml:space="preserve">- </w:t>
      </w:r>
      <w:r w:rsidRPr="00F34063">
        <w:rPr>
          <w:sz w:val="22"/>
          <w:szCs w:val="22"/>
        </w:rPr>
        <w:t xml:space="preserve">The </w:t>
      </w:r>
      <w:r>
        <w:rPr>
          <w:sz w:val="22"/>
          <w:szCs w:val="22"/>
        </w:rPr>
        <w:t>final</w:t>
      </w:r>
      <w:r w:rsidRPr="00F34063">
        <w:rPr>
          <w:sz w:val="22"/>
          <w:szCs w:val="22"/>
        </w:rPr>
        <w:t xml:space="preserve"> rule requires Program 2 and Program 3 facilities to conduct a compliance audit at least once every three years. </w:t>
      </w:r>
      <w:r w:rsidRPr="009C4990">
        <w:rPr>
          <w:sz w:val="22"/>
          <w:szCs w:val="22"/>
        </w:rPr>
        <w:t xml:space="preserve">The final rule, also applicable to Program 2 and Program 3 processes, requires the next required compliance audit to be a third-party audit when </w:t>
      </w:r>
      <w:r w:rsidR="004008A5">
        <w:rPr>
          <w:sz w:val="22"/>
          <w:szCs w:val="22"/>
        </w:rPr>
        <w:t xml:space="preserve">either or both </w:t>
      </w:r>
      <w:r w:rsidRPr="009C4990">
        <w:rPr>
          <w:sz w:val="22"/>
          <w:szCs w:val="22"/>
        </w:rPr>
        <w:t>of the following conditions appl</w:t>
      </w:r>
      <w:r w:rsidR="004008A5">
        <w:rPr>
          <w:sz w:val="22"/>
          <w:szCs w:val="22"/>
        </w:rPr>
        <w:t>y</w:t>
      </w:r>
      <w:r w:rsidRPr="009C4990">
        <w:rPr>
          <w:sz w:val="22"/>
          <w:szCs w:val="22"/>
        </w:rPr>
        <w:t>: </w:t>
      </w:r>
    </w:p>
    <w:p w:rsidR="00B56809" w:rsidRPr="009C4990" w:rsidP="00B56809" w14:paraId="5E96A8B2"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9C4990">
        <w:rPr>
          <w:sz w:val="22"/>
          <w:szCs w:val="22"/>
        </w:rPr>
        <w:t> </w:t>
      </w:r>
    </w:p>
    <w:p w:rsidR="00B56809" w:rsidRPr="009C4990" w:rsidP="00B56809" w14:paraId="54D29493" w14:textId="77777777">
      <w:pPr>
        <w:numPr>
          <w:ilvl w:val="0"/>
          <w:numId w:val="35"/>
        </w:num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9C4990">
        <w:rPr>
          <w:sz w:val="22"/>
          <w:szCs w:val="22"/>
        </w:rPr>
        <w:t>The facility has had an RMP-reportable accident; or </w:t>
      </w:r>
    </w:p>
    <w:p w:rsidR="00B56809" w:rsidRPr="009C4990" w:rsidP="00B56809" w14:paraId="2D9AA910" w14:textId="3BB07EDC">
      <w:pPr>
        <w:numPr>
          <w:ilvl w:val="0"/>
          <w:numId w:val="36"/>
        </w:num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9C4990">
        <w:rPr>
          <w:sz w:val="22"/>
          <w:szCs w:val="22"/>
        </w:rPr>
        <w:t xml:space="preserve">An implementing agency requires a third-party audit either due to conditions at the stationary source that could lead to an accidental release of a regulated substance, or due to a previous third-party audit that failed to meet the competency or independence criteria of </w:t>
      </w:r>
      <w:r w:rsidRPr="001653FA" w:rsidR="001653FA">
        <w:rPr>
          <w:sz w:val="22"/>
          <w:szCs w:val="22"/>
        </w:rPr>
        <w:t>40 CFR</w:t>
      </w:r>
      <w:r>
        <w:rPr>
          <w:sz w:val="22"/>
          <w:szCs w:val="22"/>
        </w:rPr>
        <w:t xml:space="preserve"> </w:t>
      </w:r>
      <w:r w:rsidRPr="009C4990">
        <w:rPr>
          <w:sz w:val="22"/>
          <w:szCs w:val="22"/>
        </w:rPr>
        <w:t>68.80(c). </w:t>
      </w:r>
    </w:p>
    <w:p w:rsidR="00B56809" w:rsidP="00B56809" w14:paraId="2154A69A"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B56809" w:rsidRPr="00952073" w:rsidP="00B56809" w14:paraId="478828FA" w14:textId="29303219">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3365A">
        <w:rPr>
          <w:sz w:val="22"/>
          <w:szCs w:val="22"/>
        </w:rPr>
        <w:t xml:space="preserve">EPA believes that these third-party audit provisions will help ensure that owners and operators of RMP facilities objectively and adequately explore all opportunities to prevent or minimize accidental releases of regulated substances to protect human health and the environment. </w:t>
      </w:r>
    </w:p>
    <w:p w:rsidR="00B56809" w:rsidRPr="0078738E" w:rsidP="00B56809" w14:paraId="4D98E027"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B56809" w:rsidRPr="00C15899" w:rsidP="00B56809" w14:paraId="7CDC1021" w14:textId="0D2FBD3B">
      <w:pPr>
        <w:tabs>
          <w:tab w:val="left" w:pos="720"/>
          <w:tab w:val="left" w:pos="1440"/>
          <w:tab w:val="left" w:pos="2160"/>
          <w:tab w:val="left" w:pos="2880"/>
          <w:tab w:val="left" w:pos="3600"/>
          <w:tab w:val="left" w:pos="4320"/>
          <w:tab w:val="left" w:pos="5040"/>
          <w:tab w:val="left" w:pos="5850"/>
          <w:tab w:val="left" w:pos="6480"/>
          <w:tab w:val="left" w:pos="7200"/>
          <w:tab w:val="left" w:pos="7922"/>
        </w:tabs>
        <w:rPr>
          <w:i/>
          <w:iCs/>
          <w:sz w:val="22"/>
          <w:szCs w:val="22"/>
        </w:rPr>
      </w:pPr>
      <w:r w:rsidRPr="000E77D4">
        <w:rPr>
          <w:i/>
          <w:iCs/>
          <w:sz w:val="22"/>
          <w:szCs w:val="22"/>
        </w:rPr>
        <w:t>Employee Participation Plan</w:t>
      </w:r>
      <w:r>
        <w:rPr>
          <w:i/>
          <w:iCs/>
          <w:sz w:val="22"/>
          <w:szCs w:val="22"/>
        </w:rPr>
        <w:t xml:space="preserve"> – </w:t>
      </w:r>
      <w:r w:rsidRPr="0023365A">
        <w:rPr>
          <w:sz w:val="22"/>
          <w:szCs w:val="22"/>
        </w:rPr>
        <w:t xml:space="preserve">Under the current RMP rule, Program 3 process facilities’ employee participation plans require the owner or operator to consult with employees and their representatives on the conduct and development of process hazards analyses and on the development of the other elements of </w:t>
      </w:r>
      <w:r w:rsidR="0010796C">
        <w:rPr>
          <w:sz w:val="22"/>
          <w:szCs w:val="22"/>
        </w:rPr>
        <w:t>process safety management (</w:t>
      </w:r>
      <w:r w:rsidRPr="0023365A">
        <w:rPr>
          <w:sz w:val="22"/>
          <w:szCs w:val="22"/>
        </w:rPr>
        <w:t>PSM</w:t>
      </w:r>
      <w:r w:rsidR="0010796C">
        <w:rPr>
          <w:sz w:val="22"/>
          <w:szCs w:val="22"/>
        </w:rPr>
        <w:t>)</w:t>
      </w:r>
      <w:r w:rsidRPr="0023365A">
        <w:rPr>
          <w:sz w:val="22"/>
          <w:szCs w:val="22"/>
        </w:rPr>
        <w:t>. The owner or operator must provide employees and their representatives access to PHAs and to all other information required to be developed under this rule. </w:t>
      </w:r>
      <w:r w:rsidRPr="00C15899">
        <w:rPr>
          <w:sz w:val="22"/>
          <w:szCs w:val="22"/>
        </w:rPr>
        <w:t>The final rule requires that the</w:t>
      </w:r>
      <w:r w:rsidRPr="00C15899">
        <w:rPr>
          <w:i/>
          <w:iCs/>
          <w:sz w:val="22"/>
          <w:szCs w:val="22"/>
        </w:rPr>
        <w:t xml:space="preserve"> </w:t>
      </w:r>
      <w:r w:rsidRPr="00C15899">
        <w:rPr>
          <w:sz w:val="22"/>
          <w:szCs w:val="22"/>
        </w:rPr>
        <w:t>employee participation plan include and ensure effective methods are in place so that employees and their representatives have authority to refuse to perform a task when doing so could reasonably result in a catastrophic release and to recommend to the operator in charge of a unit that an operation or process be partially or completely shut down based on the potential for a catastrophic release.</w:t>
      </w:r>
    </w:p>
    <w:p w:rsidR="00B56809" w:rsidRPr="0023365A" w:rsidP="00B56809" w14:paraId="2163CBA2"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B56809" w:rsidRPr="0023365A" w:rsidP="00B56809" w14:paraId="0C87D342" w14:textId="40EA77B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3365A">
        <w:rPr>
          <w:sz w:val="22"/>
          <w:szCs w:val="22"/>
        </w:rPr>
        <w:t xml:space="preserve">The final rule revises </w:t>
      </w:r>
      <w:r w:rsidRPr="002134E8" w:rsidR="002134E8">
        <w:rPr>
          <w:sz w:val="22"/>
          <w:szCs w:val="22"/>
        </w:rPr>
        <w:t>40 CFR</w:t>
      </w:r>
      <w:r w:rsidR="002134E8">
        <w:rPr>
          <w:sz w:val="22"/>
          <w:szCs w:val="22"/>
        </w:rPr>
        <w:t xml:space="preserve"> </w:t>
      </w:r>
      <w:r w:rsidRPr="0023365A">
        <w:rPr>
          <w:sz w:val="22"/>
          <w:szCs w:val="22"/>
        </w:rPr>
        <w:t>68.83 and other aspects of employee participation to require six new components: </w:t>
      </w:r>
    </w:p>
    <w:p w:rsidR="00B56809" w:rsidRPr="0023365A" w:rsidP="00B56809" w14:paraId="51C03071"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3365A">
        <w:rPr>
          <w:sz w:val="22"/>
          <w:szCs w:val="22"/>
        </w:rPr>
        <w:t> </w:t>
      </w:r>
    </w:p>
    <w:p w:rsidR="00B56809" w:rsidRPr="0023365A" w:rsidP="00B56809" w14:paraId="550F31FF" w14:textId="77777777">
      <w:pPr>
        <w:numPr>
          <w:ilvl w:val="0"/>
          <w:numId w:val="27"/>
        </w:num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3365A">
        <w:rPr>
          <w:sz w:val="22"/>
          <w:szCs w:val="22"/>
        </w:rPr>
        <w:t>Program 2 process facilities must develop written employee participation plans of action, which detail employee roles in using reasonable judgment and communication procedures to identify, raise, and address safety concerns. Facilities must also develop and implement a process for employees to report on hazards and noncompliance and must provide employees and their representatives access to hazard reviews and all other information required to be developed under this rule. </w:t>
      </w:r>
    </w:p>
    <w:p w:rsidR="00B56809" w:rsidRPr="0023365A" w:rsidP="00B56809" w14:paraId="42FDE06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3365A">
        <w:rPr>
          <w:sz w:val="22"/>
          <w:szCs w:val="22"/>
        </w:rPr>
        <w:t> </w:t>
      </w:r>
    </w:p>
    <w:p w:rsidR="00B56809" w:rsidRPr="0023365A" w:rsidP="00B56809" w14:paraId="20967DF3" w14:textId="77777777">
      <w:pPr>
        <w:numPr>
          <w:ilvl w:val="0"/>
          <w:numId w:val="28"/>
        </w:num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3365A">
        <w:rPr>
          <w:sz w:val="22"/>
          <w:szCs w:val="22"/>
        </w:rPr>
        <w:t>The Program 3 employee participation plan must include the consultation of employees and their representatives regarding how to address, correct, resolve, document, and implement recommendations of process hazard analyses, incident investigations, and compliance audits. </w:t>
      </w:r>
    </w:p>
    <w:p w:rsidR="00B56809" w:rsidRPr="0023365A" w:rsidP="00B56809" w14:paraId="486AA56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3365A">
        <w:rPr>
          <w:sz w:val="22"/>
          <w:szCs w:val="22"/>
        </w:rPr>
        <w:t> </w:t>
      </w:r>
    </w:p>
    <w:p w:rsidR="00B56809" w:rsidRPr="0023365A" w:rsidP="00B56809" w14:paraId="3E5816E4" w14:textId="77777777">
      <w:pPr>
        <w:numPr>
          <w:ilvl w:val="0"/>
          <w:numId w:val="29"/>
        </w:num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3365A">
        <w:rPr>
          <w:sz w:val="22"/>
          <w:szCs w:val="22"/>
        </w:rPr>
        <w:t xml:space="preserve">The Program 3 employee participation plan must include and ensure that effective methods are in place so that employees knowledgeable in the process and their representatives have specific stop </w:t>
      </w:r>
      <w:r w:rsidRPr="0023365A">
        <w:rPr>
          <w:sz w:val="22"/>
          <w:szCs w:val="22"/>
        </w:rPr>
        <w:t>work authorities based on a potential for a catastrophic release. The specific authorities must include: </w:t>
      </w:r>
    </w:p>
    <w:p w:rsidR="00B56809" w:rsidRPr="0023365A" w:rsidP="00B56809" w14:paraId="547304B0"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3365A">
        <w:rPr>
          <w:sz w:val="22"/>
          <w:szCs w:val="22"/>
        </w:rPr>
        <w:t> </w:t>
      </w:r>
    </w:p>
    <w:p w:rsidR="00B56809" w:rsidRPr="0023365A" w:rsidP="00B56809" w14:paraId="5B87C84D" w14:textId="77777777">
      <w:pPr>
        <w:numPr>
          <w:ilvl w:val="0"/>
          <w:numId w:val="30"/>
        </w:num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3365A">
        <w:rPr>
          <w:sz w:val="22"/>
          <w:szCs w:val="22"/>
        </w:rPr>
        <w:t>Recommending to the operator in charge of a unit that an operation or process be shut down, partially or completely, based on the potential for a catastrophic release. </w:t>
      </w:r>
    </w:p>
    <w:p w:rsidR="00B56809" w:rsidRPr="0023365A" w:rsidP="00B56809" w14:paraId="031C0F30" w14:textId="77777777">
      <w:pPr>
        <w:numPr>
          <w:ilvl w:val="0"/>
          <w:numId w:val="31"/>
        </w:num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3365A">
        <w:rPr>
          <w:sz w:val="22"/>
          <w:szCs w:val="22"/>
        </w:rPr>
        <w:t>Allowing a qualified operator in charge of a unit to shut down, partially or completely, an operation or process, based on the potential for a catastrophic release. </w:t>
      </w:r>
    </w:p>
    <w:p w:rsidR="00B56809" w:rsidRPr="0023365A" w:rsidP="00B56809" w14:paraId="667F566A"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3365A">
        <w:rPr>
          <w:sz w:val="22"/>
          <w:szCs w:val="22"/>
        </w:rPr>
        <w:t> </w:t>
      </w:r>
    </w:p>
    <w:p w:rsidR="00B56809" w:rsidRPr="0023365A" w:rsidP="00B56809" w14:paraId="3E230045" w14:textId="77777777">
      <w:pPr>
        <w:numPr>
          <w:ilvl w:val="0"/>
          <w:numId w:val="32"/>
        </w:num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3365A">
        <w:rPr>
          <w:sz w:val="22"/>
          <w:szCs w:val="22"/>
        </w:rPr>
        <w:t>Program 3 employee participation plans must include a process for employees to report on hazards and noncompliance.  </w:t>
      </w:r>
    </w:p>
    <w:p w:rsidR="00B56809" w:rsidRPr="0023365A" w:rsidP="00B56809" w14:paraId="5FCE26CA"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3365A">
        <w:rPr>
          <w:sz w:val="22"/>
          <w:szCs w:val="22"/>
        </w:rPr>
        <w:t> </w:t>
      </w:r>
    </w:p>
    <w:p w:rsidR="00B56809" w:rsidRPr="0023365A" w:rsidP="00B56809" w14:paraId="02B2F76B" w14:textId="77777777">
      <w:pPr>
        <w:numPr>
          <w:ilvl w:val="0"/>
          <w:numId w:val="33"/>
        </w:num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3365A">
        <w:rPr>
          <w:sz w:val="22"/>
          <w:szCs w:val="22"/>
        </w:rPr>
        <w:t>Program 2 and Program 3 process facilities must provide an annual written or electronic notice to employees indicating RMP information is available.  </w:t>
      </w:r>
      <w:r w:rsidRPr="0023365A">
        <w:rPr>
          <w:sz w:val="22"/>
          <w:szCs w:val="22"/>
        </w:rPr>
        <w:br/>
        <w:t> </w:t>
      </w:r>
    </w:p>
    <w:p w:rsidR="00B56809" w:rsidRPr="0023365A" w:rsidP="00B56809" w14:paraId="26CA63CB" w14:textId="77777777">
      <w:pPr>
        <w:numPr>
          <w:ilvl w:val="0"/>
          <w:numId w:val="34"/>
        </w:num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3365A">
        <w:rPr>
          <w:sz w:val="22"/>
          <w:szCs w:val="22"/>
        </w:rPr>
        <w:t>Program 2 and Program 3 process facilities must provide training to inform employees, their representatives, and management involved in the process of the details of the written employee participation plan. </w:t>
      </w:r>
    </w:p>
    <w:p w:rsidR="00B56809" w:rsidRPr="0023365A" w:rsidP="00B56809" w14:paraId="3D6324C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3365A">
        <w:rPr>
          <w:sz w:val="22"/>
          <w:szCs w:val="22"/>
        </w:rPr>
        <w:t> </w:t>
      </w:r>
    </w:p>
    <w:p w:rsidR="00B56809" w:rsidRPr="0023365A" w:rsidP="00B56809" w14:paraId="1F86184C" w14:textId="4F964559">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23365A">
        <w:rPr>
          <w:sz w:val="22"/>
          <w:szCs w:val="22"/>
        </w:rPr>
        <w:t xml:space="preserve">These employee participation provisions will ensure that owners and operators who have not fully developed employee participation programs have additional measures in place to prevent and minimize accidental releases of RMP-regulated substances. </w:t>
      </w:r>
    </w:p>
    <w:p w:rsidR="00B56809" w:rsidP="00B56809" w14:paraId="765ECBB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i/>
          <w:iCs/>
          <w:sz w:val="22"/>
          <w:szCs w:val="22"/>
        </w:rPr>
      </w:pPr>
    </w:p>
    <w:p w:rsidR="00B56809" w:rsidRPr="00AA751B" w:rsidP="00B56809" w14:paraId="2DB9F67C" w14:textId="25F2BF37">
      <w:pPr>
        <w:tabs>
          <w:tab w:val="left" w:pos="720"/>
          <w:tab w:val="left" w:pos="1440"/>
          <w:tab w:val="left" w:pos="2160"/>
          <w:tab w:val="left" w:pos="2880"/>
          <w:tab w:val="left" w:pos="3600"/>
          <w:tab w:val="left" w:pos="4320"/>
          <w:tab w:val="left" w:pos="5040"/>
          <w:tab w:val="left" w:pos="5760"/>
          <w:tab w:val="right" w:pos="6483"/>
        </w:tabs>
        <w:rPr>
          <w:i/>
          <w:iCs/>
          <w:sz w:val="22"/>
          <w:szCs w:val="22"/>
        </w:rPr>
      </w:pPr>
      <w:r w:rsidRPr="00A40B16">
        <w:rPr>
          <w:i/>
          <w:iCs/>
          <w:sz w:val="22"/>
          <w:szCs w:val="22"/>
        </w:rPr>
        <w:t xml:space="preserve">Backup Power for Perimeter Monitors </w:t>
      </w:r>
      <w:r w:rsidRPr="00AA751B">
        <w:rPr>
          <w:i/>
          <w:iCs/>
          <w:sz w:val="22"/>
          <w:szCs w:val="22"/>
        </w:rPr>
        <w:t>–</w:t>
      </w:r>
      <w:r w:rsidRPr="00AA751B">
        <w:rPr>
          <w:sz w:val="22"/>
          <w:szCs w:val="22"/>
        </w:rPr>
        <w:t xml:space="preserve"> </w:t>
      </w:r>
      <w:r w:rsidRPr="00AA751B" w:rsidR="00DA121E">
        <w:rPr>
          <w:sz w:val="22"/>
          <w:szCs w:val="22"/>
        </w:rPr>
        <w:t xml:space="preserve">The final rule requires air control or monitoring equipment associated with prevention and detection of accidental releases from RMP-regulated processes where power loss has been identified as a major hazard to have standby or backup power. </w:t>
      </w:r>
      <w:r w:rsidRPr="00AA751B">
        <w:rPr>
          <w:sz w:val="22"/>
          <w:szCs w:val="22"/>
        </w:rPr>
        <w:t>EPA believes this will help ensure continuous monitoring so that potential exposure to chemical substances can be measured during and following a natural disaster</w:t>
      </w:r>
      <w:r w:rsidRPr="00AA751B">
        <w:rPr>
          <w:i/>
          <w:iCs/>
          <w:sz w:val="22"/>
          <w:szCs w:val="22"/>
        </w:rPr>
        <w:t>.</w:t>
      </w:r>
    </w:p>
    <w:p w:rsidR="00B56809" w:rsidP="00B56809" w14:paraId="5231C624" w14:textId="77777777">
      <w:pPr>
        <w:tabs>
          <w:tab w:val="left" w:pos="720"/>
          <w:tab w:val="left" w:pos="1440"/>
          <w:tab w:val="left" w:pos="2160"/>
          <w:tab w:val="left" w:pos="2880"/>
          <w:tab w:val="left" w:pos="3600"/>
          <w:tab w:val="left" w:pos="4320"/>
          <w:tab w:val="left" w:pos="5040"/>
          <w:tab w:val="left" w:pos="5760"/>
          <w:tab w:val="right" w:pos="6483"/>
        </w:tabs>
        <w:rPr>
          <w:i/>
          <w:iCs/>
          <w:sz w:val="22"/>
          <w:szCs w:val="22"/>
        </w:rPr>
      </w:pPr>
    </w:p>
    <w:p w:rsidR="00B56809" w:rsidP="002C380F" w14:paraId="337C61C9" w14:textId="517B3732">
      <w:pPr>
        <w:tabs>
          <w:tab w:val="left" w:pos="720"/>
          <w:tab w:val="left" w:pos="1440"/>
          <w:tab w:val="left" w:pos="2160"/>
          <w:tab w:val="left" w:pos="2880"/>
          <w:tab w:val="left" w:pos="3600"/>
          <w:tab w:val="left" w:pos="4320"/>
          <w:tab w:val="left" w:pos="5040"/>
          <w:tab w:val="left" w:pos="5760"/>
          <w:tab w:val="right" w:pos="6483"/>
        </w:tabs>
        <w:rPr>
          <w:sz w:val="22"/>
          <w:szCs w:val="22"/>
          <w:highlight w:val="yellow"/>
        </w:rPr>
      </w:pPr>
      <w:r>
        <w:rPr>
          <w:i/>
          <w:iCs/>
          <w:sz w:val="22"/>
          <w:szCs w:val="22"/>
        </w:rPr>
        <w:t>RMP Justifications –</w:t>
      </w:r>
      <w:r w:rsidRPr="00AE12FD">
        <w:t xml:space="preserve"> </w:t>
      </w:r>
      <w:r w:rsidRPr="00C43162">
        <w:rPr>
          <w:sz w:val="22"/>
          <w:szCs w:val="28"/>
        </w:rPr>
        <w:t xml:space="preserve">The final </w:t>
      </w:r>
      <w:r w:rsidRPr="009528F1">
        <w:rPr>
          <w:sz w:val="22"/>
          <w:szCs w:val="28"/>
        </w:rPr>
        <w:t xml:space="preserve">rule </w:t>
      </w:r>
      <w:r w:rsidRPr="00632D6B">
        <w:rPr>
          <w:sz w:val="22"/>
          <w:szCs w:val="28"/>
        </w:rPr>
        <w:t>explicitly require</w:t>
      </w:r>
      <w:r>
        <w:rPr>
          <w:sz w:val="22"/>
          <w:szCs w:val="28"/>
        </w:rPr>
        <w:t>s</w:t>
      </w:r>
      <w:r w:rsidRPr="00632D6B">
        <w:rPr>
          <w:sz w:val="22"/>
          <w:szCs w:val="28"/>
        </w:rPr>
        <w:t xml:space="preserve"> Program 2 and 3 facilities to address stationary source siting, natural hazards, power loss, and a </w:t>
      </w:r>
      <w:r w:rsidRPr="00AA674A" w:rsidR="00AA674A">
        <w:rPr>
          <w:sz w:val="22"/>
          <w:szCs w:val="28"/>
        </w:rPr>
        <w:t xml:space="preserve">Recognized and Generally Accepted Good Engineering Practice </w:t>
      </w:r>
      <w:r w:rsidR="00AA674A">
        <w:rPr>
          <w:sz w:val="22"/>
          <w:szCs w:val="28"/>
        </w:rPr>
        <w:t>(</w:t>
      </w:r>
      <w:r w:rsidRPr="00632D6B">
        <w:rPr>
          <w:sz w:val="22"/>
          <w:szCs w:val="28"/>
        </w:rPr>
        <w:t>RAGAGEP</w:t>
      </w:r>
      <w:r w:rsidR="00AA674A">
        <w:rPr>
          <w:sz w:val="22"/>
          <w:szCs w:val="28"/>
        </w:rPr>
        <w:t>)</w:t>
      </w:r>
      <w:r w:rsidRPr="00632D6B">
        <w:rPr>
          <w:sz w:val="22"/>
          <w:szCs w:val="28"/>
        </w:rPr>
        <w:t xml:space="preserve"> gap analysis in their PHAs or Hazard Reviews.</w:t>
      </w:r>
      <w:r>
        <w:rPr>
          <w:sz w:val="22"/>
          <w:szCs w:val="28"/>
        </w:rPr>
        <w:t xml:space="preserve"> As such, the</w:t>
      </w:r>
      <w:r>
        <w:rPr>
          <w:sz w:val="22"/>
          <w:szCs w:val="22"/>
        </w:rPr>
        <w:t xml:space="preserve"> final rule </w:t>
      </w:r>
      <w:r w:rsidRPr="0061381C">
        <w:rPr>
          <w:sz w:val="22"/>
          <w:szCs w:val="22"/>
        </w:rPr>
        <w:t xml:space="preserve">requires </w:t>
      </w:r>
      <w:r>
        <w:rPr>
          <w:sz w:val="22"/>
          <w:szCs w:val="22"/>
        </w:rPr>
        <w:t>facilities to submit</w:t>
      </w:r>
      <w:r w:rsidRPr="0061381C">
        <w:rPr>
          <w:sz w:val="22"/>
          <w:szCs w:val="22"/>
        </w:rPr>
        <w:t xml:space="preserve"> justifications when facilities choose to decline certain recommendations</w:t>
      </w:r>
      <w:r>
        <w:rPr>
          <w:sz w:val="22"/>
          <w:szCs w:val="22"/>
        </w:rPr>
        <w:t xml:space="preserve"> such as the</w:t>
      </w:r>
      <w:r w:rsidRPr="00DA4AE6">
        <w:rPr>
          <w:sz w:val="22"/>
          <w:szCs w:val="22"/>
        </w:rPr>
        <w:t xml:space="preserve"> natural hazard, power loss, and siting evaluation recommendations.</w:t>
      </w:r>
      <w:r>
        <w:rPr>
          <w:sz w:val="22"/>
          <w:szCs w:val="22"/>
        </w:rPr>
        <w:t xml:space="preserve"> The final</w:t>
      </w:r>
      <w:r w:rsidRPr="00381673">
        <w:rPr>
          <w:sz w:val="22"/>
          <w:szCs w:val="22"/>
        </w:rPr>
        <w:t xml:space="preserve"> rule </w:t>
      </w:r>
      <w:r>
        <w:rPr>
          <w:sz w:val="22"/>
          <w:szCs w:val="22"/>
        </w:rPr>
        <w:t xml:space="preserve">also </w:t>
      </w:r>
      <w:r w:rsidRPr="00381673">
        <w:rPr>
          <w:sz w:val="22"/>
          <w:szCs w:val="22"/>
        </w:rPr>
        <w:t>requires that RMPs explicitly include declined PHA recommendations associated with adopting practices from the most recent version of RAGAGEP and their associated justifications.</w:t>
      </w:r>
      <w:r>
        <w:rPr>
          <w:sz w:val="22"/>
          <w:szCs w:val="22"/>
        </w:rPr>
        <w:t xml:space="preserve"> </w:t>
      </w:r>
      <w:r w:rsidRPr="009434B6">
        <w:rPr>
          <w:sz w:val="22"/>
          <w:szCs w:val="22"/>
        </w:rPr>
        <w:t>The RAGAGEP provision will also require all Program 3 facilities to include a justification for each PHA recommendation the facility declined to implement associated with adopting practices from the latest version of RAGAGEP</w:t>
      </w:r>
      <w:r>
        <w:rPr>
          <w:sz w:val="22"/>
          <w:szCs w:val="22"/>
        </w:rPr>
        <w:t>. Likewise, t</w:t>
      </w:r>
      <w:r w:rsidRPr="00830130">
        <w:rPr>
          <w:sz w:val="22"/>
          <w:szCs w:val="22"/>
        </w:rPr>
        <w:t>he power loss provision will require Program 2 and 3 facilities to include justifications for any process without backup power.</w:t>
      </w:r>
      <w:r w:rsidR="002C380F">
        <w:rPr>
          <w:sz w:val="22"/>
          <w:szCs w:val="22"/>
        </w:rPr>
        <w:t xml:space="preserve"> </w:t>
      </w:r>
      <w:r w:rsidRPr="004216D3">
        <w:rPr>
          <w:sz w:val="22"/>
          <w:szCs w:val="22"/>
        </w:rPr>
        <w:t xml:space="preserve">EPA believes </w:t>
      </w:r>
      <w:r>
        <w:rPr>
          <w:sz w:val="22"/>
          <w:szCs w:val="22"/>
        </w:rPr>
        <w:t xml:space="preserve">that </w:t>
      </w:r>
      <w:r w:rsidRPr="004216D3">
        <w:rPr>
          <w:sz w:val="22"/>
          <w:szCs w:val="22"/>
        </w:rPr>
        <w:t>including these declined recommendations and associated justifications will provide useful information about potential hazards associated with a facility</w:t>
      </w:r>
      <w:r w:rsidR="00E85012">
        <w:rPr>
          <w:sz w:val="22"/>
          <w:szCs w:val="22"/>
        </w:rPr>
        <w:t>.</w:t>
      </w:r>
      <w:r>
        <w:rPr>
          <w:sz w:val="22"/>
          <w:szCs w:val="22"/>
        </w:rPr>
        <w:t xml:space="preserve"> </w:t>
      </w:r>
    </w:p>
    <w:p w:rsidR="00B56809" w:rsidRPr="00586F1B" w:rsidP="00B56809" w14:paraId="45C031D0" w14:textId="77777777">
      <w:pPr>
        <w:tabs>
          <w:tab w:val="left" w:pos="720"/>
          <w:tab w:val="left" w:pos="1440"/>
          <w:tab w:val="left" w:pos="2160"/>
          <w:tab w:val="left" w:pos="2880"/>
          <w:tab w:val="left" w:pos="3600"/>
          <w:tab w:val="left" w:pos="4320"/>
          <w:tab w:val="left" w:pos="5040"/>
          <w:tab w:val="left" w:pos="5760"/>
          <w:tab w:val="right" w:pos="6483"/>
        </w:tabs>
        <w:ind w:firstLine="720"/>
        <w:rPr>
          <w:sz w:val="22"/>
          <w:szCs w:val="22"/>
          <w:highlight w:val="yellow"/>
        </w:rPr>
      </w:pPr>
    </w:p>
    <w:p w:rsidR="00B56809" w:rsidRPr="0023365A" w:rsidP="00B56809" w14:paraId="7943D19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u w:val="single"/>
        </w:rPr>
      </w:pPr>
      <w:r w:rsidRPr="0023365A">
        <w:rPr>
          <w:sz w:val="22"/>
          <w:szCs w:val="22"/>
          <w:u w:val="single"/>
        </w:rPr>
        <w:t>Emergency Response Activities</w:t>
      </w:r>
      <w:r>
        <w:rPr>
          <w:sz w:val="22"/>
          <w:szCs w:val="22"/>
          <w:u w:val="single"/>
        </w:rPr>
        <w:t>:</w:t>
      </w:r>
    </w:p>
    <w:p w:rsidR="00B56809" w:rsidRPr="00753345" w:rsidP="00B56809" w14:paraId="4B813D40" w14:textId="5426C16D">
      <w:pPr>
        <w:rPr>
          <w:sz w:val="22"/>
          <w:szCs w:val="22"/>
        </w:rPr>
      </w:pPr>
      <w:r w:rsidRPr="003942D2">
        <w:rPr>
          <w:bCs/>
          <w:i/>
          <w:iCs/>
          <w:sz w:val="22"/>
          <w:szCs w:val="22"/>
        </w:rPr>
        <w:t>Community Notification of RMP Accidents</w:t>
      </w:r>
      <w:r>
        <w:rPr>
          <w:bCs/>
          <w:i/>
          <w:iCs/>
          <w:sz w:val="22"/>
          <w:szCs w:val="22"/>
        </w:rPr>
        <w:t xml:space="preserve"> - </w:t>
      </w:r>
      <w:r w:rsidRPr="00753345">
        <w:rPr>
          <w:sz w:val="22"/>
          <w:szCs w:val="22"/>
        </w:rPr>
        <w:t xml:space="preserve">The </w:t>
      </w:r>
      <w:r w:rsidR="00292A0E">
        <w:rPr>
          <w:sz w:val="22"/>
          <w:szCs w:val="22"/>
        </w:rPr>
        <w:t xml:space="preserve">final rule adds a requirement </w:t>
      </w:r>
      <w:r w:rsidRPr="00753345">
        <w:rPr>
          <w:sz w:val="22"/>
          <w:szCs w:val="22"/>
        </w:rPr>
        <w:t>that RMP facility owners and operators who designate themselves as a non-responding facility, develop and implement, as necessary, procedures for informing the public and the appropriate emergency response agencies about accidental releases of RMP-regulated substances. EPA is also requiring that responding and non-responding facilities ensure that:</w:t>
      </w:r>
    </w:p>
    <w:p w:rsidR="00B56809" w:rsidRPr="00753345" w:rsidP="00B56809" w14:paraId="3817AE9F" w14:textId="77777777">
      <w:pPr>
        <w:rPr>
          <w:sz w:val="22"/>
          <w:szCs w:val="22"/>
        </w:rPr>
      </w:pPr>
    </w:p>
    <w:p w:rsidR="00B56809" w:rsidRPr="00753345" w:rsidP="00B56809" w14:paraId="7F92D297" w14:textId="77777777">
      <w:pPr>
        <w:rPr>
          <w:sz w:val="22"/>
          <w:szCs w:val="22"/>
        </w:rPr>
      </w:pPr>
      <w:r w:rsidRPr="00753345">
        <w:rPr>
          <w:sz w:val="22"/>
          <w:szCs w:val="22"/>
        </w:rPr>
        <w:t>1.</w:t>
      </w:r>
      <w:r w:rsidRPr="00753345">
        <w:rPr>
          <w:sz w:val="22"/>
          <w:szCs w:val="22"/>
        </w:rPr>
        <w:tab/>
        <w:t>A community notification system is in place.</w:t>
      </w:r>
    </w:p>
    <w:p w:rsidR="00B56809" w:rsidRPr="00753345" w:rsidP="00B56809" w14:paraId="3EA5D9F9" w14:textId="77777777">
      <w:pPr>
        <w:rPr>
          <w:sz w:val="22"/>
          <w:szCs w:val="22"/>
        </w:rPr>
      </w:pPr>
      <w:r w:rsidRPr="00753345">
        <w:rPr>
          <w:sz w:val="22"/>
          <w:szCs w:val="22"/>
        </w:rPr>
        <w:t>2.</w:t>
      </w:r>
      <w:r w:rsidRPr="00753345">
        <w:rPr>
          <w:sz w:val="22"/>
          <w:szCs w:val="22"/>
        </w:rPr>
        <w:tab/>
        <w:t>The public is promptly notified of an RMP accident release.</w:t>
      </w:r>
    </w:p>
    <w:p w:rsidR="00B56809" w:rsidRPr="00753345" w:rsidP="00B56809" w14:paraId="7BA80DAE" w14:textId="77777777">
      <w:pPr>
        <w:rPr>
          <w:sz w:val="22"/>
          <w:szCs w:val="22"/>
        </w:rPr>
      </w:pPr>
      <w:r w:rsidRPr="00753345">
        <w:rPr>
          <w:sz w:val="22"/>
          <w:szCs w:val="22"/>
        </w:rPr>
        <w:t>3.</w:t>
      </w:r>
      <w:r w:rsidRPr="00753345">
        <w:rPr>
          <w:sz w:val="22"/>
          <w:szCs w:val="22"/>
        </w:rPr>
        <w:tab/>
        <w:t xml:space="preserve">The notification provides appropriate timely data and information to local responders with the </w:t>
      </w:r>
      <w:r w:rsidRPr="00753345">
        <w:rPr>
          <w:sz w:val="22"/>
          <w:szCs w:val="22"/>
        </w:rPr>
        <w:t>current understanding and best estimates of the nature of the release.</w:t>
      </w:r>
    </w:p>
    <w:p w:rsidR="00B56809" w:rsidRPr="00753345" w:rsidP="00B56809" w14:paraId="7921BF73" w14:textId="77777777">
      <w:pPr>
        <w:rPr>
          <w:sz w:val="22"/>
          <w:szCs w:val="22"/>
        </w:rPr>
      </w:pPr>
    </w:p>
    <w:p w:rsidR="00B56809" w:rsidP="00B56809" w14:paraId="1EBA86B5" w14:textId="77777777">
      <w:pPr>
        <w:rPr>
          <w:sz w:val="22"/>
          <w:szCs w:val="22"/>
        </w:rPr>
      </w:pPr>
      <w:r w:rsidRPr="00670236">
        <w:rPr>
          <w:sz w:val="22"/>
          <w:szCs w:val="22"/>
        </w:rPr>
        <w:t>EPA expects that these provisions, in combination with the currently required annual emergency coordination meetings and notification exercises, will enhance coordinated notification to the public, improve documented accountability for the notification process, and help ensure timely decisions about notification of releases, particularly those with offsite impacts.</w:t>
      </w:r>
    </w:p>
    <w:p w:rsidR="00B56809" w:rsidP="00B56809" w14:paraId="74CE7ED4"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B56809" w:rsidRPr="0023365A" w:rsidP="00B56809" w14:paraId="30E48A3F" w14:textId="77777777">
      <w:pPr>
        <w:rPr>
          <w:iCs/>
          <w:sz w:val="22"/>
          <w:szCs w:val="28"/>
          <w:u w:val="single"/>
        </w:rPr>
      </w:pPr>
      <w:r w:rsidRPr="0023365A">
        <w:rPr>
          <w:iCs/>
          <w:sz w:val="22"/>
          <w:szCs w:val="28"/>
          <w:u w:val="single"/>
        </w:rPr>
        <w:t>Information Availability</w:t>
      </w:r>
      <w:r>
        <w:rPr>
          <w:iCs/>
          <w:sz w:val="22"/>
          <w:szCs w:val="28"/>
          <w:u w:val="single"/>
        </w:rPr>
        <w:t>:</w:t>
      </w:r>
    </w:p>
    <w:p w:rsidR="00B56809" w:rsidP="00AD2E4A" w14:paraId="3AC760FB" w14:textId="7DFEB74F">
      <w:pPr>
        <w:rPr>
          <w:sz w:val="22"/>
          <w:szCs w:val="22"/>
        </w:rPr>
      </w:pPr>
      <w:r w:rsidRPr="001D4D60">
        <w:rPr>
          <w:sz w:val="22"/>
          <w:szCs w:val="28"/>
        </w:rPr>
        <w:t xml:space="preserve">The </w:t>
      </w:r>
      <w:r>
        <w:rPr>
          <w:sz w:val="22"/>
          <w:szCs w:val="28"/>
        </w:rPr>
        <w:t>final</w:t>
      </w:r>
      <w:r w:rsidRPr="001D4D60">
        <w:rPr>
          <w:sz w:val="22"/>
          <w:szCs w:val="28"/>
        </w:rPr>
        <w:t xml:space="preserve"> rule require</w:t>
      </w:r>
      <w:r>
        <w:rPr>
          <w:sz w:val="22"/>
          <w:szCs w:val="28"/>
        </w:rPr>
        <w:t>s</w:t>
      </w:r>
      <w:r w:rsidRPr="001D4D60">
        <w:rPr>
          <w:sz w:val="22"/>
          <w:szCs w:val="28"/>
        </w:rPr>
        <w:t xml:space="preserve"> all facilities to disclose certain chemical hazard information to the public residing within 6 miles</w:t>
      </w:r>
      <w:r>
        <w:rPr>
          <w:sz w:val="22"/>
          <w:szCs w:val="28"/>
        </w:rPr>
        <w:t xml:space="preserve"> </w:t>
      </w:r>
      <w:r w:rsidRPr="001D4D60">
        <w:rPr>
          <w:sz w:val="22"/>
          <w:szCs w:val="28"/>
        </w:rPr>
        <w:t xml:space="preserve">of the facility in the language requested by the requester. </w:t>
      </w:r>
      <w:r w:rsidRPr="00187F36">
        <w:rPr>
          <w:sz w:val="22"/>
          <w:szCs w:val="28"/>
        </w:rPr>
        <w:t xml:space="preserve">The provision also requires facilities to translate the information into two languages in addition to English. </w:t>
      </w:r>
      <w:r w:rsidRPr="0076185E">
        <w:rPr>
          <w:sz w:val="22"/>
          <w:szCs w:val="28"/>
        </w:rPr>
        <w:t>EPA</w:t>
      </w:r>
      <w:r>
        <w:rPr>
          <w:sz w:val="22"/>
          <w:szCs w:val="28"/>
        </w:rPr>
        <w:t xml:space="preserve"> </w:t>
      </w:r>
      <w:r w:rsidRPr="0076185E">
        <w:rPr>
          <w:sz w:val="22"/>
          <w:szCs w:val="28"/>
        </w:rPr>
        <w:t xml:space="preserve">assumes that facilities will require </w:t>
      </w:r>
      <w:r w:rsidR="00B115E1">
        <w:rPr>
          <w:sz w:val="22"/>
          <w:szCs w:val="28"/>
        </w:rPr>
        <w:t>identity</w:t>
      </w:r>
      <w:r w:rsidRPr="0076185E">
        <w:rPr>
          <w:sz w:val="22"/>
          <w:szCs w:val="28"/>
        </w:rPr>
        <w:t xml:space="preserve"> verification, resulting in a burden for members of the public requesting information. </w:t>
      </w:r>
      <w:r w:rsidRPr="001D4D60">
        <w:rPr>
          <w:sz w:val="22"/>
          <w:szCs w:val="28"/>
        </w:rPr>
        <w:t xml:space="preserve">These are new information availability requirements, not </w:t>
      </w:r>
      <w:r>
        <w:rPr>
          <w:sz w:val="22"/>
          <w:szCs w:val="28"/>
        </w:rPr>
        <w:t>previously</w:t>
      </w:r>
      <w:r w:rsidRPr="001D4D60">
        <w:rPr>
          <w:sz w:val="22"/>
          <w:szCs w:val="28"/>
        </w:rPr>
        <w:t xml:space="preserve"> required. The facility or its parent company, if applicable, </w:t>
      </w:r>
      <w:r>
        <w:rPr>
          <w:sz w:val="22"/>
          <w:szCs w:val="28"/>
        </w:rPr>
        <w:t>is also required</w:t>
      </w:r>
      <w:r w:rsidRPr="001D4D60">
        <w:rPr>
          <w:sz w:val="22"/>
          <w:szCs w:val="28"/>
        </w:rPr>
        <w:t xml:space="preserve"> to provide ongoing notification that the information is available upon request for those members of the public. </w:t>
      </w:r>
    </w:p>
    <w:p w:rsidR="00583EEB" w:rsidP="00BE3B98" w14:paraId="3C3F3AF1" w14:textId="77777777">
      <w:pPr>
        <w:numPr>
          <w:ilvl w:val="12"/>
          <w:numId w:val="0"/>
        </w:numPr>
        <w:rPr>
          <w:sz w:val="22"/>
          <w:szCs w:val="22"/>
        </w:rPr>
      </w:pPr>
    </w:p>
    <w:p w:rsidR="001D0FF4" w:rsidRPr="00D206B9" w:rsidP="00BE3B98" w14:paraId="56231C26" w14:textId="00096923">
      <w:pPr>
        <w:numPr>
          <w:ilvl w:val="12"/>
          <w:numId w:val="0"/>
        </w:numPr>
        <w:rPr>
          <w:b/>
          <w:bCs/>
          <w:sz w:val="22"/>
          <w:szCs w:val="22"/>
          <w:u w:val="single"/>
        </w:rPr>
      </w:pPr>
      <w:r w:rsidRPr="00D206B9">
        <w:rPr>
          <w:b/>
          <w:bCs/>
          <w:sz w:val="22"/>
          <w:szCs w:val="22"/>
          <w:u w:val="single"/>
        </w:rPr>
        <w:t>2.  How, By Whom, and For What Information is Collected</w:t>
      </w:r>
    </w:p>
    <w:p w:rsidR="00BE3B98" w:rsidP="00C962E6" w14:paraId="60C016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883B63" w:rsidRPr="00680250" w:rsidP="00FF5AA7" w14:paraId="0F45458B" w14:textId="1869953E">
      <w:pPr>
        <w:numPr>
          <w:ilvl w:val="12"/>
          <w:numId w:val="0"/>
        </w:numPr>
        <w:rPr>
          <w:i/>
          <w:iCs/>
          <w:sz w:val="22"/>
          <w:szCs w:val="22"/>
        </w:rPr>
      </w:pPr>
      <w:r w:rsidRPr="00680250">
        <w:rPr>
          <w:i/>
          <w:iCs/>
          <w:sz w:val="22"/>
          <w:szCs w:val="22"/>
        </w:rPr>
        <w:t xml:space="preserve">Overview of </w:t>
      </w:r>
      <w:r w:rsidRPr="00680250" w:rsidR="00DD76CF">
        <w:rPr>
          <w:i/>
          <w:iCs/>
          <w:sz w:val="22"/>
          <w:szCs w:val="22"/>
        </w:rPr>
        <w:t>Information Collected</w:t>
      </w:r>
    </w:p>
    <w:p w:rsidR="00DD76CF" w:rsidP="00FF5AA7" w14:paraId="123BCFD8" w14:textId="77777777">
      <w:pPr>
        <w:numPr>
          <w:ilvl w:val="12"/>
          <w:numId w:val="0"/>
        </w:numPr>
        <w:rPr>
          <w:sz w:val="22"/>
          <w:szCs w:val="22"/>
          <w:u w:val="single"/>
        </w:rPr>
      </w:pPr>
    </w:p>
    <w:p w:rsidR="00FF5AA7" w:rsidRPr="00583EEB" w:rsidP="00FF5AA7" w14:paraId="6D1FBD32" w14:textId="0F6420A6">
      <w:pPr>
        <w:numPr>
          <w:ilvl w:val="12"/>
          <w:numId w:val="0"/>
        </w:numPr>
        <w:rPr>
          <w:sz w:val="22"/>
          <w:szCs w:val="22"/>
          <w:u w:val="single"/>
        </w:rPr>
      </w:pPr>
      <w:r w:rsidRPr="00583EEB">
        <w:rPr>
          <w:sz w:val="22"/>
          <w:szCs w:val="22"/>
          <w:u w:val="single"/>
        </w:rPr>
        <w:t>Risk Management Plans:</w:t>
      </w:r>
    </w:p>
    <w:p w:rsidR="00FF5AA7" w:rsidRPr="00583EEB" w:rsidP="00FF5AA7" w14:paraId="75AA09FE" w14:textId="6893396D">
      <w:pPr>
        <w:numPr>
          <w:ilvl w:val="12"/>
          <w:numId w:val="0"/>
        </w:numPr>
        <w:rPr>
          <w:sz w:val="22"/>
          <w:szCs w:val="22"/>
        </w:rPr>
      </w:pPr>
      <w:r w:rsidRPr="00583EEB">
        <w:rPr>
          <w:sz w:val="22"/>
          <w:szCs w:val="22"/>
        </w:rPr>
        <w:t xml:space="preserve">The information collected in the risk management plans (RMPs) </w:t>
      </w:r>
      <w:r w:rsidR="00E875A5">
        <w:rPr>
          <w:sz w:val="22"/>
          <w:szCs w:val="22"/>
        </w:rPr>
        <w:t>submitted to EPA are</w:t>
      </w:r>
      <w:r w:rsidR="008E23AC">
        <w:rPr>
          <w:sz w:val="22"/>
          <w:szCs w:val="22"/>
        </w:rPr>
        <w:t xml:space="preserve"> </w:t>
      </w:r>
      <w:r w:rsidRPr="00583EEB">
        <w:rPr>
          <w:sz w:val="22"/>
          <w:szCs w:val="22"/>
        </w:rPr>
        <w:t>critical for assisting government agencies in assessing the quality and thoroughness of a source’s hazard assessment, prevention program, and emergency response program. The information is also used by State and local emergency planners to prepare or modify community response plans, identify hazards to the community and provide a basis for working with sources to prevent accidents. The public uses the information to understand the risks posed by accidental releases and to respond to warnings and advice should a release occur.</w:t>
      </w:r>
    </w:p>
    <w:p w:rsidR="00FF5AA7" w:rsidRPr="00583EEB" w:rsidP="00FF5AA7" w14:paraId="174E4598" w14:textId="77777777">
      <w:pPr>
        <w:numPr>
          <w:ilvl w:val="12"/>
          <w:numId w:val="0"/>
        </w:numPr>
        <w:rPr>
          <w:sz w:val="22"/>
          <w:szCs w:val="22"/>
        </w:rPr>
      </w:pPr>
    </w:p>
    <w:p w:rsidR="00FF5AA7" w:rsidRPr="00583EEB" w:rsidP="00FF5AA7" w14:paraId="30D0967C" w14:textId="3E3B2E89">
      <w:pPr>
        <w:numPr>
          <w:ilvl w:val="12"/>
          <w:numId w:val="0"/>
        </w:numPr>
        <w:rPr>
          <w:b/>
          <w:bCs/>
          <w:sz w:val="22"/>
          <w:szCs w:val="22"/>
          <w:u w:val="single"/>
        </w:rPr>
      </w:pPr>
      <w:r w:rsidRPr="00583EEB">
        <w:rPr>
          <w:sz w:val="22"/>
          <w:szCs w:val="22"/>
          <w:u w:val="single"/>
        </w:rPr>
        <w:t>Risk Management Programs:</w:t>
      </w:r>
    </w:p>
    <w:p w:rsidR="00C4519C" w:rsidP="00680250" w14:paraId="3A6861B7" w14:textId="1AE8AA54">
      <w:pPr>
        <w:numPr>
          <w:ilvl w:val="12"/>
          <w:numId w:val="0"/>
        </w:numPr>
        <w:rPr>
          <w:sz w:val="22"/>
          <w:szCs w:val="22"/>
        </w:rPr>
      </w:pPr>
      <w:r w:rsidRPr="00583EEB">
        <w:rPr>
          <w:sz w:val="22"/>
          <w:szCs w:val="22"/>
        </w:rPr>
        <w:t xml:space="preserve">Documentation of the implementation of risk management </w:t>
      </w:r>
      <w:r w:rsidRPr="00BB6279">
        <w:rPr>
          <w:sz w:val="22"/>
          <w:szCs w:val="22"/>
        </w:rPr>
        <w:t>programs</w:t>
      </w:r>
      <w:r w:rsidR="00D04961">
        <w:rPr>
          <w:sz w:val="22"/>
          <w:szCs w:val="22"/>
        </w:rPr>
        <w:t xml:space="preserve"> (RMPs)</w:t>
      </w:r>
      <w:r w:rsidRPr="00583EEB">
        <w:rPr>
          <w:sz w:val="22"/>
          <w:szCs w:val="22"/>
        </w:rPr>
        <w:t xml:space="preserve"> is necessary to assist government agencies in determining whether a source has complied with the regulations. In some cases (e.g., safety information and operating procedures), the documentation is a critical requirement of the rule and provides the basis for other rule elements. The documentation also is important to provide a basis for the facility’s ability to ensure implementation (e.g., training and maintenance records), to audit compliance, and to review past activities. Furthermore, records of past analyses can limit the burden of updates by reducing the need to repeat analyses for elements that are unchanged since the previous review.</w:t>
      </w:r>
    </w:p>
    <w:p w:rsidR="003925EB" w:rsidRPr="00680250" w:rsidP="00CD7D39" w14:paraId="32C963C3" w14:textId="7A6E3938">
      <w:pPr>
        <w:rPr>
          <w:sz w:val="22"/>
          <w:szCs w:val="22"/>
        </w:rPr>
      </w:pPr>
    </w:p>
    <w:p w:rsidR="003925EB" w:rsidRPr="00680250" w:rsidP="003925EB" w14:paraId="0FA7FEB2"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680250">
        <w:rPr>
          <w:i/>
          <w:iCs/>
          <w:sz w:val="22"/>
          <w:szCs w:val="22"/>
        </w:rPr>
        <w:t>Collection Methodology and Management</w:t>
      </w:r>
      <w:r w:rsidRPr="00680250">
        <w:rPr>
          <w:sz w:val="22"/>
          <w:szCs w:val="22"/>
        </w:rPr>
        <w:t xml:space="preserve"> - The information required by STAA will be collected in a STAA clearinghouse.</w:t>
      </w:r>
    </w:p>
    <w:p w:rsidR="003925EB" w:rsidRPr="00680250" w:rsidP="003925EB" w14:paraId="3AE29E59"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3925EB" w:rsidRPr="00680250" w:rsidP="003925EB" w14:paraId="22E19234" w14:textId="239EA15E">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680250">
        <w:rPr>
          <w:i/>
          <w:iCs/>
          <w:sz w:val="22"/>
          <w:szCs w:val="22"/>
        </w:rPr>
        <w:t>Collection Schedule</w:t>
      </w:r>
      <w:r w:rsidRPr="00680250">
        <w:rPr>
          <w:sz w:val="22"/>
          <w:szCs w:val="22"/>
        </w:rPr>
        <w:t xml:space="preserve"> - For STAA, by 3 years after the effective date of the final rule, the owner or operator of </w:t>
      </w:r>
      <w:r w:rsidR="00630174">
        <w:rPr>
          <w:sz w:val="22"/>
          <w:szCs w:val="22"/>
        </w:rPr>
        <w:t>sources subject to the STAA provision</w:t>
      </w:r>
      <w:r w:rsidR="0041292D">
        <w:rPr>
          <w:sz w:val="22"/>
          <w:szCs w:val="22"/>
        </w:rPr>
        <w:t xml:space="preserve"> must h</w:t>
      </w:r>
      <w:r w:rsidRPr="00680250">
        <w:rPr>
          <w:sz w:val="22"/>
          <w:szCs w:val="22"/>
        </w:rPr>
        <w:t xml:space="preserve">ave completed or updated their PHA to include a STAA. </w:t>
      </w:r>
    </w:p>
    <w:p w:rsidR="003925EB" w:rsidRPr="00680250" w:rsidP="003925EB" w14:paraId="42B28E8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680250">
        <w:rPr>
          <w:sz w:val="22"/>
          <w:szCs w:val="22"/>
        </w:rPr>
        <w:tab/>
      </w:r>
    </w:p>
    <w:p w:rsidR="003925EB" w:rsidRPr="00680250" w:rsidP="003925EB" w14:paraId="57120537"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680250">
        <w:rPr>
          <w:sz w:val="22"/>
          <w:szCs w:val="22"/>
        </w:rPr>
        <w:t xml:space="preserve">For incident investigation root cause analysis, the owner or operator of a source that experiences any RMP-reportable accident more than 3 years after the effective date of the rule must conduct a root cause analysis for their incident investigation of the accident. </w:t>
      </w:r>
    </w:p>
    <w:p w:rsidR="003925EB" w:rsidRPr="00680250" w:rsidP="003925EB" w14:paraId="695EEFB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3925EB" w:rsidRPr="00680250" w:rsidP="003925EB" w14:paraId="7A1F060F" w14:textId="6FEC6279">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680250">
        <w:rPr>
          <w:sz w:val="22"/>
          <w:szCs w:val="22"/>
        </w:rPr>
        <w:t>For third-party compliance audits, the owner or operator of a source where a reportable accident in an RMP-regulated process occurs after 3 years of the effective date of the final rule</w:t>
      </w:r>
      <w:r w:rsidR="004F15B8">
        <w:rPr>
          <w:sz w:val="22"/>
          <w:szCs w:val="22"/>
        </w:rPr>
        <w:t xml:space="preserve"> </w:t>
      </w:r>
      <w:r w:rsidRPr="00680250">
        <w:rPr>
          <w:sz w:val="22"/>
          <w:szCs w:val="22"/>
        </w:rPr>
        <w:t xml:space="preserve">must obtain a third-party </w:t>
      </w:r>
      <w:r w:rsidRPr="00680250">
        <w:rPr>
          <w:sz w:val="22"/>
          <w:szCs w:val="22"/>
        </w:rPr>
        <w:t xml:space="preserve">audit for their next required compliance audit. </w:t>
      </w:r>
    </w:p>
    <w:p w:rsidR="003925EB" w:rsidRPr="00680250" w:rsidP="003925EB" w14:paraId="133871B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680250">
        <w:rPr>
          <w:sz w:val="22"/>
          <w:szCs w:val="22"/>
        </w:rPr>
        <w:tab/>
      </w:r>
    </w:p>
    <w:p w:rsidR="003925EB" w:rsidRPr="00680250" w:rsidP="003925EB" w14:paraId="776EAA6E"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680250">
        <w:rPr>
          <w:sz w:val="22"/>
          <w:szCs w:val="22"/>
        </w:rPr>
        <w:t xml:space="preserve">For employee participation, by 3 years after the effective date of the final rule, the owner or operator of a source must have updated or developed—and begun implementing—an employee participation plan that addresses employee consultation when resolving PHA, compliance audit, and incident investigation recommendations and decisions; stop work authorities; and RMP accident and non-compliance reporting. </w:t>
      </w:r>
    </w:p>
    <w:p w:rsidR="003925EB" w:rsidRPr="00680250" w:rsidP="003925EB" w14:paraId="6B8D25F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680250">
        <w:rPr>
          <w:sz w:val="22"/>
          <w:szCs w:val="22"/>
        </w:rPr>
        <w:tab/>
      </w:r>
    </w:p>
    <w:p w:rsidR="003925EB" w:rsidRPr="00680250" w:rsidP="003925EB" w14:paraId="20F62CB4"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680250">
        <w:rPr>
          <w:sz w:val="22"/>
          <w:szCs w:val="22"/>
        </w:rPr>
        <w:t xml:space="preserve">For emergency response, by 3 years after the effective date of the final rule, the owner or operator of a non-responding source must have onsite documentation of emergency response public notification procedures. Also, by 3 years after the effective date of the final rule, </w:t>
      </w:r>
      <w:r w:rsidRPr="00680250">
        <w:rPr>
          <w:sz w:val="22"/>
          <w:szCs w:val="22"/>
        </w:rPr>
        <w:t>owners</w:t>
      </w:r>
      <w:r w:rsidRPr="00680250">
        <w:rPr>
          <w:sz w:val="22"/>
          <w:szCs w:val="22"/>
        </w:rPr>
        <w:t xml:space="preserve"> or operators of non-responding and responding sources must have the means to ensure that a community notification system is in place to warn the public of releases. In addition, for any RMP-reportable accident occurring more than 3 years after the effective date of the final rule, sources must provide appropriate and timely data and information to local responders detailing their current understanding and best estimates of the nature of the release. Finally, by 3 years after the effective date of the rule, emergency exercise evaluation reports must include documentation of specific exercise elements. </w:t>
      </w:r>
    </w:p>
    <w:p w:rsidR="003925EB" w:rsidRPr="00680250" w:rsidP="003925EB" w14:paraId="1F1DC33E"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680250">
        <w:rPr>
          <w:sz w:val="22"/>
          <w:szCs w:val="22"/>
        </w:rPr>
        <w:tab/>
      </w:r>
    </w:p>
    <w:p w:rsidR="003925EB" w:rsidRPr="00D206B9" w:rsidP="00680250" w14:paraId="6E059B89" w14:textId="18FA02E1">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680250">
        <w:rPr>
          <w:sz w:val="22"/>
          <w:szCs w:val="22"/>
        </w:rPr>
        <w:t>For information availability, this means that by 3 years after the effective date of the final rule, the owner or operator must make the required chemical hazard information available to the public upon request and provide notification to the public that the information is available.</w:t>
      </w:r>
    </w:p>
    <w:p w:rsidR="00BE1ACE" w:rsidP="00D206B9" w14:paraId="23C06B92"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F24AD3" w:rsidRPr="00F24AD3" w:rsidP="00F24AD3" w14:paraId="72A2DE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u w:val="single"/>
        </w:rPr>
      </w:pPr>
      <w:r w:rsidRPr="00F24AD3">
        <w:rPr>
          <w:b/>
          <w:bCs/>
          <w:sz w:val="22"/>
          <w:szCs w:val="22"/>
          <w:u w:val="single"/>
        </w:rPr>
        <w:t>3. Electronic Submission</w:t>
      </w:r>
    </w:p>
    <w:p w:rsidR="00BE3B98" w:rsidP="006F7FA6" w14:paraId="4513C8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u w:val="single"/>
        </w:rPr>
      </w:pPr>
    </w:p>
    <w:p w:rsidR="00D97D3D" w:rsidP="00D206B9" w14:paraId="1DD61759" w14:textId="644084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r>
        <w:rPr>
          <w:color w:val="000000"/>
          <w:sz w:val="22"/>
          <w:szCs w:val="22"/>
        </w:rPr>
        <w:t>In 2009, EPA instituted</w:t>
      </w:r>
      <w:r w:rsidR="007D2D2B">
        <w:rPr>
          <w:color w:val="000000"/>
          <w:sz w:val="22"/>
          <w:szCs w:val="22"/>
        </w:rPr>
        <w:t xml:space="preserve"> RMP*</w:t>
      </w:r>
      <w:r w:rsidR="007D2D2B">
        <w:rPr>
          <w:color w:val="000000"/>
          <w:sz w:val="22"/>
          <w:szCs w:val="22"/>
        </w:rPr>
        <w:t>eSubmit</w:t>
      </w:r>
      <w:r w:rsidR="007D2D2B">
        <w:rPr>
          <w:color w:val="000000"/>
          <w:sz w:val="22"/>
          <w:szCs w:val="22"/>
        </w:rPr>
        <w:t>,</w:t>
      </w:r>
      <w:r>
        <w:rPr>
          <w:color w:val="000000"/>
          <w:sz w:val="22"/>
          <w:szCs w:val="22"/>
        </w:rPr>
        <w:t xml:space="preserve"> a </w:t>
      </w:r>
      <w:r>
        <w:rPr>
          <w:color w:val="000000"/>
          <w:sz w:val="22"/>
          <w:szCs w:val="22"/>
        </w:rPr>
        <w:t>web-based</w:t>
      </w:r>
      <w:r>
        <w:rPr>
          <w:color w:val="000000"/>
          <w:sz w:val="22"/>
          <w:szCs w:val="22"/>
        </w:rPr>
        <w:t xml:space="preserve"> RMP submission system, which allows sources to submit their RMP directly to EPA over the internet. RMP*</w:t>
      </w:r>
      <w:r>
        <w:rPr>
          <w:color w:val="000000"/>
          <w:sz w:val="22"/>
          <w:szCs w:val="22"/>
        </w:rPr>
        <w:t>eSubmit</w:t>
      </w:r>
      <w:r>
        <w:rPr>
          <w:color w:val="000000"/>
          <w:sz w:val="22"/>
          <w:szCs w:val="22"/>
        </w:rPr>
        <w:t xml:space="preserve"> includes pick lists for chemical names, </w:t>
      </w:r>
      <w:r w:rsidRPr="003670DD" w:rsidR="003670DD">
        <w:rPr>
          <w:color w:val="000000"/>
          <w:sz w:val="22"/>
          <w:szCs w:val="22"/>
        </w:rPr>
        <w:t xml:space="preserve">Local Emergency Planning Committees </w:t>
      </w:r>
      <w:r w:rsidR="003670DD">
        <w:rPr>
          <w:color w:val="000000"/>
          <w:sz w:val="22"/>
          <w:szCs w:val="22"/>
        </w:rPr>
        <w:t>(</w:t>
      </w:r>
      <w:r>
        <w:rPr>
          <w:color w:val="000000"/>
          <w:sz w:val="22"/>
          <w:szCs w:val="22"/>
        </w:rPr>
        <w:t>LEPCs</w:t>
      </w:r>
      <w:r w:rsidR="003670DD">
        <w:rPr>
          <w:color w:val="000000"/>
          <w:sz w:val="22"/>
          <w:szCs w:val="22"/>
        </w:rPr>
        <w:t>)</w:t>
      </w:r>
      <w:r>
        <w:rPr>
          <w:color w:val="000000"/>
          <w:sz w:val="22"/>
          <w:szCs w:val="22"/>
        </w:rPr>
        <w:t>, and certain other data elements from which a source may choose its responses. RMP*</w:t>
      </w:r>
      <w:r>
        <w:rPr>
          <w:color w:val="000000"/>
          <w:sz w:val="22"/>
          <w:szCs w:val="22"/>
        </w:rPr>
        <w:t>eSubmit</w:t>
      </w:r>
      <w:r>
        <w:rPr>
          <w:color w:val="000000"/>
          <w:sz w:val="22"/>
          <w:szCs w:val="22"/>
        </w:rPr>
        <w:t xml:space="preserve"> and accompanying documentation are available via EPA’s website. The web-based system reduces burden for facilities by simplifying the RMP submission process. It also has improved data quality and security. </w:t>
      </w:r>
    </w:p>
    <w:p w:rsidR="00D97D3D" w:rsidP="00D97D3D" w14:paraId="394A71EC"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p>
    <w:p w:rsidR="00D97D3D" w:rsidP="00D97D3D" w14:paraId="7801343C" w14:textId="2608331A">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r>
        <w:rPr>
          <w:color w:val="000000"/>
          <w:sz w:val="22"/>
          <w:szCs w:val="22"/>
        </w:rPr>
        <w:t xml:space="preserve">Other software applications allow processing of the RMPs and creation of a database, which are functions performed by contractors who operate EPA’s RMP Reporting Center to which facilities electronically submit their RMPs. The suite of applications also includes RMP*Info, a database with extracts from the main RMP database and query functions, and software to assist in querying the database. </w:t>
      </w:r>
    </w:p>
    <w:p w:rsidR="00D97D3D" w:rsidP="00D97D3D" w14:paraId="613DE944"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p>
    <w:p w:rsidR="00D97D3D" w:rsidP="00D97D3D" w14:paraId="1F2ABF21"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r>
        <w:rPr>
          <w:color w:val="000000"/>
          <w:sz w:val="22"/>
          <w:szCs w:val="22"/>
        </w:rPr>
        <w:tab/>
        <w:t>The Agency performs the following activities:</w:t>
      </w:r>
    </w:p>
    <w:p w:rsidR="00D97D3D" w:rsidP="00D97D3D" w14:paraId="45F31E45"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p>
    <w:p w:rsidR="00D97D3D" w:rsidP="00D97D3D" w14:paraId="1ADD0945" w14:textId="77777777">
      <w:pPr>
        <w:pStyle w:val="ListParagraph"/>
        <w:numPr>
          <w:ilvl w:val="0"/>
          <w:numId w:val="1"/>
        </w:num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after="120"/>
        <w:rPr>
          <w:color w:val="000000"/>
          <w:sz w:val="22"/>
          <w:szCs w:val="22"/>
        </w:rPr>
      </w:pPr>
      <w:r>
        <w:rPr>
          <w:color w:val="000000"/>
          <w:sz w:val="22"/>
          <w:szCs w:val="22"/>
        </w:rPr>
        <w:t>Makes the RMP submission system, database, software and forms available.</w:t>
      </w:r>
    </w:p>
    <w:p w:rsidR="00D97D3D" w:rsidP="00D97D3D" w14:paraId="2CB96B7E" w14:textId="77777777">
      <w:pPr>
        <w:pStyle w:val="ListParagraph"/>
        <w:numPr>
          <w:ilvl w:val="0"/>
          <w:numId w:val="1"/>
        </w:num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after="120"/>
        <w:rPr>
          <w:color w:val="000000"/>
          <w:sz w:val="22"/>
          <w:szCs w:val="22"/>
        </w:rPr>
      </w:pPr>
      <w:r>
        <w:rPr>
          <w:color w:val="000000"/>
          <w:sz w:val="22"/>
          <w:szCs w:val="22"/>
        </w:rPr>
        <w:t xml:space="preserve">Processes the RMPs submitted by sources into a database and makes the information available through various means. </w:t>
      </w:r>
    </w:p>
    <w:p w:rsidR="00D97D3D" w:rsidP="00D97D3D" w14:paraId="605D88EE" w14:textId="77777777">
      <w:pPr>
        <w:pStyle w:val="ListParagraph"/>
        <w:numPr>
          <w:ilvl w:val="0"/>
          <w:numId w:val="1"/>
        </w:num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after="120"/>
        <w:rPr>
          <w:color w:val="000000"/>
          <w:sz w:val="22"/>
          <w:szCs w:val="22"/>
        </w:rPr>
      </w:pPr>
      <w:r>
        <w:rPr>
          <w:color w:val="000000"/>
          <w:sz w:val="22"/>
          <w:szCs w:val="22"/>
        </w:rPr>
        <w:t xml:space="preserve">Answers any questions from sources concerning the submission process. </w:t>
      </w:r>
    </w:p>
    <w:p w:rsidR="00D97D3D" w:rsidP="00D97D3D" w14:paraId="7F5AE939" w14:textId="15D89516">
      <w:pPr>
        <w:pStyle w:val="ListParagraph"/>
        <w:numPr>
          <w:ilvl w:val="0"/>
          <w:numId w:val="1"/>
        </w:num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after="120"/>
        <w:rPr>
          <w:color w:val="000000"/>
          <w:sz w:val="22"/>
          <w:szCs w:val="22"/>
        </w:rPr>
      </w:pPr>
      <w:r>
        <w:rPr>
          <w:color w:val="000000"/>
          <w:sz w:val="22"/>
          <w:szCs w:val="22"/>
        </w:rPr>
        <w:t>Processes any claims of confidential business information</w:t>
      </w:r>
      <w:r w:rsidR="00FB1965">
        <w:rPr>
          <w:color w:val="000000"/>
          <w:sz w:val="22"/>
          <w:szCs w:val="22"/>
        </w:rPr>
        <w:t xml:space="preserve"> (C</w:t>
      </w:r>
      <w:r w:rsidR="00D45CDC">
        <w:rPr>
          <w:color w:val="000000"/>
          <w:sz w:val="22"/>
          <w:szCs w:val="22"/>
        </w:rPr>
        <w:t>B</w:t>
      </w:r>
      <w:r w:rsidR="00FB1965">
        <w:rPr>
          <w:color w:val="000000"/>
          <w:sz w:val="22"/>
          <w:szCs w:val="22"/>
        </w:rPr>
        <w:t>I)</w:t>
      </w:r>
      <w:r>
        <w:rPr>
          <w:color w:val="000000"/>
          <w:sz w:val="22"/>
          <w:szCs w:val="22"/>
        </w:rPr>
        <w:t>.</w:t>
      </w:r>
    </w:p>
    <w:p w:rsidR="00D97D3D" w:rsidP="00D97D3D" w14:paraId="5DB23CF2" w14:textId="77777777">
      <w:pPr>
        <w:pStyle w:val="ListParagraph"/>
        <w:numPr>
          <w:ilvl w:val="0"/>
          <w:numId w:val="1"/>
        </w:num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after="120"/>
        <w:rPr>
          <w:color w:val="000000"/>
          <w:sz w:val="22"/>
          <w:szCs w:val="22"/>
        </w:rPr>
      </w:pPr>
      <w:r>
        <w:rPr>
          <w:color w:val="000000"/>
          <w:sz w:val="22"/>
          <w:szCs w:val="22"/>
        </w:rPr>
        <w:t>Notifies each submitter of the status of their RMP.</w:t>
      </w:r>
    </w:p>
    <w:p w:rsidR="00D97D3D" w:rsidP="00D97D3D" w14:paraId="19D8F8E4" w14:textId="77777777">
      <w:pPr>
        <w:pStyle w:val="ListParagraph"/>
        <w:numPr>
          <w:ilvl w:val="0"/>
          <w:numId w:val="1"/>
        </w:num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after="120"/>
        <w:rPr>
          <w:color w:val="000000"/>
          <w:sz w:val="22"/>
          <w:szCs w:val="22"/>
        </w:rPr>
      </w:pPr>
      <w:r>
        <w:rPr>
          <w:color w:val="000000"/>
          <w:sz w:val="22"/>
          <w:szCs w:val="22"/>
        </w:rPr>
        <w:t>Stores RMP submissions and retrieves information.</w:t>
      </w:r>
    </w:p>
    <w:p w:rsidR="00D97D3D" w:rsidP="00D97D3D" w14:paraId="33D108AA" w14:textId="77777777">
      <w:pPr>
        <w:pStyle w:val="ListParagraph"/>
        <w:numPr>
          <w:ilvl w:val="0"/>
          <w:numId w:val="1"/>
        </w:num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after="120"/>
        <w:rPr>
          <w:color w:val="000000"/>
          <w:sz w:val="22"/>
          <w:szCs w:val="22"/>
        </w:rPr>
      </w:pPr>
      <w:r>
        <w:rPr>
          <w:color w:val="000000"/>
          <w:sz w:val="22"/>
          <w:szCs w:val="22"/>
        </w:rPr>
        <w:t xml:space="preserve">Provides technical assistance to sources. </w:t>
      </w:r>
    </w:p>
    <w:p w:rsidR="00D97D3D" w:rsidP="00D97D3D" w14:paraId="75462052" w14:textId="77777777">
      <w:pPr>
        <w:pStyle w:val="ListParagraph"/>
        <w:numPr>
          <w:ilvl w:val="0"/>
          <w:numId w:val="1"/>
        </w:num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after="120"/>
        <w:rPr>
          <w:color w:val="000000"/>
          <w:sz w:val="22"/>
          <w:szCs w:val="22"/>
        </w:rPr>
      </w:pPr>
      <w:r>
        <w:rPr>
          <w:color w:val="000000"/>
          <w:sz w:val="22"/>
          <w:szCs w:val="22"/>
        </w:rPr>
        <w:t>Maintains the RMP database.</w:t>
      </w:r>
    </w:p>
    <w:p w:rsidR="00D97D3D" w:rsidP="00D97D3D" w14:paraId="1E52DD55" w14:textId="77777777">
      <w:pPr>
        <w:pStyle w:val="ListParagraph"/>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left="1080"/>
        <w:rPr>
          <w:color w:val="000000"/>
          <w:sz w:val="22"/>
          <w:szCs w:val="22"/>
        </w:rPr>
      </w:pPr>
    </w:p>
    <w:p w:rsidR="00D97D3D" w:rsidP="00D206B9" w14:paraId="6C01BCF3" w14:textId="0BD049B5">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r>
        <w:rPr>
          <w:color w:val="000000"/>
          <w:sz w:val="22"/>
          <w:szCs w:val="22"/>
        </w:rPr>
        <w:t xml:space="preserve">The EPA contractor who operates the reporting center processes electronically submitted RMPs. The Center also responds to questions from sources and handles any CBI. </w:t>
      </w:r>
    </w:p>
    <w:p w:rsidR="00D97D3D" w:rsidP="00D97D3D" w14:paraId="19BAA387"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p>
    <w:p w:rsidR="00D97D3D" w:rsidP="00D206B9" w14:paraId="28201F3A" w14:textId="50A86BB6">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r>
        <w:rPr>
          <w:color w:val="000000"/>
          <w:sz w:val="22"/>
          <w:szCs w:val="22"/>
        </w:rPr>
        <w:t xml:space="preserve">EPA also has provided web-based access to the database by Federal, </w:t>
      </w:r>
      <w:r>
        <w:rPr>
          <w:color w:val="000000"/>
          <w:sz w:val="22"/>
          <w:szCs w:val="22"/>
        </w:rPr>
        <w:t>State</w:t>
      </w:r>
      <w:r>
        <w:rPr>
          <w:color w:val="000000"/>
          <w:sz w:val="22"/>
          <w:szCs w:val="22"/>
        </w:rPr>
        <w:t xml:space="preserve"> and local government officials through RMP*Info now available via the Agency’s Central Data Exchange. </w:t>
      </w:r>
    </w:p>
    <w:p w:rsidR="00BE3B98" w:rsidP="006F7FA6" w14:paraId="3303F3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u w:val="single"/>
        </w:rPr>
      </w:pPr>
    </w:p>
    <w:p w:rsidR="006F7FA6" w:rsidRPr="006F7FA6" w:rsidP="006F7FA6" w14:paraId="66436285" w14:textId="481A4633">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u w:val="single"/>
        </w:rPr>
      </w:pPr>
      <w:r w:rsidRPr="006F7FA6">
        <w:rPr>
          <w:b/>
          <w:bCs/>
          <w:sz w:val="22"/>
          <w:szCs w:val="22"/>
          <w:u w:val="single"/>
        </w:rPr>
        <w:t>4. Non-duplication, Consultations, and Other Collection Criteria</w:t>
      </w:r>
    </w:p>
    <w:p w:rsidR="00DC1F31" w:rsidP="00575402" w14:paraId="1C5C17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themeColor="text1"/>
        </w:rPr>
      </w:pPr>
    </w:p>
    <w:p w:rsidR="00DC1F31" w:rsidRPr="00D206B9" w14:paraId="4B53E1AF" w14:textId="1D7ECFCF">
      <w:pPr>
        <w:rPr>
          <w:color w:val="000000" w:themeColor="text1"/>
          <w:sz w:val="22"/>
          <w:szCs w:val="22"/>
        </w:rPr>
      </w:pPr>
      <w:r w:rsidRPr="003F3C29">
        <w:rPr>
          <w:sz w:val="22"/>
          <w:szCs w:val="22"/>
        </w:rPr>
        <w:t xml:space="preserve">In the United States, the Emergency Planning and Community Right to Know Act (EPCRA) was enacted in 1986 to promote community emergency planning and preparedness and provide local responders and the public with information about the chemical hazards in their community (42 U.S.C. 11002 et seq.). In 1990, sections 112(r) and 304 of the CAA were enacted to help prevent severe chemical facility accidents. Section 304 required the Occupational Safety &amp; Health Administration (OSHA) to publish a chemical process safety standard (Process Safety Management, or PSM standard) to prevent accidental releases of chemicals that could pose a threat to employees. </w:t>
      </w:r>
      <w:r w:rsidRPr="003F3C29" w:rsidR="001A559F">
        <w:rPr>
          <w:sz w:val="22"/>
          <w:szCs w:val="22"/>
        </w:rPr>
        <w:t xml:space="preserve">Section 112(r) required the EPA to publish Accidental Release Prevention Program regulations to prevent chemical releases or minimize their consequences if they occur. </w:t>
      </w:r>
      <w:r w:rsidRPr="003F3C29" w:rsidR="002276CF">
        <w:rPr>
          <w:sz w:val="22"/>
          <w:szCs w:val="22"/>
        </w:rPr>
        <w:t xml:space="preserve">CAA </w:t>
      </w:r>
      <w:r w:rsidRPr="003F3C29">
        <w:rPr>
          <w:color w:val="000000" w:themeColor="text1"/>
          <w:sz w:val="22"/>
          <w:szCs w:val="22"/>
        </w:rPr>
        <w:t>section 112(r) requires the owner or operator of an affected facility to develop and file a Risk Management Plan with EPA, the U.S. Chemical Safety Board (CSB) (also established under the section), the State, and local response agencies. OSHA adopted its PSM standard (codified at 29</w:t>
      </w:r>
      <w:r w:rsidR="00CB6207">
        <w:rPr>
          <w:color w:val="000000" w:themeColor="text1"/>
          <w:sz w:val="22"/>
          <w:szCs w:val="22"/>
        </w:rPr>
        <w:t> </w:t>
      </w:r>
      <w:r w:rsidRPr="003F3C29">
        <w:rPr>
          <w:color w:val="000000" w:themeColor="text1"/>
          <w:sz w:val="22"/>
          <w:szCs w:val="22"/>
        </w:rPr>
        <w:t>CFR</w:t>
      </w:r>
      <w:r w:rsidR="00CB6207">
        <w:rPr>
          <w:color w:val="000000" w:themeColor="text1"/>
          <w:sz w:val="22"/>
          <w:szCs w:val="22"/>
        </w:rPr>
        <w:t> </w:t>
      </w:r>
      <w:r w:rsidRPr="003F3C29">
        <w:rPr>
          <w:color w:val="000000" w:themeColor="text1"/>
          <w:sz w:val="22"/>
          <w:szCs w:val="22"/>
        </w:rPr>
        <w:t>1910.119) in 1992 (57 FR 6403, Feb. 24, 1992).</w:t>
      </w:r>
      <w:r w:rsidR="00BA15FB">
        <w:rPr>
          <w:color w:val="000000" w:themeColor="text1"/>
          <w:sz w:val="22"/>
          <w:szCs w:val="22"/>
        </w:rPr>
        <w:t xml:space="preserve"> </w:t>
      </w:r>
      <w:r w:rsidRPr="00C40162" w:rsidR="00BA15FB">
        <w:rPr>
          <w:sz w:val="22"/>
          <w:szCs w:val="22"/>
        </w:rPr>
        <w:t xml:space="preserve">However, not all the information in the RMP registration section, and almost none of the information in the prevention program and hazard assessment sections of the RMP, is submitted to EPA under other regulations. </w:t>
      </w:r>
      <w:r w:rsidRPr="00F558FE" w:rsidR="00BA15FB">
        <w:rPr>
          <w:sz w:val="22"/>
          <w:szCs w:val="22"/>
        </w:rPr>
        <w:t xml:space="preserve">The </w:t>
      </w:r>
      <w:smartTag w:uri="urn:schemas-microsoft-com:office:smarttags" w:element="stockticker">
        <w:r w:rsidRPr="00F558FE" w:rsidR="00BA15FB">
          <w:rPr>
            <w:sz w:val="22"/>
            <w:szCs w:val="22"/>
          </w:rPr>
          <w:t>EPC</w:t>
        </w:r>
      </w:smartTag>
      <w:r w:rsidRPr="00F558FE" w:rsidR="00BA15FB">
        <w:rPr>
          <w:sz w:val="22"/>
          <w:szCs w:val="22"/>
        </w:rPr>
        <w:t xml:space="preserve">RA </w:t>
      </w:r>
      <w:r w:rsidR="00BA15FB">
        <w:rPr>
          <w:sz w:val="22"/>
          <w:szCs w:val="22"/>
        </w:rPr>
        <w:t xml:space="preserve">section </w:t>
      </w:r>
      <w:r w:rsidRPr="00F558FE" w:rsidR="00BA15FB">
        <w:rPr>
          <w:sz w:val="22"/>
          <w:szCs w:val="22"/>
        </w:rPr>
        <w:t>312</w:t>
      </w:r>
      <w:r w:rsidRPr="00D0493E" w:rsidR="00BA15FB">
        <w:rPr>
          <w:sz w:val="22"/>
          <w:szCs w:val="22"/>
        </w:rPr>
        <w:t xml:space="preserve"> </w:t>
      </w:r>
      <w:r w:rsidRPr="005200BE" w:rsidR="00BA15FB">
        <w:rPr>
          <w:sz w:val="22"/>
          <w:szCs w:val="22"/>
        </w:rPr>
        <w:t>Tier II forms, which also include some information similar to that in the RMP registration form</w:t>
      </w:r>
      <w:r w:rsidRPr="00D206B9" w:rsidR="00BA15FB">
        <w:rPr>
          <w:color w:val="000000" w:themeColor="text1"/>
          <w:sz w:val="22"/>
          <w:szCs w:val="22"/>
        </w:rPr>
        <w:t>, are submitted only to States and local planning authorities, not to EPA.</w:t>
      </w:r>
    </w:p>
    <w:p w:rsidR="00430E80" w:rsidRPr="00D206B9" w14:paraId="38770F1B" w14:textId="77777777">
      <w:pPr>
        <w:rPr>
          <w:color w:val="000000" w:themeColor="text1"/>
          <w:sz w:val="22"/>
          <w:szCs w:val="22"/>
        </w:rPr>
      </w:pPr>
    </w:p>
    <w:p w:rsidR="004C6C56" w:rsidRPr="004C6C56" w:rsidP="00D206B9" w14:paraId="0201E0CB" w14:textId="24F6EB4D">
      <w:pPr>
        <w:rPr>
          <w:sz w:val="22"/>
          <w:szCs w:val="22"/>
        </w:rPr>
      </w:pPr>
      <w:r w:rsidRPr="00D206B9">
        <w:rPr>
          <w:sz w:val="22"/>
          <w:szCs w:val="22"/>
        </w:rPr>
        <w:t xml:space="preserve">As </w:t>
      </w:r>
      <w:r w:rsidR="00AA1355">
        <w:rPr>
          <w:sz w:val="22"/>
          <w:szCs w:val="22"/>
        </w:rPr>
        <w:t xml:space="preserve">discussed in more detail in the </w:t>
      </w:r>
      <w:r w:rsidR="00554502">
        <w:rPr>
          <w:sz w:val="22"/>
          <w:szCs w:val="22"/>
        </w:rPr>
        <w:t>final rule</w:t>
      </w:r>
      <w:r w:rsidRPr="00D206B9">
        <w:rPr>
          <w:sz w:val="22"/>
          <w:szCs w:val="22"/>
        </w:rPr>
        <w:t xml:space="preserve">, the OSHA PSM standard and EPA RMP regulations are closely aligned in content, policy interpretations, and enforcement. Congress recognized this relationship by requiring EPA to coordinate its requirements with those of OSHA in developing accident prevention regulations and requiring OSHA to coordinate with EPA when developing its PSM standard (see CAA section 112(r)((7)(D) and CAA section 304(a)). Therefore, since the inception of these regulations, EPA and OSHA have coordinated closely on their implementation in order to minimize regulatory burden and avoid conflicting requirements for regulated facilities. This coordination continued throughout the development of this </w:t>
      </w:r>
      <w:r w:rsidR="00121A9F">
        <w:rPr>
          <w:sz w:val="22"/>
          <w:szCs w:val="22"/>
        </w:rPr>
        <w:t xml:space="preserve">final </w:t>
      </w:r>
      <w:r w:rsidRPr="00D206B9">
        <w:rPr>
          <w:sz w:val="22"/>
          <w:szCs w:val="22"/>
        </w:rPr>
        <w:t xml:space="preserve">rule and is explained further </w:t>
      </w:r>
      <w:r w:rsidR="006B46BA">
        <w:rPr>
          <w:sz w:val="22"/>
          <w:szCs w:val="22"/>
        </w:rPr>
        <w:t xml:space="preserve">as it relates to specific provisions of the final rule </w:t>
      </w:r>
      <w:r w:rsidRPr="00D206B9">
        <w:rPr>
          <w:sz w:val="22"/>
          <w:szCs w:val="22"/>
        </w:rPr>
        <w:t xml:space="preserve">in the relevant sections </w:t>
      </w:r>
      <w:r w:rsidR="006B46BA">
        <w:rPr>
          <w:sz w:val="22"/>
          <w:szCs w:val="22"/>
        </w:rPr>
        <w:t>of the final rule</w:t>
      </w:r>
      <w:r w:rsidRPr="00D206B9">
        <w:rPr>
          <w:sz w:val="22"/>
          <w:szCs w:val="22"/>
        </w:rPr>
        <w:t>.</w:t>
      </w:r>
    </w:p>
    <w:p w:rsidR="00575402" w:rsidRPr="00F4215E" w:rsidP="00575402" w14:paraId="294A37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E83C7A" w:rsidP="008B46E6" w14:paraId="0A71AE65" w14:textId="7CD08FD4">
      <w:pPr>
        <w:pStyle w:val="BodyText"/>
        <w:spacing w:line="240" w:lineRule="auto"/>
        <w:ind w:firstLine="0"/>
        <w:rPr>
          <w:b/>
          <w:sz w:val="22"/>
          <w:szCs w:val="22"/>
          <w:u w:val="single"/>
        </w:rPr>
      </w:pPr>
      <w:r w:rsidRPr="00E83C7A">
        <w:rPr>
          <w:b/>
          <w:sz w:val="22"/>
          <w:szCs w:val="22"/>
          <w:u w:val="single"/>
        </w:rPr>
        <w:t>5. Impact on Small Businesses</w:t>
      </w:r>
    </w:p>
    <w:p w:rsidR="00CA27BE" w:rsidRPr="00E83C7A" w:rsidP="00D206B9" w14:paraId="7E765FC9" w14:textId="77777777">
      <w:pPr>
        <w:pStyle w:val="BodyText"/>
        <w:spacing w:line="240" w:lineRule="auto"/>
        <w:ind w:firstLine="0"/>
        <w:rPr>
          <w:b/>
          <w:sz w:val="22"/>
          <w:szCs w:val="22"/>
          <w:u w:val="single"/>
        </w:rPr>
      </w:pPr>
    </w:p>
    <w:p w:rsidR="00807845" w:rsidP="00807845" w14:paraId="290973F7" w14:textId="179D9EB7">
      <w:pPr>
        <w:pStyle w:val="BodyText"/>
        <w:spacing w:line="240" w:lineRule="auto"/>
        <w:ind w:firstLine="0"/>
        <w:rPr>
          <w:sz w:val="22"/>
          <w:szCs w:val="22"/>
        </w:rPr>
      </w:pPr>
      <w:r w:rsidRPr="00D77F99">
        <w:rPr>
          <w:sz w:val="22"/>
          <w:szCs w:val="22"/>
        </w:rPr>
        <w:t xml:space="preserve">EPA’s </w:t>
      </w:r>
      <w:r w:rsidR="00A142A7">
        <w:rPr>
          <w:sz w:val="22"/>
          <w:szCs w:val="22"/>
        </w:rPr>
        <w:t>regulatory impact analysis (</w:t>
      </w:r>
      <w:r w:rsidRPr="00D77F99">
        <w:rPr>
          <w:sz w:val="22"/>
          <w:szCs w:val="22"/>
        </w:rPr>
        <w:t>RIA</w:t>
      </w:r>
      <w:r w:rsidR="00A142A7">
        <w:rPr>
          <w:sz w:val="22"/>
          <w:szCs w:val="22"/>
        </w:rPr>
        <w:t>)</w:t>
      </w:r>
      <w:r w:rsidRPr="00D77F99">
        <w:rPr>
          <w:sz w:val="22"/>
          <w:szCs w:val="22"/>
        </w:rPr>
        <w:t xml:space="preserve"> for the final rule estimates that </w:t>
      </w:r>
      <w:r w:rsidR="00892D64">
        <w:rPr>
          <w:sz w:val="22"/>
          <w:szCs w:val="22"/>
        </w:rPr>
        <w:t>a</w:t>
      </w:r>
      <w:r w:rsidRPr="00892D64" w:rsidR="00892D64">
        <w:rPr>
          <w:sz w:val="22"/>
          <w:szCs w:val="22"/>
        </w:rPr>
        <w:t xml:space="preserve">mong the </w:t>
      </w:r>
      <w:r w:rsidR="00692050">
        <w:rPr>
          <w:sz w:val="22"/>
          <w:szCs w:val="22"/>
        </w:rPr>
        <w:t xml:space="preserve">11,740 </w:t>
      </w:r>
      <w:r w:rsidRPr="00892D64" w:rsidR="00892D64">
        <w:rPr>
          <w:sz w:val="22"/>
          <w:szCs w:val="22"/>
        </w:rPr>
        <w:t>stationary sources potentially affected, the Agency has determined that 2,636 are regulated private sector small entities and 630 are small government entities.</w:t>
      </w:r>
      <w:r w:rsidR="001658E3">
        <w:rPr>
          <w:sz w:val="22"/>
          <w:szCs w:val="22"/>
        </w:rPr>
        <w:t xml:space="preserve"> </w:t>
      </w:r>
      <w:r w:rsidRPr="00D206B9" w:rsidR="001658E3">
        <w:rPr>
          <w:sz w:val="22"/>
          <w:szCs w:val="22"/>
        </w:rPr>
        <w:t xml:space="preserve">The final rule does not include any specific small entity flexibility and small entities must follow the same requirements. </w:t>
      </w:r>
      <w:r w:rsidRPr="00D77F99">
        <w:rPr>
          <w:sz w:val="22"/>
          <w:szCs w:val="22"/>
        </w:rPr>
        <w:t xml:space="preserve"> </w:t>
      </w:r>
    </w:p>
    <w:p w:rsidR="00807845" w:rsidP="00807845" w14:paraId="4FB2FC26" w14:textId="77777777">
      <w:pPr>
        <w:pStyle w:val="BodyText"/>
        <w:spacing w:line="240" w:lineRule="auto"/>
        <w:ind w:firstLine="0"/>
        <w:rPr>
          <w:sz w:val="22"/>
          <w:szCs w:val="22"/>
        </w:rPr>
      </w:pPr>
    </w:p>
    <w:p w:rsidR="00807845" w:rsidRPr="00807845" w:rsidP="00D206B9" w14:paraId="6A5605AA" w14:textId="67B53B40">
      <w:pPr>
        <w:pStyle w:val="BodyText"/>
        <w:spacing w:line="240" w:lineRule="auto"/>
        <w:ind w:firstLine="0"/>
        <w:rPr>
          <w:sz w:val="22"/>
          <w:szCs w:val="22"/>
        </w:rPr>
      </w:pPr>
      <w:r w:rsidRPr="00807845">
        <w:rPr>
          <w:sz w:val="22"/>
          <w:szCs w:val="22"/>
        </w:rPr>
        <w:t xml:space="preserve">The Agency has determined that among the 2,636 potentially regulated private sector small entities impacted, 2,393, or 90.8 percent, may experience an impact of less than one percent with an average small entity cost of $72,525; 167, or 6.3 percent, may experience an impact of between 1 and 3 percent of revenues with an average small cost entity of $629,271; and 75, or 2.8 percent, may experience an impact of greater than 3 percent with an average small entity cost of $1,083,823. The industry sectors of Farm Supplies Merchant Wholesalers and Farm Product Warehousing and Storage had the most entities potentially affected, with 146 and 96 entities, respectively. Within the Farm Supplies Merchant Wholesalers sector, the Agency determined that only 8 of the 146 small entities (6 percent of small entities) will experience impacts of between 1 and 3 percent of revenues and only 2 small entities (1 percent of small entities) will experience impacts of more than 3 percent of revenue. Within the Farm Product Warehousing and Storage sector, the Agency determined that only 5 of the 96 small entities (5 </w:t>
      </w:r>
      <w:r w:rsidRPr="00807845">
        <w:rPr>
          <w:sz w:val="22"/>
          <w:szCs w:val="22"/>
        </w:rPr>
        <w:t>percent of small entities) will experience impacts of between 1 and 3 percent of revenues and no small entities will experience impacts of more than 3 percent of revenue.</w:t>
      </w:r>
    </w:p>
    <w:p w:rsidR="00807845" w:rsidP="00807845" w14:paraId="15ADDEA3" w14:textId="77777777">
      <w:pPr>
        <w:pStyle w:val="BodyText"/>
        <w:spacing w:line="240" w:lineRule="auto"/>
        <w:ind w:firstLine="0"/>
        <w:rPr>
          <w:sz w:val="22"/>
          <w:szCs w:val="22"/>
        </w:rPr>
      </w:pPr>
    </w:p>
    <w:p w:rsidR="00807845" w:rsidP="00807845" w14:paraId="0C63C0DC" w14:textId="77E7E0F4">
      <w:pPr>
        <w:pStyle w:val="BodyText"/>
        <w:spacing w:line="240" w:lineRule="auto"/>
        <w:ind w:firstLine="0"/>
        <w:rPr>
          <w:sz w:val="22"/>
          <w:szCs w:val="22"/>
        </w:rPr>
      </w:pPr>
      <w:r w:rsidRPr="00807845">
        <w:rPr>
          <w:sz w:val="22"/>
          <w:szCs w:val="22"/>
        </w:rPr>
        <w:t>Among the 630 small government entities potentially affected, the minimum cost any entity will incur is $2,000; 365, or 58 percent, would incur costs ranging from $2,000 to $3,000; 248, or 39 percent, will incur costs ranging from $3,000 to $10,000; and 17, or 3 percent, will incur costs greater than $10,000. EPA estimated that for the rule to have a larger than 1 percent impact on the government entity with the largest cost impact, the entity would need to have revenue of less than $120 per resident. For the rule to have a larger than 1 percent impact on the smallest government entity identified in the data, the entity would need to have revenue of less than $650 per resident.</w:t>
      </w:r>
    </w:p>
    <w:p w:rsidR="00D3057B" w14:paraId="0AD355D2" w14:textId="77777777">
      <w:pPr>
        <w:pStyle w:val="BodyText"/>
        <w:spacing w:line="240" w:lineRule="auto"/>
        <w:ind w:firstLine="0"/>
        <w:rPr>
          <w:sz w:val="22"/>
          <w:szCs w:val="22"/>
        </w:rPr>
      </w:pPr>
    </w:p>
    <w:p w:rsidR="007868BC" w14:paraId="29123E15" w14:textId="788B21FA">
      <w:pPr>
        <w:pStyle w:val="BodyText"/>
        <w:spacing w:line="240" w:lineRule="auto"/>
        <w:ind w:firstLine="0"/>
        <w:rPr>
          <w:sz w:val="22"/>
          <w:szCs w:val="22"/>
        </w:rPr>
      </w:pPr>
      <w:r>
        <w:rPr>
          <w:sz w:val="22"/>
          <w:szCs w:val="22"/>
        </w:rPr>
        <w:t>Based on the</w:t>
      </w:r>
      <w:r w:rsidRPr="00934BEF">
        <w:rPr>
          <w:sz w:val="22"/>
          <w:szCs w:val="22"/>
        </w:rPr>
        <w:t xml:space="preserve"> small entity analysis </w:t>
      </w:r>
      <w:r>
        <w:rPr>
          <w:sz w:val="22"/>
          <w:szCs w:val="22"/>
        </w:rPr>
        <w:t xml:space="preserve">presented in the final rule RIA, </w:t>
      </w:r>
      <w:r w:rsidRPr="004905E3">
        <w:rPr>
          <w:sz w:val="22"/>
          <w:szCs w:val="22"/>
        </w:rPr>
        <w:t>EPA did not find a significant impact on a substantial number of small entities (SISNOSE)</w:t>
      </w:r>
      <w:r>
        <w:rPr>
          <w:sz w:val="22"/>
          <w:szCs w:val="22"/>
        </w:rPr>
        <w:t xml:space="preserve"> </w:t>
      </w:r>
      <w:r w:rsidRPr="00934BEF">
        <w:rPr>
          <w:sz w:val="22"/>
          <w:szCs w:val="22"/>
        </w:rPr>
        <w:t xml:space="preserve">exceeding the threshold amount of 1 percent of small entity revenues. </w:t>
      </w:r>
    </w:p>
    <w:p w:rsidR="00575402" w:rsidRPr="00D206B9" w:rsidP="00575402" w14:paraId="2653AD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highlight w:val="yellow"/>
        </w:rPr>
      </w:pPr>
    </w:p>
    <w:p w:rsidR="00DA16B0" w:rsidRPr="00DA16B0" w:rsidP="00DA16B0" w14:paraId="2DE354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u w:val="single"/>
        </w:rPr>
      </w:pPr>
      <w:r w:rsidRPr="00DA16B0">
        <w:rPr>
          <w:b/>
          <w:bCs/>
          <w:sz w:val="22"/>
          <w:szCs w:val="22"/>
          <w:u w:val="single"/>
        </w:rPr>
        <w:t>6. Consequences of Non-Collection or Less Frequent Collection</w:t>
      </w:r>
    </w:p>
    <w:p w:rsidR="00732FD7" w:rsidRPr="009C6838" w:rsidP="00364DCA" w14:paraId="1ECC2DDB" w14:textId="55BBA139">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575402" w:rsidRPr="002037E0" w:rsidP="00575402" w14:paraId="5206A259" w14:textId="57B03FDF">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2037E0">
        <w:rPr>
          <w:sz w:val="22"/>
          <w:szCs w:val="22"/>
        </w:rPr>
        <w:t xml:space="preserve">Sources are required to comply with RMP requirements, </w:t>
      </w:r>
      <w:r w:rsidRPr="002037E0" w:rsidR="00A618C1">
        <w:rPr>
          <w:sz w:val="22"/>
          <w:szCs w:val="22"/>
        </w:rPr>
        <w:t>including</w:t>
      </w:r>
      <w:r w:rsidRPr="002037E0">
        <w:rPr>
          <w:sz w:val="22"/>
          <w:szCs w:val="22"/>
        </w:rPr>
        <w:t xml:space="preserve"> those </w:t>
      </w:r>
      <w:r w:rsidR="00D51B8E">
        <w:rPr>
          <w:sz w:val="22"/>
          <w:szCs w:val="22"/>
        </w:rPr>
        <w:t>provided</w:t>
      </w:r>
      <w:r w:rsidR="00192E44">
        <w:rPr>
          <w:sz w:val="22"/>
          <w:szCs w:val="22"/>
        </w:rPr>
        <w:t xml:space="preserve"> in the final rule</w:t>
      </w:r>
      <w:r w:rsidRPr="002037E0">
        <w:rPr>
          <w:sz w:val="22"/>
          <w:szCs w:val="22"/>
        </w:rPr>
        <w:t>. Less frequent collection than that specified in the rule may result in outdated emergency response contact information, personnel unacquainted with emergency response requirements, and poor response capability at the time of an accidental release.</w:t>
      </w:r>
    </w:p>
    <w:p w:rsidR="00CB7556" w:rsidP="00575402" w14:paraId="0B55AC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027035" w:rsidRPr="00027035" w:rsidP="00027035" w14:paraId="1BAA5D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sz w:val="22"/>
          <w:szCs w:val="22"/>
          <w:u w:val="single"/>
        </w:rPr>
      </w:pPr>
      <w:r w:rsidRPr="00027035">
        <w:rPr>
          <w:b/>
          <w:sz w:val="22"/>
          <w:szCs w:val="22"/>
          <w:u w:val="single"/>
        </w:rPr>
        <w:t>7. Special Reporting Requirements</w:t>
      </w:r>
    </w:p>
    <w:p w:rsidR="00CB7556" w:rsidP="00575402" w14:paraId="3AFD72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DF7A79" w:rsidP="00D206B9" w14:paraId="23D14CB9" w14:textId="3A89E523">
      <w:pPr>
        <w:numPr>
          <w:ilvl w:val="12"/>
          <w:numId w:val="0"/>
        </w:numPr>
        <w:rPr>
          <w:sz w:val="22"/>
          <w:szCs w:val="22"/>
        </w:rPr>
      </w:pPr>
      <w:smartTag w:uri="urn:schemas-microsoft-com:office:smarttags" w:element="stockticker">
        <w:r w:rsidRPr="00CA27BE">
          <w:rPr>
            <w:sz w:val="22"/>
            <w:szCs w:val="22"/>
          </w:rPr>
          <w:t>CAA</w:t>
        </w:r>
      </w:smartTag>
      <w:r w:rsidRPr="00CA27BE">
        <w:rPr>
          <w:sz w:val="22"/>
          <w:szCs w:val="22"/>
        </w:rPr>
        <w:t xml:space="preserve"> section 112(r)(7)(B)(iii) requires that sources update their RMPs periodically. To maintain consistency with OSHA PSM requirements, EPA’s implementing rule requires sources to update process hazard analyses (PHAs) and hazard assessments every five years. Thus, sources are required to maintain such documentation for five years (and in the case of the PHA, for the life of the covered process), which is greater than the three years specified in </w:t>
      </w:r>
      <w:r w:rsidR="007155BD">
        <w:rPr>
          <w:sz w:val="22"/>
          <w:szCs w:val="22"/>
        </w:rPr>
        <w:t xml:space="preserve">Office of Management and Budget </w:t>
      </w:r>
      <w:r w:rsidRPr="00CA27BE">
        <w:rPr>
          <w:sz w:val="22"/>
          <w:szCs w:val="22"/>
        </w:rPr>
        <w:t xml:space="preserve">OMB’s general guidelines. </w:t>
      </w:r>
    </w:p>
    <w:p w:rsidR="008B46E6" w:rsidP="00575402" w14:paraId="639BC7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8B46E6" w:rsidRPr="008B46E6" w:rsidP="008B46E6" w14:paraId="3E70348D" w14:textId="60E27DF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sz w:val="22"/>
          <w:szCs w:val="22"/>
          <w:u w:val="single"/>
        </w:rPr>
      </w:pPr>
      <w:r w:rsidRPr="008B46E6">
        <w:rPr>
          <w:b/>
          <w:sz w:val="22"/>
          <w:szCs w:val="22"/>
          <w:u w:val="single"/>
        </w:rPr>
        <w:t xml:space="preserve">8. 60-Day FR Notice and </w:t>
      </w:r>
      <w:r w:rsidR="00E85F7D">
        <w:rPr>
          <w:b/>
          <w:sz w:val="22"/>
          <w:szCs w:val="22"/>
          <w:u w:val="single"/>
        </w:rPr>
        <w:t>Consultations</w:t>
      </w:r>
    </w:p>
    <w:p w:rsidR="006F4B96" w:rsidP="008B46E6" w14:paraId="71C1E9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BF62CD" w:rsidP="006F4B96" w14:paraId="51380EC0" w14:textId="214932D4">
      <w:pPr>
        <w:tabs>
          <w:tab w:val="left" w:pos="720"/>
          <w:tab w:val="left" w:pos="1440"/>
          <w:tab w:val="left" w:pos="2160"/>
          <w:tab w:val="left" w:pos="2880"/>
          <w:tab w:val="left" w:pos="3600"/>
          <w:tab w:val="left" w:pos="4320"/>
          <w:tab w:val="left" w:pos="5040"/>
          <w:tab w:val="left" w:pos="5760"/>
          <w:tab w:val="left" w:pos="6480"/>
          <w:tab w:val="left" w:pos="7200"/>
          <w:tab w:val="left" w:pos="7922"/>
        </w:tabs>
        <w:rPr>
          <w:rFonts w:ascii="Roboto" w:hAnsi="Roboto"/>
          <w:color w:val="202124"/>
          <w:sz w:val="30"/>
          <w:szCs w:val="30"/>
          <w:shd w:val="clear" w:color="auto" w:fill="FFFFFF"/>
        </w:rPr>
      </w:pPr>
      <w:r>
        <w:rPr>
          <w:sz w:val="22"/>
          <w:szCs w:val="22"/>
        </w:rPr>
        <w:t xml:space="preserve">On </w:t>
      </w:r>
      <w:r w:rsidRPr="00444E8A">
        <w:rPr>
          <w:sz w:val="22"/>
          <w:szCs w:val="22"/>
        </w:rPr>
        <w:t>August 31, 2022</w:t>
      </w:r>
      <w:r w:rsidRPr="006F4B96" w:rsidR="006F4B96">
        <w:rPr>
          <w:sz w:val="22"/>
          <w:szCs w:val="22"/>
        </w:rPr>
        <w:t>, EPA published</w:t>
      </w:r>
      <w:r w:rsidRPr="00C93BA1" w:rsidR="00C93BA1">
        <w:rPr>
          <w:sz w:val="22"/>
          <w:szCs w:val="22"/>
        </w:rPr>
        <w:t xml:space="preserve"> the “RMP Safer Communities by Chemical Accident Prevention,” (SCCAP)</w:t>
      </w:r>
      <w:r w:rsidRPr="006F4B96" w:rsidR="006F4B96">
        <w:rPr>
          <w:sz w:val="22"/>
          <w:szCs w:val="22"/>
        </w:rPr>
        <w:t xml:space="preserve"> proposed rule in the </w:t>
      </w:r>
      <w:r w:rsidRPr="006F4B96" w:rsidR="006F4B96">
        <w:rPr>
          <w:i/>
          <w:iCs/>
          <w:sz w:val="22"/>
          <w:szCs w:val="22"/>
        </w:rPr>
        <w:t>Federal Register</w:t>
      </w:r>
      <w:r w:rsidRPr="006F4B96" w:rsidR="006F4B96">
        <w:rPr>
          <w:sz w:val="22"/>
          <w:szCs w:val="22"/>
        </w:rPr>
        <w:t xml:space="preserve"> </w:t>
      </w:r>
      <w:r w:rsidRPr="007E36FF" w:rsidR="007E36FF">
        <w:rPr>
          <w:sz w:val="22"/>
          <w:szCs w:val="22"/>
        </w:rPr>
        <w:t>(87 FR 53556)</w:t>
      </w:r>
      <w:r w:rsidRPr="00C05A91" w:rsidR="00C05A91">
        <w:t xml:space="preserve"> </w:t>
      </w:r>
      <w:r w:rsidRPr="00895941" w:rsidR="00895941">
        <w:rPr>
          <w:sz w:val="22"/>
          <w:szCs w:val="22"/>
        </w:rPr>
        <w:t>after publishing a “Notice of virtual public listening sessions; request for public comment” (86 FR 28828) that solicited comments and information from the public regarding potential changes to the RMP regulations.</w:t>
      </w:r>
      <w:r w:rsidR="006B2CAE">
        <w:rPr>
          <w:sz w:val="22"/>
          <w:szCs w:val="22"/>
        </w:rPr>
        <w:t xml:space="preserve"> </w:t>
      </w:r>
      <w:r w:rsidRPr="009075D6" w:rsidR="009075D6">
        <w:rPr>
          <w:sz w:val="22"/>
          <w:szCs w:val="22"/>
        </w:rPr>
        <w:t xml:space="preserve">EPA </w:t>
      </w:r>
      <w:r w:rsidR="00BA7BA6">
        <w:rPr>
          <w:sz w:val="22"/>
          <w:szCs w:val="22"/>
        </w:rPr>
        <w:t xml:space="preserve">also </w:t>
      </w:r>
      <w:r w:rsidRPr="009075D6" w:rsidR="009075D6">
        <w:rPr>
          <w:sz w:val="22"/>
          <w:szCs w:val="22"/>
        </w:rPr>
        <w:t>hosted virtual public hearings on September 26, 27, and 28, 2022 to provide interested parties the opportunity to present data, views or arguments concerning the proposed action</w:t>
      </w:r>
      <w:r w:rsidR="002808C2">
        <w:rPr>
          <w:sz w:val="22"/>
          <w:szCs w:val="22"/>
        </w:rPr>
        <w:t xml:space="preserve">. </w:t>
      </w:r>
      <w:r w:rsidRPr="00263068" w:rsidR="00263068">
        <w:rPr>
          <w:sz w:val="22"/>
          <w:szCs w:val="22"/>
        </w:rPr>
        <w:t xml:space="preserve">A copy of the proposed rule can be found in the EPA </w:t>
      </w:r>
      <w:r w:rsidRPr="002808C2" w:rsidR="002808C2">
        <w:rPr>
          <w:sz w:val="22"/>
          <w:szCs w:val="22"/>
        </w:rPr>
        <w:t>Docket ID No.: EPA-HQ-OLEM-2022-0174</w:t>
      </w:r>
      <w:r w:rsidR="00BC4B51">
        <w:rPr>
          <w:sz w:val="22"/>
          <w:szCs w:val="22"/>
        </w:rPr>
        <w:t>.</w:t>
      </w:r>
    </w:p>
    <w:p w:rsidR="00BF62CD" w:rsidP="006F4B96" w14:paraId="76D0EF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rFonts w:ascii="Roboto" w:hAnsi="Roboto"/>
          <w:color w:val="202124"/>
          <w:sz w:val="30"/>
          <w:szCs w:val="30"/>
          <w:shd w:val="clear" w:color="auto" w:fill="FFFFFF"/>
        </w:rPr>
      </w:pPr>
    </w:p>
    <w:p w:rsidR="000141DB" w:rsidP="005F0085" w14:paraId="75502BD5" w14:textId="42386CF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BF62CD">
        <w:rPr>
          <w:sz w:val="22"/>
          <w:szCs w:val="22"/>
        </w:rPr>
        <w:t xml:space="preserve">EPA received a total of 494 discrete public comments on the proposed rulemaking. Of these, 364 written comments came from unique organizations and individual members of the public. </w:t>
      </w:r>
      <w:r w:rsidR="007821F4">
        <w:rPr>
          <w:sz w:val="22"/>
          <w:szCs w:val="22"/>
        </w:rPr>
        <w:t xml:space="preserve">Six </w:t>
      </w:r>
      <w:r w:rsidRPr="00BF62CD">
        <w:rPr>
          <w:sz w:val="22"/>
          <w:szCs w:val="22"/>
        </w:rPr>
        <w:t xml:space="preserve">written comments were the result of various mass mail campaigns and contained numerous copies of letters or petition signatures; approximately 57,505 letters and signatures were contained in these several comments. The remaining 124 discrete public comments were from members of the public </w:t>
      </w:r>
      <w:r w:rsidR="00574AE3">
        <w:rPr>
          <w:sz w:val="22"/>
          <w:szCs w:val="22"/>
        </w:rPr>
        <w:t>who</w:t>
      </w:r>
      <w:r w:rsidRPr="00BF62CD">
        <w:rPr>
          <w:sz w:val="22"/>
          <w:szCs w:val="22"/>
        </w:rPr>
        <w:t xml:space="preserve"> provided verbal comments at the public hearings on September 26, 27, and 28, 2022.</w:t>
      </w:r>
      <w:r>
        <w:rPr>
          <w:sz w:val="22"/>
          <w:szCs w:val="22"/>
        </w:rPr>
        <w:t xml:space="preserve"> </w:t>
      </w:r>
      <w:r w:rsidRPr="000A5810" w:rsidR="000A5810">
        <w:rPr>
          <w:sz w:val="22"/>
          <w:szCs w:val="22"/>
        </w:rPr>
        <w:t xml:space="preserve">The public comment period for the SCCAP proposed rule (Docket ID No.: EPA-HQ-OLEM-2022-0174) closed on October 31, 2022. </w:t>
      </w:r>
    </w:p>
    <w:p w:rsidR="000141DB" w:rsidP="005F0085" w14:paraId="1BA0AD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74616B" w:rsidP="005F0085" w14:paraId="7BF007C5" w14:textId="1D9DE1A3">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886B8B">
        <w:rPr>
          <w:sz w:val="22"/>
          <w:szCs w:val="22"/>
        </w:rPr>
        <w:t>Discussion of public</w:t>
      </w:r>
      <w:r w:rsidRPr="00886B8B">
        <w:rPr>
          <w:b/>
          <w:iCs/>
          <w:sz w:val="22"/>
          <w:szCs w:val="22"/>
        </w:rPr>
        <w:t xml:space="preserve"> </w:t>
      </w:r>
      <w:r w:rsidRPr="00886B8B">
        <w:rPr>
          <w:sz w:val="22"/>
          <w:szCs w:val="22"/>
        </w:rPr>
        <w:t>comments can be found in topics</w:t>
      </w:r>
      <w:r w:rsidRPr="00886B8B">
        <w:rPr>
          <w:b/>
          <w:iCs/>
          <w:sz w:val="22"/>
          <w:szCs w:val="22"/>
        </w:rPr>
        <w:t xml:space="preserve"> </w:t>
      </w:r>
      <w:r w:rsidRPr="00886B8B">
        <w:rPr>
          <w:sz w:val="22"/>
          <w:szCs w:val="22"/>
        </w:rPr>
        <w:t xml:space="preserve">included in </w:t>
      </w:r>
      <w:r w:rsidR="002C5626">
        <w:rPr>
          <w:sz w:val="22"/>
          <w:szCs w:val="22"/>
        </w:rPr>
        <w:t>the</w:t>
      </w:r>
      <w:r w:rsidRPr="00886B8B">
        <w:rPr>
          <w:sz w:val="22"/>
          <w:szCs w:val="22"/>
        </w:rPr>
        <w:t xml:space="preserve"> final rule </w:t>
      </w:r>
      <w:r w:rsidR="002C5626">
        <w:rPr>
          <w:sz w:val="22"/>
          <w:szCs w:val="22"/>
        </w:rPr>
        <w:t xml:space="preserve">FRN </w:t>
      </w:r>
      <w:r w:rsidRPr="00886B8B">
        <w:rPr>
          <w:sz w:val="22"/>
          <w:szCs w:val="22"/>
        </w:rPr>
        <w:t xml:space="preserve">and in the Response </w:t>
      </w:r>
      <w:r w:rsidRPr="00886B8B">
        <w:rPr>
          <w:sz w:val="22"/>
          <w:szCs w:val="22"/>
        </w:rPr>
        <w:t>to Comments document,</w:t>
      </w:r>
      <w:r>
        <w:rPr>
          <w:sz w:val="22"/>
          <w:szCs w:val="22"/>
          <w:vertAlign w:val="superscript"/>
        </w:rPr>
        <w:footnoteReference w:id="4"/>
      </w:r>
      <w:r w:rsidRPr="00886B8B">
        <w:rPr>
          <w:b/>
          <w:iCs/>
          <w:sz w:val="22"/>
          <w:szCs w:val="22"/>
        </w:rPr>
        <w:t xml:space="preserve"> </w:t>
      </w:r>
      <w:r w:rsidRPr="00886B8B">
        <w:rPr>
          <w:sz w:val="22"/>
          <w:szCs w:val="22"/>
        </w:rPr>
        <w:t>available in the docket for this</w:t>
      </w:r>
      <w:r w:rsidRPr="00886B8B">
        <w:rPr>
          <w:b/>
          <w:iCs/>
          <w:sz w:val="22"/>
          <w:szCs w:val="22"/>
        </w:rPr>
        <w:t xml:space="preserve"> </w:t>
      </w:r>
      <w:r w:rsidRPr="00886B8B">
        <w:rPr>
          <w:sz w:val="22"/>
          <w:szCs w:val="22"/>
        </w:rPr>
        <w:t>rulemaking.</w:t>
      </w:r>
      <w:r w:rsidRPr="000141DB" w:rsidR="000141DB">
        <w:t xml:space="preserve"> </w:t>
      </w:r>
      <w:r w:rsidRPr="000141DB" w:rsidR="000141DB">
        <w:rPr>
          <w:sz w:val="22"/>
          <w:szCs w:val="22"/>
        </w:rPr>
        <w:t>EPA</w:t>
      </w:r>
      <w:r w:rsidR="00156C00">
        <w:rPr>
          <w:sz w:val="22"/>
          <w:szCs w:val="22"/>
        </w:rPr>
        <w:t xml:space="preserve"> considered and rejected requests to extend</w:t>
      </w:r>
      <w:r w:rsidRPr="000141DB" w:rsidR="000141DB">
        <w:rPr>
          <w:sz w:val="22"/>
          <w:szCs w:val="22"/>
        </w:rPr>
        <w:t xml:space="preserve"> the 60-day comment period.</w:t>
      </w:r>
    </w:p>
    <w:p w:rsidR="008F3DC5" w:rsidP="00575402" w14:paraId="62A9D3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9B3EC3" w:rsidRPr="009B3EC3" w:rsidP="009B3EC3" w14:paraId="53E0D0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sz w:val="22"/>
          <w:szCs w:val="22"/>
          <w:u w:val="single"/>
        </w:rPr>
      </w:pPr>
      <w:r w:rsidRPr="009B3EC3">
        <w:rPr>
          <w:b/>
          <w:sz w:val="22"/>
          <w:szCs w:val="22"/>
          <w:u w:val="single"/>
        </w:rPr>
        <w:t>9. Payment or Gift to Respondents</w:t>
      </w:r>
    </w:p>
    <w:p w:rsidR="008B46E6" w:rsidRPr="002037E0" w:rsidP="00575402" w14:paraId="446183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2037E0" w:rsidRPr="00D206B9" w:rsidP="00575402" w14:paraId="47473493" w14:textId="2965A29D">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D206B9">
        <w:rPr>
          <w:sz w:val="22"/>
          <w:szCs w:val="22"/>
        </w:rPr>
        <w:t>No payment or gift is given to respondents.</w:t>
      </w:r>
    </w:p>
    <w:p w:rsidR="00462E0F" w:rsidP="00575402" w14:paraId="238C0D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p>
    <w:p w:rsidR="00E57A1D" w:rsidRPr="00E57A1D" w:rsidP="00E57A1D" w14:paraId="04AB01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u w:val="single"/>
        </w:rPr>
      </w:pPr>
      <w:r w:rsidRPr="00E57A1D">
        <w:rPr>
          <w:b/>
          <w:bCs/>
          <w:sz w:val="22"/>
          <w:szCs w:val="22"/>
          <w:u w:val="single"/>
        </w:rPr>
        <w:t>10. Assurance of Confidentiality</w:t>
      </w:r>
    </w:p>
    <w:p w:rsidR="00462E0F" w:rsidP="00575402" w14:paraId="38638A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p>
    <w:p w:rsidR="00E57A1D" w:rsidRPr="00D206B9" w:rsidP="00E57A1D" w14:paraId="76E11F47" w14:textId="4CE5DB5E">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D206B9">
        <w:rPr>
          <w:sz w:val="22"/>
          <w:szCs w:val="22"/>
        </w:rPr>
        <w:t xml:space="preserve">Certain elements mandated in the </w:t>
      </w:r>
      <w:r w:rsidR="00B00211">
        <w:rPr>
          <w:sz w:val="22"/>
          <w:szCs w:val="22"/>
        </w:rPr>
        <w:t xml:space="preserve">RMP </w:t>
      </w:r>
      <w:r w:rsidRPr="00D206B9">
        <w:rPr>
          <w:sz w:val="22"/>
          <w:szCs w:val="22"/>
        </w:rPr>
        <w:t>regulation may require the submittal of data viewed as proprietary, trade secret, or confidential (e.g., confidential business information, or CBI). EPA has adopted procedures for sources to claim certain information as CBI.</w:t>
      </w:r>
    </w:p>
    <w:p w:rsidR="00E57A1D" w:rsidP="00575402" w14:paraId="062129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p>
    <w:p w:rsidR="004425C3" w:rsidRPr="004425C3" w:rsidP="004425C3" w14:paraId="580559F2" w14:textId="1050D0F3">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u w:val="single"/>
        </w:rPr>
      </w:pPr>
      <w:r w:rsidRPr="004425C3">
        <w:rPr>
          <w:b/>
          <w:bCs/>
          <w:sz w:val="22"/>
          <w:szCs w:val="22"/>
          <w:u w:val="single"/>
        </w:rPr>
        <w:t xml:space="preserve">11. Questions of </w:t>
      </w:r>
      <w:r w:rsidR="005C3C2B">
        <w:rPr>
          <w:b/>
          <w:bCs/>
          <w:sz w:val="22"/>
          <w:szCs w:val="22"/>
          <w:u w:val="single"/>
        </w:rPr>
        <w:t xml:space="preserve">a </w:t>
      </w:r>
      <w:r w:rsidRPr="004425C3">
        <w:rPr>
          <w:b/>
          <w:bCs/>
          <w:sz w:val="22"/>
          <w:szCs w:val="22"/>
          <w:u w:val="single"/>
        </w:rPr>
        <w:t>Sensitive Nature</w:t>
      </w:r>
    </w:p>
    <w:p w:rsidR="009B3EC3" w:rsidP="00575402" w14:paraId="507D34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p>
    <w:p w:rsidR="004425C3" w:rsidRPr="00D206B9" w:rsidP="00575402" w14:paraId="382DB3D9" w14:textId="092E4841">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D206B9">
        <w:rPr>
          <w:sz w:val="22"/>
          <w:szCs w:val="22"/>
        </w:rPr>
        <w:t xml:space="preserve">No questions of a sensitive nature are included in any of the information collection requirements covered in this </w:t>
      </w:r>
      <w:r w:rsidR="00A47A53">
        <w:rPr>
          <w:sz w:val="22"/>
          <w:szCs w:val="22"/>
        </w:rPr>
        <w:t>information collection request (</w:t>
      </w:r>
      <w:r w:rsidRPr="00D206B9">
        <w:rPr>
          <w:sz w:val="22"/>
          <w:szCs w:val="22"/>
        </w:rPr>
        <w:t>ICR</w:t>
      </w:r>
      <w:r w:rsidR="00A47A53">
        <w:rPr>
          <w:sz w:val="22"/>
          <w:szCs w:val="22"/>
        </w:rPr>
        <w:t>)</w:t>
      </w:r>
      <w:r w:rsidRPr="00D206B9">
        <w:rPr>
          <w:sz w:val="22"/>
          <w:szCs w:val="22"/>
        </w:rPr>
        <w:t>. The information collection requested complies with the Privacy Act of 1974 and OMB Circular A-108.</w:t>
      </w:r>
    </w:p>
    <w:p w:rsidR="00E57A1D" w:rsidRPr="009C6838" w:rsidP="00575402" w14:paraId="1A463C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p>
    <w:p w:rsidR="004266D0" w:rsidRPr="004266D0" w:rsidP="004266D0" w14:paraId="17F3E2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u w:val="single"/>
        </w:rPr>
      </w:pPr>
      <w:r w:rsidRPr="004266D0">
        <w:rPr>
          <w:b/>
          <w:bCs/>
          <w:sz w:val="22"/>
          <w:szCs w:val="22"/>
          <w:u w:val="single"/>
        </w:rPr>
        <w:t xml:space="preserve">12. Hour Burden </w:t>
      </w:r>
    </w:p>
    <w:p w:rsidR="00A52068" w:rsidRPr="00D206B9" w:rsidP="00D206B9" w14:paraId="17A9EDF7"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rPr>
      </w:pPr>
    </w:p>
    <w:p w:rsidR="00936708" w:rsidP="00A52068" w14:paraId="5FC27845"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9039BD" w14:paraId="7A06413C"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1779EB">
        <w:rPr>
          <w:sz w:val="22"/>
          <w:szCs w:val="22"/>
        </w:rPr>
        <w:t xml:space="preserve">In this section, EPA first describes the estimated respondent universe. EPA then estimates the annual </w:t>
      </w:r>
      <w:r>
        <w:rPr>
          <w:sz w:val="22"/>
          <w:szCs w:val="22"/>
        </w:rPr>
        <w:t xml:space="preserve">hour </w:t>
      </w:r>
      <w:r w:rsidRPr="001779EB">
        <w:rPr>
          <w:sz w:val="22"/>
          <w:szCs w:val="22"/>
        </w:rPr>
        <w:t xml:space="preserve">burden to respondents under the information collection requirements covered in this ICR. </w:t>
      </w:r>
    </w:p>
    <w:p w:rsidR="009039BD" w14:paraId="72CF22BF"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9039BD" w:rsidP="00632D6B" w14:paraId="6940E4DE" w14:textId="37E6F3A4">
      <w:pPr>
        <w:pStyle w:val="Default"/>
      </w:pPr>
      <w:r w:rsidRPr="00081B51">
        <w:rPr>
          <w:rFonts w:ascii="Times New Roman" w:hAnsi="Times New Roman" w:cs="Times New Roman"/>
          <w:sz w:val="22"/>
          <w:szCs w:val="22"/>
        </w:rPr>
        <w:t xml:space="preserve">Data requirements and respondent activities vary by program level. Program 1 requires the smallest amount of </w:t>
      </w:r>
      <w:r w:rsidRPr="0044594A">
        <w:rPr>
          <w:rFonts w:ascii="Times New Roman" w:hAnsi="Times New Roman" w:cs="Times New Roman"/>
          <w:sz w:val="22"/>
          <w:szCs w:val="22"/>
        </w:rPr>
        <w:t>data and respondent time, while Program 3 requires the most.</w:t>
      </w:r>
      <w:r>
        <w:rPr>
          <w:rFonts w:ascii="Times New Roman" w:hAnsi="Times New Roman" w:cs="Times New Roman"/>
          <w:sz w:val="22"/>
          <w:szCs w:val="22"/>
        </w:rPr>
        <w:t xml:space="preserve"> </w:t>
      </w:r>
      <w:r w:rsidRPr="00DF200B">
        <w:rPr>
          <w:rFonts w:ascii="Times New Roman" w:hAnsi="Times New Roman" w:cs="Times New Roman"/>
          <w:sz w:val="22"/>
          <w:szCs w:val="22"/>
        </w:rPr>
        <w:t xml:space="preserve">Sources with Program 3 processes are those that do not meet Program 1 but are subject to OSHA’s PSM Standard, or those in any of the ten NAICS codes listed in 40 CFR 68.10(d)(1). Program 2 processes are those that do not meet Program 1 or 3 eligibility requirements. </w:t>
      </w:r>
    </w:p>
    <w:p w:rsidR="009039BD" w14:paraId="5BAC8C9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936708" w:rsidRPr="00D206B9" w:rsidP="00A52068" w14:paraId="198FB41E" w14:textId="00BF7440">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u w:val="single"/>
        </w:rPr>
      </w:pPr>
      <w:r w:rsidRPr="00E17800">
        <w:rPr>
          <w:sz w:val="22"/>
          <w:szCs w:val="22"/>
        </w:rPr>
        <w:t xml:space="preserve">The </w:t>
      </w:r>
      <w:r w:rsidRPr="00E17800">
        <w:rPr>
          <w:sz w:val="22"/>
          <w:szCs w:val="22"/>
        </w:rPr>
        <w:t>source-level (</w:t>
      </w:r>
      <w:r w:rsidRPr="00E17800">
        <w:rPr>
          <w:sz w:val="22"/>
          <w:szCs w:val="22"/>
        </w:rPr>
        <w:t>unit</w:t>
      </w:r>
      <w:r w:rsidRPr="00E17800">
        <w:rPr>
          <w:sz w:val="22"/>
          <w:szCs w:val="22"/>
        </w:rPr>
        <w:t>)</w:t>
      </w:r>
      <w:r w:rsidRPr="00E17800">
        <w:rPr>
          <w:sz w:val="22"/>
          <w:szCs w:val="22"/>
        </w:rPr>
        <w:t xml:space="preserve"> burden applied to various types of sources and sectors is based on the size of the source and on the number and complexity of the processes at the sources in each sector. </w:t>
      </w:r>
    </w:p>
    <w:p w:rsidR="006F01D3" w:rsidRPr="0023365A" w:rsidP="006F01D3" w14:paraId="45EB59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highlight w:val="yellow"/>
        </w:rPr>
      </w:pPr>
    </w:p>
    <w:p w:rsidR="006F01D3" w:rsidRPr="0023365A" w:rsidP="006F01D3" w14:paraId="70CD262D"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23365A">
        <w:rPr>
          <w:i/>
          <w:iCs/>
          <w:sz w:val="22"/>
          <w:szCs w:val="22"/>
        </w:rPr>
        <w:t>Current RMP Facilities</w:t>
      </w:r>
      <w:r w:rsidRPr="00B91E39">
        <w:rPr>
          <w:b/>
          <w:bCs/>
          <w:sz w:val="22"/>
          <w:szCs w:val="22"/>
        </w:rPr>
        <w:t xml:space="preserve"> </w:t>
      </w:r>
      <w:r>
        <w:rPr>
          <w:b/>
          <w:bCs/>
          <w:sz w:val="22"/>
          <w:szCs w:val="22"/>
        </w:rPr>
        <w:t xml:space="preserve">- </w:t>
      </w:r>
      <w:r w:rsidRPr="00B91E39">
        <w:rPr>
          <w:rFonts w:eastAsia="Calibri"/>
          <w:sz w:val="22"/>
          <w:szCs w:val="28"/>
        </w:rPr>
        <w:t xml:space="preserve">Exhibit </w:t>
      </w:r>
      <w:r>
        <w:rPr>
          <w:rFonts w:eastAsia="Calibri"/>
          <w:sz w:val="22"/>
          <w:szCs w:val="28"/>
        </w:rPr>
        <w:t>1</w:t>
      </w:r>
      <w:r w:rsidRPr="00B91E39">
        <w:rPr>
          <w:rFonts w:eastAsia="Calibri"/>
          <w:sz w:val="22"/>
          <w:szCs w:val="28"/>
        </w:rPr>
        <w:t xml:space="preserve"> presents the numbers of facilities according to RMP reporting as of December 31, 202</w:t>
      </w:r>
      <w:r>
        <w:rPr>
          <w:rFonts w:eastAsia="Calibri"/>
          <w:sz w:val="22"/>
          <w:szCs w:val="28"/>
        </w:rPr>
        <w:t>0</w:t>
      </w:r>
      <w:r w:rsidRPr="00B91E39">
        <w:rPr>
          <w:rFonts w:eastAsia="Calibri"/>
          <w:sz w:val="22"/>
          <w:szCs w:val="28"/>
        </w:rPr>
        <w:t xml:space="preserve">, by industrial sector and chemical use. </w:t>
      </w:r>
    </w:p>
    <w:p w:rsidR="006F01D3" w:rsidRPr="00587204" w:rsidP="006F01D3" w14:paraId="093E7254" w14:textId="77777777">
      <w:pPr>
        <w:ind w:firstLine="360"/>
        <w:rPr>
          <w:rFonts w:eastAsia="Calibri"/>
        </w:rPr>
      </w:pPr>
    </w:p>
    <w:p w:rsidR="006F01D3" w:rsidRPr="00587204" w:rsidP="006F01D3" w14:paraId="3BB4BC3C" w14:textId="77777777">
      <w:pPr>
        <w:pStyle w:val="Caption"/>
        <w:spacing w:after="0"/>
        <w:jc w:val="center"/>
        <w:rPr>
          <w:b/>
          <w:bCs/>
          <w:i w:val="0"/>
          <w:iCs w:val="0"/>
          <w:color w:val="auto"/>
          <w:sz w:val="22"/>
          <w:szCs w:val="22"/>
        </w:rPr>
      </w:pPr>
      <w:r w:rsidRPr="00587204">
        <w:rPr>
          <w:b/>
          <w:bCs/>
          <w:i w:val="0"/>
          <w:iCs w:val="0"/>
          <w:color w:val="auto"/>
          <w:sz w:val="22"/>
          <w:szCs w:val="22"/>
        </w:rPr>
        <w:t xml:space="preserve">Exhibit </w:t>
      </w:r>
      <w:r>
        <w:rPr>
          <w:b/>
          <w:bCs/>
          <w:i w:val="0"/>
          <w:iCs w:val="0"/>
          <w:color w:val="auto"/>
          <w:sz w:val="22"/>
          <w:szCs w:val="22"/>
        </w:rPr>
        <w:t>1</w:t>
      </w:r>
      <w:r w:rsidRPr="00587204">
        <w:rPr>
          <w:rFonts w:eastAsia="Calibri"/>
          <w:b/>
          <w:bCs/>
          <w:i w:val="0"/>
          <w:iCs w:val="0"/>
          <w:color w:val="auto"/>
          <w:sz w:val="22"/>
          <w:szCs w:val="22"/>
        </w:rPr>
        <w:t>: Number of Affected Facilities by Sector as of December 31, 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5"/>
        <w:gridCol w:w="1993"/>
        <w:gridCol w:w="1906"/>
        <w:gridCol w:w="2306"/>
      </w:tblGrid>
      <w:tr w14:paraId="4869DEDD"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jc w:val="center"/>
        </w:trPr>
        <w:tc>
          <w:tcPr>
            <w:tcW w:w="1682" w:type="pct"/>
            <w:shd w:val="clear" w:color="000000" w:fill="D9D9D9"/>
            <w:noWrap/>
            <w:vAlign w:val="center"/>
            <w:hideMark/>
          </w:tcPr>
          <w:p w:rsidR="006F01D3" w:rsidRPr="00D7128A" w14:paraId="1FA61AB9" w14:textId="77777777">
            <w:pPr>
              <w:jc w:val="center"/>
              <w:rPr>
                <w:b/>
                <w:color w:val="000000"/>
                <w:szCs w:val="20"/>
              </w:rPr>
            </w:pPr>
            <w:r w:rsidRPr="00D7128A">
              <w:rPr>
                <w:b/>
                <w:color w:val="000000"/>
                <w:szCs w:val="20"/>
              </w:rPr>
              <w:t>Sector</w:t>
            </w:r>
          </w:p>
        </w:tc>
        <w:tc>
          <w:tcPr>
            <w:tcW w:w="1066" w:type="pct"/>
            <w:shd w:val="clear" w:color="000000" w:fill="D9D9D9"/>
            <w:noWrap/>
            <w:vAlign w:val="center"/>
            <w:hideMark/>
          </w:tcPr>
          <w:p w:rsidR="006F01D3" w:rsidRPr="00D7128A" w14:paraId="425BE547" w14:textId="77777777">
            <w:pPr>
              <w:jc w:val="center"/>
              <w:rPr>
                <w:b/>
                <w:color w:val="000000"/>
                <w:szCs w:val="20"/>
              </w:rPr>
            </w:pPr>
            <w:r w:rsidRPr="00D7128A">
              <w:rPr>
                <w:b/>
                <w:color w:val="000000"/>
                <w:szCs w:val="20"/>
              </w:rPr>
              <w:t>NAICS Codes</w:t>
            </w:r>
          </w:p>
        </w:tc>
        <w:tc>
          <w:tcPr>
            <w:tcW w:w="1019" w:type="pct"/>
            <w:shd w:val="clear" w:color="000000" w:fill="D9D9D9"/>
            <w:noWrap/>
            <w:vAlign w:val="center"/>
            <w:hideMark/>
          </w:tcPr>
          <w:p w:rsidR="006F01D3" w:rsidRPr="00D7128A" w14:paraId="5A77A5DD" w14:textId="77777777">
            <w:pPr>
              <w:jc w:val="center"/>
              <w:rPr>
                <w:b/>
                <w:color w:val="000000"/>
                <w:szCs w:val="20"/>
              </w:rPr>
            </w:pPr>
            <w:r w:rsidRPr="00D7128A">
              <w:rPr>
                <w:b/>
                <w:color w:val="000000"/>
                <w:szCs w:val="20"/>
              </w:rPr>
              <w:t>Number of facilities</w:t>
            </w:r>
          </w:p>
        </w:tc>
        <w:tc>
          <w:tcPr>
            <w:tcW w:w="1233" w:type="pct"/>
            <w:shd w:val="clear" w:color="000000" w:fill="D9D9D9"/>
            <w:noWrap/>
            <w:vAlign w:val="center"/>
            <w:hideMark/>
          </w:tcPr>
          <w:p w:rsidR="006F01D3" w:rsidRPr="00D7128A" w14:paraId="3B22FDA8" w14:textId="77777777">
            <w:pPr>
              <w:jc w:val="center"/>
              <w:rPr>
                <w:b/>
                <w:color w:val="000000"/>
                <w:szCs w:val="20"/>
              </w:rPr>
            </w:pPr>
            <w:r w:rsidRPr="00D7128A">
              <w:rPr>
                <w:b/>
                <w:color w:val="000000"/>
                <w:szCs w:val="20"/>
              </w:rPr>
              <w:t>Chemical Uses</w:t>
            </w:r>
          </w:p>
        </w:tc>
      </w:tr>
      <w:tr w14:paraId="297E5690" w14:textId="77777777">
        <w:tblPrEx>
          <w:tblW w:w="5000" w:type="pct"/>
          <w:jc w:val="center"/>
          <w:tblLook w:val="04A0"/>
        </w:tblPrEx>
        <w:trPr>
          <w:trHeight w:val="20"/>
          <w:jc w:val="center"/>
        </w:trPr>
        <w:tc>
          <w:tcPr>
            <w:tcW w:w="1682" w:type="pct"/>
            <w:shd w:val="clear" w:color="auto" w:fill="auto"/>
            <w:vAlign w:val="center"/>
            <w:hideMark/>
          </w:tcPr>
          <w:p w:rsidR="006F01D3" w:rsidRPr="00D7128A" w14:paraId="20978D0B" w14:textId="77777777">
            <w:pPr>
              <w:rPr>
                <w:color w:val="000000"/>
                <w:szCs w:val="20"/>
              </w:rPr>
            </w:pPr>
            <w:r w:rsidRPr="00D7128A">
              <w:rPr>
                <w:color w:val="000000"/>
                <w:szCs w:val="20"/>
              </w:rPr>
              <w:t>Administration of environmental quality programs (i.e., governments, government owned water)</w:t>
            </w:r>
          </w:p>
        </w:tc>
        <w:tc>
          <w:tcPr>
            <w:tcW w:w="1066" w:type="pct"/>
            <w:shd w:val="clear" w:color="auto" w:fill="auto"/>
            <w:vAlign w:val="center"/>
            <w:hideMark/>
          </w:tcPr>
          <w:p w:rsidR="006F01D3" w:rsidRPr="00D7128A" w14:paraId="710AA0C8" w14:textId="77777777">
            <w:pPr>
              <w:jc w:val="center"/>
              <w:rPr>
                <w:color w:val="000000"/>
                <w:szCs w:val="20"/>
              </w:rPr>
            </w:pPr>
            <w:r w:rsidRPr="00D7128A">
              <w:rPr>
                <w:color w:val="000000"/>
                <w:szCs w:val="20"/>
              </w:rPr>
              <w:t>92, 2213 (Government- owned)</w:t>
            </w:r>
          </w:p>
        </w:tc>
        <w:tc>
          <w:tcPr>
            <w:tcW w:w="1019" w:type="pct"/>
            <w:shd w:val="clear" w:color="auto" w:fill="auto"/>
            <w:noWrap/>
            <w:vAlign w:val="center"/>
            <w:hideMark/>
          </w:tcPr>
          <w:p w:rsidR="006F01D3" w:rsidRPr="00D7128A" w14:paraId="3FC704EE" w14:textId="77777777">
            <w:pPr>
              <w:jc w:val="center"/>
              <w:rPr>
                <w:color w:val="000000"/>
                <w:szCs w:val="20"/>
              </w:rPr>
            </w:pPr>
            <w:r w:rsidRPr="00D7128A">
              <w:rPr>
                <w:color w:val="000000"/>
                <w:szCs w:val="20"/>
              </w:rPr>
              <w:t>1,449</w:t>
            </w:r>
          </w:p>
        </w:tc>
        <w:tc>
          <w:tcPr>
            <w:tcW w:w="1233" w:type="pct"/>
            <w:shd w:val="clear" w:color="auto" w:fill="auto"/>
            <w:vAlign w:val="center"/>
            <w:hideMark/>
          </w:tcPr>
          <w:p w:rsidR="006F01D3" w:rsidRPr="00D7128A" w14:paraId="5114E412" w14:textId="77777777">
            <w:pPr>
              <w:rPr>
                <w:color w:val="000000"/>
                <w:szCs w:val="20"/>
              </w:rPr>
            </w:pPr>
            <w:r w:rsidRPr="00D7128A">
              <w:rPr>
                <w:color w:val="000000"/>
                <w:szCs w:val="20"/>
              </w:rPr>
              <w:t>Use chlorine and other chemicals for water treatment</w:t>
            </w:r>
          </w:p>
        </w:tc>
      </w:tr>
      <w:tr w14:paraId="094901D9" w14:textId="77777777">
        <w:tblPrEx>
          <w:tblW w:w="5000" w:type="pct"/>
          <w:jc w:val="center"/>
          <w:tblLook w:val="04A0"/>
        </w:tblPrEx>
        <w:trPr>
          <w:trHeight w:val="20"/>
          <w:jc w:val="center"/>
        </w:trPr>
        <w:tc>
          <w:tcPr>
            <w:tcW w:w="1682" w:type="pct"/>
            <w:shd w:val="clear" w:color="auto" w:fill="auto"/>
            <w:vAlign w:val="center"/>
            <w:hideMark/>
          </w:tcPr>
          <w:p w:rsidR="006F01D3" w:rsidRPr="00D7128A" w14:paraId="6ECBABD9" w14:textId="77777777">
            <w:pPr>
              <w:rPr>
                <w:color w:val="000000"/>
                <w:szCs w:val="20"/>
              </w:rPr>
            </w:pPr>
            <w:r w:rsidRPr="00D7128A">
              <w:rPr>
                <w:color w:val="000000"/>
                <w:szCs w:val="20"/>
              </w:rPr>
              <w:t>Agricultural chemical distributors/wholesalers</w:t>
            </w:r>
          </w:p>
        </w:tc>
        <w:tc>
          <w:tcPr>
            <w:tcW w:w="1066" w:type="pct"/>
            <w:shd w:val="clear" w:color="auto" w:fill="auto"/>
            <w:vAlign w:val="center"/>
            <w:hideMark/>
          </w:tcPr>
          <w:p w:rsidR="006F01D3" w:rsidRPr="00D7128A" w14:paraId="168CA65C" w14:textId="77777777">
            <w:pPr>
              <w:jc w:val="center"/>
              <w:rPr>
                <w:color w:val="000000"/>
                <w:szCs w:val="20"/>
              </w:rPr>
            </w:pPr>
            <w:r w:rsidRPr="00D7128A">
              <w:rPr>
                <w:color w:val="000000"/>
                <w:szCs w:val="20"/>
              </w:rPr>
              <w:t>11, 424 (except 4246, 4247)</w:t>
            </w:r>
          </w:p>
        </w:tc>
        <w:tc>
          <w:tcPr>
            <w:tcW w:w="1019" w:type="pct"/>
            <w:shd w:val="clear" w:color="auto" w:fill="auto"/>
            <w:noWrap/>
            <w:vAlign w:val="center"/>
            <w:hideMark/>
          </w:tcPr>
          <w:p w:rsidR="006F01D3" w:rsidRPr="00D7128A" w14:paraId="2CD6DB15" w14:textId="77777777">
            <w:pPr>
              <w:jc w:val="center"/>
              <w:rPr>
                <w:color w:val="000000"/>
                <w:szCs w:val="20"/>
              </w:rPr>
            </w:pPr>
            <w:r w:rsidRPr="00D7128A">
              <w:rPr>
                <w:color w:val="000000"/>
                <w:szCs w:val="20"/>
              </w:rPr>
              <w:t>3,315</w:t>
            </w:r>
          </w:p>
        </w:tc>
        <w:tc>
          <w:tcPr>
            <w:tcW w:w="1233" w:type="pct"/>
            <w:shd w:val="clear" w:color="auto" w:fill="auto"/>
            <w:vAlign w:val="center"/>
            <w:hideMark/>
          </w:tcPr>
          <w:p w:rsidR="006F01D3" w:rsidRPr="00D7128A" w14:paraId="499F8F4B" w14:textId="77777777">
            <w:pPr>
              <w:rPr>
                <w:color w:val="000000"/>
                <w:szCs w:val="20"/>
              </w:rPr>
            </w:pPr>
            <w:r w:rsidRPr="00D7128A">
              <w:rPr>
                <w:color w:val="000000"/>
                <w:szCs w:val="20"/>
              </w:rPr>
              <w:t>Store ammonia for sale; some in NAICS 111 and 115 use ammonia as a refrigerant</w:t>
            </w:r>
          </w:p>
        </w:tc>
      </w:tr>
      <w:tr w14:paraId="6E65B3AA" w14:textId="77777777">
        <w:tblPrEx>
          <w:tblW w:w="5000" w:type="pct"/>
          <w:jc w:val="center"/>
          <w:tblLook w:val="04A0"/>
        </w:tblPrEx>
        <w:trPr>
          <w:trHeight w:val="20"/>
          <w:jc w:val="center"/>
        </w:trPr>
        <w:tc>
          <w:tcPr>
            <w:tcW w:w="1682" w:type="pct"/>
            <w:shd w:val="clear" w:color="auto" w:fill="auto"/>
            <w:vAlign w:val="center"/>
            <w:hideMark/>
          </w:tcPr>
          <w:p w:rsidR="006F01D3" w:rsidRPr="00D7128A" w14:paraId="50D88DE4" w14:textId="77777777">
            <w:pPr>
              <w:rPr>
                <w:color w:val="000000"/>
                <w:szCs w:val="20"/>
              </w:rPr>
            </w:pPr>
            <w:r w:rsidRPr="00D7128A">
              <w:rPr>
                <w:color w:val="000000"/>
                <w:szCs w:val="20"/>
              </w:rPr>
              <w:t>Chemical manufacturing</w:t>
            </w:r>
          </w:p>
        </w:tc>
        <w:tc>
          <w:tcPr>
            <w:tcW w:w="1066" w:type="pct"/>
            <w:shd w:val="clear" w:color="auto" w:fill="auto"/>
            <w:vAlign w:val="center"/>
            <w:hideMark/>
          </w:tcPr>
          <w:p w:rsidR="006F01D3" w:rsidRPr="00D7128A" w14:paraId="1EC8362D" w14:textId="77777777">
            <w:pPr>
              <w:jc w:val="center"/>
              <w:rPr>
                <w:color w:val="000000"/>
                <w:szCs w:val="20"/>
              </w:rPr>
            </w:pPr>
            <w:r w:rsidRPr="00D7128A">
              <w:rPr>
                <w:color w:val="000000"/>
                <w:szCs w:val="20"/>
              </w:rPr>
              <w:t>325</w:t>
            </w:r>
          </w:p>
        </w:tc>
        <w:tc>
          <w:tcPr>
            <w:tcW w:w="1019" w:type="pct"/>
            <w:shd w:val="clear" w:color="auto" w:fill="auto"/>
            <w:noWrap/>
            <w:vAlign w:val="center"/>
            <w:hideMark/>
          </w:tcPr>
          <w:p w:rsidR="006F01D3" w:rsidRPr="00D7128A" w14:paraId="01D327BB" w14:textId="77777777">
            <w:pPr>
              <w:jc w:val="center"/>
              <w:rPr>
                <w:color w:val="000000"/>
                <w:szCs w:val="20"/>
              </w:rPr>
            </w:pPr>
            <w:r w:rsidRPr="00D7128A">
              <w:rPr>
                <w:color w:val="000000"/>
                <w:szCs w:val="20"/>
              </w:rPr>
              <w:t>1,502</w:t>
            </w:r>
          </w:p>
        </w:tc>
        <w:tc>
          <w:tcPr>
            <w:tcW w:w="1233" w:type="pct"/>
            <w:shd w:val="clear" w:color="auto" w:fill="auto"/>
            <w:vAlign w:val="center"/>
            <w:hideMark/>
          </w:tcPr>
          <w:p w:rsidR="006F01D3" w:rsidRPr="00D7128A" w14:paraId="1CA7DA12" w14:textId="77777777">
            <w:pPr>
              <w:rPr>
                <w:color w:val="000000"/>
                <w:szCs w:val="20"/>
              </w:rPr>
            </w:pPr>
            <w:r w:rsidRPr="00D7128A">
              <w:rPr>
                <w:color w:val="000000"/>
                <w:szCs w:val="20"/>
              </w:rPr>
              <w:t>Manufacture, process, store</w:t>
            </w:r>
          </w:p>
        </w:tc>
      </w:tr>
      <w:tr w14:paraId="58ABB79D" w14:textId="77777777">
        <w:tblPrEx>
          <w:tblW w:w="5000" w:type="pct"/>
          <w:jc w:val="center"/>
          <w:tblLook w:val="04A0"/>
        </w:tblPrEx>
        <w:trPr>
          <w:trHeight w:val="20"/>
          <w:jc w:val="center"/>
        </w:trPr>
        <w:tc>
          <w:tcPr>
            <w:tcW w:w="1682" w:type="pct"/>
            <w:shd w:val="clear" w:color="auto" w:fill="auto"/>
            <w:vAlign w:val="center"/>
            <w:hideMark/>
          </w:tcPr>
          <w:p w:rsidR="006F01D3" w:rsidRPr="00D7128A" w14:paraId="4EAA6A68" w14:textId="77777777">
            <w:pPr>
              <w:rPr>
                <w:color w:val="000000"/>
                <w:szCs w:val="20"/>
              </w:rPr>
            </w:pPr>
            <w:r w:rsidRPr="00D7128A">
              <w:rPr>
                <w:color w:val="000000"/>
                <w:szCs w:val="20"/>
              </w:rPr>
              <w:t>Chemical wholesalers</w:t>
            </w:r>
          </w:p>
        </w:tc>
        <w:tc>
          <w:tcPr>
            <w:tcW w:w="1066" w:type="pct"/>
            <w:shd w:val="clear" w:color="auto" w:fill="auto"/>
            <w:vAlign w:val="center"/>
            <w:hideMark/>
          </w:tcPr>
          <w:p w:rsidR="006F01D3" w:rsidRPr="00D7128A" w14:paraId="7AC0F61D" w14:textId="77777777">
            <w:pPr>
              <w:jc w:val="center"/>
              <w:rPr>
                <w:color w:val="000000"/>
                <w:szCs w:val="20"/>
              </w:rPr>
            </w:pPr>
            <w:r w:rsidRPr="00D7128A">
              <w:rPr>
                <w:color w:val="000000"/>
                <w:szCs w:val="20"/>
              </w:rPr>
              <w:t>4246</w:t>
            </w:r>
          </w:p>
        </w:tc>
        <w:tc>
          <w:tcPr>
            <w:tcW w:w="1019" w:type="pct"/>
            <w:shd w:val="clear" w:color="auto" w:fill="auto"/>
            <w:noWrap/>
            <w:vAlign w:val="center"/>
            <w:hideMark/>
          </w:tcPr>
          <w:p w:rsidR="006F01D3" w:rsidRPr="00D7128A" w14:paraId="57AEAAAC" w14:textId="77777777">
            <w:pPr>
              <w:jc w:val="center"/>
              <w:rPr>
                <w:color w:val="000000"/>
                <w:szCs w:val="20"/>
              </w:rPr>
            </w:pPr>
            <w:r w:rsidRPr="00D7128A">
              <w:rPr>
                <w:color w:val="000000"/>
                <w:szCs w:val="20"/>
              </w:rPr>
              <w:t>317</w:t>
            </w:r>
          </w:p>
        </w:tc>
        <w:tc>
          <w:tcPr>
            <w:tcW w:w="1233" w:type="pct"/>
            <w:shd w:val="clear" w:color="auto" w:fill="auto"/>
            <w:vAlign w:val="center"/>
            <w:hideMark/>
          </w:tcPr>
          <w:p w:rsidR="006F01D3" w:rsidRPr="00D7128A" w14:paraId="62D6774D" w14:textId="77777777">
            <w:pPr>
              <w:rPr>
                <w:color w:val="000000"/>
                <w:szCs w:val="20"/>
              </w:rPr>
            </w:pPr>
            <w:r w:rsidRPr="00D7128A">
              <w:rPr>
                <w:color w:val="000000"/>
                <w:szCs w:val="20"/>
              </w:rPr>
              <w:t>Store for sale</w:t>
            </w:r>
          </w:p>
        </w:tc>
      </w:tr>
      <w:tr w14:paraId="5A773D99" w14:textId="77777777">
        <w:tblPrEx>
          <w:tblW w:w="5000" w:type="pct"/>
          <w:jc w:val="center"/>
          <w:tblLook w:val="04A0"/>
        </w:tblPrEx>
        <w:trPr>
          <w:trHeight w:val="20"/>
          <w:jc w:val="center"/>
        </w:trPr>
        <w:tc>
          <w:tcPr>
            <w:tcW w:w="1682" w:type="pct"/>
            <w:shd w:val="clear" w:color="auto" w:fill="auto"/>
            <w:vAlign w:val="center"/>
            <w:hideMark/>
          </w:tcPr>
          <w:p w:rsidR="006F01D3" w:rsidRPr="00D7128A" w14:paraId="4EAFD86D" w14:textId="77777777">
            <w:pPr>
              <w:rPr>
                <w:color w:val="000000"/>
                <w:szCs w:val="20"/>
              </w:rPr>
            </w:pPr>
            <w:r w:rsidRPr="00D7128A">
              <w:rPr>
                <w:color w:val="000000"/>
                <w:szCs w:val="20"/>
              </w:rPr>
              <w:t>Food and beverage manufacturing</w:t>
            </w:r>
          </w:p>
        </w:tc>
        <w:tc>
          <w:tcPr>
            <w:tcW w:w="1066" w:type="pct"/>
            <w:shd w:val="clear" w:color="auto" w:fill="auto"/>
            <w:vAlign w:val="center"/>
            <w:hideMark/>
          </w:tcPr>
          <w:p w:rsidR="006F01D3" w:rsidRPr="00D7128A" w14:paraId="4B0EB7FF" w14:textId="77777777">
            <w:pPr>
              <w:jc w:val="center"/>
              <w:rPr>
                <w:color w:val="000000"/>
                <w:szCs w:val="20"/>
              </w:rPr>
            </w:pPr>
            <w:r w:rsidRPr="00D7128A">
              <w:rPr>
                <w:color w:val="000000"/>
                <w:szCs w:val="20"/>
              </w:rPr>
              <w:t>311, 312</w:t>
            </w:r>
          </w:p>
        </w:tc>
        <w:tc>
          <w:tcPr>
            <w:tcW w:w="1019" w:type="pct"/>
            <w:shd w:val="clear" w:color="auto" w:fill="auto"/>
            <w:noWrap/>
            <w:vAlign w:val="center"/>
            <w:hideMark/>
          </w:tcPr>
          <w:p w:rsidR="006F01D3" w:rsidRPr="00D7128A" w14:paraId="0EB588C8" w14:textId="77777777">
            <w:pPr>
              <w:jc w:val="center"/>
              <w:rPr>
                <w:color w:val="000000"/>
                <w:szCs w:val="20"/>
              </w:rPr>
            </w:pPr>
            <w:r w:rsidRPr="00D7128A">
              <w:rPr>
                <w:color w:val="000000"/>
                <w:szCs w:val="20"/>
              </w:rPr>
              <w:t>1,571</w:t>
            </w:r>
          </w:p>
        </w:tc>
        <w:tc>
          <w:tcPr>
            <w:tcW w:w="1233" w:type="pct"/>
            <w:shd w:val="clear" w:color="auto" w:fill="auto"/>
            <w:vAlign w:val="center"/>
            <w:hideMark/>
          </w:tcPr>
          <w:p w:rsidR="006F01D3" w:rsidRPr="00D7128A" w14:paraId="654D1DA5" w14:textId="77777777">
            <w:pPr>
              <w:rPr>
                <w:color w:val="000000"/>
                <w:szCs w:val="20"/>
              </w:rPr>
            </w:pPr>
            <w:r w:rsidRPr="00D7128A">
              <w:rPr>
                <w:color w:val="000000"/>
                <w:szCs w:val="20"/>
              </w:rPr>
              <w:t xml:space="preserve">Use </w:t>
            </w:r>
            <w:r>
              <w:rPr>
                <w:color w:val="000000"/>
                <w:szCs w:val="20"/>
              </w:rPr>
              <w:t>(</w:t>
            </w:r>
            <w:r w:rsidRPr="00D7128A">
              <w:rPr>
                <w:color w:val="000000"/>
                <w:szCs w:val="20"/>
              </w:rPr>
              <w:t>mostly ammonia</w:t>
            </w:r>
            <w:r>
              <w:rPr>
                <w:color w:val="000000"/>
                <w:szCs w:val="20"/>
              </w:rPr>
              <w:t>)</w:t>
            </w:r>
            <w:r w:rsidRPr="00D7128A">
              <w:rPr>
                <w:color w:val="000000"/>
                <w:szCs w:val="20"/>
              </w:rPr>
              <w:t xml:space="preserve"> as a refrigerant</w:t>
            </w:r>
          </w:p>
        </w:tc>
      </w:tr>
      <w:tr w14:paraId="4DAAF32E" w14:textId="77777777">
        <w:tblPrEx>
          <w:tblW w:w="5000" w:type="pct"/>
          <w:jc w:val="center"/>
          <w:tblLook w:val="04A0"/>
        </w:tblPrEx>
        <w:trPr>
          <w:trHeight w:val="20"/>
          <w:jc w:val="center"/>
        </w:trPr>
        <w:tc>
          <w:tcPr>
            <w:tcW w:w="1682" w:type="pct"/>
            <w:shd w:val="clear" w:color="auto" w:fill="auto"/>
            <w:vAlign w:val="center"/>
            <w:hideMark/>
          </w:tcPr>
          <w:p w:rsidR="006F01D3" w:rsidRPr="00D7128A" w14:paraId="2B82FDAF" w14:textId="77777777">
            <w:pPr>
              <w:rPr>
                <w:color w:val="000000"/>
                <w:szCs w:val="20"/>
              </w:rPr>
            </w:pPr>
            <w:r w:rsidRPr="00D7128A">
              <w:rPr>
                <w:color w:val="000000"/>
                <w:szCs w:val="20"/>
              </w:rPr>
              <w:t>Oil and gas extraction</w:t>
            </w:r>
          </w:p>
        </w:tc>
        <w:tc>
          <w:tcPr>
            <w:tcW w:w="1066" w:type="pct"/>
            <w:shd w:val="clear" w:color="auto" w:fill="auto"/>
            <w:vAlign w:val="center"/>
            <w:hideMark/>
          </w:tcPr>
          <w:p w:rsidR="006F01D3" w:rsidRPr="00D7128A" w14:paraId="5B4AFA04" w14:textId="77777777">
            <w:pPr>
              <w:jc w:val="center"/>
              <w:rPr>
                <w:color w:val="000000"/>
                <w:szCs w:val="20"/>
              </w:rPr>
            </w:pPr>
            <w:r w:rsidRPr="00D7128A">
              <w:rPr>
                <w:color w:val="000000"/>
                <w:szCs w:val="20"/>
              </w:rPr>
              <w:t>211</w:t>
            </w:r>
          </w:p>
        </w:tc>
        <w:tc>
          <w:tcPr>
            <w:tcW w:w="1019" w:type="pct"/>
            <w:shd w:val="clear" w:color="auto" w:fill="auto"/>
            <w:noWrap/>
            <w:vAlign w:val="center"/>
            <w:hideMark/>
          </w:tcPr>
          <w:p w:rsidR="006F01D3" w:rsidRPr="00D7128A" w14:paraId="66664451" w14:textId="77777777">
            <w:pPr>
              <w:jc w:val="center"/>
              <w:rPr>
                <w:color w:val="000000"/>
                <w:szCs w:val="20"/>
              </w:rPr>
            </w:pPr>
            <w:r w:rsidRPr="00D7128A">
              <w:rPr>
                <w:color w:val="000000"/>
                <w:szCs w:val="20"/>
              </w:rPr>
              <w:t>719</w:t>
            </w:r>
          </w:p>
        </w:tc>
        <w:tc>
          <w:tcPr>
            <w:tcW w:w="1233" w:type="pct"/>
            <w:shd w:val="clear" w:color="auto" w:fill="auto"/>
            <w:vAlign w:val="center"/>
            <w:hideMark/>
          </w:tcPr>
          <w:p w:rsidR="006F01D3" w:rsidRPr="00D7128A" w14:paraId="7C57C199" w14:textId="77777777">
            <w:pPr>
              <w:rPr>
                <w:color w:val="000000"/>
                <w:szCs w:val="20"/>
              </w:rPr>
            </w:pPr>
            <w:r w:rsidRPr="00D7128A">
              <w:rPr>
                <w:color w:val="000000"/>
                <w:szCs w:val="20"/>
              </w:rPr>
              <w:t>Intermediate processing (mostly regulated flammable substances and flammable mixtures)</w:t>
            </w:r>
          </w:p>
        </w:tc>
      </w:tr>
      <w:tr w14:paraId="286A398F" w14:textId="77777777">
        <w:tblPrEx>
          <w:tblW w:w="5000" w:type="pct"/>
          <w:jc w:val="center"/>
          <w:tblLook w:val="04A0"/>
        </w:tblPrEx>
        <w:trPr>
          <w:trHeight w:val="20"/>
          <w:jc w:val="center"/>
        </w:trPr>
        <w:tc>
          <w:tcPr>
            <w:tcW w:w="1682" w:type="pct"/>
            <w:shd w:val="clear" w:color="auto" w:fill="auto"/>
            <w:vAlign w:val="center"/>
            <w:hideMark/>
          </w:tcPr>
          <w:p w:rsidR="006F01D3" w:rsidRPr="00D7128A" w14:paraId="32401B6E" w14:textId="77777777">
            <w:pPr>
              <w:rPr>
                <w:color w:val="000000"/>
                <w:szCs w:val="20"/>
              </w:rPr>
            </w:pPr>
            <w:r w:rsidRPr="00D7128A">
              <w:rPr>
                <w:color w:val="000000"/>
                <w:szCs w:val="20"/>
              </w:rPr>
              <w:t>Other</w:t>
            </w:r>
          </w:p>
        </w:tc>
        <w:tc>
          <w:tcPr>
            <w:tcW w:w="1066" w:type="pct"/>
            <w:shd w:val="clear" w:color="auto" w:fill="auto"/>
            <w:vAlign w:val="center"/>
            <w:hideMark/>
          </w:tcPr>
          <w:p w:rsidR="006F01D3" w:rsidRPr="00D7128A" w14:paraId="60691E21" w14:textId="77777777">
            <w:pPr>
              <w:jc w:val="center"/>
              <w:rPr>
                <w:color w:val="000000"/>
                <w:szCs w:val="20"/>
              </w:rPr>
            </w:pPr>
            <w:r w:rsidRPr="00D7128A">
              <w:rPr>
                <w:color w:val="000000"/>
                <w:szCs w:val="20"/>
              </w:rPr>
              <w:t>21 (except 211), 23, 44, 45, 48, 491, 54, 55, 56, 61, 62, 71, 72, 81, 99</w:t>
            </w:r>
          </w:p>
        </w:tc>
        <w:tc>
          <w:tcPr>
            <w:tcW w:w="1019" w:type="pct"/>
            <w:shd w:val="clear" w:color="auto" w:fill="auto"/>
            <w:noWrap/>
            <w:vAlign w:val="center"/>
            <w:hideMark/>
          </w:tcPr>
          <w:p w:rsidR="006F01D3" w:rsidRPr="00D7128A" w14:paraId="3BB5C9A8" w14:textId="77777777">
            <w:pPr>
              <w:jc w:val="center"/>
              <w:rPr>
                <w:color w:val="000000"/>
                <w:szCs w:val="20"/>
              </w:rPr>
            </w:pPr>
            <w:r w:rsidRPr="00D7128A">
              <w:rPr>
                <w:color w:val="000000"/>
                <w:szCs w:val="20"/>
              </w:rPr>
              <w:t>246</w:t>
            </w:r>
          </w:p>
        </w:tc>
        <w:tc>
          <w:tcPr>
            <w:tcW w:w="1233" w:type="pct"/>
            <w:shd w:val="clear" w:color="auto" w:fill="auto"/>
            <w:vAlign w:val="center"/>
            <w:hideMark/>
          </w:tcPr>
          <w:p w:rsidR="006F01D3" w:rsidRPr="00D7128A" w14:paraId="4805FA90" w14:textId="77777777">
            <w:pPr>
              <w:rPr>
                <w:color w:val="000000"/>
                <w:szCs w:val="20"/>
              </w:rPr>
            </w:pPr>
            <w:r w:rsidRPr="00D7128A">
              <w:rPr>
                <w:color w:val="000000"/>
                <w:szCs w:val="20"/>
              </w:rPr>
              <w:t>Use chemicals for wastewater treatment, refrigeration, store chemicals for sale</w:t>
            </w:r>
          </w:p>
        </w:tc>
      </w:tr>
      <w:tr w14:paraId="6D30FD57" w14:textId="77777777">
        <w:tblPrEx>
          <w:tblW w:w="5000" w:type="pct"/>
          <w:jc w:val="center"/>
          <w:tblLook w:val="04A0"/>
        </w:tblPrEx>
        <w:trPr>
          <w:trHeight w:val="20"/>
          <w:jc w:val="center"/>
        </w:trPr>
        <w:tc>
          <w:tcPr>
            <w:tcW w:w="1682" w:type="pct"/>
            <w:shd w:val="clear" w:color="auto" w:fill="auto"/>
            <w:vAlign w:val="center"/>
            <w:hideMark/>
          </w:tcPr>
          <w:p w:rsidR="006F01D3" w:rsidRPr="00D7128A" w14:paraId="0E2EF539" w14:textId="77777777">
            <w:pPr>
              <w:rPr>
                <w:color w:val="000000"/>
                <w:szCs w:val="20"/>
              </w:rPr>
            </w:pPr>
            <w:r w:rsidRPr="00D7128A">
              <w:rPr>
                <w:color w:val="000000"/>
                <w:szCs w:val="20"/>
              </w:rPr>
              <w:t>Other manufacturing</w:t>
            </w:r>
          </w:p>
        </w:tc>
        <w:tc>
          <w:tcPr>
            <w:tcW w:w="1066" w:type="pct"/>
            <w:shd w:val="clear" w:color="auto" w:fill="auto"/>
            <w:vAlign w:val="center"/>
            <w:hideMark/>
          </w:tcPr>
          <w:p w:rsidR="006F01D3" w:rsidRPr="00D7128A" w14:paraId="3A82501E" w14:textId="77777777">
            <w:pPr>
              <w:jc w:val="center"/>
              <w:rPr>
                <w:color w:val="000000"/>
                <w:szCs w:val="20"/>
              </w:rPr>
            </w:pPr>
            <w:r w:rsidRPr="00D7128A">
              <w:rPr>
                <w:color w:val="000000"/>
                <w:szCs w:val="20"/>
              </w:rPr>
              <w:t>313, 314, 315, 326, 327, 33</w:t>
            </w:r>
          </w:p>
        </w:tc>
        <w:tc>
          <w:tcPr>
            <w:tcW w:w="1019" w:type="pct"/>
            <w:shd w:val="clear" w:color="auto" w:fill="auto"/>
            <w:noWrap/>
            <w:vAlign w:val="center"/>
            <w:hideMark/>
          </w:tcPr>
          <w:p w:rsidR="006F01D3" w:rsidRPr="00D7128A" w14:paraId="34486285" w14:textId="77777777">
            <w:pPr>
              <w:jc w:val="center"/>
              <w:rPr>
                <w:color w:val="000000"/>
                <w:szCs w:val="20"/>
              </w:rPr>
            </w:pPr>
            <w:r w:rsidRPr="00D7128A">
              <w:rPr>
                <w:color w:val="000000"/>
                <w:szCs w:val="20"/>
              </w:rPr>
              <w:t>375</w:t>
            </w:r>
          </w:p>
        </w:tc>
        <w:tc>
          <w:tcPr>
            <w:tcW w:w="1233" w:type="pct"/>
            <w:shd w:val="clear" w:color="auto" w:fill="auto"/>
            <w:vAlign w:val="center"/>
            <w:hideMark/>
          </w:tcPr>
          <w:p w:rsidR="006F01D3" w:rsidRPr="00D7128A" w14:paraId="57F85711" w14:textId="77777777">
            <w:pPr>
              <w:rPr>
                <w:color w:val="000000"/>
                <w:szCs w:val="20"/>
              </w:rPr>
            </w:pPr>
            <w:r w:rsidRPr="00D7128A">
              <w:rPr>
                <w:color w:val="000000"/>
                <w:szCs w:val="20"/>
              </w:rPr>
              <w:t>Use various chemicals in manufacturing process, waste treatment</w:t>
            </w:r>
          </w:p>
        </w:tc>
      </w:tr>
      <w:tr w14:paraId="4CEA577F" w14:textId="77777777">
        <w:tblPrEx>
          <w:tblW w:w="5000" w:type="pct"/>
          <w:jc w:val="center"/>
          <w:tblLook w:val="04A0"/>
        </w:tblPrEx>
        <w:trPr>
          <w:trHeight w:val="20"/>
          <w:jc w:val="center"/>
        </w:trPr>
        <w:tc>
          <w:tcPr>
            <w:tcW w:w="1682" w:type="pct"/>
            <w:shd w:val="clear" w:color="auto" w:fill="auto"/>
            <w:vAlign w:val="center"/>
            <w:hideMark/>
          </w:tcPr>
          <w:p w:rsidR="006F01D3" w:rsidRPr="00D7128A" w14:paraId="0B73EE77" w14:textId="77777777">
            <w:pPr>
              <w:rPr>
                <w:color w:val="000000"/>
                <w:szCs w:val="20"/>
              </w:rPr>
            </w:pPr>
            <w:r w:rsidRPr="00D7128A">
              <w:rPr>
                <w:color w:val="000000"/>
                <w:szCs w:val="20"/>
              </w:rPr>
              <w:t>Other wholesale</w:t>
            </w:r>
          </w:p>
        </w:tc>
        <w:tc>
          <w:tcPr>
            <w:tcW w:w="1066" w:type="pct"/>
            <w:shd w:val="clear" w:color="auto" w:fill="auto"/>
            <w:vAlign w:val="center"/>
            <w:hideMark/>
          </w:tcPr>
          <w:p w:rsidR="006F01D3" w:rsidRPr="00D7128A" w14:paraId="79900872" w14:textId="77777777">
            <w:pPr>
              <w:jc w:val="center"/>
              <w:rPr>
                <w:color w:val="000000"/>
                <w:szCs w:val="20"/>
              </w:rPr>
            </w:pPr>
            <w:r w:rsidRPr="00D7128A">
              <w:rPr>
                <w:color w:val="000000"/>
                <w:szCs w:val="20"/>
              </w:rPr>
              <w:t>421, 422, 423</w:t>
            </w:r>
          </w:p>
        </w:tc>
        <w:tc>
          <w:tcPr>
            <w:tcW w:w="1019" w:type="pct"/>
            <w:shd w:val="clear" w:color="auto" w:fill="auto"/>
            <w:noWrap/>
            <w:vAlign w:val="center"/>
            <w:hideMark/>
          </w:tcPr>
          <w:p w:rsidR="006F01D3" w:rsidRPr="00D7128A" w14:paraId="25A0E69E" w14:textId="77777777">
            <w:pPr>
              <w:jc w:val="center"/>
              <w:rPr>
                <w:color w:val="000000"/>
                <w:szCs w:val="20"/>
              </w:rPr>
            </w:pPr>
            <w:r w:rsidRPr="00D7128A">
              <w:rPr>
                <w:color w:val="000000"/>
                <w:szCs w:val="20"/>
              </w:rPr>
              <w:t>39</w:t>
            </w:r>
          </w:p>
        </w:tc>
        <w:tc>
          <w:tcPr>
            <w:tcW w:w="1233" w:type="pct"/>
            <w:shd w:val="clear" w:color="auto" w:fill="auto"/>
            <w:vAlign w:val="center"/>
            <w:hideMark/>
          </w:tcPr>
          <w:p w:rsidR="006F01D3" w:rsidRPr="00D7128A" w14:paraId="28BBEFC6" w14:textId="77777777">
            <w:pPr>
              <w:rPr>
                <w:color w:val="000000"/>
                <w:szCs w:val="20"/>
              </w:rPr>
            </w:pPr>
            <w:r w:rsidRPr="00D7128A">
              <w:rPr>
                <w:color w:val="000000"/>
                <w:szCs w:val="20"/>
              </w:rPr>
              <w:t xml:space="preserve">Use </w:t>
            </w:r>
            <w:r>
              <w:rPr>
                <w:color w:val="000000"/>
                <w:szCs w:val="20"/>
              </w:rPr>
              <w:t>(</w:t>
            </w:r>
            <w:r w:rsidRPr="00D7128A">
              <w:rPr>
                <w:color w:val="000000"/>
                <w:szCs w:val="20"/>
              </w:rPr>
              <w:t>mostly ammonia</w:t>
            </w:r>
            <w:r>
              <w:rPr>
                <w:color w:val="000000"/>
                <w:szCs w:val="20"/>
              </w:rPr>
              <w:t>)</w:t>
            </w:r>
            <w:r w:rsidRPr="00D7128A">
              <w:rPr>
                <w:color w:val="000000"/>
                <w:szCs w:val="20"/>
              </w:rPr>
              <w:t xml:space="preserve"> as a refrigerant</w:t>
            </w:r>
          </w:p>
        </w:tc>
      </w:tr>
      <w:tr w14:paraId="379F3DD8" w14:textId="77777777">
        <w:tblPrEx>
          <w:tblW w:w="5000" w:type="pct"/>
          <w:jc w:val="center"/>
          <w:tblLook w:val="04A0"/>
        </w:tblPrEx>
        <w:trPr>
          <w:trHeight w:val="20"/>
          <w:jc w:val="center"/>
        </w:trPr>
        <w:tc>
          <w:tcPr>
            <w:tcW w:w="1682" w:type="pct"/>
            <w:shd w:val="clear" w:color="auto" w:fill="auto"/>
            <w:vAlign w:val="center"/>
            <w:hideMark/>
          </w:tcPr>
          <w:p w:rsidR="006F01D3" w:rsidRPr="00D7128A" w14:paraId="552B7170" w14:textId="77777777">
            <w:pPr>
              <w:rPr>
                <w:color w:val="000000"/>
                <w:szCs w:val="20"/>
              </w:rPr>
            </w:pPr>
            <w:r w:rsidRPr="00D7128A">
              <w:rPr>
                <w:color w:val="000000"/>
                <w:szCs w:val="20"/>
              </w:rPr>
              <w:t>Paper manufacturing</w:t>
            </w:r>
          </w:p>
        </w:tc>
        <w:tc>
          <w:tcPr>
            <w:tcW w:w="1066" w:type="pct"/>
            <w:shd w:val="clear" w:color="auto" w:fill="auto"/>
            <w:vAlign w:val="center"/>
            <w:hideMark/>
          </w:tcPr>
          <w:p w:rsidR="006F01D3" w:rsidRPr="00D7128A" w14:paraId="7EABA868" w14:textId="77777777">
            <w:pPr>
              <w:jc w:val="center"/>
              <w:rPr>
                <w:color w:val="000000"/>
                <w:szCs w:val="20"/>
              </w:rPr>
            </w:pPr>
            <w:r w:rsidRPr="00D7128A">
              <w:rPr>
                <w:color w:val="000000"/>
                <w:szCs w:val="20"/>
              </w:rPr>
              <w:t>321, 322</w:t>
            </w:r>
          </w:p>
        </w:tc>
        <w:tc>
          <w:tcPr>
            <w:tcW w:w="1019" w:type="pct"/>
            <w:shd w:val="clear" w:color="auto" w:fill="auto"/>
            <w:noWrap/>
            <w:vAlign w:val="center"/>
            <w:hideMark/>
          </w:tcPr>
          <w:p w:rsidR="006F01D3" w:rsidRPr="00D7128A" w14:paraId="1A688C01" w14:textId="77777777">
            <w:pPr>
              <w:jc w:val="center"/>
              <w:rPr>
                <w:color w:val="000000"/>
                <w:szCs w:val="20"/>
              </w:rPr>
            </w:pPr>
            <w:r w:rsidRPr="00D7128A">
              <w:rPr>
                <w:color w:val="000000"/>
                <w:szCs w:val="20"/>
              </w:rPr>
              <w:t>55</w:t>
            </w:r>
          </w:p>
        </w:tc>
        <w:tc>
          <w:tcPr>
            <w:tcW w:w="1233" w:type="pct"/>
            <w:shd w:val="clear" w:color="auto" w:fill="auto"/>
            <w:vAlign w:val="center"/>
            <w:hideMark/>
          </w:tcPr>
          <w:p w:rsidR="006F01D3" w:rsidRPr="00D7128A" w14:paraId="37CFBD55" w14:textId="77777777">
            <w:pPr>
              <w:rPr>
                <w:color w:val="000000"/>
                <w:szCs w:val="20"/>
              </w:rPr>
            </w:pPr>
            <w:r w:rsidRPr="00D7128A">
              <w:rPr>
                <w:color w:val="000000"/>
                <w:szCs w:val="20"/>
              </w:rPr>
              <w:t>Use various chemicals in pulp and paper manufacturing</w:t>
            </w:r>
          </w:p>
        </w:tc>
      </w:tr>
      <w:tr w14:paraId="43AB698F" w14:textId="77777777">
        <w:tblPrEx>
          <w:tblW w:w="5000" w:type="pct"/>
          <w:jc w:val="center"/>
          <w:tblLook w:val="04A0"/>
        </w:tblPrEx>
        <w:trPr>
          <w:trHeight w:val="20"/>
          <w:jc w:val="center"/>
        </w:trPr>
        <w:tc>
          <w:tcPr>
            <w:tcW w:w="1682" w:type="pct"/>
            <w:shd w:val="clear" w:color="auto" w:fill="auto"/>
            <w:vAlign w:val="center"/>
            <w:hideMark/>
          </w:tcPr>
          <w:p w:rsidR="006F01D3" w:rsidRPr="00D7128A" w14:paraId="73146ABF" w14:textId="77777777">
            <w:pPr>
              <w:rPr>
                <w:color w:val="000000"/>
                <w:szCs w:val="20"/>
              </w:rPr>
            </w:pPr>
            <w:r w:rsidRPr="00D7128A">
              <w:rPr>
                <w:color w:val="000000"/>
                <w:szCs w:val="20"/>
              </w:rPr>
              <w:t>Petroleum and coal products manufacturing</w:t>
            </w:r>
          </w:p>
        </w:tc>
        <w:tc>
          <w:tcPr>
            <w:tcW w:w="1066" w:type="pct"/>
            <w:shd w:val="clear" w:color="auto" w:fill="auto"/>
            <w:vAlign w:val="center"/>
            <w:hideMark/>
          </w:tcPr>
          <w:p w:rsidR="006F01D3" w:rsidRPr="00D7128A" w14:paraId="71501513" w14:textId="77777777">
            <w:pPr>
              <w:jc w:val="center"/>
              <w:rPr>
                <w:color w:val="000000"/>
                <w:szCs w:val="20"/>
              </w:rPr>
            </w:pPr>
            <w:r w:rsidRPr="00D7128A">
              <w:rPr>
                <w:color w:val="000000"/>
                <w:szCs w:val="20"/>
              </w:rPr>
              <w:t>324</w:t>
            </w:r>
          </w:p>
        </w:tc>
        <w:tc>
          <w:tcPr>
            <w:tcW w:w="1019" w:type="pct"/>
            <w:shd w:val="clear" w:color="auto" w:fill="auto"/>
            <w:noWrap/>
            <w:vAlign w:val="center"/>
            <w:hideMark/>
          </w:tcPr>
          <w:p w:rsidR="006F01D3" w:rsidRPr="00D7128A" w14:paraId="28456520" w14:textId="77777777">
            <w:pPr>
              <w:jc w:val="center"/>
              <w:rPr>
                <w:color w:val="000000"/>
                <w:szCs w:val="20"/>
              </w:rPr>
            </w:pPr>
            <w:r w:rsidRPr="00D7128A">
              <w:rPr>
                <w:color w:val="000000"/>
                <w:szCs w:val="20"/>
              </w:rPr>
              <w:t>156</w:t>
            </w:r>
          </w:p>
        </w:tc>
        <w:tc>
          <w:tcPr>
            <w:tcW w:w="1233" w:type="pct"/>
            <w:shd w:val="clear" w:color="auto" w:fill="auto"/>
            <w:vAlign w:val="center"/>
            <w:hideMark/>
          </w:tcPr>
          <w:p w:rsidR="006F01D3" w:rsidRPr="00D7128A" w14:paraId="094553C5" w14:textId="77777777">
            <w:pPr>
              <w:rPr>
                <w:color w:val="000000"/>
                <w:szCs w:val="20"/>
              </w:rPr>
            </w:pPr>
            <w:r w:rsidRPr="00D7128A">
              <w:rPr>
                <w:color w:val="000000"/>
                <w:szCs w:val="20"/>
              </w:rPr>
              <w:t>Manufacture, process, store (mostly regulated flammable substances and flammable mixtures)</w:t>
            </w:r>
          </w:p>
        </w:tc>
      </w:tr>
      <w:tr w14:paraId="5AC1244E" w14:textId="77777777">
        <w:tblPrEx>
          <w:tblW w:w="5000" w:type="pct"/>
          <w:jc w:val="center"/>
          <w:tblLook w:val="04A0"/>
        </w:tblPrEx>
        <w:trPr>
          <w:trHeight w:val="20"/>
          <w:jc w:val="center"/>
        </w:trPr>
        <w:tc>
          <w:tcPr>
            <w:tcW w:w="1682" w:type="pct"/>
            <w:shd w:val="clear" w:color="auto" w:fill="auto"/>
            <w:vAlign w:val="center"/>
            <w:hideMark/>
          </w:tcPr>
          <w:p w:rsidR="006F01D3" w:rsidRPr="00D7128A" w14:paraId="21FD673F" w14:textId="77777777">
            <w:pPr>
              <w:rPr>
                <w:color w:val="000000"/>
                <w:szCs w:val="20"/>
              </w:rPr>
            </w:pPr>
            <w:r w:rsidRPr="00D7128A">
              <w:rPr>
                <w:color w:val="000000"/>
                <w:szCs w:val="20"/>
              </w:rPr>
              <w:t>Petroleum wholesalers</w:t>
            </w:r>
          </w:p>
        </w:tc>
        <w:tc>
          <w:tcPr>
            <w:tcW w:w="1066" w:type="pct"/>
            <w:shd w:val="clear" w:color="auto" w:fill="auto"/>
            <w:vAlign w:val="center"/>
            <w:hideMark/>
          </w:tcPr>
          <w:p w:rsidR="006F01D3" w:rsidRPr="00D7128A" w14:paraId="116E9CA1" w14:textId="77777777">
            <w:pPr>
              <w:jc w:val="center"/>
              <w:rPr>
                <w:color w:val="000000"/>
                <w:szCs w:val="20"/>
              </w:rPr>
            </w:pPr>
            <w:r w:rsidRPr="00D7128A">
              <w:rPr>
                <w:color w:val="000000"/>
                <w:szCs w:val="20"/>
              </w:rPr>
              <w:t>4247</w:t>
            </w:r>
          </w:p>
        </w:tc>
        <w:tc>
          <w:tcPr>
            <w:tcW w:w="1019" w:type="pct"/>
            <w:shd w:val="clear" w:color="auto" w:fill="auto"/>
            <w:noWrap/>
            <w:vAlign w:val="center"/>
            <w:hideMark/>
          </w:tcPr>
          <w:p w:rsidR="006F01D3" w:rsidRPr="00D7128A" w14:paraId="5B7B7D91" w14:textId="77777777">
            <w:pPr>
              <w:jc w:val="center"/>
              <w:rPr>
                <w:color w:val="000000"/>
                <w:szCs w:val="20"/>
              </w:rPr>
            </w:pPr>
            <w:r w:rsidRPr="00D7128A">
              <w:rPr>
                <w:color w:val="000000"/>
                <w:szCs w:val="20"/>
              </w:rPr>
              <w:t>367</w:t>
            </w:r>
          </w:p>
        </w:tc>
        <w:tc>
          <w:tcPr>
            <w:tcW w:w="1233" w:type="pct"/>
            <w:shd w:val="clear" w:color="auto" w:fill="auto"/>
            <w:vAlign w:val="center"/>
            <w:hideMark/>
          </w:tcPr>
          <w:p w:rsidR="006F01D3" w:rsidRPr="00D7128A" w14:paraId="2B8CFC8B" w14:textId="77777777">
            <w:pPr>
              <w:rPr>
                <w:color w:val="000000"/>
                <w:szCs w:val="20"/>
              </w:rPr>
            </w:pPr>
            <w:r w:rsidRPr="00D7128A">
              <w:rPr>
                <w:color w:val="000000"/>
                <w:szCs w:val="20"/>
              </w:rPr>
              <w:t>Store for sale (mostly regulated flammable substances and flammable mixtures)</w:t>
            </w:r>
          </w:p>
        </w:tc>
      </w:tr>
      <w:tr w14:paraId="20194821" w14:textId="77777777">
        <w:tblPrEx>
          <w:tblW w:w="5000" w:type="pct"/>
          <w:jc w:val="center"/>
          <w:tblLook w:val="04A0"/>
        </w:tblPrEx>
        <w:trPr>
          <w:trHeight w:val="20"/>
          <w:jc w:val="center"/>
        </w:trPr>
        <w:tc>
          <w:tcPr>
            <w:tcW w:w="1682" w:type="pct"/>
            <w:shd w:val="clear" w:color="auto" w:fill="auto"/>
            <w:vAlign w:val="center"/>
            <w:hideMark/>
          </w:tcPr>
          <w:p w:rsidR="006F01D3" w:rsidRPr="00D7128A" w14:paraId="3E9AACF0" w14:textId="77777777">
            <w:pPr>
              <w:rPr>
                <w:color w:val="000000"/>
                <w:szCs w:val="20"/>
              </w:rPr>
            </w:pPr>
            <w:r w:rsidRPr="00D7128A">
              <w:rPr>
                <w:color w:val="000000"/>
                <w:szCs w:val="20"/>
              </w:rPr>
              <w:t>Utilities/Water/Wastewater</w:t>
            </w:r>
          </w:p>
        </w:tc>
        <w:tc>
          <w:tcPr>
            <w:tcW w:w="1066" w:type="pct"/>
            <w:shd w:val="clear" w:color="auto" w:fill="auto"/>
            <w:vAlign w:val="center"/>
            <w:hideMark/>
          </w:tcPr>
          <w:p w:rsidR="006F01D3" w:rsidRPr="00D7128A" w14:paraId="4EE93C8B" w14:textId="77777777">
            <w:pPr>
              <w:jc w:val="center"/>
              <w:rPr>
                <w:color w:val="000000"/>
                <w:szCs w:val="20"/>
              </w:rPr>
            </w:pPr>
            <w:r w:rsidRPr="00D7128A">
              <w:rPr>
                <w:color w:val="000000"/>
                <w:szCs w:val="20"/>
              </w:rPr>
              <w:t>221 (non-government-owned water)</w:t>
            </w:r>
          </w:p>
        </w:tc>
        <w:tc>
          <w:tcPr>
            <w:tcW w:w="1019" w:type="pct"/>
            <w:shd w:val="clear" w:color="auto" w:fill="auto"/>
            <w:noWrap/>
            <w:vAlign w:val="center"/>
            <w:hideMark/>
          </w:tcPr>
          <w:p w:rsidR="006F01D3" w:rsidRPr="00D7128A" w14:paraId="64C473AA" w14:textId="77777777">
            <w:pPr>
              <w:jc w:val="center"/>
              <w:rPr>
                <w:color w:val="000000"/>
                <w:szCs w:val="20"/>
              </w:rPr>
            </w:pPr>
            <w:r w:rsidRPr="00D7128A">
              <w:rPr>
                <w:color w:val="000000"/>
                <w:szCs w:val="20"/>
              </w:rPr>
              <w:t>519</w:t>
            </w:r>
          </w:p>
        </w:tc>
        <w:tc>
          <w:tcPr>
            <w:tcW w:w="1233" w:type="pct"/>
            <w:shd w:val="clear" w:color="auto" w:fill="auto"/>
            <w:vAlign w:val="center"/>
            <w:hideMark/>
          </w:tcPr>
          <w:p w:rsidR="006F01D3" w:rsidRPr="00D7128A" w14:paraId="5F96326C" w14:textId="77777777">
            <w:pPr>
              <w:rPr>
                <w:color w:val="000000"/>
                <w:szCs w:val="20"/>
              </w:rPr>
            </w:pPr>
            <w:r w:rsidRPr="00D7128A">
              <w:rPr>
                <w:color w:val="000000"/>
                <w:szCs w:val="20"/>
              </w:rPr>
              <w:t>Use chlorine (mostly for water treatment) and other chemicals</w:t>
            </w:r>
          </w:p>
        </w:tc>
      </w:tr>
      <w:tr w14:paraId="185BA24F" w14:textId="77777777">
        <w:tblPrEx>
          <w:tblW w:w="5000" w:type="pct"/>
          <w:jc w:val="center"/>
          <w:tblLook w:val="04A0"/>
        </w:tblPrEx>
        <w:trPr>
          <w:trHeight w:val="20"/>
          <w:jc w:val="center"/>
        </w:trPr>
        <w:tc>
          <w:tcPr>
            <w:tcW w:w="1682" w:type="pct"/>
            <w:shd w:val="clear" w:color="auto" w:fill="auto"/>
            <w:vAlign w:val="center"/>
            <w:hideMark/>
          </w:tcPr>
          <w:p w:rsidR="006F01D3" w:rsidRPr="00D7128A" w14:paraId="04F0ED3D" w14:textId="77777777">
            <w:pPr>
              <w:rPr>
                <w:color w:val="000000"/>
                <w:szCs w:val="20"/>
              </w:rPr>
            </w:pPr>
            <w:r w:rsidRPr="00D7128A">
              <w:rPr>
                <w:color w:val="000000"/>
                <w:szCs w:val="20"/>
              </w:rPr>
              <w:t>Warehousing and storage</w:t>
            </w:r>
          </w:p>
        </w:tc>
        <w:tc>
          <w:tcPr>
            <w:tcW w:w="1066" w:type="pct"/>
            <w:shd w:val="clear" w:color="auto" w:fill="auto"/>
            <w:vAlign w:val="center"/>
            <w:hideMark/>
          </w:tcPr>
          <w:p w:rsidR="006F01D3" w:rsidRPr="00D7128A" w14:paraId="29C9E912" w14:textId="77777777">
            <w:pPr>
              <w:jc w:val="center"/>
              <w:rPr>
                <w:color w:val="000000"/>
                <w:szCs w:val="20"/>
              </w:rPr>
            </w:pPr>
            <w:r w:rsidRPr="00D7128A">
              <w:rPr>
                <w:color w:val="000000"/>
                <w:szCs w:val="20"/>
              </w:rPr>
              <w:t>493</w:t>
            </w:r>
          </w:p>
        </w:tc>
        <w:tc>
          <w:tcPr>
            <w:tcW w:w="1019" w:type="pct"/>
            <w:shd w:val="clear" w:color="auto" w:fill="auto"/>
            <w:noWrap/>
            <w:vAlign w:val="center"/>
            <w:hideMark/>
          </w:tcPr>
          <w:p w:rsidR="006F01D3" w:rsidRPr="00D7128A" w14:paraId="41FF1BF3" w14:textId="77777777">
            <w:pPr>
              <w:jc w:val="center"/>
              <w:rPr>
                <w:color w:val="000000"/>
                <w:szCs w:val="20"/>
              </w:rPr>
            </w:pPr>
            <w:r w:rsidRPr="00D7128A">
              <w:rPr>
                <w:color w:val="000000"/>
                <w:szCs w:val="20"/>
              </w:rPr>
              <w:t>1,110</w:t>
            </w:r>
          </w:p>
        </w:tc>
        <w:tc>
          <w:tcPr>
            <w:tcW w:w="1233" w:type="pct"/>
            <w:shd w:val="clear" w:color="auto" w:fill="auto"/>
            <w:vAlign w:val="center"/>
            <w:hideMark/>
          </w:tcPr>
          <w:p w:rsidR="006F01D3" w:rsidRPr="00D7128A" w14:paraId="72E00CE5" w14:textId="77777777">
            <w:pPr>
              <w:rPr>
                <w:color w:val="000000"/>
                <w:szCs w:val="20"/>
              </w:rPr>
            </w:pPr>
            <w:r w:rsidRPr="00D7128A">
              <w:rPr>
                <w:color w:val="000000"/>
                <w:szCs w:val="20"/>
              </w:rPr>
              <w:t xml:space="preserve">Use </w:t>
            </w:r>
            <w:r>
              <w:rPr>
                <w:color w:val="000000"/>
                <w:szCs w:val="20"/>
              </w:rPr>
              <w:t>(</w:t>
            </w:r>
            <w:r w:rsidRPr="00D7128A">
              <w:rPr>
                <w:color w:val="000000"/>
                <w:szCs w:val="20"/>
              </w:rPr>
              <w:t>mostly ammonia</w:t>
            </w:r>
            <w:r>
              <w:rPr>
                <w:color w:val="000000"/>
                <w:szCs w:val="20"/>
              </w:rPr>
              <w:t>)</w:t>
            </w:r>
            <w:r w:rsidRPr="00D7128A">
              <w:rPr>
                <w:color w:val="000000"/>
                <w:szCs w:val="20"/>
              </w:rPr>
              <w:t xml:space="preserve"> as a refrigerant</w:t>
            </w:r>
          </w:p>
        </w:tc>
      </w:tr>
      <w:tr w14:paraId="68B9D0B9" w14:textId="77777777">
        <w:tblPrEx>
          <w:tblW w:w="5000" w:type="pct"/>
          <w:jc w:val="center"/>
          <w:tblLook w:val="04A0"/>
        </w:tblPrEx>
        <w:trPr>
          <w:trHeight w:val="20"/>
          <w:jc w:val="center"/>
        </w:trPr>
        <w:tc>
          <w:tcPr>
            <w:tcW w:w="1682" w:type="pct"/>
            <w:shd w:val="clear" w:color="auto" w:fill="auto"/>
            <w:vAlign w:val="center"/>
            <w:hideMark/>
          </w:tcPr>
          <w:p w:rsidR="006F01D3" w:rsidRPr="00D7128A" w14:paraId="0E6E6095" w14:textId="77777777">
            <w:pPr>
              <w:rPr>
                <w:b/>
                <w:color w:val="000000"/>
                <w:szCs w:val="20"/>
              </w:rPr>
            </w:pPr>
            <w:r w:rsidRPr="00D7128A">
              <w:rPr>
                <w:b/>
                <w:color w:val="000000"/>
                <w:szCs w:val="20"/>
              </w:rPr>
              <w:t>Total</w:t>
            </w:r>
          </w:p>
        </w:tc>
        <w:tc>
          <w:tcPr>
            <w:tcW w:w="1066" w:type="pct"/>
            <w:shd w:val="clear" w:color="auto" w:fill="auto"/>
            <w:noWrap/>
            <w:vAlign w:val="center"/>
            <w:hideMark/>
          </w:tcPr>
          <w:p w:rsidR="006F01D3" w:rsidRPr="00D7128A" w14:paraId="3B7BEA3A" w14:textId="77777777">
            <w:pPr>
              <w:jc w:val="center"/>
              <w:rPr>
                <w:b/>
                <w:color w:val="000000"/>
                <w:szCs w:val="20"/>
              </w:rPr>
            </w:pPr>
          </w:p>
        </w:tc>
        <w:tc>
          <w:tcPr>
            <w:tcW w:w="1019" w:type="pct"/>
            <w:shd w:val="clear" w:color="auto" w:fill="auto"/>
            <w:noWrap/>
            <w:vAlign w:val="center"/>
            <w:hideMark/>
          </w:tcPr>
          <w:p w:rsidR="006F01D3" w:rsidRPr="00D7128A" w14:paraId="1BD59275" w14:textId="77777777">
            <w:pPr>
              <w:jc w:val="center"/>
              <w:rPr>
                <w:b/>
                <w:color w:val="000000"/>
                <w:szCs w:val="20"/>
              </w:rPr>
            </w:pPr>
            <w:r w:rsidRPr="00D7128A">
              <w:rPr>
                <w:b/>
                <w:color w:val="000000"/>
                <w:szCs w:val="20"/>
              </w:rPr>
              <w:t>11,740</w:t>
            </w:r>
          </w:p>
        </w:tc>
        <w:tc>
          <w:tcPr>
            <w:tcW w:w="1233" w:type="pct"/>
            <w:shd w:val="clear" w:color="auto" w:fill="auto"/>
            <w:noWrap/>
            <w:vAlign w:val="center"/>
            <w:hideMark/>
          </w:tcPr>
          <w:p w:rsidR="006F01D3" w:rsidRPr="00D7128A" w14:paraId="6B604EBE" w14:textId="77777777">
            <w:pPr>
              <w:rPr>
                <w:color w:val="000000"/>
                <w:szCs w:val="20"/>
              </w:rPr>
            </w:pPr>
          </w:p>
        </w:tc>
      </w:tr>
    </w:tbl>
    <w:p w:rsidR="006F01D3" w:rsidRPr="00586F1B" w:rsidP="006F01D3" w14:paraId="3B89333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highlight w:val="yellow"/>
        </w:rPr>
      </w:pPr>
    </w:p>
    <w:p w:rsidR="006F01D3" w:rsidRPr="004F67BE" w:rsidP="006F01D3" w14:paraId="197F3919" w14:textId="3E25C94C">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4F67BE">
        <w:rPr>
          <w:i/>
          <w:iCs/>
          <w:sz w:val="22"/>
          <w:szCs w:val="22"/>
        </w:rPr>
        <w:t>Implementing Agencies</w:t>
      </w:r>
      <w:r w:rsidRPr="004F67BE">
        <w:rPr>
          <w:sz w:val="22"/>
          <w:szCs w:val="22"/>
        </w:rPr>
        <w:t xml:space="preserve"> -</w:t>
      </w:r>
      <w:r w:rsidR="000260B1">
        <w:rPr>
          <w:sz w:val="22"/>
          <w:szCs w:val="22"/>
        </w:rPr>
        <w:t xml:space="preserve"> </w:t>
      </w:r>
      <w:r w:rsidRPr="004F67BE">
        <w:rPr>
          <w:sz w:val="22"/>
          <w:szCs w:val="22"/>
        </w:rPr>
        <w:t xml:space="preserve">EPA estimates that during the period covered by this ICR, </w:t>
      </w:r>
      <w:r w:rsidRPr="00D206B9">
        <w:rPr>
          <w:sz w:val="22"/>
          <w:szCs w:val="22"/>
        </w:rPr>
        <w:t>13 State and local agencies</w:t>
      </w:r>
      <w:r w:rsidRPr="004F67BE">
        <w:rPr>
          <w:sz w:val="22"/>
          <w:szCs w:val="22"/>
        </w:rPr>
        <w:t xml:space="preserve"> will maintain a delegation of authority from EPA to implement the RMP program in their States. </w:t>
      </w:r>
    </w:p>
    <w:p w:rsidR="006F01D3" w:rsidRPr="004F67BE" w:rsidP="006F01D3" w14:paraId="40BE45AE"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6F01D3" w:rsidRPr="004F67BE" w:rsidP="006F01D3" w14:paraId="5E83F6A1"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r w:rsidRPr="004F67BE">
        <w:rPr>
          <w:i/>
          <w:iCs/>
          <w:sz w:val="22"/>
          <w:szCs w:val="22"/>
        </w:rPr>
        <w:t>Local Emergency Planning Committees</w:t>
      </w:r>
      <w:r w:rsidRPr="004F67BE">
        <w:rPr>
          <w:sz w:val="22"/>
          <w:szCs w:val="22"/>
        </w:rPr>
        <w:t xml:space="preserve"> - During the period covered by this ICR, </w:t>
      </w:r>
      <w:r w:rsidRPr="00D206B9">
        <w:rPr>
          <w:sz w:val="22"/>
          <w:szCs w:val="22"/>
        </w:rPr>
        <w:t>2,473 LEPCs</w:t>
      </w:r>
      <w:r w:rsidRPr="004F67BE">
        <w:rPr>
          <w:sz w:val="22"/>
          <w:szCs w:val="22"/>
        </w:rPr>
        <w:t xml:space="preserve"> will participate in coordination activities and emergency exercises. </w:t>
      </w:r>
    </w:p>
    <w:p w:rsidR="006F01D3" w:rsidRPr="004F67BE" w:rsidP="006F01D3" w14:paraId="07997734"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6F01D3" w:rsidRPr="00D206B9" w:rsidP="00D206B9" w14:paraId="717BF26D" w14:textId="5DE56180">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4F67BE">
        <w:rPr>
          <w:sz w:val="22"/>
          <w:szCs w:val="22"/>
        </w:rPr>
        <w:t xml:space="preserve">Based on the above information, the total number of respondents for this ICR period is </w:t>
      </w:r>
      <w:r w:rsidRPr="00D206B9">
        <w:rPr>
          <w:sz w:val="22"/>
          <w:szCs w:val="22"/>
        </w:rPr>
        <w:t>14,226 (i.e., 11,740 sources + 13 implementing agencies + 2,473 LEPCs).</w:t>
      </w:r>
    </w:p>
    <w:p w:rsidR="00E00C1A" w:rsidP="00D206B9" w14:paraId="61D0403F"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FF5BB9" w:rsidP="00944001" w14:paraId="3D9D1B5E" w14:textId="3CAE5EED">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944001">
        <w:rPr>
          <w:i/>
          <w:iCs/>
          <w:sz w:val="22"/>
          <w:szCs w:val="22"/>
        </w:rPr>
        <w:t>A</w:t>
      </w:r>
      <w:r w:rsidRPr="00944001" w:rsidR="00E00C1A">
        <w:rPr>
          <w:i/>
          <w:iCs/>
          <w:sz w:val="22"/>
          <w:szCs w:val="22"/>
        </w:rPr>
        <w:t>nnual hour burden to respondents</w:t>
      </w:r>
      <w:r w:rsidR="00DA6612">
        <w:rPr>
          <w:i/>
          <w:iCs/>
          <w:sz w:val="22"/>
          <w:szCs w:val="22"/>
        </w:rPr>
        <w:t xml:space="preserve"> by final rule provision</w:t>
      </w:r>
      <w:r>
        <w:rPr>
          <w:sz w:val="22"/>
          <w:szCs w:val="22"/>
        </w:rPr>
        <w:t xml:space="preserve"> </w:t>
      </w:r>
      <w:r w:rsidR="000F04CE">
        <w:rPr>
          <w:sz w:val="22"/>
          <w:szCs w:val="22"/>
        </w:rPr>
        <w:t>–</w:t>
      </w:r>
      <w:r>
        <w:rPr>
          <w:sz w:val="22"/>
          <w:szCs w:val="22"/>
        </w:rPr>
        <w:t xml:space="preserve"> </w:t>
      </w:r>
      <w:r w:rsidR="0086653F">
        <w:rPr>
          <w:sz w:val="22"/>
          <w:szCs w:val="22"/>
        </w:rPr>
        <w:t xml:space="preserve">Exhibit 2 </w:t>
      </w:r>
      <w:r w:rsidR="000F04CE">
        <w:rPr>
          <w:sz w:val="22"/>
          <w:szCs w:val="22"/>
        </w:rPr>
        <w:t xml:space="preserve">summarizes the annual hour burden to respondents </w:t>
      </w:r>
      <w:r w:rsidRPr="001779EB" w:rsidR="004018CC">
        <w:rPr>
          <w:sz w:val="22"/>
          <w:szCs w:val="22"/>
        </w:rPr>
        <w:t xml:space="preserve">under the information collection requirements covered in this ICR. </w:t>
      </w:r>
      <w:r w:rsidR="00E002FE">
        <w:rPr>
          <w:sz w:val="22"/>
          <w:szCs w:val="22"/>
        </w:rPr>
        <w:t>A</w:t>
      </w:r>
      <w:r w:rsidR="0086653F">
        <w:rPr>
          <w:sz w:val="22"/>
          <w:szCs w:val="22"/>
        </w:rPr>
        <w:t xml:space="preserve">dditional detail on the </w:t>
      </w:r>
      <w:r>
        <w:rPr>
          <w:sz w:val="22"/>
          <w:szCs w:val="22"/>
        </w:rPr>
        <w:t xml:space="preserve">annual hour burden by rule provision is available in </w:t>
      </w:r>
      <w:r w:rsidR="00CF38B7">
        <w:rPr>
          <w:sz w:val="22"/>
          <w:szCs w:val="22"/>
        </w:rPr>
        <w:t xml:space="preserve">the </w:t>
      </w:r>
      <w:r w:rsidR="00252B90">
        <w:rPr>
          <w:sz w:val="22"/>
          <w:szCs w:val="22"/>
        </w:rPr>
        <w:t>A</w:t>
      </w:r>
      <w:r>
        <w:rPr>
          <w:sz w:val="22"/>
          <w:szCs w:val="22"/>
        </w:rPr>
        <w:t>ppendix.</w:t>
      </w:r>
    </w:p>
    <w:p w:rsidR="00094E83" w:rsidP="00E00C1A" w14:paraId="5C2DA3A8" w14:textId="77777777">
      <w:pPr>
        <w:rPr>
          <w:sz w:val="22"/>
          <w:szCs w:val="22"/>
        </w:rPr>
      </w:pPr>
    </w:p>
    <w:p w:rsidR="00094E83" w:rsidRPr="00451AB6" w:rsidP="00094E83" w14:paraId="18EF3BE7" w14:textId="3587D2AC">
      <w:pPr>
        <w:pStyle w:val="Caption"/>
        <w:keepNext/>
        <w:spacing w:after="0"/>
        <w:jc w:val="center"/>
        <w:rPr>
          <w:b/>
          <w:bCs/>
          <w:i w:val="0"/>
          <w:iCs w:val="0"/>
          <w:color w:val="auto"/>
          <w:sz w:val="22"/>
          <w:szCs w:val="22"/>
        </w:rPr>
      </w:pPr>
      <w:r w:rsidRPr="00451AB6">
        <w:rPr>
          <w:b/>
          <w:bCs/>
          <w:i w:val="0"/>
          <w:iCs w:val="0"/>
          <w:color w:val="auto"/>
          <w:sz w:val="22"/>
          <w:szCs w:val="22"/>
        </w:rPr>
        <w:t>Exhibit</w:t>
      </w:r>
      <w:r>
        <w:rPr>
          <w:b/>
          <w:bCs/>
          <w:i w:val="0"/>
          <w:iCs w:val="0"/>
          <w:color w:val="auto"/>
          <w:sz w:val="22"/>
          <w:szCs w:val="22"/>
        </w:rPr>
        <w:t xml:space="preserve"> </w:t>
      </w:r>
      <w:r w:rsidR="00692708">
        <w:rPr>
          <w:b/>
          <w:bCs/>
          <w:i w:val="0"/>
          <w:iCs w:val="0"/>
          <w:color w:val="auto"/>
          <w:sz w:val="22"/>
          <w:szCs w:val="22"/>
        </w:rPr>
        <w:t>2</w:t>
      </w:r>
      <w:r>
        <w:rPr>
          <w:b/>
          <w:bCs/>
          <w:i w:val="0"/>
          <w:iCs w:val="0"/>
          <w:color w:val="auto"/>
          <w:sz w:val="22"/>
          <w:szCs w:val="22"/>
        </w:rPr>
        <w:t>:</w:t>
      </w:r>
      <w:r w:rsidRPr="009C6838">
        <w:rPr>
          <w:b/>
          <w:bCs/>
          <w:sz w:val="22"/>
          <w:szCs w:val="22"/>
        </w:rPr>
        <w:t xml:space="preserve"> </w:t>
      </w:r>
      <w:r>
        <w:rPr>
          <w:b/>
          <w:bCs/>
          <w:i w:val="0"/>
          <w:iCs w:val="0"/>
          <w:color w:val="auto"/>
          <w:sz w:val="22"/>
          <w:szCs w:val="22"/>
        </w:rPr>
        <w:t>Hour Burden</w:t>
      </w:r>
      <w:r w:rsidRPr="00451AB6">
        <w:rPr>
          <w:b/>
          <w:bCs/>
          <w:i w:val="0"/>
          <w:iCs w:val="0"/>
          <w:color w:val="auto"/>
          <w:sz w:val="22"/>
          <w:szCs w:val="22"/>
        </w:rPr>
        <w:t xml:space="preserve"> </w:t>
      </w:r>
      <w:r w:rsidR="0096438C">
        <w:rPr>
          <w:b/>
          <w:bCs/>
          <w:i w:val="0"/>
          <w:iCs w:val="0"/>
          <w:color w:val="auto"/>
          <w:sz w:val="22"/>
          <w:szCs w:val="22"/>
        </w:rPr>
        <w:t>to Respondents by Rule Provision</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8"/>
        <w:gridCol w:w="1357"/>
        <w:gridCol w:w="1350"/>
        <w:gridCol w:w="1530"/>
        <w:gridCol w:w="2610"/>
      </w:tblGrid>
      <w:tr w14:paraId="1F8D3055" w14:textId="77777777" w:rsidTr="005D4D47">
        <w:tblPrEx>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2"/>
          <w:jc w:val="center"/>
        </w:trPr>
        <w:tc>
          <w:tcPr>
            <w:tcW w:w="1518" w:type="dxa"/>
            <w:vMerge w:val="restart"/>
            <w:tcBorders>
              <w:top w:val="single" w:sz="4" w:space="0" w:color="auto"/>
            </w:tcBorders>
            <w:shd w:val="clear" w:color="auto" w:fill="D9D9D9" w:themeFill="background1" w:themeFillShade="D9"/>
            <w:vAlign w:val="center"/>
          </w:tcPr>
          <w:p w:rsidR="001255FF" w:rsidRPr="00F3547C" w14:paraId="2CD9C32B" w14:textId="1308733B">
            <w:pPr>
              <w:keepNext/>
              <w:keepLines/>
              <w:jc w:val="center"/>
              <w:rPr>
                <w:b/>
                <w:bCs/>
                <w:szCs w:val="20"/>
              </w:rPr>
            </w:pPr>
            <w:r>
              <w:rPr>
                <w:b/>
                <w:bCs/>
                <w:szCs w:val="20"/>
              </w:rPr>
              <w:t>Rule Provision</w:t>
            </w:r>
          </w:p>
        </w:tc>
        <w:tc>
          <w:tcPr>
            <w:tcW w:w="2707" w:type="dxa"/>
            <w:gridSpan w:val="2"/>
            <w:tcBorders>
              <w:top w:val="single" w:sz="4" w:space="0" w:color="auto"/>
            </w:tcBorders>
            <w:shd w:val="clear" w:color="auto" w:fill="D9D9D9"/>
            <w:vAlign w:val="center"/>
          </w:tcPr>
          <w:p w:rsidR="001255FF" w:rsidRPr="00835820" w14:paraId="47D1F36D" w14:textId="45EDBFE5">
            <w:pPr>
              <w:keepNext/>
              <w:keepLines/>
              <w:ind w:left="100" w:right="79"/>
              <w:jc w:val="center"/>
              <w:rPr>
                <w:b/>
                <w:szCs w:val="20"/>
              </w:rPr>
            </w:pPr>
            <w:r w:rsidRPr="004C1E64">
              <w:rPr>
                <w:b/>
                <w:szCs w:val="20"/>
              </w:rPr>
              <w:t xml:space="preserve">Number of </w:t>
            </w:r>
            <w:r w:rsidR="00B30608">
              <w:rPr>
                <w:b/>
                <w:szCs w:val="20"/>
              </w:rPr>
              <w:t>Respondents</w:t>
            </w:r>
            <w:r w:rsidR="0051022C">
              <w:rPr>
                <w:b/>
                <w:szCs w:val="20"/>
              </w:rPr>
              <w:t>/Activities</w:t>
            </w:r>
          </w:p>
        </w:tc>
        <w:tc>
          <w:tcPr>
            <w:tcW w:w="1530" w:type="dxa"/>
            <w:vMerge w:val="restart"/>
            <w:tcBorders>
              <w:top w:val="single" w:sz="4" w:space="0" w:color="auto"/>
            </w:tcBorders>
            <w:shd w:val="clear" w:color="auto" w:fill="D9D9D9"/>
            <w:vAlign w:val="center"/>
          </w:tcPr>
          <w:p w:rsidR="001255FF" w:rsidRPr="009762B0" w14:paraId="5C747982" w14:textId="77777777">
            <w:pPr>
              <w:keepNext/>
              <w:keepLines/>
              <w:ind w:left="97" w:right="76"/>
              <w:jc w:val="center"/>
              <w:rPr>
                <w:b/>
                <w:szCs w:val="20"/>
              </w:rPr>
            </w:pPr>
            <w:r w:rsidRPr="007C2720">
              <w:rPr>
                <w:b/>
                <w:szCs w:val="20"/>
              </w:rPr>
              <w:t>3-Year Average Annual Burden (hours)</w:t>
            </w:r>
          </w:p>
        </w:tc>
        <w:tc>
          <w:tcPr>
            <w:tcW w:w="2610" w:type="dxa"/>
            <w:vMerge w:val="restart"/>
            <w:tcBorders>
              <w:top w:val="single" w:sz="4" w:space="0" w:color="auto"/>
            </w:tcBorders>
            <w:shd w:val="clear" w:color="auto" w:fill="D9D9D9" w:themeFill="background1" w:themeFillShade="D9"/>
            <w:vAlign w:val="center"/>
          </w:tcPr>
          <w:p w:rsidR="001255FF" w:rsidRPr="00F3547C" w14:paraId="7B66530E" w14:textId="77777777">
            <w:pPr>
              <w:keepNext/>
              <w:keepLines/>
              <w:jc w:val="center"/>
              <w:rPr>
                <w:b/>
                <w:szCs w:val="20"/>
              </w:rPr>
            </w:pPr>
            <w:r w:rsidRPr="00E4312C">
              <w:rPr>
                <w:b/>
                <w:szCs w:val="20"/>
              </w:rPr>
              <w:t>3-Year Total Burden (hours)</w:t>
            </w:r>
          </w:p>
        </w:tc>
      </w:tr>
      <w:tr w14:paraId="087BE92B" w14:textId="77777777" w:rsidTr="005D4D47">
        <w:tblPrEx>
          <w:tblW w:w="8365" w:type="dxa"/>
          <w:jc w:val="center"/>
          <w:tblLayout w:type="fixed"/>
          <w:tblCellMar>
            <w:left w:w="0" w:type="dxa"/>
            <w:right w:w="0" w:type="dxa"/>
          </w:tblCellMar>
          <w:tblLook w:val="01E0"/>
        </w:tblPrEx>
        <w:trPr>
          <w:trHeight w:val="482"/>
          <w:jc w:val="center"/>
        </w:trPr>
        <w:tc>
          <w:tcPr>
            <w:tcW w:w="1518" w:type="dxa"/>
            <w:vMerge/>
            <w:shd w:val="clear" w:color="auto" w:fill="D9D9D9" w:themeFill="background1" w:themeFillShade="D9"/>
            <w:vAlign w:val="center"/>
          </w:tcPr>
          <w:p w:rsidR="001255FF" w:rsidRPr="00CD2A9E" w14:paraId="0683E441" w14:textId="77777777">
            <w:pPr>
              <w:keepNext/>
              <w:keepLines/>
              <w:jc w:val="center"/>
              <w:rPr>
                <w:b/>
                <w:bCs/>
                <w:szCs w:val="20"/>
              </w:rPr>
            </w:pPr>
          </w:p>
        </w:tc>
        <w:tc>
          <w:tcPr>
            <w:tcW w:w="1357" w:type="dxa"/>
            <w:tcBorders>
              <w:top w:val="single" w:sz="4" w:space="0" w:color="auto"/>
            </w:tcBorders>
            <w:shd w:val="clear" w:color="auto" w:fill="D9D9D9"/>
            <w:vAlign w:val="center"/>
          </w:tcPr>
          <w:p w:rsidR="001255FF" w:rsidRPr="00D00EF5" w14:paraId="613565A3" w14:textId="77777777">
            <w:pPr>
              <w:keepNext/>
              <w:keepLines/>
              <w:ind w:left="100" w:right="79"/>
              <w:jc w:val="center"/>
              <w:rPr>
                <w:b/>
                <w:szCs w:val="20"/>
              </w:rPr>
            </w:pPr>
            <w:r>
              <w:rPr>
                <w:b/>
                <w:szCs w:val="20"/>
              </w:rPr>
              <w:t>Year 1*</w:t>
            </w:r>
          </w:p>
        </w:tc>
        <w:tc>
          <w:tcPr>
            <w:tcW w:w="1350" w:type="dxa"/>
            <w:tcBorders>
              <w:top w:val="single" w:sz="4" w:space="0" w:color="auto"/>
            </w:tcBorders>
            <w:shd w:val="clear" w:color="auto" w:fill="D9D9D9"/>
            <w:vAlign w:val="center"/>
          </w:tcPr>
          <w:p w:rsidR="001255FF" w:rsidRPr="00D00EF5" w14:paraId="5888FFEC" w14:textId="77777777">
            <w:pPr>
              <w:keepNext/>
              <w:keepLines/>
              <w:ind w:left="100" w:right="79"/>
              <w:jc w:val="center"/>
              <w:rPr>
                <w:b/>
                <w:szCs w:val="20"/>
              </w:rPr>
            </w:pPr>
            <w:r>
              <w:rPr>
                <w:b/>
                <w:szCs w:val="20"/>
              </w:rPr>
              <w:t>3-Year Total</w:t>
            </w:r>
          </w:p>
        </w:tc>
        <w:tc>
          <w:tcPr>
            <w:tcW w:w="1530" w:type="dxa"/>
            <w:vMerge/>
            <w:shd w:val="clear" w:color="auto" w:fill="D9D9D9"/>
            <w:vAlign w:val="center"/>
          </w:tcPr>
          <w:p w:rsidR="001255FF" w:rsidRPr="007C2720" w14:paraId="1ACED52E" w14:textId="77777777">
            <w:pPr>
              <w:keepNext/>
              <w:keepLines/>
              <w:ind w:left="97" w:right="76"/>
              <w:jc w:val="center"/>
              <w:rPr>
                <w:b/>
                <w:szCs w:val="20"/>
              </w:rPr>
            </w:pPr>
          </w:p>
        </w:tc>
        <w:tc>
          <w:tcPr>
            <w:tcW w:w="2610" w:type="dxa"/>
            <w:vMerge/>
            <w:shd w:val="clear" w:color="auto" w:fill="D9D9D9" w:themeFill="background1" w:themeFillShade="D9"/>
            <w:vAlign w:val="center"/>
          </w:tcPr>
          <w:p w:rsidR="001255FF" w:rsidRPr="00E4312C" w14:paraId="0BD51464" w14:textId="77777777">
            <w:pPr>
              <w:keepNext/>
              <w:keepLines/>
              <w:jc w:val="center"/>
              <w:rPr>
                <w:b/>
                <w:szCs w:val="20"/>
              </w:rPr>
            </w:pPr>
          </w:p>
        </w:tc>
      </w:tr>
      <w:tr w14:paraId="411F27CE" w14:textId="77777777" w:rsidTr="005D4D47">
        <w:tblPrEx>
          <w:tblW w:w="8365" w:type="dxa"/>
          <w:jc w:val="center"/>
          <w:tblLayout w:type="fixed"/>
          <w:tblCellMar>
            <w:left w:w="0" w:type="dxa"/>
            <w:right w:w="0" w:type="dxa"/>
          </w:tblCellMar>
          <w:tblLook w:val="01E0"/>
        </w:tblPrEx>
        <w:trPr>
          <w:trHeight w:val="272"/>
          <w:jc w:val="center"/>
        </w:trPr>
        <w:tc>
          <w:tcPr>
            <w:tcW w:w="1518" w:type="dxa"/>
            <w:vAlign w:val="bottom"/>
          </w:tcPr>
          <w:p w:rsidR="00887BE3" w:rsidRPr="00944001" w:rsidP="00887BE3" w14:paraId="45BB7575" w14:textId="0BA0C1E5">
            <w:pPr>
              <w:keepNext/>
              <w:keepLines/>
              <w:ind w:left="107"/>
            </w:pPr>
            <w:r w:rsidRPr="00DE7856">
              <w:rPr>
                <w:szCs w:val="20"/>
              </w:rPr>
              <w:t xml:space="preserve">Rule Familiarization </w:t>
            </w:r>
          </w:p>
        </w:tc>
        <w:tc>
          <w:tcPr>
            <w:tcW w:w="1357" w:type="dxa"/>
            <w:vAlign w:val="center"/>
          </w:tcPr>
          <w:p w:rsidR="00887BE3" w:rsidRPr="00680250" w:rsidP="00B718AA" w14:paraId="679BA003" w14:textId="36A9E4C8">
            <w:pPr>
              <w:keepNext/>
              <w:keepLines/>
              <w:ind w:left="94" w:right="34"/>
              <w:jc w:val="center"/>
              <w:rPr>
                <w:szCs w:val="20"/>
              </w:rPr>
            </w:pPr>
            <w:r w:rsidRPr="00DE7856">
              <w:t>14,226</w:t>
            </w:r>
          </w:p>
        </w:tc>
        <w:tc>
          <w:tcPr>
            <w:tcW w:w="1350" w:type="dxa"/>
            <w:vAlign w:val="center"/>
          </w:tcPr>
          <w:p w:rsidR="00887BE3" w:rsidRPr="00680250" w:rsidP="00B718AA" w14:paraId="58567133" w14:textId="2EBA8D65">
            <w:pPr>
              <w:keepNext/>
              <w:keepLines/>
              <w:ind w:left="94" w:right="79"/>
              <w:jc w:val="center"/>
              <w:rPr>
                <w:szCs w:val="20"/>
              </w:rPr>
            </w:pPr>
            <w:r w:rsidRPr="00DE7856">
              <w:rPr>
                <w:szCs w:val="20"/>
              </w:rPr>
              <w:t>14,226</w:t>
            </w:r>
          </w:p>
        </w:tc>
        <w:tc>
          <w:tcPr>
            <w:tcW w:w="1530" w:type="dxa"/>
            <w:vAlign w:val="center"/>
          </w:tcPr>
          <w:p w:rsidR="00887BE3" w:rsidRPr="00680250" w:rsidP="00887BE3" w14:paraId="074190C4" w14:textId="45CF3322">
            <w:pPr>
              <w:keepNext/>
              <w:keepLines/>
              <w:ind w:left="94" w:right="111"/>
              <w:jc w:val="center"/>
              <w:rPr>
                <w:szCs w:val="20"/>
              </w:rPr>
            </w:pPr>
            <w:r>
              <w:rPr>
                <w:szCs w:val="20"/>
              </w:rPr>
              <w:t>169</w:t>
            </w:r>
            <w:r w:rsidR="000D1605">
              <w:rPr>
                <w:szCs w:val="20"/>
              </w:rPr>
              <w:t>,793</w:t>
            </w:r>
          </w:p>
        </w:tc>
        <w:tc>
          <w:tcPr>
            <w:tcW w:w="2610" w:type="dxa"/>
            <w:vAlign w:val="center"/>
          </w:tcPr>
          <w:p w:rsidR="00887BE3" w:rsidRPr="00680250" w:rsidP="00887BE3" w14:paraId="795B5D81" w14:textId="38E97838">
            <w:pPr>
              <w:keepNext/>
              <w:keepLines/>
              <w:ind w:left="94" w:right="111"/>
              <w:jc w:val="center"/>
              <w:rPr>
                <w:szCs w:val="20"/>
              </w:rPr>
            </w:pPr>
            <w:r w:rsidRPr="00960DAA">
              <w:rPr>
                <w:szCs w:val="20"/>
              </w:rPr>
              <w:t>509,379</w:t>
            </w:r>
          </w:p>
        </w:tc>
      </w:tr>
      <w:tr w14:paraId="264F73F6" w14:textId="77777777" w:rsidTr="005D4D47">
        <w:tblPrEx>
          <w:tblW w:w="8365" w:type="dxa"/>
          <w:jc w:val="center"/>
          <w:tblLayout w:type="fixed"/>
          <w:tblCellMar>
            <w:left w:w="0" w:type="dxa"/>
            <w:right w:w="0" w:type="dxa"/>
          </w:tblCellMar>
          <w:tblLook w:val="01E0"/>
        </w:tblPrEx>
        <w:trPr>
          <w:trHeight w:val="272"/>
          <w:jc w:val="center"/>
        </w:trPr>
        <w:tc>
          <w:tcPr>
            <w:tcW w:w="1518" w:type="dxa"/>
          </w:tcPr>
          <w:p w:rsidR="004358AE" w:rsidRPr="00680250" w:rsidP="004358AE" w14:paraId="6346F31C" w14:textId="560A52B9">
            <w:pPr>
              <w:keepNext/>
              <w:keepLines/>
              <w:ind w:left="107"/>
            </w:pPr>
            <w:r w:rsidRPr="00DE7856">
              <w:t>STAA</w:t>
            </w:r>
          </w:p>
        </w:tc>
        <w:tc>
          <w:tcPr>
            <w:tcW w:w="1357" w:type="dxa"/>
            <w:vAlign w:val="center"/>
          </w:tcPr>
          <w:p w:rsidR="004358AE" w:rsidRPr="00680250" w:rsidP="004358AE" w14:paraId="1A503E2F" w14:textId="55B6F853">
            <w:pPr>
              <w:keepNext/>
              <w:keepLines/>
              <w:ind w:left="94" w:right="34"/>
              <w:jc w:val="center"/>
              <w:rPr>
                <w:szCs w:val="20"/>
              </w:rPr>
            </w:pPr>
            <w:r w:rsidRPr="00711A88">
              <w:t>986</w:t>
            </w:r>
          </w:p>
        </w:tc>
        <w:tc>
          <w:tcPr>
            <w:tcW w:w="1350" w:type="dxa"/>
            <w:vAlign w:val="center"/>
          </w:tcPr>
          <w:p w:rsidR="004358AE" w:rsidRPr="00680250" w:rsidP="004358AE" w14:paraId="136E5FC1" w14:textId="217FB657">
            <w:pPr>
              <w:keepNext/>
              <w:keepLines/>
              <w:ind w:left="94" w:right="79"/>
              <w:jc w:val="center"/>
              <w:rPr>
                <w:szCs w:val="20"/>
              </w:rPr>
            </w:pPr>
            <w:r w:rsidRPr="003A5C11">
              <w:rPr>
                <w:szCs w:val="20"/>
              </w:rPr>
              <w:t>2,95</w:t>
            </w:r>
            <w:r w:rsidR="007A1C3D">
              <w:rPr>
                <w:szCs w:val="20"/>
              </w:rPr>
              <w:t>9</w:t>
            </w:r>
          </w:p>
        </w:tc>
        <w:tc>
          <w:tcPr>
            <w:tcW w:w="1530" w:type="dxa"/>
            <w:vAlign w:val="center"/>
          </w:tcPr>
          <w:p w:rsidR="004358AE" w:rsidRPr="00680250" w:rsidP="00D35276" w14:paraId="0C5C17F4" w14:textId="3B82E4F9">
            <w:pPr>
              <w:keepNext/>
              <w:keepLines/>
              <w:ind w:left="94" w:right="111"/>
              <w:jc w:val="center"/>
              <w:rPr>
                <w:szCs w:val="20"/>
              </w:rPr>
            </w:pPr>
            <w:r w:rsidRPr="00FF64EB">
              <w:t>733,853</w:t>
            </w:r>
          </w:p>
        </w:tc>
        <w:tc>
          <w:tcPr>
            <w:tcW w:w="2610" w:type="dxa"/>
            <w:vAlign w:val="center"/>
          </w:tcPr>
          <w:p w:rsidR="004358AE" w:rsidRPr="00680250" w:rsidP="004358AE" w14:paraId="440F9EE4" w14:textId="2064B32C">
            <w:pPr>
              <w:keepNext/>
              <w:keepLines/>
              <w:ind w:left="94" w:right="111"/>
              <w:jc w:val="center"/>
              <w:rPr>
                <w:szCs w:val="20"/>
              </w:rPr>
            </w:pPr>
            <w:r w:rsidRPr="001E4BE0">
              <w:rPr>
                <w:szCs w:val="20"/>
              </w:rPr>
              <w:t>2,201,559</w:t>
            </w:r>
          </w:p>
        </w:tc>
      </w:tr>
      <w:tr w14:paraId="147674E7" w14:textId="77777777" w:rsidTr="005D4D47">
        <w:tblPrEx>
          <w:tblW w:w="8365" w:type="dxa"/>
          <w:jc w:val="center"/>
          <w:tblLayout w:type="fixed"/>
          <w:tblCellMar>
            <w:left w:w="0" w:type="dxa"/>
            <w:right w:w="0" w:type="dxa"/>
          </w:tblCellMar>
          <w:tblLook w:val="01E0"/>
        </w:tblPrEx>
        <w:trPr>
          <w:trHeight w:val="272"/>
          <w:jc w:val="center"/>
        </w:trPr>
        <w:tc>
          <w:tcPr>
            <w:tcW w:w="1518" w:type="dxa"/>
          </w:tcPr>
          <w:p w:rsidR="004358AE" w:rsidRPr="00680250" w:rsidP="004358AE" w14:paraId="512063C1" w14:textId="5D41B8FD">
            <w:pPr>
              <w:keepNext/>
              <w:keepLines/>
              <w:ind w:left="107"/>
            </w:pPr>
            <w:r w:rsidRPr="00DE7856">
              <w:t>Root Cause</w:t>
            </w:r>
          </w:p>
        </w:tc>
        <w:tc>
          <w:tcPr>
            <w:tcW w:w="1357" w:type="dxa"/>
            <w:vAlign w:val="center"/>
          </w:tcPr>
          <w:p w:rsidR="004358AE" w:rsidRPr="00680250" w:rsidP="004358AE" w14:paraId="28F7C216" w14:textId="0B72A8DF">
            <w:pPr>
              <w:keepNext/>
              <w:keepLines/>
              <w:ind w:left="94" w:right="34"/>
              <w:jc w:val="center"/>
              <w:rPr>
                <w:szCs w:val="20"/>
              </w:rPr>
            </w:pPr>
            <w:r w:rsidRPr="00602997">
              <w:t>94</w:t>
            </w:r>
          </w:p>
        </w:tc>
        <w:tc>
          <w:tcPr>
            <w:tcW w:w="1350" w:type="dxa"/>
            <w:vAlign w:val="center"/>
          </w:tcPr>
          <w:p w:rsidR="004358AE" w:rsidRPr="00680250" w:rsidP="004358AE" w14:paraId="43DD830F" w14:textId="50EBFDDB">
            <w:pPr>
              <w:keepNext/>
              <w:keepLines/>
              <w:ind w:left="94" w:right="79"/>
              <w:jc w:val="center"/>
              <w:rPr>
                <w:szCs w:val="20"/>
              </w:rPr>
            </w:pPr>
            <w:r>
              <w:rPr>
                <w:szCs w:val="20"/>
              </w:rPr>
              <w:t>28</w:t>
            </w:r>
            <w:r w:rsidR="00865B24">
              <w:rPr>
                <w:szCs w:val="20"/>
              </w:rPr>
              <w:t>3</w:t>
            </w:r>
          </w:p>
        </w:tc>
        <w:tc>
          <w:tcPr>
            <w:tcW w:w="1530" w:type="dxa"/>
            <w:vAlign w:val="center"/>
          </w:tcPr>
          <w:p w:rsidR="004358AE" w:rsidRPr="00680250" w:rsidP="00D35276" w14:paraId="23F9B1B7" w14:textId="08768950">
            <w:pPr>
              <w:keepNext/>
              <w:keepLines/>
              <w:ind w:left="94" w:right="111"/>
              <w:jc w:val="center"/>
              <w:rPr>
                <w:szCs w:val="20"/>
              </w:rPr>
            </w:pPr>
            <w:r w:rsidRPr="007C48A9">
              <w:t>6,228</w:t>
            </w:r>
          </w:p>
        </w:tc>
        <w:tc>
          <w:tcPr>
            <w:tcW w:w="2610" w:type="dxa"/>
            <w:vAlign w:val="center"/>
          </w:tcPr>
          <w:p w:rsidR="004358AE" w:rsidRPr="00680250" w:rsidP="004358AE" w14:paraId="3D237619" w14:textId="7BE32723">
            <w:pPr>
              <w:keepNext/>
              <w:keepLines/>
              <w:ind w:left="94" w:right="111"/>
              <w:jc w:val="center"/>
              <w:rPr>
                <w:szCs w:val="20"/>
              </w:rPr>
            </w:pPr>
            <w:r w:rsidRPr="007C69B3">
              <w:rPr>
                <w:szCs w:val="20"/>
              </w:rPr>
              <w:t>18</w:t>
            </w:r>
            <w:r>
              <w:rPr>
                <w:szCs w:val="20"/>
              </w:rPr>
              <w:t>,</w:t>
            </w:r>
            <w:r w:rsidRPr="007C69B3">
              <w:rPr>
                <w:szCs w:val="20"/>
              </w:rPr>
              <w:t>68</w:t>
            </w:r>
            <w:r w:rsidR="006516F6">
              <w:rPr>
                <w:szCs w:val="20"/>
              </w:rPr>
              <w:t>3</w:t>
            </w:r>
          </w:p>
        </w:tc>
      </w:tr>
      <w:tr w14:paraId="69955C97" w14:textId="77777777" w:rsidTr="005D4D47">
        <w:tblPrEx>
          <w:tblW w:w="8365" w:type="dxa"/>
          <w:jc w:val="center"/>
          <w:tblLayout w:type="fixed"/>
          <w:tblCellMar>
            <w:left w:w="0" w:type="dxa"/>
            <w:right w:w="0" w:type="dxa"/>
          </w:tblCellMar>
          <w:tblLook w:val="01E0"/>
        </w:tblPrEx>
        <w:trPr>
          <w:trHeight w:val="272"/>
          <w:jc w:val="center"/>
        </w:trPr>
        <w:tc>
          <w:tcPr>
            <w:tcW w:w="1518" w:type="dxa"/>
          </w:tcPr>
          <w:p w:rsidR="004358AE" w:rsidRPr="00680250" w:rsidP="004358AE" w14:paraId="2A259C37" w14:textId="3D62B85F">
            <w:pPr>
              <w:keepNext/>
              <w:keepLines/>
              <w:ind w:left="107"/>
            </w:pPr>
            <w:r w:rsidRPr="00DE7856">
              <w:t>Third-party Audit</w:t>
            </w:r>
          </w:p>
        </w:tc>
        <w:tc>
          <w:tcPr>
            <w:tcW w:w="1357" w:type="dxa"/>
            <w:vAlign w:val="center"/>
          </w:tcPr>
          <w:p w:rsidR="004358AE" w:rsidRPr="00944001" w:rsidP="004358AE" w14:paraId="7FE6A578" w14:textId="169B278B">
            <w:pPr>
              <w:keepNext/>
              <w:keepLines/>
              <w:ind w:left="94" w:right="34"/>
              <w:jc w:val="center"/>
            </w:pPr>
            <w:r w:rsidRPr="00602997">
              <w:t>94</w:t>
            </w:r>
          </w:p>
        </w:tc>
        <w:tc>
          <w:tcPr>
            <w:tcW w:w="1350" w:type="dxa"/>
            <w:vAlign w:val="center"/>
          </w:tcPr>
          <w:p w:rsidR="004358AE" w:rsidRPr="00944001" w:rsidP="004358AE" w14:paraId="4E66F556" w14:textId="54617395">
            <w:pPr>
              <w:keepNext/>
              <w:keepLines/>
              <w:ind w:left="94" w:right="79"/>
              <w:jc w:val="center"/>
              <w:rPr>
                <w:szCs w:val="20"/>
              </w:rPr>
            </w:pPr>
            <w:r>
              <w:rPr>
                <w:szCs w:val="20"/>
              </w:rPr>
              <w:t>28</w:t>
            </w:r>
            <w:r w:rsidR="00865B24">
              <w:rPr>
                <w:szCs w:val="20"/>
              </w:rPr>
              <w:t>3</w:t>
            </w:r>
          </w:p>
        </w:tc>
        <w:tc>
          <w:tcPr>
            <w:tcW w:w="1530" w:type="dxa"/>
            <w:vAlign w:val="center"/>
          </w:tcPr>
          <w:p w:rsidR="004358AE" w:rsidRPr="00680250" w:rsidP="00D35276" w14:paraId="5EDED11D" w14:textId="166029BB">
            <w:pPr>
              <w:keepNext/>
              <w:keepLines/>
              <w:ind w:left="94" w:right="111"/>
              <w:jc w:val="center"/>
              <w:rPr>
                <w:szCs w:val="20"/>
              </w:rPr>
            </w:pPr>
            <w:r w:rsidRPr="007C48A9">
              <w:t>14,208</w:t>
            </w:r>
          </w:p>
        </w:tc>
        <w:tc>
          <w:tcPr>
            <w:tcW w:w="2610" w:type="dxa"/>
            <w:vAlign w:val="center"/>
          </w:tcPr>
          <w:p w:rsidR="004358AE" w:rsidRPr="00680250" w:rsidP="004358AE" w14:paraId="25091C74" w14:textId="48736381">
            <w:pPr>
              <w:keepNext/>
              <w:keepLines/>
              <w:ind w:left="94" w:right="111"/>
              <w:jc w:val="center"/>
              <w:rPr>
                <w:szCs w:val="20"/>
              </w:rPr>
            </w:pPr>
            <w:r w:rsidRPr="00653CDB">
              <w:rPr>
                <w:szCs w:val="20"/>
              </w:rPr>
              <w:t>42</w:t>
            </w:r>
            <w:r>
              <w:rPr>
                <w:szCs w:val="20"/>
              </w:rPr>
              <w:t>,</w:t>
            </w:r>
            <w:r w:rsidRPr="00653CDB">
              <w:rPr>
                <w:szCs w:val="20"/>
              </w:rPr>
              <w:t>624</w:t>
            </w:r>
          </w:p>
        </w:tc>
      </w:tr>
      <w:tr w14:paraId="524ABB49" w14:textId="77777777" w:rsidTr="005D4D47">
        <w:tblPrEx>
          <w:tblW w:w="8365" w:type="dxa"/>
          <w:jc w:val="center"/>
          <w:tblLayout w:type="fixed"/>
          <w:tblCellMar>
            <w:left w:w="0" w:type="dxa"/>
            <w:right w:w="0" w:type="dxa"/>
          </w:tblCellMar>
          <w:tblLook w:val="01E0"/>
        </w:tblPrEx>
        <w:trPr>
          <w:trHeight w:val="272"/>
          <w:jc w:val="center"/>
        </w:trPr>
        <w:tc>
          <w:tcPr>
            <w:tcW w:w="1518" w:type="dxa"/>
          </w:tcPr>
          <w:p w:rsidR="004358AE" w:rsidRPr="00680250" w:rsidP="004358AE" w14:paraId="5F5224DA" w14:textId="0F47F506">
            <w:pPr>
              <w:keepNext/>
              <w:keepLines/>
              <w:ind w:left="107"/>
            </w:pPr>
            <w:r w:rsidRPr="00DE7856">
              <w:t>Employee Participation Plan</w:t>
            </w:r>
          </w:p>
        </w:tc>
        <w:tc>
          <w:tcPr>
            <w:tcW w:w="1357" w:type="dxa"/>
            <w:vAlign w:val="center"/>
          </w:tcPr>
          <w:p w:rsidR="004358AE" w:rsidRPr="00944001" w:rsidP="004358AE" w14:paraId="6D5CB282" w14:textId="399BFD5C">
            <w:pPr>
              <w:keepNext/>
              <w:keepLines/>
              <w:ind w:left="94" w:right="34"/>
              <w:jc w:val="center"/>
            </w:pPr>
            <w:r w:rsidRPr="00602997">
              <w:t>1</w:t>
            </w:r>
            <w:r w:rsidR="0041256E">
              <w:t>3,296</w:t>
            </w:r>
          </w:p>
        </w:tc>
        <w:tc>
          <w:tcPr>
            <w:tcW w:w="1350" w:type="dxa"/>
            <w:vAlign w:val="center"/>
          </w:tcPr>
          <w:p w:rsidR="004358AE" w:rsidRPr="0006023D" w:rsidP="004358AE" w14:paraId="183913F9" w14:textId="30539148">
            <w:pPr>
              <w:keepNext/>
              <w:keepLines/>
              <w:ind w:left="94" w:right="79"/>
              <w:jc w:val="center"/>
              <w:rPr>
                <w:szCs w:val="20"/>
              </w:rPr>
            </w:pPr>
            <w:r>
              <w:rPr>
                <w:szCs w:val="20"/>
              </w:rPr>
              <w:t>3</w:t>
            </w:r>
            <w:r w:rsidR="004B799B">
              <w:rPr>
                <w:szCs w:val="20"/>
              </w:rPr>
              <w:t>9,888</w:t>
            </w:r>
          </w:p>
        </w:tc>
        <w:tc>
          <w:tcPr>
            <w:tcW w:w="1530" w:type="dxa"/>
            <w:vAlign w:val="center"/>
          </w:tcPr>
          <w:p w:rsidR="004358AE" w:rsidRPr="00680250" w:rsidP="00D35276" w14:paraId="60BFFCEA" w14:textId="022D9C9D">
            <w:pPr>
              <w:keepNext/>
              <w:keepLines/>
              <w:ind w:left="94" w:right="111"/>
              <w:jc w:val="center"/>
              <w:rPr>
                <w:szCs w:val="20"/>
              </w:rPr>
            </w:pPr>
            <w:r w:rsidRPr="007C48A9">
              <w:t>169,983</w:t>
            </w:r>
          </w:p>
        </w:tc>
        <w:tc>
          <w:tcPr>
            <w:tcW w:w="2610" w:type="dxa"/>
            <w:vAlign w:val="center"/>
          </w:tcPr>
          <w:p w:rsidR="004358AE" w:rsidRPr="00944001" w:rsidP="004358AE" w14:paraId="40568575" w14:textId="10F94F5A">
            <w:pPr>
              <w:keepNext/>
              <w:keepLines/>
              <w:ind w:left="94" w:right="111"/>
              <w:jc w:val="center"/>
              <w:rPr>
                <w:szCs w:val="20"/>
              </w:rPr>
            </w:pPr>
            <w:r w:rsidRPr="009E0724">
              <w:rPr>
                <w:szCs w:val="20"/>
              </w:rPr>
              <w:t>509</w:t>
            </w:r>
            <w:r>
              <w:rPr>
                <w:szCs w:val="20"/>
              </w:rPr>
              <w:t>,</w:t>
            </w:r>
            <w:r w:rsidRPr="009E0724">
              <w:rPr>
                <w:szCs w:val="20"/>
              </w:rPr>
              <w:t>94</w:t>
            </w:r>
            <w:r w:rsidR="006516F6">
              <w:rPr>
                <w:szCs w:val="20"/>
              </w:rPr>
              <w:t>8</w:t>
            </w:r>
          </w:p>
        </w:tc>
      </w:tr>
      <w:tr w14:paraId="405F8F56" w14:textId="77777777" w:rsidTr="005D4D47">
        <w:tblPrEx>
          <w:tblW w:w="8365" w:type="dxa"/>
          <w:jc w:val="center"/>
          <w:tblLayout w:type="fixed"/>
          <w:tblCellMar>
            <w:left w:w="0" w:type="dxa"/>
            <w:right w:w="0" w:type="dxa"/>
          </w:tblCellMar>
          <w:tblLook w:val="01E0"/>
        </w:tblPrEx>
        <w:trPr>
          <w:trHeight w:val="272"/>
          <w:jc w:val="center"/>
        </w:trPr>
        <w:tc>
          <w:tcPr>
            <w:tcW w:w="1518" w:type="dxa"/>
          </w:tcPr>
          <w:p w:rsidR="004358AE" w:rsidRPr="00944001" w:rsidP="004358AE" w14:paraId="751D4252" w14:textId="568F98DB">
            <w:pPr>
              <w:keepNext/>
              <w:keepLines/>
              <w:ind w:left="107"/>
            </w:pPr>
            <w:r w:rsidRPr="00DE7856">
              <w:t>Emergency Backup Power</w:t>
            </w:r>
          </w:p>
        </w:tc>
        <w:tc>
          <w:tcPr>
            <w:tcW w:w="1357" w:type="dxa"/>
            <w:vAlign w:val="center"/>
          </w:tcPr>
          <w:p w:rsidR="004358AE" w:rsidRPr="0006023D" w:rsidP="004358AE" w14:paraId="7E862737" w14:textId="4765DB27">
            <w:pPr>
              <w:keepNext/>
              <w:keepLines/>
              <w:ind w:left="94" w:right="34"/>
              <w:jc w:val="center"/>
            </w:pPr>
            <w:r w:rsidRPr="006827C6">
              <w:t>1,748</w:t>
            </w:r>
          </w:p>
        </w:tc>
        <w:tc>
          <w:tcPr>
            <w:tcW w:w="1350" w:type="dxa"/>
            <w:vAlign w:val="center"/>
          </w:tcPr>
          <w:p w:rsidR="004358AE" w:rsidRPr="0006023D" w:rsidP="004358AE" w14:paraId="7B9B6AAE" w14:textId="29954E7F">
            <w:pPr>
              <w:keepNext/>
              <w:keepLines/>
              <w:ind w:left="94" w:right="79"/>
              <w:jc w:val="center"/>
              <w:rPr>
                <w:szCs w:val="20"/>
              </w:rPr>
            </w:pPr>
            <w:r w:rsidRPr="0006023D">
              <w:rPr>
                <w:szCs w:val="20"/>
              </w:rPr>
              <w:t>5,24</w:t>
            </w:r>
            <w:r w:rsidR="00865B24">
              <w:rPr>
                <w:szCs w:val="20"/>
              </w:rPr>
              <w:t>5</w:t>
            </w:r>
          </w:p>
        </w:tc>
        <w:tc>
          <w:tcPr>
            <w:tcW w:w="1530" w:type="dxa"/>
            <w:vAlign w:val="center"/>
          </w:tcPr>
          <w:p w:rsidR="004358AE" w:rsidRPr="000A1ECB" w:rsidP="00D35276" w14:paraId="14587F3D" w14:textId="2ADDF6EC">
            <w:pPr>
              <w:keepNext/>
              <w:keepLines/>
              <w:ind w:left="94" w:right="111"/>
              <w:jc w:val="center"/>
              <w:rPr>
                <w:szCs w:val="20"/>
                <w:highlight w:val="yellow"/>
              </w:rPr>
            </w:pPr>
            <w:r w:rsidRPr="0048291C">
              <w:t>139</w:t>
            </w:r>
          </w:p>
        </w:tc>
        <w:tc>
          <w:tcPr>
            <w:tcW w:w="2610" w:type="dxa"/>
            <w:vAlign w:val="center"/>
          </w:tcPr>
          <w:p w:rsidR="004358AE" w:rsidRPr="000A1ECB" w:rsidP="004358AE" w14:paraId="2215FB8A" w14:textId="5FF1241E">
            <w:pPr>
              <w:keepNext/>
              <w:keepLines/>
              <w:ind w:left="94" w:right="111"/>
              <w:jc w:val="center"/>
              <w:rPr>
                <w:szCs w:val="20"/>
                <w:highlight w:val="yellow"/>
              </w:rPr>
            </w:pPr>
            <w:r w:rsidRPr="007F65D2">
              <w:rPr>
                <w:szCs w:val="20"/>
              </w:rPr>
              <w:t>41</w:t>
            </w:r>
            <w:r w:rsidR="006516F6">
              <w:rPr>
                <w:szCs w:val="20"/>
              </w:rPr>
              <w:t>8</w:t>
            </w:r>
          </w:p>
        </w:tc>
      </w:tr>
      <w:tr w14:paraId="1F514D2E" w14:textId="77777777" w:rsidTr="005D4D47">
        <w:tblPrEx>
          <w:tblW w:w="8365" w:type="dxa"/>
          <w:jc w:val="center"/>
          <w:tblLayout w:type="fixed"/>
          <w:tblCellMar>
            <w:left w:w="0" w:type="dxa"/>
            <w:right w:w="0" w:type="dxa"/>
          </w:tblCellMar>
          <w:tblLook w:val="01E0"/>
        </w:tblPrEx>
        <w:trPr>
          <w:trHeight w:val="272"/>
          <w:jc w:val="center"/>
        </w:trPr>
        <w:tc>
          <w:tcPr>
            <w:tcW w:w="1518" w:type="dxa"/>
          </w:tcPr>
          <w:p w:rsidR="004358AE" w:rsidRPr="00680250" w:rsidP="004358AE" w14:paraId="162B47D4" w14:textId="5DE7F3CE">
            <w:pPr>
              <w:keepNext/>
              <w:keepLines/>
              <w:ind w:left="107"/>
            </w:pPr>
            <w:r w:rsidRPr="00DE7856">
              <w:t>Natural Hazards</w:t>
            </w:r>
          </w:p>
        </w:tc>
        <w:tc>
          <w:tcPr>
            <w:tcW w:w="1357" w:type="dxa"/>
            <w:vAlign w:val="center"/>
          </w:tcPr>
          <w:p w:rsidR="004358AE" w:rsidRPr="0006023D" w:rsidP="004358AE" w14:paraId="156F5FAB" w14:textId="5777AE81">
            <w:pPr>
              <w:keepNext/>
              <w:keepLines/>
              <w:ind w:left="94" w:right="34"/>
              <w:jc w:val="center"/>
            </w:pPr>
            <w:r w:rsidRPr="008B513B">
              <w:t>4,43</w:t>
            </w:r>
            <w:r>
              <w:t>2</w:t>
            </w:r>
          </w:p>
        </w:tc>
        <w:tc>
          <w:tcPr>
            <w:tcW w:w="1350" w:type="dxa"/>
            <w:vAlign w:val="center"/>
          </w:tcPr>
          <w:p w:rsidR="004358AE" w:rsidRPr="0006023D" w:rsidP="004358AE" w14:paraId="6CB5D9D1" w14:textId="44816A57">
            <w:pPr>
              <w:keepNext/>
              <w:keepLines/>
              <w:ind w:left="94" w:right="79"/>
              <w:jc w:val="center"/>
              <w:rPr>
                <w:szCs w:val="20"/>
              </w:rPr>
            </w:pPr>
            <w:r>
              <w:rPr>
                <w:szCs w:val="20"/>
              </w:rPr>
              <w:t>13,296</w:t>
            </w:r>
          </w:p>
        </w:tc>
        <w:tc>
          <w:tcPr>
            <w:tcW w:w="1530" w:type="dxa"/>
            <w:vAlign w:val="center"/>
          </w:tcPr>
          <w:p w:rsidR="004358AE" w:rsidRPr="00680250" w:rsidP="00D35276" w14:paraId="177217B2" w14:textId="205684F2">
            <w:pPr>
              <w:keepNext/>
              <w:keepLines/>
              <w:ind w:left="94" w:right="111"/>
              <w:jc w:val="center"/>
              <w:rPr>
                <w:szCs w:val="20"/>
              </w:rPr>
            </w:pPr>
            <w:r w:rsidRPr="007C48A9">
              <w:t>369</w:t>
            </w:r>
          </w:p>
        </w:tc>
        <w:tc>
          <w:tcPr>
            <w:tcW w:w="2610" w:type="dxa"/>
            <w:vAlign w:val="center"/>
          </w:tcPr>
          <w:p w:rsidR="004358AE" w:rsidRPr="00680250" w:rsidP="004358AE" w14:paraId="0F03C961" w14:textId="410385C4">
            <w:pPr>
              <w:keepNext/>
              <w:keepLines/>
              <w:ind w:left="94" w:right="111"/>
              <w:jc w:val="center"/>
              <w:rPr>
                <w:szCs w:val="20"/>
              </w:rPr>
            </w:pPr>
            <w:r>
              <w:rPr>
                <w:szCs w:val="20"/>
              </w:rPr>
              <w:t>1,10</w:t>
            </w:r>
            <w:r w:rsidR="006516F6">
              <w:rPr>
                <w:szCs w:val="20"/>
              </w:rPr>
              <w:t>8</w:t>
            </w:r>
          </w:p>
        </w:tc>
      </w:tr>
      <w:tr w14:paraId="640702F1" w14:textId="77777777" w:rsidTr="005D4D47">
        <w:tblPrEx>
          <w:tblW w:w="8365" w:type="dxa"/>
          <w:jc w:val="center"/>
          <w:tblLayout w:type="fixed"/>
          <w:tblCellMar>
            <w:left w:w="0" w:type="dxa"/>
            <w:right w:w="0" w:type="dxa"/>
          </w:tblCellMar>
          <w:tblLook w:val="01E0"/>
        </w:tblPrEx>
        <w:trPr>
          <w:trHeight w:val="272"/>
          <w:jc w:val="center"/>
        </w:trPr>
        <w:tc>
          <w:tcPr>
            <w:tcW w:w="1518" w:type="dxa"/>
          </w:tcPr>
          <w:p w:rsidR="004358AE" w:rsidRPr="00680250" w:rsidP="004358AE" w14:paraId="2DC160AD" w14:textId="26811568">
            <w:pPr>
              <w:keepNext/>
              <w:keepLines/>
              <w:ind w:left="107"/>
            </w:pPr>
            <w:r w:rsidRPr="00DE7856">
              <w:t>Facility Siting</w:t>
            </w:r>
          </w:p>
        </w:tc>
        <w:tc>
          <w:tcPr>
            <w:tcW w:w="1357" w:type="dxa"/>
            <w:vAlign w:val="center"/>
          </w:tcPr>
          <w:p w:rsidR="004358AE" w:rsidRPr="00680250" w:rsidP="004358AE" w14:paraId="6EA69081" w14:textId="58C1C0F4">
            <w:pPr>
              <w:keepNext/>
              <w:keepLines/>
              <w:ind w:left="94" w:right="34"/>
              <w:jc w:val="center"/>
            </w:pPr>
            <w:r w:rsidRPr="00C469A3">
              <w:t>4,432</w:t>
            </w:r>
          </w:p>
        </w:tc>
        <w:tc>
          <w:tcPr>
            <w:tcW w:w="1350" w:type="dxa"/>
            <w:vAlign w:val="center"/>
          </w:tcPr>
          <w:p w:rsidR="004358AE" w:rsidRPr="00680250" w:rsidP="004358AE" w14:paraId="0702A5E5" w14:textId="71CE6FBD">
            <w:pPr>
              <w:keepNext/>
              <w:keepLines/>
              <w:ind w:left="94" w:right="79"/>
              <w:jc w:val="center"/>
              <w:rPr>
                <w:szCs w:val="20"/>
              </w:rPr>
            </w:pPr>
            <w:r>
              <w:rPr>
                <w:szCs w:val="20"/>
              </w:rPr>
              <w:t>13,296</w:t>
            </w:r>
          </w:p>
        </w:tc>
        <w:tc>
          <w:tcPr>
            <w:tcW w:w="1530" w:type="dxa"/>
            <w:vAlign w:val="center"/>
          </w:tcPr>
          <w:p w:rsidR="004358AE" w:rsidRPr="00680250" w:rsidP="00D35276" w14:paraId="0BA2ED94" w14:textId="3236EDCA">
            <w:pPr>
              <w:keepNext/>
              <w:keepLines/>
              <w:ind w:left="94" w:right="111"/>
              <w:jc w:val="center"/>
              <w:rPr>
                <w:szCs w:val="20"/>
              </w:rPr>
            </w:pPr>
            <w:r w:rsidRPr="007C48A9">
              <w:t>369</w:t>
            </w:r>
          </w:p>
        </w:tc>
        <w:tc>
          <w:tcPr>
            <w:tcW w:w="2610" w:type="dxa"/>
            <w:vAlign w:val="center"/>
          </w:tcPr>
          <w:p w:rsidR="004358AE" w:rsidRPr="00680250" w:rsidP="004358AE" w14:paraId="048100C4" w14:textId="3F2F7523">
            <w:pPr>
              <w:keepNext/>
              <w:keepLines/>
              <w:ind w:left="94" w:right="111"/>
              <w:jc w:val="center"/>
              <w:rPr>
                <w:szCs w:val="20"/>
              </w:rPr>
            </w:pPr>
            <w:r>
              <w:rPr>
                <w:szCs w:val="20"/>
              </w:rPr>
              <w:t>1,10</w:t>
            </w:r>
            <w:r w:rsidR="006516F6">
              <w:rPr>
                <w:szCs w:val="20"/>
              </w:rPr>
              <w:t>8</w:t>
            </w:r>
          </w:p>
        </w:tc>
      </w:tr>
      <w:tr w14:paraId="0F69267D" w14:textId="77777777" w:rsidTr="005D4D47">
        <w:tblPrEx>
          <w:tblW w:w="8365" w:type="dxa"/>
          <w:jc w:val="center"/>
          <w:tblLayout w:type="fixed"/>
          <w:tblCellMar>
            <w:left w:w="0" w:type="dxa"/>
            <w:right w:w="0" w:type="dxa"/>
          </w:tblCellMar>
          <w:tblLook w:val="01E0"/>
        </w:tblPrEx>
        <w:trPr>
          <w:trHeight w:val="272"/>
          <w:jc w:val="center"/>
        </w:trPr>
        <w:tc>
          <w:tcPr>
            <w:tcW w:w="1518" w:type="dxa"/>
          </w:tcPr>
          <w:p w:rsidR="004358AE" w:rsidRPr="00680250" w:rsidP="004358AE" w14:paraId="39D5B3B1" w14:textId="411EFC04">
            <w:pPr>
              <w:keepNext/>
              <w:keepLines/>
              <w:ind w:left="107"/>
            </w:pPr>
            <w:r w:rsidRPr="00DE7856">
              <w:t>RAGAGEP</w:t>
            </w:r>
          </w:p>
        </w:tc>
        <w:tc>
          <w:tcPr>
            <w:tcW w:w="1357" w:type="dxa"/>
            <w:vAlign w:val="center"/>
          </w:tcPr>
          <w:p w:rsidR="004358AE" w:rsidRPr="00680250" w:rsidP="004358AE" w14:paraId="565B4F76" w14:textId="167F056D">
            <w:pPr>
              <w:keepNext/>
              <w:keepLines/>
              <w:ind w:left="94" w:right="34"/>
              <w:jc w:val="center"/>
            </w:pPr>
            <w:r w:rsidRPr="00C46CA1">
              <w:t>2,842</w:t>
            </w:r>
          </w:p>
        </w:tc>
        <w:tc>
          <w:tcPr>
            <w:tcW w:w="1350" w:type="dxa"/>
            <w:vAlign w:val="center"/>
          </w:tcPr>
          <w:p w:rsidR="004358AE" w:rsidRPr="00680250" w:rsidP="004358AE" w14:paraId="08044A9F" w14:textId="7C3E65C2">
            <w:pPr>
              <w:keepNext/>
              <w:keepLines/>
              <w:ind w:left="94" w:right="79"/>
              <w:jc w:val="center"/>
              <w:rPr>
                <w:szCs w:val="20"/>
              </w:rPr>
            </w:pPr>
            <w:r>
              <w:rPr>
                <w:szCs w:val="20"/>
              </w:rPr>
              <w:t>8,526</w:t>
            </w:r>
          </w:p>
        </w:tc>
        <w:tc>
          <w:tcPr>
            <w:tcW w:w="1530" w:type="dxa"/>
            <w:vAlign w:val="center"/>
          </w:tcPr>
          <w:p w:rsidR="004358AE" w:rsidRPr="00680250" w:rsidP="00D35276" w14:paraId="27AF66B1" w14:textId="004D28DE">
            <w:pPr>
              <w:keepNext/>
              <w:keepLines/>
              <w:ind w:left="94" w:right="111"/>
              <w:jc w:val="center"/>
              <w:rPr>
                <w:szCs w:val="20"/>
              </w:rPr>
            </w:pPr>
            <w:r w:rsidRPr="007C48A9">
              <w:t>237</w:t>
            </w:r>
          </w:p>
        </w:tc>
        <w:tc>
          <w:tcPr>
            <w:tcW w:w="2610" w:type="dxa"/>
            <w:vAlign w:val="center"/>
          </w:tcPr>
          <w:p w:rsidR="004358AE" w:rsidRPr="00680250" w:rsidP="004358AE" w14:paraId="0F035F3B" w14:textId="2EEA7D76">
            <w:pPr>
              <w:keepNext/>
              <w:keepLines/>
              <w:ind w:left="94" w:right="111"/>
              <w:jc w:val="center"/>
              <w:rPr>
                <w:szCs w:val="20"/>
              </w:rPr>
            </w:pPr>
            <w:r>
              <w:rPr>
                <w:szCs w:val="20"/>
              </w:rPr>
              <w:t>711</w:t>
            </w:r>
          </w:p>
        </w:tc>
      </w:tr>
      <w:tr w14:paraId="5E3F6711" w14:textId="77777777" w:rsidTr="005D4D47">
        <w:tblPrEx>
          <w:tblW w:w="8365" w:type="dxa"/>
          <w:jc w:val="center"/>
          <w:tblLayout w:type="fixed"/>
          <w:tblCellMar>
            <w:left w:w="0" w:type="dxa"/>
            <w:right w:w="0" w:type="dxa"/>
          </w:tblCellMar>
          <w:tblLook w:val="01E0"/>
        </w:tblPrEx>
        <w:trPr>
          <w:trHeight w:val="272"/>
          <w:jc w:val="center"/>
        </w:trPr>
        <w:tc>
          <w:tcPr>
            <w:tcW w:w="1518" w:type="dxa"/>
          </w:tcPr>
          <w:p w:rsidR="004358AE" w:rsidRPr="00680250" w:rsidP="004358AE" w14:paraId="7D02A4E5" w14:textId="5CB6F8FF">
            <w:pPr>
              <w:keepNext/>
              <w:keepLines/>
              <w:ind w:left="107"/>
            </w:pPr>
            <w:r w:rsidRPr="00DE7856">
              <w:t>Community Notification System</w:t>
            </w:r>
          </w:p>
        </w:tc>
        <w:tc>
          <w:tcPr>
            <w:tcW w:w="1357" w:type="dxa"/>
            <w:vAlign w:val="center"/>
          </w:tcPr>
          <w:p w:rsidR="004358AE" w:rsidRPr="00680250" w:rsidP="004358AE" w14:paraId="697CEE28" w14:textId="447ADB1A">
            <w:pPr>
              <w:keepNext/>
              <w:keepLines/>
              <w:ind w:left="94" w:right="34"/>
              <w:jc w:val="center"/>
            </w:pPr>
            <w:r>
              <w:t>11,080</w:t>
            </w:r>
          </w:p>
        </w:tc>
        <w:tc>
          <w:tcPr>
            <w:tcW w:w="1350" w:type="dxa"/>
            <w:vAlign w:val="center"/>
          </w:tcPr>
          <w:p w:rsidR="004358AE" w:rsidRPr="00680250" w:rsidP="004358AE" w14:paraId="78C9763B" w14:textId="6CF1A110">
            <w:pPr>
              <w:keepNext/>
              <w:keepLines/>
              <w:ind w:left="94" w:right="79"/>
              <w:jc w:val="center"/>
              <w:rPr>
                <w:szCs w:val="20"/>
              </w:rPr>
            </w:pPr>
            <w:r w:rsidRPr="00C12CE5">
              <w:rPr>
                <w:szCs w:val="20"/>
              </w:rPr>
              <w:t>33,240</w:t>
            </w:r>
          </w:p>
        </w:tc>
        <w:tc>
          <w:tcPr>
            <w:tcW w:w="1530" w:type="dxa"/>
            <w:vAlign w:val="center"/>
          </w:tcPr>
          <w:p w:rsidR="004358AE" w:rsidRPr="00680250" w:rsidP="00D35276" w14:paraId="63C99F61" w14:textId="2B256EE4">
            <w:pPr>
              <w:keepNext/>
              <w:keepLines/>
              <w:ind w:left="94" w:right="111"/>
              <w:jc w:val="center"/>
              <w:rPr>
                <w:szCs w:val="20"/>
              </w:rPr>
            </w:pPr>
            <w:r w:rsidRPr="007C48A9">
              <w:t>38,616</w:t>
            </w:r>
          </w:p>
        </w:tc>
        <w:tc>
          <w:tcPr>
            <w:tcW w:w="2610" w:type="dxa"/>
            <w:vAlign w:val="center"/>
          </w:tcPr>
          <w:p w:rsidR="004358AE" w:rsidRPr="00680250" w:rsidP="004358AE" w14:paraId="48F44672" w14:textId="70565250">
            <w:pPr>
              <w:keepNext/>
              <w:keepLines/>
              <w:ind w:left="94" w:right="111"/>
              <w:jc w:val="center"/>
              <w:rPr>
                <w:szCs w:val="20"/>
              </w:rPr>
            </w:pPr>
            <w:r w:rsidRPr="00816232">
              <w:rPr>
                <w:szCs w:val="20"/>
              </w:rPr>
              <w:t>115</w:t>
            </w:r>
            <w:r>
              <w:rPr>
                <w:szCs w:val="20"/>
              </w:rPr>
              <w:t>,</w:t>
            </w:r>
            <w:r w:rsidRPr="00816232">
              <w:rPr>
                <w:szCs w:val="20"/>
              </w:rPr>
              <w:t>848</w:t>
            </w:r>
          </w:p>
        </w:tc>
      </w:tr>
      <w:tr w14:paraId="62A03553" w14:textId="77777777" w:rsidTr="005D4D47">
        <w:tblPrEx>
          <w:tblW w:w="8365" w:type="dxa"/>
          <w:jc w:val="center"/>
          <w:tblLayout w:type="fixed"/>
          <w:tblCellMar>
            <w:left w:w="0" w:type="dxa"/>
            <w:right w:w="0" w:type="dxa"/>
          </w:tblCellMar>
          <w:tblLook w:val="01E0"/>
        </w:tblPrEx>
        <w:trPr>
          <w:trHeight w:val="272"/>
          <w:jc w:val="center"/>
        </w:trPr>
        <w:tc>
          <w:tcPr>
            <w:tcW w:w="1518" w:type="dxa"/>
          </w:tcPr>
          <w:p w:rsidR="004358AE" w:rsidRPr="00680250" w:rsidP="004358AE" w14:paraId="7D5B82A5" w14:textId="727B3CC7">
            <w:pPr>
              <w:keepNext/>
              <w:keepLines/>
              <w:ind w:left="107"/>
            </w:pPr>
            <w:r w:rsidRPr="00DE7856">
              <w:t>Information Availability</w:t>
            </w:r>
          </w:p>
        </w:tc>
        <w:tc>
          <w:tcPr>
            <w:tcW w:w="1357" w:type="dxa"/>
            <w:vAlign w:val="center"/>
          </w:tcPr>
          <w:p w:rsidR="004358AE" w:rsidRPr="00680250" w:rsidP="004358AE" w14:paraId="3AAFEE4D" w14:textId="5E7CE5AC">
            <w:pPr>
              <w:keepNext/>
              <w:keepLines/>
              <w:ind w:left="94" w:right="34"/>
              <w:jc w:val="center"/>
            </w:pPr>
            <w:r w:rsidRPr="002B1A35">
              <w:t>11,740</w:t>
            </w:r>
          </w:p>
        </w:tc>
        <w:tc>
          <w:tcPr>
            <w:tcW w:w="1350" w:type="dxa"/>
            <w:vAlign w:val="center"/>
          </w:tcPr>
          <w:p w:rsidR="004358AE" w:rsidRPr="00680250" w:rsidP="004358AE" w14:paraId="0A55CB47" w14:textId="79F659D0">
            <w:pPr>
              <w:keepNext/>
              <w:keepLines/>
              <w:ind w:left="94" w:right="79"/>
              <w:jc w:val="center"/>
              <w:rPr>
                <w:szCs w:val="20"/>
              </w:rPr>
            </w:pPr>
            <w:r>
              <w:rPr>
                <w:szCs w:val="20"/>
              </w:rPr>
              <w:t>35,220</w:t>
            </w:r>
          </w:p>
        </w:tc>
        <w:tc>
          <w:tcPr>
            <w:tcW w:w="1530" w:type="dxa"/>
            <w:vAlign w:val="center"/>
          </w:tcPr>
          <w:p w:rsidR="004358AE" w:rsidRPr="00680250" w:rsidP="00D35276" w14:paraId="18642B54" w14:textId="561BFB0B">
            <w:pPr>
              <w:keepNext/>
              <w:keepLines/>
              <w:ind w:left="94" w:right="111"/>
              <w:jc w:val="center"/>
              <w:rPr>
                <w:szCs w:val="20"/>
              </w:rPr>
            </w:pPr>
            <w:r w:rsidRPr="007C48A9">
              <w:t>57,196</w:t>
            </w:r>
          </w:p>
        </w:tc>
        <w:tc>
          <w:tcPr>
            <w:tcW w:w="2610" w:type="dxa"/>
            <w:vAlign w:val="center"/>
          </w:tcPr>
          <w:p w:rsidR="004358AE" w:rsidRPr="00680250" w:rsidP="004358AE" w14:paraId="55DEE266" w14:textId="6A2E72B2">
            <w:pPr>
              <w:keepNext/>
              <w:keepLines/>
              <w:ind w:left="94" w:right="111"/>
              <w:jc w:val="center"/>
              <w:rPr>
                <w:szCs w:val="20"/>
              </w:rPr>
            </w:pPr>
            <w:r w:rsidRPr="00B06B5D">
              <w:rPr>
                <w:szCs w:val="20"/>
              </w:rPr>
              <w:t>171</w:t>
            </w:r>
            <w:r>
              <w:rPr>
                <w:szCs w:val="20"/>
              </w:rPr>
              <w:t>,</w:t>
            </w:r>
            <w:r w:rsidRPr="00B06B5D">
              <w:rPr>
                <w:szCs w:val="20"/>
              </w:rPr>
              <w:t>588</w:t>
            </w:r>
          </w:p>
        </w:tc>
      </w:tr>
      <w:tr w14:paraId="23032029" w14:textId="77777777" w:rsidTr="005D4D47">
        <w:tblPrEx>
          <w:tblW w:w="8365" w:type="dxa"/>
          <w:jc w:val="center"/>
          <w:tblLayout w:type="fixed"/>
          <w:tblCellMar>
            <w:left w:w="0" w:type="dxa"/>
            <w:right w:w="0" w:type="dxa"/>
          </w:tblCellMar>
          <w:tblLook w:val="01E0"/>
        </w:tblPrEx>
        <w:trPr>
          <w:trHeight w:val="272"/>
          <w:jc w:val="center"/>
        </w:trPr>
        <w:tc>
          <w:tcPr>
            <w:tcW w:w="1518" w:type="dxa"/>
            <w:vAlign w:val="center"/>
          </w:tcPr>
          <w:p w:rsidR="00E0307A" w:rsidRPr="00680250" w:rsidP="00E0307A" w14:paraId="6BCEDC6E" w14:textId="56E0E512">
            <w:pPr>
              <w:keepNext/>
              <w:keepLines/>
              <w:ind w:left="107"/>
            </w:pPr>
            <w:r w:rsidRPr="00680250">
              <w:rPr>
                <w:b/>
                <w:bCs/>
                <w:szCs w:val="20"/>
              </w:rPr>
              <w:t>Total</w:t>
            </w:r>
            <w:r w:rsidR="00F64DCD">
              <w:rPr>
                <w:b/>
                <w:bCs/>
                <w:szCs w:val="20"/>
              </w:rPr>
              <w:t>**</w:t>
            </w:r>
          </w:p>
        </w:tc>
        <w:tc>
          <w:tcPr>
            <w:tcW w:w="1357" w:type="dxa"/>
            <w:vAlign w:val="center"/>
          </w:tcPr>
          <w:p w:rsidR="00E0307A" w:rsidRPr="00680250" w:rsidP="00B718AA" w14:paraId="79EB5ECB" w14:textId="523A718E">
            <w:pPr>
              <w:keepNext/>
              <w:keepLines/>
              <w:ind w:left="94" w:right="34"/>
              <w:jc w:val="center"/>
            </w:pPr>
            <w:r w:rsidRPr="003B5DD8">
              <w:rPr>
                <w:b/>
                <w:bCs/>
                <w:szCs w:val="20"/>
              </w:rPr>
              <w:t>63,984</w:t>
            </w:r>
          </w:p>
        </w:tc>
        <w:tc>
          <w:tcPr>
            <w:tcW w:w="1350" w:type="dxa"/>
            <w:vAlign w:val="center"/>
          </w:tcPr>
          <w:p w:rsidR="00E0307A" w:rsidRPr="00680250" w:rsidP="00B718AA" w14:paraId="55A0953F" w14:textId="272334DF">
            <w:pPr>
              <w:keepNext/>
              <w:keepLines/>
              <w:ind w:left="94" w:right="79"/>
              <w:jc w:val="center"/>
              <w:rPr>
                <w:szCs w:val="20"/>
              </w:rPr>
            </w:pPr>
            <w:r w:rsidRPr="00211DE6">
              <w:rPr>
                <w:b/>
                <w:szCs w:val="20"/>
              </w:rPr>
              <w:t>166,461</w:t>
            </w:r>
          </w:p>
        </w:tc>
        <w:tc>
          <w:tcPr>
            <w:tcW w:w="1530" w:type="dxa"/>
            <w:vAlign w:val="center"/>
          </w:tcPr>
          <w:p w:rsidR="00E0307A" w:rsidRPr="00680250" w:rsidP="00E0307A" w14:paraId="0C8A6356" w14:textId="0CB01227">
            <w:pPr>
              <w:keepNext/>
              <w:keepLines/>
              <w:ind w:left="94" w:right="111"/>
              <w:jc w:val="center"/>
              <w:rPr>
                <w:szCs w:val="20"/>
              </w:rPr>
            </w:pPr>
            <w:r w:rsidRPr="0099249E">
              <w:rPr>
                <w:b/>
                <w:szCs w:val="20"/>
              </w:rPr>
              <w:t>1,190,991</w:t>
            </w:r>
          </w:p>
        </w:tc>
        <w:tc>
          <w:tcPr>
            <w:tcW w:w="2610" w:type="dxa"/>
            <w:vAlign w:val="center"/>
          </w:tcPr>
          <w:p w:rsidR="00E0307A" w:rsidRPr="00680250" w:rsidP="00E0307A" w14:paraId="34119EBA" w14:textId="59B50C0D">
            <w:pPr>
              <w:keepNext/>
              <w:keepLines/>
              <w:ind w:left="94" w:right="111"/>
              <w:jc w:val="center"/>
              <w:rPr>
                <w:szCs w:val="20"/>
              </w:rPr>
            </w:pPr>
            <w:r w:rsidRPr="00003642">
              <w:rPr>
                <w:b/>
                <w:szCs w:val="20"/>
              </w:rPr>
              <w:t>3,572,974</w:t>
            </w:r>
          </w:p>
        </w:tc>
      </w:tr>
    </w:tbl>
    <w:p w:rsidR="00094E83" w:rsidP="00EE30B4" w14:paraId="1F6F70E6" w14:textId="6FC75E03">
      <w:pPr>
        <w:ind w:left="432" w:right="540"/>
      </w:pPr>
      <w:r w:rsidRPr="00680250">
        <w:t xml:space="preserve">* EPA assumed that the burden associated with </w:t>
      </w:r>
      <w:r w:rsidR="00840AC3">
        <w:t>each provision other than Rule Familiarization</w:t>
      </w:r>
      <w:r w:rsidR="00165214">
        <w:t xml:space="preserve"> </w:t>
      </w:r>
      <w:r w:rsidRPr="00680250">
        <w:t>w</w:t>
      </w:r>
      <w:r w:rsidR="00117041">
        <w:t>ill</w:t>
      </w:r>
      <w:r w:rsidRPr="00680250">
        <w:t xml:space="preserve"> be incurred by the same number of </w:t>
      </w:r>
      <w:r w:rsidR="00165214">
        <w:t xml:space="preserve">respondents </w:t>
      </w:r>
      <w:r w:rsidRPr="00680250">
        <w:t>in Years 1, 2, and 3.</w:t>
      </w:r>
      <w:r w:rsidR="00165214">
        <w:t xml:space="preserve"> Rule </w:t>
      </w:r>
      <w:r w:rsidR="00FC3A14">
        <w:t>Familiarization is anticipated to be incurred in Year 1 only.</w:t>
      </w:r>
      <w:r w:rsidRPr="005751A7">
        <w:t xml:space="preserve">   </w:t>
      </w:r>
    </w:p>
    <w:p w:rsidR="005D5DD9" w:rsidRPr="005D5DD9" w:rsidP="00EE30B4" w14:paraId="5A2697DE" w14:textId="2995812F">
      <w:pPr>
        <w:ind w:left="432" w:right="540"/>
        <w:rPr>
          <w:szCs w:val="20"/>
        </w:rPr>
      </w:pPr>
      <w:r w:rsidRPr="00680250">
        <w:rPr>
          <w:szCs w:val="20"/>
        </w:rPr>
        <w:t>*</w:t>
      </w:r>
      <w:r w:rsidR="00F64DCD">
        <w:rPr>
          <w:szCs w:val="20"/>
        </w:rPr>
        <w:t>*</w:t>
      </w:r>
      <w:r w:rsidRPr="00680250">
        <w:rPr>
          <w:szCs w:val="20"/>
        </w:rPr>
        <w:t>Totals may not sum due to rounding.</w:t>
      </w:r>
    </w:p>
    <w:p w:rsidR="00094E83" w:rsidRPr="00E00C1A" w:rsidP="00E00C1A" w14:paraId="693B1F2F" w14:textId="77777777">
      <w:pPr>
        <w:rPr>
          <w:sz w:val="22"/>
          <w:szCs w:val="22"/>
        </w:rPr>
      </w:pPr>
    </w:p>
    <w:p w:rsidR="00E00C1A" w:rsidRPr="00D206B9" w:rsidP="00D206B9" w14:paraId="1CF82A33"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716808" w:rsidRPr="00D206B9" w:rsidP="00A52068" w14:paraId="135444EE" w14:textId="6E435CCF">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r w:rsidRPr="00D206B9">
        <w:rPr>
          <w:b/>
          <w:bCs/>
          <w:sz w:val="22"/>
          <w:szCs w:val="22"/>
          <w:u w:val="single"/>
        </w:rPr>
        <w:t>1</w:t>
      </w:r>
      <w:r>
        <w:rPr>
          <w:b/>
          <w:bCs/>
          <w:sz w:val="22"/>
          <w:szCs w:val="22"/>
          <w:u w:val="single"/>
        </w:rPr>
        <w:t>3</w:t>
      </w:r>
      <w:r w:rsidRPr="00D206B9">
        <w:rPr>
          <w:b/>
          <w:bCs/>
          <w:sz w:val="22"/>
          <w:szCs w:val="22"/>
          <w:u w:val="single"/>
        </w:rPr>
        <w:t xml:space="preserve">. </w:t>
      </w:r>
      <w:r w:rsidRPr="00034B18" w:rsidR="00034B18">
        <w:rPr>
          <w:b/>
          <w:bCs/>
          <w:sz w:val="22"/>
          <w:szCs w:val="22"/>
          <w:u w:val="single"/>
        </w:rPr>
        <w:t xml:space="preserve">Estimate for </w:t>
      </w:r>
      <w:r w:rsidR="00E4584E">
        <w:rPr>
          <w:b/>
          <w:bCs/>
          <w:sz w:val="22"/>
          <w:szCs w:val="22"/>
          <w:u w:val="single"/>
        </w:rPr>
        <w:t>T</w:t>
      </w:r>
      <w:r w:rsidRPr="00034B18" w:rsidR="00034B18">
        <w:rPr>
          <w:b/>
          <w:bCs/>
          <w:sz w:val="22"/>
          <w:szCs w:val="22"/>
          <w:u w:val="single"/>
        </w:rPr>
        <w:t xml:space="preserve">otal </w:t>
      </w:r>
      <w:r w:rsidR="00E4584E">
        <w:rPr>
          <w:b/>
          <w:bCs/>
          <w:sz w:val="22"/>
          <w:szCs w:val="22"/>
          <w:u w:val="single"/>
        </w:rPr>
        <w:t>A</w:t>
      </w:r>
      <w:r w:rsidRPr="00034B18" w:rsidR="00034B18">
        <w:rPr>
          <w:b/>
          <w:bCs/>
          <w:sz w:val="22"/>
          <w:szCs w:val="22"/>
          <w:u w:val="single"/>
        </w:rPr>
        <w:t xml:space="preserve">nnual </w:t>
      </w:r>
      <w:r w:rsidR="00E4584E">
        <w:rPr>
          <w:b/>
          <w:bCs/>
          <w:sz w:val="22"/>
          <w:szCs w:val="22"/>
          <w:u w:val="single"/>
        </w:rPr>
        <w:t>C</w:t>
      </w:r>
      <w:r w:rsidRPr="00034B18" w:rsidR="00034B18">
        <w:rPr>
          <w:b/>
          <w:bCs/>
          <w:sz w:val="22"/>
          <w:szCs w:val="22"/>
          <w:u w:val="single"/>
        </w:rPr>
        <w:t xml:space="preserve">ost </w:t>
      </w:r>
      <w:r w:rsidR="00E4584E">
        <w:rPr>
          <w:b/>
          <w:bCs/>
          <w:sz w:val="22"/>
          <w:szCs w:val="22"/>
          <w:u w:val="single"/>
        </w:rPr>
        <w:t>B</w:t>
      </w:r>
      <w:r w:rsidRPr="00034B18" w:rsidR="00034B18">
        <w:rPr>
          <w:b/>
          <w:bCs/>
          <w:sz w:val="22"/>
          <w:szCs w:val="22"/>
          <w:u w:val="single"/>
        </w:rPr>
        <w:t>urden (not including hour burden)</w:t>
      </w:r>
    </w:p>
    <w:p w:rsidR="00B56DAE" w:rsidP="00A52068" w14:paraId="2182FAA0"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0E4261" w:rsidRPr="00D206B9" w:rsidP="00A52068" w14:paraId="0E492597" w14:textId="4074017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D206B9">
        <w:rPr>
          <w:b/>
          <w:bCs/>
          <w:sz w:val="22"/>
          <w:szCs w:val="22"/>
        </w:rPr>
        <w:t>Total Annual Cost Burden Estimate</w:t>
      </w:r>
      <w:r w:rsidRPr="00D206B9">
        <w:rPr>
          <w:sz w:val="22"/>
          <w:szCs w:val="22"/>
        </w:rPr>
        <w:t>:</w:t>
      </w:r>
      <w:r w:rsidR="0076651D">
        <w:rPr>
          <w:sz w:val="22"/>
          <w:szCs w:val="22"/>
        </w:rPr>
        <w:t xml:space="preserve"> </w:t>
      </w:r>
      <w:bookmarkStart w:id="1" w:name="_Hlk145322687"/>
      <w:r w:rsidRPr="00581543" w:rsidR="00141FEA">
        <w:rPr>
          <w:sz w:val="22"/>
          <w:szCs w:val="22"/>
        </w:rPr>
        <w:t>$</w:t>
      </w:r>
      <w:r w:rsidRPr="00581543" w:rsidR="00581543">
        <w:rPr>
          <w:sz w:val="22"/>
          <w:szCs w:val="22"/>
        </w:rPr>
        <w:t>126,796,471</w:t>
      </w:r>
      <w:r w:rsidR="00E94703">
        <w:rPr>
          <w:sz w:val="22"/>
          <w:szCs w:val="22"/>
        </w:rPr>
        <w:t xml:space="preserve"> average annual cost </w:t>
      </w:r>
      <w:r w:rsidRPr="006B57AC" w:rsidR="00E94703">
        <w:rPr>
          <w:sz w:val="22"/>
          <w:szCs w:val="22"/>
        </w:rPr>
        <w:t>(</w:t>
      </w:r>
      <w:r w:rsidRPr="006B57AC" w:rsidR="00581543">
        <w:rPr>
          <w:sz w:val="22"/>
          <w:szCs w:val="22"/>
        </w:rPr>
        <w:t>$380,</w:t>
      </w:r>
      <w:r w:rsidRPr="006B57AC" w:rsidR="00131DB1">
        <w:rPr>
          <w:sz w:val="22"/>
          <w:szCs w:val="22"/>
        </w:rPr>
        <w:t>3</w:t>
      </w:r>
      <w:r w:rsidRPr="006B57AC" w:rsidR="00581543">
        <w:rPr>
          <w:sz w:val="22"/>
          <w:szCs w:val="22"/>
        </w:rPr>
        <w:t>89,</w:t>
      </w:r>
      <w:r w:rsidRPr="006B57AC" w:rsidR="00131DB1">
        <w:rPr>
          <w:sz w:val="22"/>
          <w:szCs w:val="22"/>
        </w:rPr>
        <w:t>412</w:t>
      </w:r>
      <w:r w:rsidR="00E94703">
        <w:rPr>
          <w:sz w:val="22"/>
          <w:szCs w:val="22"/>
        </w:rPr>
        <w:t xml:space="preserve"> total cost over 3 years</w:t>
      </w:r>
      <w:r w:rsidR="000A7BE5">
        <w:rPr>
          <w:sz w:val="22"/>
          <w:szCs w:val="22"/>
        </w:rPr>
        <w:t>)</w:t>
      </w:r>
      <w:r w:rsidR="00E94703">
        <w:rPr>
          <w:sz w:val="22"/>
          <w:szCs w:val="22"/>
        </w:rPr>
        <w:t xml:space="preserve">; includes </w:t>
      </w:r>
      <w:r w:rsidR="00F0481B">
        <w:rPr>
          <w:sz w:val="22"/>
          <w:szCs w:val="22"/>
        </w:rPr>
        <w:t>$</w:t>
      </w:r>
      <w:r w:rsidR="001E3999">
        <w:rPr>
          <w:sz w:val="22"/>
          <w:szCs w:val="22"/>
        </w:rPr>
        <w:t xml:space="preserve">12,413,710 </w:t>
      </w:r>
      <w:r w:rsidR="00F0481B">
        <w:rPr>
          <w:sz w:val="22"/>
          <w:szCs w:val="22"/>
        </w:rPr>
        <w:t>average annual O&amp;M cost (</w:t>
      </w:r>
      <w:r w:rsidR="006B57AC">
        <w:rPr>
          <w:sz w:val="22"/>
          <w:szCs w:val="22"/>
        </w:rPr>
        <w:t>$</w:t>
      </w:r>
      <w:r w:rsidRPr="006B57AC" w:rsidR="006B57AC">
        <w:rPr>
          <w:sz w:val="22"/>
          <w:szCs w:val="22"/>
        </w:rPr>
        <w:t>37,241,130</w:t>
      </w:r>
      <w:r w:rsidR="000A7BE5">
        <w:rPr>
          <w:sz w:val="22"/>
          <w:szCs w:val="22"/>
        </w:rPr>
        <w:t xml:space="preserve"> </w:t>
      </w:r>
      <w:r w:rsidR="00294480">
        <w:rPr>
          <w:sz w:val="22"/>
          <w:szCs w:val="22"/>
        </w:rPr>
        <w:t>total O&amp;M cost over 3 years)</w:t>
      </w:r>
      <w:r w:rsidR="00D91169">
        <w:rPr>
          <w:sz w:val="22"/>
          <w:szCs w:val="22"/>
        </w:rPr>
        <w:t xml:space="preserve"> and $78,400 average annual capital cost ($</w:t>
      </w:r>
      <w:r w:rsidR="004F3AF4">
        <w:rPr>
          <w:sz w:val="22"/>
          <w:szCs w:val="22"/>
        </w:rPr>
        <w:t xml:space="preserve">235,200 </w:t>
      </w:r>
      <w:r w:rsidR="00D91169">
        <w:rPr>
          <w:sz w:val="22"/>
          <w:szCs w:val="22"/>
        </w:rPr>
        <w:t>total capital cost</w:t>
      </w:r>
      <w:r w:rsidR="007032F4">
        <w:rPr>
          <w:sz w:val="22"/>
          <w:szCs w:val="22"/>
        </w:rPr>
        <w:t xml:space="preserve"> over 3 years)</w:t>
      </w:r>
      <w:r w:rsidR="00294480">
        <w:rPr>
          <w:sz w:val="22"/>
          <w:szCs w:val="22"/>
        </w:rPr>
        <w:t>.</w:t>
      </w:r>
      <w:bookmarkEnd w:id="1"/>
    </w:p>
    <w:p w:rsidR="000E4261" w:rsidP="00A52068" w14:paraId="332A467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u w:val="single"/>
        </w:rPr>
      </w:pPr>
    </w:p>
    <w:p w:rsidR="00B56DAE" w:rsidP="00A52068" w14:paraId="0A5CE11A" w14:textId="5435E8A1">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u w:val="single"/>
        </w:rPr>
      </w:pPr>
      <w:r w:rsidRPr="00D206B9">
        <w:rPr>
          <w:sz w:val="22"/>
          <w:szCs w:val="22"/>
          <w:u w:val="single"/>
        </w:rPr>
        <w:t>Methodology:</w:t>
      </w:r>
    </w:p>
    <w:p w:rsidR="00492A74" w:rsidRPr="00343ABE" w:rsidP="00D206B9" w14:paraId="238367F8" w14:textId="294C5322">
      <w:pPr>
        <w:rPr>
          <w:sz w:val="22"/>
          <w:szCs w:val="22"/>
        </w:rPr>
      </w:pPr>
      <w:r>
        <w:rPr>
          <w:sz w:val="22"/>
          <w:szCs w:val="22"/>
        </w:rPr>
        <w:t>To calculate</w:t>
      </w:r>
      <w:r w:rsidR="00B80DB7">
        <w:rPr>
          <w:sz w:val="22"/>
          <w:szCs w:val="22"/>
        </w:rPr>
        <w:t xml:space="preserve"> per-facility compliance costs, EPA multipl</w:t>
      </w:r>
      <w:r w:rsidR="005A6B67">
        <w:rPr>
          <w:sz w:val="22"/>
          <w:szCs w:val="22"/>
        </w:rPr>
        <w:t>ied</w:t>
      </w:r>
      <w:r w:rsidR="00B80DB7">
        <w:rPr>
          <w:sz w:val="22"/>
          <w:szCs w:val="22"/>
        </w:rPr>
        <w:t xml:space="preserve"> the unit labor burden estimates for compliance activities by hourly labor rates obtained from </w:t>
      </w:r>
      <w:r w:rsidRPr="00343ABE">
        <w:rPr>
          <w:sz w:val="22"/>
          <w:szCs w:val="22"/>
        </w:rPr>
        <w:t>the Bureau of Labor Statistics (BLS) May 202</w:t>
      </w:r>
      <w:r w:rsidR="003B03CA">
        <w:rPr>
          <w:sz w:val="22"/>
          <w:szCs w:val="22"/>
        </w:rPr>
        <w:t>2</w:t>
      </w:r>
      <w:r w:rsidRPr="00343ABE">
        <w:rPr>
          <w:sz w:val="22"/>
          <w:szCs w:val="22"/>
        </w:rPr>
        <w:t xml:space="preserve"> Occupational Employment and Wage </w:t>
      </w:r>
      <w:r w:rsidR="006D10E5">
        <w:rPr>
          <w:sz w:val="22"/>
          <w:szCs w:val="22"/>
        </w:rPr>
        <w:t>Statistics</w:t>
      </w:r>
      <w:r w:rsidR="007E4141">
        <w:rPr>
          <w:sz w:val="22"/>
          <w:szCs w:val="22"/>
        </w:rPr>
        <w:t>.</w:t>
      </w:r>
      <w:r>
        <w:rPr>
          <w:rStyle w:val="FootnoteReference"/>
          <w:sz w:val="22"/>
          <w:szCs w:val="22"/>
        </w:rPr>
        <w:footnoteReference w:id="5"/>
      </w:r>
      <w:r w:rsidRPr="00343ABE">
        <w:rPr>
          <w:sz w:val="22"/>
          <w:szCs w:val="22"/>
        </w:rPr>
        <w:t xml:space="preserve"> </w:t>
      </w:r>
      <w:r w:rsidR="007E4141">
        <w:rPr>
          <w:sz w:val="22"/>
          <w:szCs w:val="22"/>
        </w:rPr>
        <w:t xml:space="preserve">EPA </w:t>
      </w:r>
      <w:r w:rsidRPr="00343ABE">
        <w:rPr>
          <w:sz w:val="22"/>
          <w:szCs w:val="22"/>
        </w:rPr>
        <w:t>construct</w:t>
      </w:r>
      <w:r w:rsidR="007E4141">
        <w:rPr>
          <w:sz w:val="22"/>
          <w:szCs w:val="22"/>
        </w:rPr>
        <w:t>ed</w:t>
      </w:r>
      <w:r w:rsidRPr="00343ABE">
        <w:rPr>
          <w:sz w:val="22"/>
          <w:szCs w:val="22"/>
        </w:rPr>
        <w:t xml:space="preserve"> a weighted wage rate for different occupational categories. For all rule provisions, labor hours were assumed to be distributed across six general labor categories: Management, Corporate Management, Attorneys, Engineers, Production Staff, and Local Responders. The weighted wage rates for complex facilities (NAICS 324 and 325) were estimated separately from simple facilities because wages paid by these facilities are higher than in wholesale and government sectors, which dominate the simple facilities category. For each of the NAICS codes representing industries in the simple facilities category that are affected by the rule provisions (Food and Beverage, Agricultural Facilities, etc.), standardized BLS Occupation Titles were identified to correspond to the six general labor categories. BLS wages were then adjusted to account for fringe benefits and overhead. Fringe benefits includes payments to cover items such as paid leave, supplemental </w:t>
      </w:r>
      <w:r w:rsidRPr="00343ABE">
        <w:rPr>
          <w:sz w:val="22"/>
          <w:szCs w:val="22"/>
        </w:rPr>
        <w:t xml:space="preserve">pay, insurance, and retirement. Overhead includes resources to cover items such as office space and administrative personnel issues. </w:t>
      </w:r>
      <w:r w:rsidRPr="00162DC5" w:rsidR="00162DC5">
        <w:rPr>
          <w:sz w:val="22"/>
          <w:szCs w:val="22"/>
        </w:rPr>
        <w:t>Applying the December 2022 national average benefit ratio of 0.45</w:t>
      </w:r>
      <w:r>
        <w:rPr>
          <w:sz w:val="22"/>
          <w:szCs w:val="22"/>
          <w:vertAlign w:val="superscript"/>
        </w:rPr>
        <w:footnoteReference w:id="6"/>
      </w:r>
      <w:r w:rsidRPr="00162DC5" w:rsidR="00162DC5">
        <w:rPr>
          <w:sz w:val="22"/>
          <w:szCs w:val="22"/>
        </w:rPr>
        <w:t xml:space="preserve"> and an overhead cost ratio not inclusive of benefits of 0.3, the Agency multiplied the wage rates for each BLS Occupation Title by a factor of 1.75 to create a fully loaded wage rate.</w:t>
      </w:r>
      <w:r>
        <w:rPr>
          <w:sz w:val="22"/>
          <w:szCs w:val="22"/>
          <w:vertAlign w:val="superscript"/>
        </w:rPr>
        <w:footnoteReference w:id="7"/>
      </w:r>
      <w:r w:rsidRPr="00162DC5" w:rsidR="00162DC5">
        <w:rPr>
          <w:sz w:val="22"/>
          <w:szCs w:val="22"/>
        </w:rPr>
        <w:t xml:space="preserve"> After loaded wage rates were established for each industry, they were combined to form a weighted average based on the prominence of each industry within its universe of facilities, either simple or complex. </w:t>
      </w:r>
      <w:r w:rsidRPr="00E63CFC" w:rsidR="00162DC5">
        <w:rPr>
          <w:sz w:val="22"/>
          <w:szCs w:val="22"/>
        </w:rPr>
        <w:t xml:space="preserve">Exhibit </w:t>
      </w:r>
      <w:r w:rsidR="009C7A67">
        <w:rPr>
          <w:sz w:val="22"/>
          <w:szCs w:val="22"/>
        </w:rPr>
        <w:t>3</w:t>
      </w:r>
      <w:r w:rsidRPr="00162DC5" w:rsidR="00162DC5">
        <w:rPr>
          <w:sz w:val="22"/>
          <w:szCs w:val="22"/>
        </w:rPr>
        <w:t xml:space="preserve"> presents the wage rates EPA used in the analysis.</w:t>
      </w:r>
    </w:p>
    <w:p w:rsidR="00492A74" w:rsidRPr="004D4B61" w:rsidP="00492A74" w14:paraId="03384BCC" w14:textId="77777777">
      <w:pPr>
        <w:rPr>
          <w:b/>
        </w:rPr>
      </w:pPr>
    </w:p>
    <w:p w:rsidR="00492A74" w:rsidRPr="00DB08C1" w:rsidP="00492A74" w14:paraId="21C07527" w14:textId="701E0269">
      <w:pPr>
        <w:pStyle w:val="Caption"/>
        <w:spacing w:after="0"/>
        <w:jc w:val="center"/>
        <w:rPr>
          <w:b/>
          <w:bCs/>
          <w:i w:val="0"/>
          <w:iCs w:val="0"/>
          <w:color w:val="auto"/>
          <w:sz w:val="22"/>
          <w:szCs w:val="22"/>
        </w:rPr>
      </w:pPr>
      <w:r w:rsidRPr="00DB08C1">
        <w:rPr>
          <w:b/>
          <w:bCs/>
          <w:i w:val="0"/>
          <w:iCs w:val="0"/>
          <w:color w:val="auto"/>
          <w:sz w:val="22"/>
          <w:szCs w:val="22"/>
        </w:rPr>
        <w:t xml:space="preserve">Exhibit </w:t>
      </w:r>
      <w:r w:rsidR="00692708">
        <w:rPr>
          <w:b/>
          <w:bCs/>
          <w:i w:val="0"/>
          <w:iCs w:val="0"/>
          <w:color w:val="auto"/>
          <w:sz w:val="22"/>
          <w:szCs w:val="22"/>
        </w:rPr>
        <w:t>3</w:t>
      </w:r>
      <w:r w:rsidRPr="00DB08C1">
        <w:rPr>
          <w:b/>
          <w:bCs/>
          <w:i w:val="0"/>
          <w:iCs w:val="0"/>
          <w:color w:val="auto"/>
          <w:sz w:val="22"/>
          <w:szCs w:val="22"/>
        </w:rPr>
        <w:t>: Weighted-Average Loaded Hourly Wage Rates (202</w:t>
      </w:r>
      <w:r w:rsidR="00A0373C">
        <w:rPr>
          <w:b/>
          <w:bCs/>
          <w:i w:val="0"/>
          <w:iCs w:val="0"/>
          <w:color w:val="auto"/>
          <w:sz w:val="22"/>
          <w:szCs w:val="22"/>
        </w:rPr>
        <w:t>2</w:t>
      </w:r>
      <w:r w:rsidRPr="00DB08C1">
        <w:rPr>
          <w:b/>
          <w:bCs/>
          <w:i w:val="0"/>
          <w:iCs w:val="0"/>
          <w:color w:val="auto"/>
          <w:sz w:val="22"/>
          <w:szCs w:val="22"/>
        </w:rPr>
        <w:t xml:space="preserve"> Dollars)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514"/>
        <w:gridCol w:w="2760"/>
        <w:gridCol w:w="3076"/>
      </w:tblGrid>
      <w:tr w14:paraId="7AA25551" w14:textId="77777777" w:rsidTr="00A0373C">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20"/>
          <w:tblHeader/>
          <w:jc w:val="center"/>
        </w:trPr>
        <w:tc>
          <w:tcPr>
            <w:tcW w:w="1879" w:type="pct"/>
            <w:shd w:val="clear" w:color="auto" w:fill="D9D9D9"/>
            <w:vAlign w:val="center"/>
          </w:tcPr>
          <w:p w:rsidR="00492A74" w:rsidRPr="00D7128A" w:rsidP="0004122A" w14:paraId="6F5B1ACE" w14:textId="77777777">
            <w:pPr>
              <w:ind w:left="90"/>
              <w:rPr>
                <w:b/>
                <w:szCs w:val="20"/>
              </w:rPr>
            </w:pPr>
            <w:r w:rsidRPr="00D7128A">
              <w:rPr>
                <w:b/>
                <w:szCs w:val="20"/>
              </w:rPr>
              <w:t>Labor Category</w:t>
            </w:r>
          </w:p>
        </w:tc>
        <w:tc>
          <w:tcPr>
            <w:tcW w:w="1476" w:type="pct"/>
            <w:shd w:val="clear" w:color="auto" w:fill="D9D9D9"/>
            <w:vAlign w:val="center"/>
          </w:tcPr>
          <w:p w:rsidR="00492A74" w:rsidRPr="00D7128A" w:rsidP="0004122A" w14:paraId="1520462D" w14:textId="77777777">
            <w:pPr>
              <w:ind w:left="84" w:right="81"/>
              <w:jc w:val="center"/>
              <w:rPr>
                <w:b/>
                <w:szCs w:val="20"/>
              </w:rPr>
            </w:pPr>
            <w:r w:rsidRPr="00D7128A">
              <w:rPr>
                <w:b/>
                <w:szCs w:val="20"/>
              </w:rPr>
              <w:t>Simple Facilities</w:t>
            </w:r>
          </w:p>
        </w:tc>
        <w:tc>
          <w:tcPr>
            <w:tcW w:w="1645" w:type="pct"/>
            <w:shd w:val="clear" w:color="auto" w:fill="D9D9D9"/>
            <w:vAlign w:val="center"/>
          </w:tcPr>
          <w:p w:rsidR="00492A74" w:rsidRPr="00D7128A" w:rsidP="0004122A" w14:paraId="1230F136" w14:textId="77777777">
            <w:pPr>
              <w:ind w:left="87" w:right="81"/>
              <w:jc w:val="center"/>
              <w:rPr>
                <w:b/>
                <w:szCs w:val="20"/>
              </w:rPr>
            </w:pPr>
            <w:r w:rsidRPr="00D7128A">
              <w:rPr>
                <w:b/>
                <w:szCs w:val="20"/>
              </w:rPr>
              <w:t>Complex Facilities</w:t>
            </w:r>
          </w:p>
        </w:tc>
      </w:tr>
      <w:tr w14:paraId="58572B87" w14:textId="77777777" w:rsidTr="00A0373C">
        <w:tblPrEx>
          <w:tblW w:w="5000" w:type="pct"/>
          <w:jc w:val="center"/>
          <w:tblCellMar>
            <w:left w:w="0" w:type="dxa"/>
            <w:right w:w="0" w:type="dxa"/>
          </w:tblCellMar>
          <w:tblLook w:val="01E0"/>
        </w:tblPrEx>
        <w:trPr>
          <w:trHeight w:val="20"/>
          <w:jc w:val="center"/>
        </w:trPr>
        <w:tc>
          <w:tcPr>
            <w:tcW w:w="1879" w:type="pct"/>
            <w:vAlign w:val="center"/>
          </w:tcPr>
          <w:p w:rsidR="00A0373C" w:rsidRPr="00D7128A" w:rsidP="00A0373C" w14:paraId="40B0072D" w14:textId="77777777">
            <w:pPr>
              <w:ind w:left="107"/>
              <w:rPr>
                <w:szCs w:val="20"/>
              </w:rPr>
            </w:pPr>
            <w:r w:rsidRPr="00D7128A">
              <w:rPr>
                <w:szCs w:val="20"/>
              </w:rPr>
              <w:t>Management</w:t>
            </w:r>
          </w:p>
        </w:tc>
        <w:tc>
          <w:tcPr>
            <w:tcW w:w="1476" w:type="pct"/>
            <w:vAlign w:val="center"/>
          </w:tcPr>
          <w:p w:rsidR="00A0373C" w:rsidRPr="00D7128A" w:rsidP="00A0373C" w14:paraId="3C1021D7" w14:textId="1970609F">
            <w:pPr>
              <w:ind w:left="84" w:right="80"/>
              <w:jc w:val="center"/>
              <w:rPr>
                <w:szCs w:val="20"/>
              </w:rPr>
            </w:pPr>
            <w:r w:rsidRPr="00D7128A">
              <w:rPr>
                <w:color w:val="000000"/>
                <w:szCs w:val="20"/>
              </w:rPr>
              <w:t>$1</w:t>
            </w:r>
            <w:r>
              <w:rPr>
                <w:color w:val="000000"/>
                <w:szCs w:val="20"/>
              </w:rPr>
              <w:t>10.70</w:t>
            </w:r>
          </w:p>
        </w:tc>
        <w:tc>
          <w:tcPr>
            <w:tcW w:w="1645" w:type="pct"/>
            <w:vAlign w:val="center"/>
          </w:tcPr>
          <w:p w:rsidR="00A0373C" w:rsidRPr="00D7128A" w:rsidP="00A0373C" w14:paraId="51EEFC70" w14:textId="7696DD44">
            <w:pPr>
              <w:ind w:left="85" w:right="81"/>
              <w:jc w:val="center"/>
              <w:rPr>
                <w:szCs w:val="20"/>
              </w:rPr>
            </w:pPr>
            <w:r w:rsidRPr="00D7128A">
              <w:rPr>
                <w:color w:val="000000"/>
                <w:szCs w:val="20"/>
              </w:rPr>
              <w:t>$</w:t>
            </w:r>
            <w:r>
              <w:rPr>
                <w:color w:val="000000"/>
                <w:szCs w:val="20"/>
              </w:rPr>
              <w:t>137.52</w:t>
            </w:r>
          </w:p>
        </w:tc>
      </w:tr>
      <w:tr w14:paraId="0677F528" w14:textId="77777777" w:rsidTr="00A0373C">
        <w:tblPrEx>
          <w:tblW w:w="5000" w:type="pct"/>
          <w:jc w:val="center"/>
          <w:tblCellMar>
            <w:left w:w="0" w:type="dxa"/>
            <w:right w:w="0" w:type="dxa"/>
          </w:tblCellMar>
          <w:tblLook w:val="01E0"/>
        </w:tblPrEx>
        <w:trPr>
          <w:trHeight w:val="20"/>
          <w:jc w:val="center"/>
        </w:trPr>
        <w:tc>
          <w:tcPr>
            <w:tcW w:w="1879" w:type="pct"/>
            <w:vAlign w:val="center"/>
          </w:tcPr>
          <w:p w:rsidR="00A0373C" w:rsidRPr="00D7128A" w:rsidP="00A0373C" w14:paraId="232DC7E4" w14:textId="77777777">
            <w:pPr>
              <w:ind w:left="107"/>
              <w:rPr>
                <w:szCs w:val="20"/>
              </w:rPr>
            </w:pPr>
            <w:r w:rsidRPr="00D7128A">
              <w:rPr>
                <w:szCs w:val="20"/>
              </w:rPr>
              <w:t>Corporate Management</w:t>
            </w:r>
          </w:p>
        </w:tc>
        <w:tc>
          <w:tcPr>
            <w:tcW w:w="1476" w:type="pct"/>
            <w:vAlign w:val="center"/>
          </w:tcPr>
          <w:p w:rsidR="00A0373C" w:rsidRPr="00D7128A" w:rsidP="00A0373C" w14:paraId="2E5A343F" w14:textId="412B0F8D">
            <w:pPr>
              <w:ind w:left="84" w:right="81"/>
              <w:jc w:val="center"/>
              <w:rPr>
                <w:szCs w:val="20"/>
              </w:rPr>
            </w:pPr>
            <w:r w:rsidRPr="00D7128A">
              <w:rPr>
                <w:color w:val="000000"/>
                <w:szCs w:val="20"/>
              </w:rPr>
              <w:t>$</w:t>
            </w:r>
            <w:r>
              <w:rPr>
                <w:color w:val="000000"/>
                <w:szCs w:val="20"/>
              </w:rPr>
              <w:t>102.02</w:t>
            </w:r>
          </w:p>
        </w:tc>
        <w:tc>
          <w:tcPr>
            <w:tcW w:w="1645" w:type="pct"/>
            <w:vAlign w:val="center"/>
          </w:tcPr>
          <w:p w:rsidR="00A0373C" w:rsidRPr="00D7128A" w:rsidP="00A0373C" w14:paraId="55931420" w14:textId="29C733C0">
            <w:pPr>
              <w:ind w:left="85" w:right="81"/>
              <w:jc w:val="center"/>
              <w:rPr>
                <w:szCs w:val="20"/>
              </w:rPr>
            </w:pPr>
            <w:r w:rsidRPr="00D7128A">
              <w:rPr>
                <w:color w:val="000000"/>
                <w:szCs w:val="20"/>
              </w:rPr>
              <w:t>$13</w:t>
            </w:r>
            <w:r>
              <w:rPr>
                <w:color w:val="000000"/>
                <w:szCs w:val="20"/>
              </w:rPr>
              <w:t>6.70</w:t>
            </w:r>
          </w:p>
        </w:tc>
      </w:tr>
      <w:tr w14:paraId="438C076A" w14:textId="77777777" w:rsidTr="00A0373C">
        <w:tblPrEx>
          <w:tblW w:w="5000" w:type="pct"/>
          <w:jc w:val="center"/>
          <w:tblCellMar>
            <w:left w:w="0" w:type="dxa"/>
            <w:right w:w="0" w:type="dxa"/>
          </w:tblCellMar>
          <w:tblLook w:val="01E0"/>
        </w:tblPrEx>
        <w:trPr>
          <w:trHeight w:val="20"/>
          <w:jc w:val="center"/>
        </w:trPr>
        <w:tc>
          <w:tcPr>
            <w:tcW w:w="1879" w:type="pct"/>
            <w:vAlign w:val="center"/>
          </w:tcPr>
          <w:p w:rsidR="00A0373C" w:rsidRPr="00D7128A" w:rsidP="00A0373C" w14:paraId="4304B7BA" w14:textId="77777777">
            <w:pPr>
              <w:ind w:left="107"/>
              <w:rPr>
                <w:szCs w:val="20"/>
              </w:rPr>
            </w:pPr>
            <w:r w:rsidRPr="00D7128A">
              <w:rPr>
                <w:szCs w:val="20"/>
              </w:rPr>
              <w:t>Attorneys</w:t>
            </w:r>
          </w:p>
        </w:tc>
        <w:tc>
          <w:tcPr>
            <w:tcW w:w="1476" w:type="pct"/>
            <w:vAlign w:val="center"/>
          </w:tcPr>
          <w:p w:rsidR="00A0373C" w:rsidRPr="00D7128A" w:rsidP="00A0373C" w14:paraId="27093D41" w14:textId="0FAE3A44">
            <w:pPr>
              <w:ind w:left="84" w:right="76"/>
              <w:jc w:val="center"/>
              <w:rPr>
                <w:szCs w:val="20"/>
              </w:rPr>
            </w:pPr>
            <w:r w:rsidRPr="00D7128A">
              <w:rPr>
                <w:color w:val="000000"/>
                <w:szCs w:val="20"/>
              </w:rPr>
              <w:t>$</w:t>
            </w:r>
            <w:r>
              <w:rPr>
                <w:color w:val="000000"/>
                <w:szCs w:val="20"/>
              </w:rPr>
              <w:t>150.79</w:t>
            </w:r>
          </w:p>
        </w:tc>
        <w:tc>
          <w:tcPr>
            <w:tcW w:w="1645" w:type="pct"/>
            <w:vAlign w:val="center"/>
          </w:tcPr>
          <w:p w:rsidR="00A0373C" w:rsidRPr="00D7128A" w:rsidP="00A0373C" w14:paraId="287FA28F" w14:textId="10F39C34">
            <w:pPr>
              <w:ind w:left="85" w:right="81"/>
              <w:jc w:val="center"/>
              <w:rPr>
                <w:szCs w:val="20"/>
              </w:rPr>
            </w:pPr>
            <w:r w:rsidRPr="00D7128A">
              <w:rPr>
                <w:color w:val="000000"/>
                <w:szCs w:val="20"/>
              </w:rPr>
              <w:t>$</w:t>
            </w:r>
            <w:r>
              <w:rPr>
                <w:color w:val="000000"/>
                <w:szCs w:val="20"/>
              </w:rPr>
              <w:t>205.84</w:t>
            </w:r>
          </w:p>
        </w:tc>
      </w:tr>
      <w:tr w14:paraId="186EE899" w14:textId="77777777" w:rsidTr="00A0373C">
        <w:tblPrEx>
          <w:tblW w:w="5000" w:type="pct"/>
          <w:jc w:val="center"/>
          <w:tblCellMar>
            <w:left w:w="0" w:type="dxa"/>
            <w:right w:w="0" w:type="dxa"/>
          </w:tblCellMar>
          <w:tblLook w:val="01E0"/>
        </w:tblPrEx>
        <w:trPr>
          <w:trHeight w:val="20"/>
          <w:jc w:val="center"/>
        </w:trPr>
        <w:tc>
          <w:tcPr>
            <w:tcW w:w="1879" w:type="pct"/>
            <w:vAlign w:val="center"/>
          </w:tcPr>
          <w:p w:rsidR="00A0373C" w:rsidRPr="00D7128A" w:rsidP="00A0373C" w14:paraId="6E054193" w14:textId="77777777">
            <w:pPr>
              <w:ind w:left="107"/>
              <w:rPr>
                <w:szCs w:val="20"/>
              </w:rPr>
            </w:pPr>
            <w:r w:rsidRPr="00D7128A">
              <w:rPr>
                <w:szCs w:val="20"/>
              </w:rPr>
              <w:t>Engineers</w:t>
            </w:r>
          </w:p>
        </w:tc>
        <w:tc>
          <w:tcPr>
            <w:tcW w:w="1476" w:type="pct"/>
            <w:vAlign w:val="center"/>
          </w:tcPr>
          <w:p w:rsidR="00A0373C" w:rsidRPr="00D7128A" w:rsidP="00A0373C" w14:paraId="5AB19CF6" w14:textId="091F906B">
            <w:pPr>
              <w:ind w:left="84" w:right="81"/>
              <w:jc w:val="center"/>
              <w:rPr>
                <w:szCs w:val="20"/>
              </w:rPr>
            </w:pPr>
            <w:r w:rsidRPr="00D7128A">
              <w:rPr>
                <w:color w:val="000000"/>
                <w:szCs w:val="20"/>
              </w:rPr>
              <w:t>$</w:t>
            </w:r>
            <w:r>
              <w:rPr>
                <w:color w:val="000000"/>
                <w:szCs w:val="20"/>
              </w:rPr>
              <w:t>74.33</w:t>
            </w:r>
          </w:p>
        </w:tc>
        <w:tc>
          <w:tcPr>
            <w:tcW w:w="1645" w:type="pct"/>
            <w:vAlign w:val="center"/>
          </w:tcPr>
          <w:p w:rsidR="00A0373C" w:rsidRPr="00D7128A" w:rsidP="00A0373C" w14:paraId="6ADF6D3F" w14:textId="223C64F8">
            <w:pPr>
              <w:ind w:left="87" w:right="80"/>
              <w:jc w:val="center"/>
              <w:rPr>
                <w:szCs w:val="20"/>
              </w:rPr>
            </w:pPr>
            <w:r w:rsidRPr="00D7128A">
              <w:rPr>
                <w:color w:val="000000"/>
                <w:szCs w:val="20"/>
              </w:rPr>
              <w:t>$</w:t>
            </w:r>
            <w:r>
              <w:rPr>
                <w:color w:val="000000"/>
                <w:szCs w:val="20"/>
              </w:rPr>
              <w:t>99.12</w:t>
            </w:r>
          </w:p>
        </w:tc>
      </w:tr>
      <w:tr w14:paraId="23987E5A" w14:textId="77777777" w:rsidTr="00A0373C">
        <w:tblPrEx>
          <w:tblW w:w="5000" w:type="pct"/>
          <w:jc w:val="center"/>
          <w:tblCellMar>
            <w:left w:w="0" w:type="dxa"/>
            <w:right w:w="0" w:type="dxa"/>
          </w:tblCellMar>
          <w:tblLook w:val="01E0"/>
        </w:tblPrEx>
        <w:trPr>
          <w:trHeight w:val="20"/>
          <w:jc w:val="center"/>
        </w:trPr>
        <w:tc>
          <w:tcPr>
            <w:tcW w:w="1879" w:type="pct"/>
            <w:vAlign w:val="center"/>
          </w:tcPr>
          <w:p w:rsidR="00A0373C" w:rsidRPr="00D7128A" w:rsidP="00A0373C" w14:paraId="71DDFFD5" w14:textId="77777777">
            <w:pPr>
              <w:keepNext/>
              <w:keepLines/>
              <w:ind w:left="107"/>
              <w:rPr>
                <w:szCs w:val="20"/>
              </w:rPr>
            </w:pPr>
            <w:r w:rsidRPr="00D7128A">
              <w:rPr>
                <w:szCs w:val="20"/>
              </w:rPr>
              <w:t>Production Staff</w:t>
            </w:r>
          </w:p>
        </w:tc>
        <w:tc>
          <w:tcPr>
            <w:tcW w:w="1476" w:type="pct"/>
            <w:vAlign w:val="center"/>
          </w:tcPr>
          <w:p w:rsidR="00A0373C" w:rsidRPr="00D7128A" w:rsidP="00A0373C" w14:paraId="6CAC8ECE" w14:textId="777D3200">
            <w:pPr>
              <w:keepNext/>
              <w:keepLines/>
              <w:ind w:left="84" w:right="80"/>
              <w:jc w:val="center"/>
              <w:rPr>
                <w:szCs w:val="20"/>
              </w:rPr>
            </w:pPr>
            <w:r w:rsidRPr="00D7128A">
              <w:rPr>
                <w:color w:val="000000"/>
                <w:szCs w:val="20"/>
              </w:rPr>
              <w:t>$</w:t>
            </w:r>
            <w:r>
              <w:rPr>
                <w:color w:val="000000"/>
                <w:szCs w:val="20"/>
              </w:rPr>
              <w:t>43.21</w:t>
            </w:r>
          </w:p>
        </w:tc>
        <w:tc>
          <w:tcPr>
            <w:tcW w:w="1645" w:type="pct"/>
            <w:vAlign w:val="center"/>
          </w:tcPr>
          <w:p w:rsidR="00A0373C" w:rsidRPr="00D7128A" w:rsidP="00A0373C" w14:paraId="32EF5B90" w14:textId="67B98FF2">
            <w:pPr>
              <w:keepNext/>
              <w:keepLines/>
              <w:ind w:left="87" w:right="80"/>
              <w:jc w:val="center"/>
              <w:rPr>
                <w:szCs w:val="20"/>
              </w:rPr>
            </w:pPr>
            <w:r w:rsidRPr="00D7128A">
              <w:rPr>
                <w:color w:val="000000"/>
                <w:szCs w:val="20"/>
              </w:rPr>
              <w:t>$</w:t>
            </w:r>
            <w:r>
              <w:rPr>
                <w:color w:val="000000"/>
                <w:szCs w:val="20"/>
              </w:rPr>
              <w:t>66.71</w:t>
            </w:r>
          </w:p>
        </w:tc>
      </w:tr>
      <w:tr w14:paraId="549AA271" w14:textId="77777777" w:rsidTr="00A0373C">
        <w:tblPrEx>
          <w:tblW w:w="5000" w:type="pct"/>
          <w:jc w:val="center"/>
          <w:tblCellMar>
            <w:left w:w="0" w:type="dxa"/>
            <w:right w:w="0" w:type="dxa"/>
          </w:tblCellMar>
          <w:tblLook w:val="01E0"/>
        </w:tblPrEx>
        <w:trPr>
          <w:trHeight w:val="20"/>
          <w:jc w:val="center"/>
        </w:trPr>
        <w:tc>
          <w:tcPr>
            <w:tcW w:w="1879" w:type="pct"/>
            <w:vAlign w:val="center"/>
          </w:tcPr>
          <w:p w:rsidR="00A0373C" w:rsidRPr="00D7128A" w:rsidP="00A0373C" w14:paraId="2C3410C6" w14:textId="77777777">
            <w:pPr>
              <w:keepNext/>
              <w:keepLines/>
              <w:ind w:left="107"/>
              <w:rPr>
                <w:szCs w:val="20"/>
              </w:rPr>
            </w:pPr>
            <w:r w:rsidRPr="00D7128A">
              <w:rPr>
                <w:szCs w:val="20"/>
              </w:rPr>
              <w:t>Local Responders</w:t>
            </w:r>
          </w:p>
        </w:tc>
        <w:tc>
          <w:tcPr>
            <w:tcW w:w="1476" w:type="pct"/>
            <w:vAlign w:val="center"/>
          </w:tcPr>
          <w:p w:rsidR="00A0373C" w:rsidRPr="00D7128A" w:rsidP="00A0373C" w14:paraId="647439BE" w14:textId="6A67C1AF">
            <w:pPr>
              <w:keepNext/>
              <w:keepLines/>
              <w:ind w:left="84" w:right="80"/>
              <w:jc w:val="center"/>
              <w:rPr>
                <w:szCs w:val="20"/>
              </w:rPr>
            </w:pPr>
            <w:r w:rsidRPr="00D7128A">
              <w:rPr>
                <w:color w:val="000000"/>
                <w:szCs w:val="20"/>
              </w:rPr>
              <w:t>$7</w:t>
            </w:r>
            <w:r>
              <w:rPr>
                <w:color w:val="000000"/>
                <w:szCs w:val="20"/>
              </w:rPr>
              <w:t>2.30</w:t>
            </w:r>
          </w:p>
        </w:tc>
        <w:tc>
          <w:tcPr>
            <w:tcW w:w="1645" w:type="pct"/>
            <w:vAlign w:val="center"/>
          </w:tcPr>
          <w:p w:rsidR="00A0373C" w:rsidRPr="00D7128A" w:rsidP="00A0373C" w14:paraId="59D8289B" w14:textId="6B222C83">
            <w:pPr>
              <w:keepNext/>
              <w:keepLines/>
              <w:ind w:left="87" w:right="80"/>
              <w:jc w:val="center"/>
              <w:rPr>
                <w:szCs w:val="20"/>
              </w:rPr>
            </w:pPr>
            <w:r w:rsidRPr="00D7128A">
              <w:rPr>
                <w:color w:val="000000"/>
                <w:szCs w:val="20"/>
              </w:rPr>
              <w:t>$7</w:t>
            </w:r>
            <w:r>
              <w:rPr>
                <w:color w:val="000000"/>
                <w:szCs w:val="20"/>
              </w:rPr>
              <w:t>2.30</w:t>
            </w:r>
          </w:p>
        </w:tc>
      </w:tr>
    </w:tbl>
    <w:p w:rsidR="00492A74" w:rsidP="00492A74" w14:paraId="4B56A49D" w14:textId="2CFFDEDD">
      <w:pPr>
        <w:keepNext/>
        <w:keepLines/>
        <w:ind w:left="-90"/>
        <w:rPr>
          <w:rStyle w:val="Hyperlink"/>
          <w:sz w:val="18"/>
          <w:szCs w:val="18"/>
          <w:u w:val="none"/>
        </w:rPr>
      </w:pPr>
      <w:r w:rsidRPr="004D4B61">
        <w:tab/>
      </w:r>
      <w:r w:rsidRPr="003B1632">
        <w:rPr>
          <w:sz w:val="18"/>
          <w:szCs w:val="18"/>
        </w:rPr>
        <w:t>Source</w:t>
      </w:r>
      <w:r>
        <w:rPr>
          <w:sz w:val="18"/>
          <w:szCs w:val="18"/>
        </w:rPr>
        <w:t>s</w:t>
      </w:r>
      <w:r w:rsidRPr="003B1632">
        <w:rPr>
          <w:sz w:val="18"/>
          <w:szCs w:val="18"/>
        </w:rPr>
        <w:t>:</w:t>
      </w:r>
      <w:r w:rsidRPr="003B1632">
        <w:rPr>
          <w:b/>
          <w:sz w:val="18"/>
          <w:szCs w:val="18"/>
        </w:rPr>
        <w:t xml:space="preserve"> </w:t>
      </w:r>
      <w:bookmarkStart w:id="2" w:name="_Hlk146707333"/>
      <w:hyperlink r:id="rId9" w:history="1">
        <w:r w:rsidRPr="00D206B9" w:rsidR="000C2893">
          <w:rPr>
            <w:rStyle w:val="Hyperlink"/>
          </w:rPr>
          <w:t>https://www.bls.gov/oes/2022/may/oes_nat.htm</w:t>
        </w:r>
      </w:hyperlink>
      <w:bookmarkEnd w:id="2"/>
      <w:r w:rsidRPr="00D206B9" w:rsidR="000C2893">
        <w:rPr>
          <w:bCs/>
          <w:sz w:val="18"/>
          <w:szCs w:val="18"/>
        </w:rPr>
        <w:t xml:space="preserve"> and </w:t>
      </w:r>
      <w:hyperlink r:id="rId10" w:history="1">
        <w:r w:rsidRPr="00D206B9" w:rsidR="000C2893">
          <w:rPr>
            <w:rStyle w:val="Hyperlink"/>
          </w:rPr>
          <w:t>http://www.bls.gov/news.release/ecec.nr0.htm.</w:t>
        </w:r>
      </w:hyperlink>
    </w:p>
    <w:p w:rsidR="00DD5D88" w:rsidP="00AE259A" w14:paraId="52277938" w14:textId="2006E605">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8"/>
        </w:rPr>
      </w:pPr>
    </w:p>
    <w:p w:rsidR="00405E04" w:rsidRPr="00586F1B" w:rsidP="00405E04" w14:paraId="2DEC21D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highlight w:val="yellow"/>
        </w:rPr>
      </w:pPr>
    </w:p>
    <w:p w:rsidR="006C1155" w:rsidP="006C1155" w14:paraId="033BCB0B" w14:textId="237BBA89">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4B67FF">
        <w:rPr>
          <w:i/>
          <w:iCs/>
          <w:sz w:val="22"/>
          <w:szCs w:val="22"/>
        </w:rPr>
        <w:t xml:space="preserve">Capital Costs </w:t>
      </w:r>
      <w:r w:rsidR="001A7B27">
        <w:rPr>
          <w:sz w:val="22"/>
          <w:szCs w:val="22"/>
        </w:rPr>
        <w:t>–</w:t>
      </w:r>
      <w:r>
        <w:rPr>
          <w:sz w:val="22"/>
          <w:szCs w:val="22"/>
        </w:rPr>
        <w:t xml:space="preserve"> </w:t>
      </w:r>
      <w:r w:rsidRPr="00EB385E" w:rsidR="00EB385E">
        <w:rPr>
          <w:sz w:val="22"/>
          <w:szCs w:val="22"/>
        </w:rPr>
        <w:t>The analysis includes the capital cost associated with acquiring a generator to provide backup power for perimeter monitoring. The costs of equipment purchased for facilities required to implement backup power are not amortized. Although individual equipment items are relatively low cost, some facilities may choose to finance equipment purchases to spread the costs over several years, while others may treat them as an operating expense and pay them in a single year. By not amortizing equipment costs in this analysis, EPA is making the conservative assumption that facilities will pay these initial costs in a single year (year 1), which EPA believes is likely given the assumption that the generator for backup power cost will cost $</w:t>
      </w:r>
      <w:r w:rsidR="00684C55">
        <w:rPr>
          <w:sz w:val="22"/>
          <w:szCs w:val="22"/>
        </w:rPr>
        <w:t>3,000</w:t>
      </w:r>
      <w:r w:rsidRPr="00EB385E" w:rsidR="00EB385E">
        <w:rPr>
          <w:sz w:val="22"/>
          <w:szCs w:val="22"/>
        </w:rPr>
        <w:t xml:space="preserve"> and that each facility will purchase only one generator that will last for the entire </w:t>
      </w:r>
      <w:r w:rsidR="00252B90">
        <w:rPr>
          <w:sz w:val="22"/>
          <w:szCs w:val="22"/>
        </w:rPr>
        <w:t>three-year</w:t>
      </w:r>
      <w:r w:rsidR="00473A35">
        <w:rPr>
          <w:sz w:val="22"/>
          <w:szCs w:val="22"/>
        </w:rPr>
        <w:t xml:space="preserve"> period </w:t>
      </w:r>
      <w:r w:rsidR="005741B6">
        <w:rPr>
          <w:sz w:val="22"/>
          <w:szCs w:val="22"/>
        </w:rPr>
        <w:t>covered by this</w:t>
      </w:r>
      <w:r w:rsidR="00F62F6B">
        <w:rPr>
          <w:sz w:val="22"/>
          <w:szCs w:val="22"/>
        </w:rPr>
        <w:t xml:space="preserve"> supporting statement</w:t>
      </w:r>
      <w:r w:rsidRPr="00EB385E" w:rsidR="00EB385E">
        <w:rPr>
          <w:sz w:val="22"/>
          <w:szCs w:val="22"/>
        </w:rPr>
        <w:t>.</w:t>
      </w:r>
    </w:p>
    <w:p w:rsidR="00ED5230" w:rsidP="006C1155" w14:paraId="28DCE749"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F225B0" w14:paraId="6A2AF7B4" w14:textId="77777777">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8"/>
        </w:rPr>
      </w:pPr>
      <w:r w:rsidRPr="004B67FF">
        <w:rPr>
          <w:i/>
          <w:iCs/>
          <w:sz w:val="22"/>
          <w:szCs w:val="22"/>
        </w:rPr>
        <w:t>Operating &amp; Maintenance (O&amp;M) Costs</w:t>
      </w:r>
      <w:r w:rsidRPr="00BD7ACF">
        <w:rPr>
          <w:b/>
          <w:bCs/>
          <w:sz w:val="22"/>
          <w:szCs w:val="22"/>
        </w:rPr>
        <w:t xml:space="preserve"> </w:t>
      </w:r>
      <w:r w:rsidR="001A7B27">
        <w:rPr>
          <w:sz w:val="22"/>
          <w:szCs w:val="28"/>
        </w:rPr>
        <w:t>–</w:t>
      </w:r>
      <w:r>
        <w:rPr>
          <w:sz w:val="22"/>
          <w:szCs w:val="28"/>
        </w:rPr>
        <w:t xml:space="preserve"> </w:t>
      </w:r>
      <w:r w:rsidRPr="00385A70" w:rsidR="00385A70">
        <w:rPr>
          <w:sz w:val="22"/>
          <w:szCs w:val="28"/>
        </w:rPr>
        <w:t>The analysis used an ongoing cost when costs for years 2 and 3 of the ICR period (and beyond) were different from the initial cost components. If costs for years 2 and 3 were the same as the initial year (with some variation based on the annual frequency), then multiplying the initial cost by the annual frequency accounted for any continuing costs.</w:t>
      </w:r>
    </w:p>
    <w:p w:rsidR="008F0090" w14:paraId="04EAC197" w14:textId="77777777">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8"/>
        </w:rPr>
      </w:pPr>
      <w:r>
        <w:rPr>
          <w:sz w:val="22"/>
          <w:szCs w:val="28"/>
        </w:rPr>
        <w:t>Other costs that are included in the analysis include:</w:t>
      </w:r>
    </w:p>
    <w:p w:rsidR="00622682" w:rsidRPr="00680250" w:rsidP="008F0090" w14:paraId="5366E36B" w14:textId="77777777">
      <w:pPr>
        <w:pStyle w:val="ListParagraph"/>
        <w:widowControl/>
        <w:numPr>
          <w:ilvl w:val="0"/>
          <w:numId w:val="40"/>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i/>
          <w:iCs/>
          <w:sz w:val="22"/>
          <w:szCs w:val="22"/>
        </w:rPr>
      </w:pPr>
      <w:r w:rsidRPr="00680250">
        <w:rPr>
          <w:sz w:val="22"/>
          <w:szCs w:val="28"/>
        </w:rPr>
        <w:t xml:space="preserve">For the root cause analysis provision, the analysis includes a cost </w:t>
      </w:r>
      <w:r w:rsidRPr="00680250" w:rsidR="00C6768D">
        <w:rPr>
          <w:sz w:val="22"/>
          <w:szCs w:val="28"/>
        </w:rPr>
        <w:t>for s</w:t>
      </w:r>
      <w:r w:rsidRPr="00680250" w:rsidR="00D5692E">
        <w:rPr>
          <w:sz w:val="22"/>
          <w:szCs w:val="28"/>
        </w:rPr>
        <w:t xml:space="preserve">imple </w:t>
      </w:r>
      <w:r w:rsidRPr="00680250" w:rsidR="00C6768D">
        <w:rPr>
          <w:sz w:val="22"/>
          <w:szCs w:val="28"/>
        </w:rPr>
        <w:t>facilities that will need a trained facilitator to assist with the investigation</w:t>
      </w:r>
      <w:r w:rsidRPr="00680250" w:rsidR="00D5692E">
        <w:rPr>
          <w:sz w:val="22"/>
          <w:szCs w:val="28"/>
        </w:rPr>
        <w:t>.</w:t>
      </w:r>
    </w:p>
    <w:p w:rsidR="00622682" w:rsidRPr="00680250" w:rsidP="008F0090" w14:paraId="5C0F2247" w14:textId="77777777">
      <w:pPr>
        <w:pStyle w:val="ListParagraph"/>
        <w:widowControl/>
        <w:numPr>
          <w:ilvl w:val="0"/>
          <w:numId w:val="40"/>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i/>
          <w:iCs/>
          <w:sz w:val="22"/>
          <w:szCs w:val="22"/>
        </w:rPr>
      </w:pPr>
      <w:r>
        <w:rPr>
          <w:sz w:val="22"/>
          <w:szCs w:val="28"/>
        </w:rPr>
        <w:t>For the third-party audit provision, the analysis includes a cost for the auditor.</w:t>
      </w:r>
    </w:p>
    <w:p w:rsidR="00D34E4A" w:rsidRPr="00680250" w:rsidP="008F0090" w14:paraId="11D673BC" w14:textId="23E710C3">
      <w:pPr>
        <w:pStyle w:val="ListParagraph"/>
        <w:widowControl/>
        <w:numPr>
          <w:ilvl w:val="0"/>
          <w:numId w:val="40"/>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i/>
          <w:iCs/>
          <w:sz w:val="22"/>
          <w:szCs w:val="22"/>
        </w:rPr>
      </w:pPr>
      <w:r>
        <w:rPr>
          <w:sz w:val="22"/>
          <w:szCs w:val="28"/>
        </w:rPr>
        <w:t xml:space="preserve">For the emergency back-up power provision, the analysis includes a cost for </w:t>
      </w:r>
      <w:r w:rsidR="005F11CE">
        <w:rPr>
          <w:sz w:val="22"/>
          <w:szCs w:val="28"/>
        </w:rPr>
        <w:t>a generator</w:t>
      </w:r>
      <w:r w:rsidR="00860240">
        <w:rPr>
          <w:sz w:val="22"/>
          <w:szCs w:val="28"/>
        </w:rPr>
        <w:t>, including operating and maintenance costs.</w:t>
      </w:r>
    </w:p>
    <w:p w:rsidR="006C1155" w:rsidRPr="00354F60" w:rsidP="00680250" w14:paraId="1C875A7F" w14:textId="6BA58DDA">
      <w:pPr>
        <w:pStyle w:val="ListParagraph"/>
        <w:widowControl/>
        <w:numPr>
          <w:ilvl w:val="0"/>
          <w:numId w:val="40"/>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i/>
          <w:sz w:val="22"/>
          <w:szCs w:val="22"/>
        </w:rPr>
      </w:pPr>
      <w:r>
        <w:rPr>
          <w:sz w:val="22"/>
          <w:szCs w:val="28"/>
        </w:rPr>
        <w:t xml:space="preserve">For the information availability provision, the analysis includes a cost for </w:t>
      </w:r>
      <w:r w:rsidR="00261DBE">
        <w:rPr>
          <w:sz w:val="22"/>
          <w:szCs w:val="28"/>
        </w:rPr>
        <w:t>facility translation of RMP information requested by the public and for the public’s</w:t>
      </w:r>
      <w:r w:rsidR="00722D66">
        <w:rPr>
          <w:sz w:val="22"/>
          <w:szCs w:val="28"/>
        </w:rPr>
        <w:t xml:space="preserve"> cost</w:t>
      </w:r>
      <w:r w:rsidR="00CA6E7C">
        <w:rPr>
          <w:sz w:val="22"/>
          <w:szCs w:val="28"/>
        </w:rPr>
        <w:t xml:space="preserve"> related to ID verification.</w:t>
      </w:r>
      <w:r w:rsidRPr="00680250" w:rsidR="00836BE8">
        <w:rPr>
          <w:sz w:val="22"/>
          <w:szCs w:val="28"/>
        </w:rPr>
        <w:br/>
      </w:r>
    </w:p>
    <w:p w:rsidR="00405E04" w:rsidRPr="00D206B9" w:rsidP="00D206B9" w14:paraId="582904EE" w14:textId="34F481BF">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b/>
          <w:bCs/>
          <w:sz w:val="22"/>
          <w:szCs w:val="22"/>
        </w:rPr>
      </w:pPr>
      <w:r w:rsidRPr="00D206B9">
        <w:rPr>
          <w:i/>
          <w:iCs/>
          <w:sz w:val="22"/>
          <w:szCs w:val="22"/>
        </w:rPr>
        <w:t>Bottom Line Burden Hours and Costs</w:t>
      </w:r>
      <w:r w:rsidR="00B973D6">
        <w:rPr>
          <w:b/>
          <w:bCs/>
          <w:sz w:val="22"/>
          <w:szCs w:val="22"/>
        </w:rPr>
        <w:t xml:space="preserve"> - </w:t>
      </w:r>
      <w:r>
        <w:rPr>
          <w:sz w:val="22"/>
          <w:szCs w:val="22"/>
        </w:rPr>
        <w:t xml:space="preserve">Exhibit </w:t>
      </w:r>
      <w:r w:rsidR="00AB1623">
        <w:rPr>
          <w:sz w:val="22"/>
          <w:szCs w:val="22"/>
        </w:rPr>
        <w:t xml:space="preserve">4 </w:t>
      </w:r>
      <w:r>
        <w:rPr>
          <w:sz w:val="22"/>
          <w:szCs w:val="22"/>
        </w:rPr>
        <w:t>presents the a</w:t>
      </w:r>
      <w:r w:rsidRPr="00ED057F">
        <w:rPr>
          <w:sz w:val="22"/>
          <w:szCs w:val="22"/>
        </w:rPr>
        <w:t xml:space="preserve">nnual </w:t>
      </w:r>
      <w:r>
        <w:rPr>
          <w:sz w:val="22"/>
          <w:szCs w:val="22"/>
        </w:rPr>
        <w:t>average and three-year total for r</w:t>
      </w:r>
      <w:r w:rsidRPr="00ED057F">
        <w:rPr>
          <w:sz w:val="22"/>
          <w:szCs w:val="22"/>
        </w:rPr>
        <w:t xml:space="preserve">espondent </w:t>
      </w:r>
      <w:r>
        <w:rPr>
          <w:sz w:val="22"/>
          <w:szCs w:val="22"/>
        </w:rPr>
        <w:t>b</w:t>
      </w:r>
      <w:r w:rsidRPr="00ED057F">
        <w:rPr>
          <w:sz w:val="22"/>
          <w:szCs w:val="22"/>
        </w:rPr>
        <w:t xml:space="preserve">urden and </w:t>
      </w:r>
      <w:r>
        <w:rPr>
          <w:sz w:val="22"/>
          <w:szCs w:val="22"/>
        </w:rPr>
        <w:t>c</w:t>
      </w:r>
      <w:r w:rsidRPr="00ED057F">
        <w:rPr>
          <w:sz w:val="22"/>
          <w:szCs w:val="22"/>
        </w:rPr>
        <w:t>ost</w:t>
      </w:r>
      <w:r>
        <w:rPr>
          <w:sz w:val="22"/>
          <w:szCs w:val="22"/>
        </w:rPr>
        <w:t>.</w:t>
      </w:r>
      <w:r w:rsidRPr="00E47E55" w:rsidR="00E47E55">
        <w:t xml:space="preserve"> </w:t>
      </w:r>
      <w:r w:rsidRPr="00E47E55" w:rsidR="00E47E55">
        <w:rPr>
          <w:sz w:val="22"/>
          <w:szCs w:val="22"/>
        </w:rPr>
        <w:t xml:space="preserve">Exhibit </w:t>
      </w:r>
      <w:r w:rsidR="00AB1623">
        <w:rPr>
          <w:sz w:val="22"/>
          <w:szCs w:val="22"/>
        </w:rPr>
        <w:t>4</w:t>
      </w:r>
      <w:r w:rsidR="00E47E55">
        <w:rPr>
          <w:sz w:val="22"/>
          <w:szCs w:val="22"/>
        </w:rPr>
        <w:t xml:space="preserve"> also</w:t>
      </w:r>
      <w:r w:rsidRPr="00E47E55" w:rsidR="00E47E55">
        <w:rPr>
          <w:sz w:val="22"/>
          <w:szCs w:val="22"/>
        </w:rPr>
        <w:t xml:space="preserve"> summarizes the total cost associated with all the requirements </w:t>
      </w:r>
      <w:r w:rsidRPr="00E47E55" w:rsidR="00E47E55">
        <w:rPr>
          <w:sz w:val="22"/>
          <w:szCs w:val="22"/>
        </w:rPr>
        <w:t xml:space="preserve">covered in this ICR. EPA estimates the first year’s cost of this ICR to be </w:t>
      </w:r>
      <w:r w:rsidR="005D4D47">
        <w:rPr>
          <w:sz w:val="22"/>
          <w:szCs w:val="22"/>
        </w:rPr>
        <w:t>$160.9</w:t>
      </w:r>
      <w:r w:rsidRPr="00E47E55" w:rsidR="00E47E55">
        <w:rPr>
          <w:sz w:val="22"/>
          <w:szCs w:val="22"/>
        </w:rPr>
        <w:t xml:space="preserve"> million and the following years, including years 2 and 3 of this ICR period, to be </w:t>
      </w:r>
      <w:r w:rsidR="0039576A">
        <w:rPr>
          <w:sz w:val="22"/>
          <w:szCs w:val="22"/>
        </w:rPr>
        <w:t>$109</w:t>
      </w:r>
      <w:r w:rsidR="009B3631">
        <w:rPr>
          <w:sz w:val="22"/>
          <w:szCs w:val="22"/>
        </w:rPr>
        <w:t>.</w:t>
      </w:r>
      <w:r w:rsidR="003C3CCA">
        <w:rPr>
          <w:sz w:val="22"/>
          <w:szCs w:val="22"/>
        </w:rPr>
        <w:t>7</w:t>
      </w:r>
      <w:r w:rsidRPr="00E47E55" w:rsidR="00E47E55">
        <w:rPr>
          <w:sz w:val="22"/>
          <w:szCs w:val="22"/>
        </w:rPr>
        <w:t xml:space="preserve"> million each.</w:t>
      </w:r>
    </w:p>
    <w:p w:rsidR="00AD78C7" w:rsidP="00405E04" w14:paraId="7224EA1A" w14:textId="77777777">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highlight w:val="yellow"/>
        </w:rPr>
        <w:sectPr w:rsidSect="00165B2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195" w:footer="1195" w:gutter="0"/>
          <w:cols w:space="720"/>
          <w:noEndnote/>
          <w:docGrid w:linePitch="326"/>
        </w:sectPr>
      </w:pPr>
    </w:p>
    <w:p w:rsidR="008C0D3B" w:rsidP="00405E04" w14:paraId="711D349B" w14:textId="77777777">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highlight w:val="yellow"/>
        </w:rPr>
      </w:pPr>
    </w:p>
    <w:p w:rsidR="00C1691B" w:rsidP="001C6607" w14:paraId="4E17B9C8"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680250">
        <w:rPr>
          <w:b/>
          <w:bCs/>
          <w:sz w:val="22"/>
          <w:szCs w:val="22"/>
        </w:rPr>
        <w:t>E</w:t>
      </w:r>
      <w:r w:rsidRPr="00680250" w:rsidR="006D002B">
        <w:rPr>
          <w:b/>
          <w:bCs/>
          <w:sz w:val="22"/>
          <w:szCs w:val="22"/>
        </w:rPr>
        <w:t>xhibit</w:t>
      </w:r>
      <w:r w:rsidRPr="00680250">
        <w:rPr>
          <w:b/>
          <w:bCs/>
          <w:sz w:val="22"/>
          <w:szCs w:val="22"/>
        </w:rPr>
        <w:t xml:space="preserve"> </w:t>
      </w:r>
      <w:r w:rsidRPr="00680250" w:rsidR="00692708">
        <w:rPr>
          <w:b/>
          <w:bCs/>
          <w:sz w:val="22"/>
          <w:szCs w:val="22"/>
        </w:rPr>
        <w:t>4:</w:t>
      </w:r>
      <w:r w:rsidRPr="00680250" w:rsidR="006D002B">
        <w:rPr>
          <w:b/>
          <w:bCs/>
          <w:sz w:val="22"/>
          <w:szCs w:val="22"/>
        </w:rPr>
        <w:t xml:space="preserve"> </w:t>
      </w:r>
      <w:r w:rsidRPr="00680250">
        <w:rPr>
          <w:b/>
          <w:bCs/>
          <w:sz w:val="22"/>
          <w:szCs w:val="22"/>
        </w:rPr>
        <w:t>Total Burden and Cost for Respondent Burden,</w:t>
      </w:r>
    </w:p>
    <w:p w:rsidR="001C6607" w:rsidRPr="00680250" w:rsidP="001C6607" w14:paraId="4EE370A2" w14:textId="4749488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sz w:val="22"/>
          <w:szCs w:val="22"/>
        </w:rPr>
      </w:pPr>
      <w:r w:rsidRPr="00680250">
        <w:rPr>
          <w:b/>
          <w:bCs/>
          <w:sz w:val="22"/>
          <w:szCs w:val="22"/>
        </w:rPr>
        <w:t>3-Year Total and Average Annual</w:t>
      </w:r>
      <w:r w:rsidR="00C1691B">
        <w:rPr>
          <w:b/>
          <w:bCs/>
          <w:sz w:val="22"/>
          <w:szCs w:val="22"/>
        </w:rPr>
        <w:t xml:space="preserve"> </w:t>
      </w:r>
      <w:r w:rsidRPr="00C1691B" w:rsidR="00C1691B">
        <w:rPr>
          <w:b/>
          <w:bCs/>
          <w:sz w:val="22"/>
          <w:szCs w:val="22"/>
        </w:rPr>
        <w:t>(2022 Dollars)</w:t>
      </w:r>
    </w:p>
    <w:tbl>
      <w:tblPr>
        <w:tblW w:w="5248" w:type="pct"/>
        <w:jc w:val="center"/>
        <w:tblLayout w:type="fixed"/>
        <w:tblCellMar>
          <w:left w:w="0" w:type="dxa"/>
          <w:right w:w="0" w:type="dxa"/>
        </w:tblCellMar>
        <w:tblLook w:val="04A0"/>
      </w:tblPr>
      <w:tblGrid>
        <w:gridCol w:w="1599"/>
        <w:gridCol w:w="1099"/>
        <w:gridCol w:w="1099"/>
        <w:gridCol w:w="1355"/>
        <w:gridCol w:w="1355"/>
        <w:gridCol w:w="867"/>
        <w:gridCol w:w="867"/>
        <w:gridCol w:w="1270"/>
        <w:gridCol w:w="1270"/>
        <w:gridCol w:w="1356"/>
        <w:gridCol w:w="1445"/>
      </w:tblGrid>
      <w:tr w14:paraId="006B5EBB" w14:textId="77777777" w:rsidTr="00603356">
        <w:tblPrEx>
          <w:tblW w:w="5248" w:type="pct"/>
          <w:jc w:val="center"/>
          <w:tblLayout w:type="fixed"/>
          <w:tblCellMar>
            <w:left w:w="0" w:type="dxa"/>
            <w:right w:w="0" w:type="dxa"/>
          </w:tblCellMar>
          <w:tblLook w:val="04A0"/>
        </w:tblPrEx>
        <w:trPr>
          <w:trHeight w:val="688"/>
          <w:tblHeader/>
          <w:jc w:val="center"/>
        </w:trPr>
        <w:tc>
          <w:tcPr>
            <w:tcW w:w="159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1C6607" w:rsidRPr="00CE3827" w:rsidP="00680250" w14:paraId="0664D6B0" w14:textId="0F53619D">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Cs w:val="20"/>
              </w:rPr>
            </w:pPr>
            <w:r>
              <w:rPr>
                <w:b/>
                <w:bCs/>
                <w:szCs w:val="20"/>
              </w:rPr>
              <w:t>Rule Provision</w:t>
            </w:r>
          </w:p>
        </w:tc>
        <w:tc>
          <w:tcPr>
            <w:tcW w:w="2198"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C6607" w:rsidRPr="00CE3827" w14:paraId="658CDDA0"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CE3827">
              <w:rPr>
                <w:b/>
                <w:bCs/>
                <w:szCs w:val="20"/>
              </w:rPr>
              <w:t>Total Labor Burden (hours)</w:t>
            </w:r>
          </w:p>
        </w:tc>
        <w:tc>
          <w:tcPr>
            <w:tcW w:w="2710"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C6607" w:rsidRPr="00CE3827" w14:paraId="681F2C19"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CE3827">
              <w:rPr>
                <w:b/>
                <w:bCs/>
                <w:szCs w:val="20"/>
              </w:rPr>
              <w:t>Labor Cost</w:t>
            </w:r>
          </w:p>
        </w:tc>
        <w:tc>
          <w:tcPr>
            <w:tcW w:w="1734" w:type="dxa"/>
            <w:gridSpan w:val="2"/>
            <w:tcBorders>
              <w:top w:val="single" w:sz="8" w:space="0" w:color="auto"/>
              <w:left w:val="nil"/>
              <w:bottom w:val="single" w:sz="8" w:space="0" w:color="auto"/>
              <w:right w:val="single" w:sz="8" w:space="0" w:color="auto"/>
            </w:tcBorders>
            <w:shd w:val="clear" w:color="auto" w:fill="D9D9D9"/>
            <w:vAlign w:val="center"/>
          </w:tcPr>
          <w:p w:rsidR="001865AE" w:rsidP="001865AE" w14:paraId="2EEE7A93" w14:textId="119DF841">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Pr>
                <w:b/>
                <w:bCs/>
                <w:szCs w:val="20"/>
              </w:rPr>
              <w:t>Capital Costs</w:t>
            </w:r>
          </w:p>
        </w:tc>
        <w:tc>
          <w:tcPr>
            <w:tcW w:w="2540"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108" w:type="dxa"/>
              <w:bottom w:w="0" w:type="dxa"/>
              <w:right w:w="108" w:type="dxa"/>
            </w:tcMar>
            <w:vAlign w:val="center"/>
            <w:hideMark/>
          </w:tcPr>
          <w:p w:rsidR="001C6607" w:rsidRPr="00CE3827" w14:paraId="0EEBA748" w14:textId="6A5DE386">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CE3827">
              <w:rPr>
                <w:b/>
                <w:bCs/>
                <w:szCs w:val="20"/>
              </w:rPr>
              <w:t>O&amp;M Costs</w:t>
            </w:r>
          </w:p>
        </w:tc>
        <w:tc>
          <w:tcPr>
            <w:tcW w:w="2801" w:type="dxa"/>
            <w:gridSpan w:val="2"/>
            <w:tcBorders>
              <w:top w:val="single" w:sz="8" w:space="0" w:color="auto"/>
              <w:left w:val="nil"/>
              <w:bottom w:val="single" w:sz="8" w:space="0" w:color="auto"/>
              <w:right w:val="single" w:sz="8" w:space="0" w:color="000000"/>
            </w:tcBorders>
            <w:shd w:val="clear" w:color="auto" w:fill="D9D9D9"/>
            <w:tcMar>
              <w:top w:w="0" w:type="dxa"/>
              <w:left w:w="108" w:type="dxa"/>
              <w:bottom w:w="0" w:type="dxa"/>
              <w:right w:w="108" w:type="dxa"/>
            </w:tcMar>
            <w:vAlign w:val="center"/>
            <w:hideMark/>
          </w:tcPr>
          <w:p w:rsidR="001C6607" w:rsidRPr="00CE3827" w14:paraId="017D33BA"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CE3827">
              <w:rPr>
                <w:b/>
                <w:bCs/>
                <w:szCs w:val="20"/>
              </w:rPr>
              <w:t>Total Cost</w:t>
            </w:r>
          </w:p>
        </w:tc>
      </w:tr>
      <w:tr w14:paraId="6A6C3D1F" w14:textId="77777777" w:rsidTr="00603356">
        <w:tblPrEx>
          <w:tblW w:w="5248" w:type="pct"/>
          <w:jc w:val="center"/>
          <w:tblLayout w:type="fixed"/>
          <w:tblCellMar>
            <w:left w:w="0" w:type="dxa"/>
            <w:right w:w="0" w:type="dxa"/>
          </w:tblCellMar>
          <w:tblLook w:val="04A0"/>
        </w:tblPrEx>
        <w:trPr>
          <w:trHeight w:val="688"/>
          <w:tblHeader/>
          <w:jc w:val="center"/>
        </w:trPr>
        <w:tc>
          <w:tcPr>
            <w:tcW w:w="1599" w:type="dxa"/>
            <w:tcBorders>
              <w:top w:val="single" w:sz="8" w:space="0" w:color="auto"/>
              <w:left w:val="single" w:sz="8" w:space="0" w:color="auto"/>
              <w:bottom w:val="single" w:sz="8" w:space="0" w:color="auto"/>
              <w:right w:val="single" w:sz="8" w:space="0" w:color="auto"/>
            </w:tcBorders>
            <w:vAlign w:val="center"/>
            <w:hideMark/>
          </w:tcPr>
          <w:p w:rsidR="001865AE" w:rsidRPr="00CE3827" w:rsidP="001865AE" w14:paraId="23AC45E4"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p>
        </w:tc>
        <w:tc>
          <w:tcPr>
            <w:tcW w:w="109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1865AE" w:rsidRPr="00CE3827" w:rsidP="001865AE" w14:paraId="2302003D"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CE3827">
              <w:rPr>
                <w:b/>
                <w:bCs/>
                <w:szCs w:val="20"/>
              </w:rPr>
              <w:t>3-Year Total</w:t>
            </w:r>
          </w:p>
        </w:tc>
        <w:tc>
          <w:tcPr>
            <w:tcW w:w="109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1865AE" w:rsidRPr="00CE3827" w:rsidP="001865AE" w14:paraId="1ECFF7C8"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CE3827">
              <w:rPr>
                <w:b/>
                <w:bCs/>
                <w:szCs w:val="20"/>
              </w:rPr>
              <w:t>3-Year Average</w:t>
            </w:r>
          </w:p>
        </w:tc>
        <w:tc>
          <w:tcPr>
            <w:tcW w:w="135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1865AE" w:rsidRPr="00CE3827" w:rsidP="001865AE" w14:paraId="2B618268"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CE3827">
              <w:rPr>
                <w:b/>
                <w:bCs/>
                <w:szCs w:val="20"/>
              </w:rPr>
              <w:t>3-Year Total</w:t>
            </w:r>
          </w:p>
        </w:tc>
        <w:tc>
          <w:tcPr>
            <w:tcW w:w="135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1865AE" w:rsidRPr="00CE3827" w:rsidP="001865AE" w14:paraId="56D4A5F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CE3827">
              <w:rPr>
                <w:b/>
                <w:bCs/>
                <w:szCs w:val="20"/>
              </w:rPr>
              <w:t>3-Year Average</w:t>
            </w:r>
          </w:p>
        </w:tc>
        <w:tc>
          <w:tcPr>
            <w:tcW w:w="867" w:type="dxa"/>
            <w:tcBorders>
              <w:top w:val="nil"/>
              <w:left w:val="nil"/>
              <w:bottom w:val="single" w:sz="8" w:space="0" w:color="auto"/>
              <w:right w:val="single" w:sz="8" w:space="0" w:color="auto"/>
            </w:tcBorders>
            <w:shd w:val="clear" w:color="auto" w:fill="F2F2F2"/>
            <w:vAlign w:val="center"/>
          </w:tcPr>
          <w:p w:rsidR="001865AE" w:rsidRPr="00CE3827" w:rsidP="001865AE" w14:paraId="218FB987" w14:textId="16BEF04B">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CE3827">
              <w:rPr>
                <w:b/>
                <w:bCs/>
                <w:szCs w:val="20"/>
              </w:rPr>
              <w:t>3-Year Total</w:t>
            </w:r>
          </w:p>
        </w:tc>
        <w:tc>
          <w:tcPr>
            <w:tcW w:w="867" w:type="dxa"/>
            <w:tcBorders>
              <w:top w:val="nil"/>
              <w:left w:val="single" w:sz="8" w:space="0" w:color="auto"/>
              <w:bottom w:val="single" w:sz="8" w:space="0" w:color="auto"/>
              <w:right w:val="single" w:sz="8" w:space="0" w:color="auto"/>
            </w:tcBorders>
            <w:shd w:val="clear" w:color="auto" w:fill="F2F2F2"/>
            <w:vAlign w:val="center"/>
          </w:tcPr>
          <w:p w:rsidR="001865AE" w:rsidRPr="00CE3827" w:rsidP="001865AE" w14:paraId="0D7A19F9" w14:textId="36153015">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CE3827">
              <w:rPr>
                <w:b/>
                <w:bCs/>
                <w:szCs w:val="20"/>
              </w:rPr>
              <w:t>3-Year Average</w:t>
            </w:r>
          </w:p>
        </w:tc>
        <w:tc>
          <w:tcPr>
            <w:tcW w:w="1270"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1865AE" w:rsidRPr="00CE3827" w:rsidP="001865AE" w14:paraId="36EF30C5" w14:textId="0788282E">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CE3827">
              <w:rPr>
                <w:b/>
                <w:bCs/>
                <w:szCs w:val="20"/>
              </w:rPr>
              <w:t>3-Year Total</w:t>
            </w:r>
          </w:p>
        </w:tc>
        <w:tc>
          <w:tcPr>
            <w:tcW w:w="127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1865AE" w:rsidRPr="00CE3827" w:rsidP="001865AE" w14:paraId="112ED91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CE3827">
              <w:rPr>
                <w:b/>
                <w:bCs/>
                <w:szCs w:val="20"/>
              </w:rPr>
              <w:t>3-Year Average</w:t>
            </w:r>
          </w:p>
        </w:tc>
        <w:tc>
          <w:tcPr>
            <w:tcW w:w="135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1865AE" w:rsidRPr="00CE3827" w:rsidP="001865AE" w14:paraId="4D4A69C5"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CE3827">
              <w:rPr>
                <w:b/>
                <w:bCs/>
                <w:szCs w:val="20"/>
              </w:rPr>
              <w:t>3-Year Total</w:t>
            </w:r>
          </w:p>
        </w:tc>
        <w:tc>
          <w:tcPr>
            <w:tcW w:w="144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1865AE" w:rsidRPr="00CE3827" w:rsidP="001865AE" w14:paraId="3AC8896D"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CE3827">
              <w:rPr>
                <w:b/>
                <w:bCs/>
                <w:szCs w:val="20"/>
              </w:rPr>
              <w:t>3-Year Average</w:t>
            </w:r>
          </w:p>
        </w:tc>
      </w:tr>
      <w:tr w14:paraId="6AECA86B" w14:textId="77777777" w:rsidTr="00603356">
        <w:tblPrEx>
          <w:tblW w:w="5248" w:type="pct"/>
          <w:jc w:val="center"/>
          <w:tblLayout w:type="fixed"/>
          <w:tblCellMar>
            <w:left w:w="0" w:type="dxa"/>
            <w:right w:w="0" w:type="dxa"/>
          </w:tblCellMar>
          <w:tblLook w:val="04A0"/>
        </w:tblPrEx>
        <w:trPr>
          <w:trHeight w:val="290"/>
          <w:jc w:val="center"/>
        </w:trPr>
        <w:tc>
          <w:tcPr>
            <w:tcW w:w="159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5101" w:rsidRPr="00CE3827" w:rsidP="00465101" w14:paraId="350B0135" w14:textId="0CD4854D">
            <w:pPr>
              <w:tabs>
                <w:tab w:val="left" w:pos="720"/>
                <w:tab w:val="left" w:pos="1440"/>
                <w:tab w:val="left" w:pos="2160"/>
                <w:tab w:val="left" w:pos="2880"/>
                <w:tab w:val="left" w:pos="3600"/>
                <w:tab w:val="left" w:pos="4320"/>
                <w:tab w:val="left" w:pos="5040"/>
                <w:tab w:val="left" w:pos="5850"/>
                <w:tab w:val="left" w:pos="6480"/>
                <w:tab w:val="left" w:pos="7200"/>
                <w:tab w:val="left" w:pos="7922"/>
              </w:tabs>
              <w:rPr>
                <w:szCs w:val="20"/>
              </w:rPr>
            </w:pPr>
            <w:r w:rsidRPr="00CE3827">
              <w:rPr>
                <w:szCs w:val="20"/>
              </w:rPr>
              <w:t xml:space="preserve">Rule Familiarization </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CE3827" w:rsidP="00465101" w14:paraId="023A0F39" w14:textId="0AA8AE11">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472426">
              <w:rPr>
                <w:szCs w:val="20"/>
              </w:rPr>
              <w:t>509,379</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CE3827" w:rsidP="00465101" w14:paraId="08669D55" w14:textId="1657C709">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472426">
              <w:rPr>
                <w:szCs w:val="20"/>
              </w:rPr>
              <w:t>169,793</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CE3827" w:rsidP="00465101" w14:paraId="63AE6C05" w14:textId="003CE0AF">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071E7A">
              <w:rPr>
                <w:szCs w:val="20"/>
              </w:rPr>
              <w:t>$50,939,073</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CE3827" w:rsidP="00465101" w14:paraId="3572D7BF" w14:textId="0E1012B2">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Pr>
                <w:szCs w:val="20"/>
              </w:rPr>
              <w:t>$</w:t>
            </w:r>
            <w:r w:rsidRPr="005E3D3B">
              <w:rPr>
                <w:szCs w:val="20"/>
              </w:rPr>
              <w:t>16</w:t>
            </w:r>
            <w:r>
              <w:rPr>
                <w:szCs w:val="20"/>
              </w:rPr>
              <w:t>,</w:t>
            </w:r>
            <w:r w:rsidRPr="005E3D3B">
              <w:rPr>
                <w:szCs w:val="20"/>
              </w:rPr>
              <w:t>979</w:t>
            </w:r>
            <w:r>
              <w:rPr>
                <w:szCs w:val="20"/>
              </w:rPr>
              <w:t>,</w:t>
            </w:r>
            <w:r w:rsidRPr="005E3D3B">
              <w:rPr>
                <w:szCs w:val="20"/>
              </w:rPr>
              <w:t>691</w:t>
            </w:r>
          </w:p>
        </w:tc>
        <w:tc>
          <w:tcPr>
            <w:tcW w:w="867" w:type="dxa"/>
            <w:tcBorders>
              <w:top w:val="nil"/>
              <w:left w:val="nil"/>
              <w:bottom w:val="single" w:sz="8" w:space="0" w:color="auto"/>
              <w:right w:val="single" w:sz="8" w:space="0" w:color="auto"/>
            </w:tcBorders>
            <w:vAlign w:val="center"/>
          </w:tcPr>
          <w:p w:rsidR="00465101" w:rsidRPr="00772BF6" w:rsidP="009978AE" w14:paraId="1AF78925" w14:textId="5652BCAF">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867" w:type="dxa"/>
            <w:tcBorders>
              <w:top w:val="nil"/>
              <w:left w:val="single" w:sz="8" w:space="0" w:color="auto"/>
              <w:bottom w:val="single" w:sz="8" w:space="0" w:color="auto"/>
              <w:right w:val="single" w:sz="8" w:space="0" w:color="auto"/>
            </w:tcBorders>
            <w:vAlign w:val="center"/>
          </w:tcPr>
          <w:p w:rsidR="00465101" w:rsidRPr="00772BF6" w:rsidP="009978AE" w14:paraId="3BD61242" w14:textId="50DD7B7E">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1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65101" w:rsidRPr="00772BF6" w:rsidP="00465101" w14:paraId="11CB8013" w14:textId="38875BB5">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772BF6" w:rsidP="00465101" w14:paraId="46FD0988" w14:textId="6D68DA51">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772BF6" w:rsidP="00465101" w14:paraId="74637BD2" w14:textId="1135AC47">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$50,939,073</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772BF6" w:rsidP="00465101" w14:paraId="27922A31" w14:textId="2322478B">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w:t>
            </w:r>
            <w:r w:rsidRPr="00772BF6" w:rsidR="00CC4063">
              <w:t>16</w:t>
            </w:r>
            <w:r w:rsidRPr="00772BF6">
              <w:t>,</w:t>
            </w:r>
            <w:r w:rsidRPr="00772BF6" w:rsidR="00CC4063">
              <w:t>979</w:t>
            </w:r>
            <w:r w:rsidRPr="00772BF6">
              <w:t>,</w:t>
            </w:r>
            <w:r w:rsidRPr="00772BF6" w:rsidR="00CC4063">
              <w:t>691</w:t>
            </w:r>
            <w:r w:rsidRPr="00772BF6" w:rsidR="00E274FB">
              <w:br/>
            </w:r>
          </w:p>
        </w:tc>
      </w:tr>
      <w:tr w14:paraId="0B04262F" w14:textId="77777777" w:rsidTr="00603356">
        <w:tblPrEx>
          <w:tblW w:w="5248" w:type="pct"/>
          <w:jc w:val="center"/>
          <w:tblLayout w:type="fixed"/>
          <w:tblCellMar>
            <w:left w:w="0" w:type="dxa"/>
            <w:right w:w="0" w:type="dxa"/>
          </w:tblCellMar>
          <w:tblLook w:val="04A0"/>
        </w:tblPrEx>
        <w:trPr>
          <w:trHeight w:val="290"/>
          <w:jc w:val="center"/>
        </w:trPr>
        <w:tc>
          <w:tcPr>
            <w:tcW w:w="15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65101" w:rsidRPr="00CE3827" w:rsidP="00465101" w14:paraId="3DA958BD"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Cs w:val="20"/>
              </w:rPr>
            </w:pPr>
            <w:r w:rsidRPr="004A67CA">
              <w:t>STAA</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CE3827" w:rsidP="00465101" w14:paraId="24BE2241" w14:textId="70DF90ED">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9F6417">
              <w:rPr>
                <w:szCs w:val="20"/>
              </w:rPr>
              <w:t>2,201,559</w:t>
            </w:r>
            <w:r w:rsidR="00103BD3">
              <w:rPr>
                <w:szCs w:val="20"/>
              </w:rPr>
              <w:br/>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C043E5" w:rsidP="00465101" w14:paraId="2D34D80E" w14:textId="4BC7C5D7">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C043E5">
              <w:t>733,853</w:t>
            </w:r>
            <w:r w:rsidR="00103BD3">
              <w:br/>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C043E5" w:rsidP="00465101" w14:paraId="5F514CA7" w14:textId="49FD98C1">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C043E5">
              <w:rPr>
                <w:szCs w:val="20"/>
              </w:rPr>
              <w:t>$219,208,</w:t>
            </w:r>
            <w:r w:rsidRPr="00C043E5" w:rsidR="00FD457C">
              <w:rPr>
                <w:szCs w:val="20"/>
              </w:rPr>
              <w:t>884</w:t>
            </w:r>
            <w:r w:rsidR="00103BD3">
              <w:rPr>
                <w:szCs w:val="20"/>
              </w:rPr>
              <w:br/>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C043E5" w:rsidP="00465101" w14:paraId="4CF68C04" w14:textId="20DA012D">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CF5175">
              <w:rPr>
                <w:bCs/>
              </w:rPr>
              <w:t>$73,069,628</w:t>
            </w:r>
            <w:r w:rsidR="00103BD3">
              <w:rPr>
                <w:bCs/>
              </w:rPr>
              <w:br/>
            </w:r>
          </w:p>
        </w:tc>
        <w:tc>
          <w:tcPr>
            <w:tcW w:w="867" w:type="dxa"/>
            <w:tcBorders>
              <w:top w:val="nil"/>
              <w:left w:val="nil"/>
              <w:bottom w:val="single" w:sz="8" w:space="0" w:color="auto"/>
              <w:right w:val="single" w:sz="8" w:space="0" w:color="auto"/>
            </w:tcBorders>
            <w:vAlign w:val="center"/>
          </w:tcPr>
          <w:p w:rsidR="00465101" w:rsidRPr="00772BF6" w:rsidP="009978AE" w14:paraId="6093C87B" w14:textId="2D148737">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867" w:type="dxa"/>
            <w:tcBorders>
              <w:top w:val="nil"/>
              <w:left w:val="single" w:sz="8" w:space="0" w:color="auto"/>
              <w:bottom w:val="single" w:sz="8" w:space="0" w:color="auto"/>
              <w:right w:val="single" w:sz="8" w:space="0" w:color="auto"/>
            </w:tcBorders>
            <w:vAlign w:val="center"/>
          </w:tcPr>
          <w:p w:rsidR="00465101" w:rsidRPr="00772BF6" w:rsidP="009978AE" w14:paraId="0D930165" w14:textId="5BD76A76">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1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65101" w:rsidRPr="00772BF6" w:rsidP="00465101" w14:paraId="29665E21" w14:textId="16CE90BB">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772BF6" w:rsidP="00465101" w14:paraId="5735E84F" w14:textId="6873BE03">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772BF6" w:rsidP="00465101" w14:paraId="4A1E141D" w14:textId="666BE5C0">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w:t>
            </w:r>
            <w:r w:rsidRPr="00772BF6">
              <w:rPr>
                <w:szCs w:val="20"/>
              </w:rPr>
              <w:t>219</w:t>
            </w:r>
            <w:r w:rsidRPr="00772BF6">
              <w:rPr>
                <w:szCs w:val="20"/>
              </w:rPr>
              <w:t>,208,884</w:t>
            </w:r>
            <w:r w:rsidRPr="00772BF6" w:rsidR="00E274FB">
              <w:rPr>
                <w:szCs w:val="20"/>
              </w:rPr>
              <w:br/>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772BF6" w:rsidP="00465101" w14:paraId="7EF66836" w14:textId="5459DEC0">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bCs/>
              </w:rPr>
              <w:t>$73,069,628</w:t>
            </w:r>
            <w:r w:rsidRPr="00772BF6" w:rsidR="00E274FB">
              <w:rPr>
                <w:bCs/>
              </w:rPr>
              <w:br/>
            </w:r>
          </w:p>
        </w:tc>
      </w:tr>
      <w:tr w14:paraId="33503229" w14:textId="77777777" w:rsidTr="00603356">
        <w:tblPrEx>
          <w:tblW w:w="5248" w:type="pct"/>
          <w:jc w:val="center"/>
          <w:tblLayout w:type="fixed"/>
          <w:tblCellMar>
            <w:left w:w="0" w:type="dxa"/>
            <w:right w:w="0" w:type="dxa"/>
          </w:tblCellMar>
          <w:tblLook w:val="04A0"/>
        </w:tblPrEx>
        <w:trPr>
          <w:trHeight w:val="290"/>
          <w:jc w:val="center"/>
        </w:trPr>
        <w:tc>
          <w:tcPr>
            <w:tcW w:w="15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65101" w:rsidRPr="00CE3827" w:rsidP="00465101" w14:paraId="426030FD"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Cs w:val="20"/>
              </w:rPr>
            </w:pPr>
            <w:r w:rsidRPr="004A67CA">
              <w:t>Root Cause</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CE3827" w:rsidP="00465101" w14:paraId="7F443505" w14:textId="71ACD891">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8016B8">
              <w:rPr>
                <w:szCs w:val="20"/>
              </w:rPr>
              <w:t>18</w:t>
            </w:r>
            <w:r>
              <w:rPr>
                <w:szCs w:val="20"/>
              </w:rPr>
              <w:t>,</w:t>
            </w:r>
            <w:r w:rsidRPr="008016B8">
              <w:rPr>
                <w:szCs w:val="20"/>
              </w:rPr>
              <w:t>684</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CE3827" w:rsidP="00465101" w14:paraId="76B2FC38" w14:textId="465FA6F9">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9643FF">
              <w:t>6,228</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CE3827" w:rsidP="00465101" w14:paraId="4B82F6D7" w14:textId="02FAF0F7">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Pr>
                <w:szCs w:val="20"/>
              </w:rPr>
              <w:t>$</w:t>
            </w:r>
            <w:r w:rsidRPr="00663853">
              <w:rPr>
                <w:szCs w:val="20"/>
              </w:rPr>
              <w:t>2</w:t>
            </w:r>
            <w:r>
              <w:rPr>
                <w:szCs w:val="20"/>
              </w:rPr>
              <w:t>,</w:t>
            </w:r>
            <w:r w:rsidRPr="00663853">
              <w:rPr>
                <w:szCs w:val="20"/>
              </w:rPr>
              <w:t>105</w:t>
            </w:r>
            <w:r>
              <w:rPr>
                <w:szCs w:val="20"/>
              </w:rPr>
              <w:t>,</w:t>
            </w:r>
            <w:r w:rsidRPr="00663853">
              <w:rPr>
                <w:szCs w:val="20"/>
              </w:rPr>
              <w:t>001</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CE3827" w:rsidP="00465101" w14:paraId="7A4471BD" w14:textId="1ED8D7B0">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862EB5">
              <w:t>$701,667</w:t>
            </w:r>
          </w:p>
        </w:tc>
        <w:tc>
          <w:tcPr>
            <w:tcW w:w="867" w:type="dxa"/>
            <w:tcBorders>
              <w:top w:val="nil"/>
              <w:left w:val="nil"/>
              <w:bottom w:val="single" w:sz="8" w:space="0" w:color="auto"/>
              <w:right w:val="single" w:sz="8" w:space="0" w:color="auto"/>
            </w:tcBorders>
            <w:vAlign w:val="center"/>
          </w:tcPr>
          <w:p w:rsidR="00465101" w:rsidRPr="00772BF6" w:rsidP="009978AE" w14:paraId="285685ED" w14:textId="41976E3D">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867" w:type="dxa"/>
            <w:tcBorders>
              <w:top w:val="nil"/>
              <w:left w:val="single" w:sz="8" w:space="0" w:color="auto"/>
              <w:bottom w:val="single" w:sz="8" w:space="0" w:color="auto"/>
              <w:right w:val="single" w:sz="8" w:space="0" w:color="auto"/>
            </w:tcBorders>
            <w:vAlign w:val="center"/>
          </w:tcPr>
          <w:p w:rsidR="00465101" w:rsidRPr="00772BF6" w:rsidP="009978AE" w14:paraId="528E37F0" w14:textId="721C1AF7">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1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65101" w:rsidRPr="00772BF6" w:rsidP="00465101" w14:paraId="2ECC657C" w14:textId="460BECF4">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$193,278</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772BF6" w:rsidP="00465101" w14:paraId="725E0968" w14:textId="0DEB03B4">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$64,426</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772BF6" w:rsidP="00465101" w14:paraId="1C9BBFF0" w14:textId="16C34A16">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$2,298,27</w:t>
            </w:r>
            <w:r w:rsidRPr="00772BF6" w:rsidR="002F3C6C">
              <w:rPr>
                <w:szCs w:val="20"/>
              </w:rPr>
              <w:t>7</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65101" w:rsidRPr="00772BF6" w:rsidP="00465101" w14:paraId="1E1F160F" w14:textId="3E60936F">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$766,092</w:t>
            </w:r>
          </w:p>
        </w:tc>
      </w:tr>
      <w:tr w14:paraId="070B4582" w14:textId="77777777" w:rsidTr="00603356">
        <w:tblPrEx>
          <w:tblW w:w="5248" w:type="pct"/>
          <w:jc w:val="center"/>
          <w:tblLayout w:type="fixed"/>
          <w:tblCellMar>
            <w:left w:w="0" w:type="dxa"/>
            <w:right w:w="0" w:type="dxa"/>
          </w:tblCellMar>
          <w:tblLook w:val="04A0"/>
        </w:tblPrEx>
        <w:trPr>
          <w:trHeight w:val="290"/>
          <w:jc w:val="center"/>
        </w:trPr>
        <w:tc>
          <w:tcPr>
            <w:tcW w:w="15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6095D" w:rsidRPr="00CE3827" w:rsidP="0066095D" w14:paraId="2BF11D1B"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Cs w:val="20"/>
              </w:rPr>
            </w:pPr>
            <w:r w:rsidRPr="004A67CA">
              <w:t>Third-party Audit</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CE3827" w:rsidP="0066095D" w14:paraId="5BF666A1" w14:textId="46371B94">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8016B8">
              <w:rPr>
                <w:szCs w:val="20"/>
              </w:rPr>
              <w:t>42</w:t>
            </w:r>
            <w:r>
              <w:rPr>
                <w:szCs w:val="20"/>
              </w:rPr>
              <w:t>,</w:t>
            </w:r>
            <w:r w:rsidRPr="008016B8">
              <w:rPr>
                <w:szCs w:val="20"/>
              </w:rPr>
              <w:t>624</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CE3827" w:rsidP="0066095D" w14:paraId="16CC15D1" w14:textId="5E956D35">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9643FF">
              <w:t>14,208</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CE3827" w:rsidP="0066095D" w14:paraId="2E6DB8E9" w14:textId="442C0610">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Pr>
                <w:szCs w:val="20"/>
              </w:rPr>
              <w:t>$</w:t>
            </w:r>
            <w:r w:rsidRPr="007A3C6F">
              <w:rPr>
                <w:szCs w:val="20"/>
              </w:rPr>
              <w:t>4</w:t>
            </w:r>
            <w:r>
              <w:rPr>
                <w:szCs w:val="20"/>
              </w:rPr>
              <w:t>,</w:t>
            </w:r>
            <w:r w:rsidRPr="007A3C6F">
              <w:rPr>
                <w:szCs w:val="20"/>
              </w:rPr>
              <w:t>581</w:t>
            </w:r>
            <w:r>
              <w:rPr>
                <w:szCs w:val="20"/>
              </w:rPr>
              <w:t>,</w:t>
            </w:r>
            <w:r w:rsidRPr="007A3C6F">
              <w:rPr>
                <w:szCs w:val="20"/>
              </w:rPr>
              <w:t>825</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CE3827" w:rsidP="0066095D" w14:paraId="425B8F26" w14:textId="7FD7371A">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862EB5">
              <w:t>$1,527,275</w:t>
            </w:r>
          </w:p>
        </w:tc>
        <w:tc>
          <w:tcPr>
            <w:tcW w:w="867" w:type="dxa"/>
            <w:tcBorders>
              <w:top w:val="nil"/>
              <w:left w:val="nil"/>
              <w:bottom w:val="single" w:sz="8" w:space="0" w:color="auto"/>
              <w:right w:val="single" w:sz="8" w:space="0" w:color="auto"/>
            </w:tcBorders>
            <w:vAlign w:val="center"/>
          </w:tcPr>
          <w:p w:rsidR="0066095D" w:rsidRPr="00772BF6" w14:paraId="2D1F6BCE" w14:textId="495DE909">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867" w:type="dxa"/>
            <w:tcBorders>
              <w:top w:val="nil"/>
              <w:left w:val="single" w:sz="8" w:space="0" w:color="auto"/>
              <w:bottom w:val="single" w:sz="8" w:space="0" w:color="auto"/>
              <w:right w:val="single" w:sz="8" w:space="0" w:color="auto"/>
            </w:tcBorders>
            <w:vAlign w:val="center"/>
          </w:tcPr>
          <w:p w:rsidR="0066095D" w:rsidRPr="00772BF6" w:rsidP="009978AE" w14:paraId="55213B17" w14:textId="3B43575D">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1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6095D" w:rsidRPr="00772BF6" w:rsidP="0066095D" w14:paraId="4D8F69BD" w14:textId="7CDA133E">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$17,985,717</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772BF6" w:rsidP="0066095D" w14:paraId="11D855B3" w14:textId="0BF9B6FB">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$5,995,239</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772BF6" w:rsidP="0066095D" w14:paraId="335C65EE" w14:textId="3F502BEE">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$22,567,542</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772BF6" w:rsidP="0066095D" w14:paraId="7ABF343F" w14:textId="1A04D9E0">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$7,522,514</w:t>
            </w:r>
          </w:p>
        </w:tc>
      </w:tr>
      <w:tr w14:paraId="153888A3" w14:textId="77777777" w:rsidTr="00603356">
        <w:tblPrEx>
          <w:tblW w:w="5248" w:type="pct"/>
          <w:jc w:val="center"/>
          <w:tblLayout w:type="fixed"/>
          <w:tblCellMar>
            <w:left w:w="0" w:type="dxa"/>
            <w:right w:w="0" w:type="dxa"/>
          </w:tblCellMar>
          <w:tblLook w:val="04A0"/>
        </w:tblPrEx>
        <w:trPr>
          <w:trHeight w:val="290"/>
          <w:jc w:val="center"/>
        </w:trPr>
        <w:tc>
          <w:tcPr>
            <w:tcW w:w="15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6095D" w:rsidRPr="00CE3827" w:rsidP="0066095D" w14:paraId="1DE874DD"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Cs w:val="20"/>
              </w:rPr>
            </w:pPr>
            <w:r w:rsidRPr="004A67CA">
              <w:t>Employee Participation Plan</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CE3827" w:rsidP="0066095D" w14:paraId="79D80B43" w14:textId="3BF1949E">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AF2A95">
              <w:rPr>
                <w:szCs w:val="20"/>
              </w:rPr>
              <w:t>509</w:t>
            </w:r>
            <w:r>
              <w:rPr>
                <w:szCs w:val="20"/>
              </w:rPr>
              <w:t>,</w:t>
            </w:r>
            <w:r w:rsidRPr="00AF2A95">
              <w:rPr>
                <w:szCs w:val="20"/>
              </w:rPr>
              <w:t>949</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CE3827" w:rsidP="0066095D" w14:paraId="70350664" w14:textId="258B606C">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9643FF">
              <w:t>169,983</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CE3827" w:rsidP="0066095D" w14:paraId="3D4330AD" w14:textId="09E6CCCC">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Pr>
                <w:szCs w:val="20"/>
              </w:rPr>
              <w:t>$</w:t>
            </w:r>
            <w:r w:rsidRPr="00FF712A">
              <w:rPr>
                <w:szCs w:val="20"/>
              </w:rPr>
              <w:t>34</w:t>
            </w:r>
            <w:r>
              <w:rPr>
                <w:szCs w:val="20"/>
              </w:rPr>
              <w:t>,</w:t>
            </w:r>
            <w:r w:rsidRPr="00FF712A">
              <w:rPr>
                <w:szCs w:val="20"/>
              </w:rPr>
              <w:t>419</w:t>
            </w:r>
            <w:r>
              <w:rPr>
                <w:szCs w:val="20"/>
              </w:rPr>
              <w:t>,</w:t>
            </w:r>
            <w:r w:rsidRPr="00FF712A">
              <w:rPr>
                <w:szCs w:val="20"/>
              </w:rPr>
              <w:t>474</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CE3827" w:rsidP="0066095D" w14:paraId="55AF2A8C" w14:textId="7E69DB2D">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862EB5">
              <w:t>$11,473,158</w:t>
            </w:r>
          </w:p>
        </w:tc>
        <w:tc>
          <w:tcPr>
            <w:tcW w:w="867" w:type="dxa"/>
            <w:tcBorders>
              <w:top w:val="nil"/>
              <w:left w:val="nil"/>
              <w:bottom w:val="single" w:sz="8" w:space="0" w:color="auto"/>
              <w:right w:val="single" w:sz="8" w:space="0" w:color="auto"/>
            </w:tcBorders>
            <w:vAlign w:val="center"/>
          </w:tcPr>
          <w:p w:rsidR="0066095D" w:rsidRPr="00772BF6" w:rsidP="009978AE" w14:paraId="55A67DA3" w14:textId="32C1CB72">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867" w:type="dxa"/>
            <w:tcBorders>
              <w:top w:val="nil"/>
              <w:left w:val="single" w:sz="8" w:space="0" w:color="auto"/>
              <w:bottom w:val="single" w:sz="8" w:space="0" w:color="auto"/>
              <w:right w:val="single" w:sz="8" w:space="0" w:color="auto"/>
            </w:tcBorders>
            <w:vAlign w:val="center"/>
          </w:tcPr>
          <w:p w:rsidR="0066095D" w:rsidRPr="00772BF6" w:rsidP="009978AE" w14:paraId="3C3EA66A" w14:textId="0044CE5E">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1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6095D" w:rsidRPr="00772BF6" w:rsidP="0066095D" w14:paraId="3C002490" w14:textId="3F3DADBB">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772BF6" w:rsidP="0066095D" w14:paraId="6C876AC6" w14:textId="05ED8391">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$0</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772BF6" w:rsidP="0066095D" w14:paraId="22180C31" w14:textId="7F1E27C7">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$34,419,474</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772BF6" w:rsidP="0066095D" w14:paraId="0F987AC3" w14:textId="472723F7">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$11,473,158</w:t>
            </w:r>
          </w:p>
        </w:tc>
      </w:tr>
      <w:tr w14:paraId="56239DC7" w14:textId="77777777" w:rsidTr="00603356">
        <w:tblPrEx>
          <w:tblW w:w="5248" w:type="pct"/>
          <w:jc w:val="center"/>
          <w:tblLayout w:type="fixed"/>
          <w:tblCellMar>
            <w:left w:w="0" w:type="dxa"/>
            <w:right w:w="0" w:type="dxa"/>
          </w:tblCellMar>
          <w:tblLook w:val="04A0"/>
        </w:tblPrEx>
        <w:trPr>
          <w:trHeight w:val="290"/>
          <w:jc w:val="center"/>
        </w:trPr>
        <w:tc>
          <w:tcPr>
            <w:tcW w:w="15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865AE" w:rsidRPr="00CE3827" w:rsidP="00B30393" w14:paraId="09399A32"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Cs w:val="20"/>
              </w:rPr>
            </w:pPr>
            <w:r w:rsidRPr="004A67CA">
              <w:t>Emergency Backup Power</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865AE" w:rsidRPr="00CE3827" w:rsidP="003E78E3" w14:paraId="01DD2CB6" w14:textId="3ADA00B8">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Pr>
                <w:szCs w:val="20"/>
              </w:rPr>
              <w:t>417</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865AE" w:rsidRPr="00CE3827" w:rsidP="003E78E3" w14:paraId="1D08EC9B" w14:textId="6EFEE4BA">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9643FF">
              <w:t>139</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865AE" w:rsidRPr="00CE3827" w:rsidP="003E78E3" w14:paraId="7A69A969" w14:textId="2C57CBB6">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Pr>
                <w:szCs w:val="20"/>
              </w:rPr>
              <w:t>$</w:t>
            </w:r>
            <w:r w:rsidRPr="00FF712A">
              <w:rPr>
                <w:szCs w:val="20"/>
              </w:rPr>
              <w:t>47</w:t>
            </w:r>
            <w:r>
              <w:rPr>
                <w:szCs w:val="20"/>
              </w:rPr>
              <w:t>,</w:t>
            </w:r>
            <w:r w:rsidRPr="00FF712A">
              <w:rPr>
                <w:szCs w:val="20"/>
              </w:rPr>
              <w:t>394</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865AE" w:rsidRPr="00CE3827" w:rsidP="003E78E3" w14:paraId="42950D57" w14:textId="3E0A3B91">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862EB5">
              <w:t>$15,798</w:t>
            </w:r>
          </w:p>
        </w:tc>
        <w:tc>
          <w:tcPr>
            <w:tcW w:w="867" w:type="dxa"/>
            <w:tcBorders>
              <w:top w:val="nil"/>
              <w:left w:val="nil"/>
              <w:bottom w:val="single" w:sz="8" w:space="0" w:color="auto"/>
              <w:right w:val="single" w:sz="8" w:space="0" w:color="auto"/>
            </w:tcBorders>
            <w:vAlign w:val="center"/>
          </w:tcPr>
          <w:p w:rsidR="001865AE" w:rsidRPr="00772BF6" w:rsidP="009978AE" w14:paraId="6B4EFE45" w14:textId="39620600">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w:t>
            </w:r>
            <w:r w:rsidRPr="00772BF6" w:rsidR="0066095D">
              <w:rPr>
                <w:szCs w:val="20"/>
              </w:rPr>
              <w:t>235,200</w:t>
            </w:r>
          </w:p>
        </w:tc>
        <w:tc>
          <w:tcPr>
            <w:tcW w:w="867" w:type="dxa"/>
            <w:tcBorders>
              <w:top w:val="nil"/>
              <w:left w:val="single" w:sz="8" w:space="0" w:color="auto"/>
              <w:bottom w:val="single" w:sz="8" w:space="0" w:color="auto"/>
              <w:right w:val="single" w:sz="8" w:space="0" w:color="auto"/>
            </w:tcBorders>
            <w:vAlign w:val="center"/>
          </w:tcPr>
          <w:p w:rsidR="001865AE" w:rsidRPr="00772BF6" w:rsidP="009978AE" w14:paraId="3FB2B4F1" w14:textId="5CFDFBC4">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$7</w:t>
            </w:r>
            <w:r w:rsidR="007A1C3D">
              <w:rPr>
                <w:szCs w:val="20"/>
              </w:rPr>
              <w:t>8</w:t>
            </w:r>
            <w:r w:rsidRPr="00772BF6">
              <w:rPr>
                <w:szCs w:val="20"/>
              </w:rPr>
              <w:t>,400</w:t>
            </w:r>
          </w:p>
        </w:tc>
        <w:tc>
          <w:tcPr>
            <w:tcW w:w="1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1865AE" w:rsidRPr="00772BF6" w:rsidP="003E78E3" w14:paraId="6B2DA788" w14:textId="16B07CE0">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w:t>
            </w:r>
            <w:r w:rsidRPr="00772BF6" w:rsidR="007A0A77">
              <w:rPr>
                <w:szCs w:val="20"/>
              </w:rPr>
              <w:t>141,120</w:t>
            </w:r>
            <w:r w:rsidRPr="00772BF6" w:rsidR="00490F85">
              <w:rPr>
                <w:szCs w:val="20"/>
              </w:rPr>
              <w:br/>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865AE" w:rsidRPr="00772BF6" w:rsidP="003E78E3" w14:paraId="5180FFF2" w14:textId="0BB35BB8">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w:t>
            </w:r>
            <w:r w:rsidRPr="00772BF6" w:rsidR="00511620">
              <w:t>47,040</w:t>
            </w:r>
            <w:r w:rsidRPr="00772BF6" w:rsidR="00490F85">
              <w:br/>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865AE" w:rsidRPr="00772BF6" w:rsidP="003E78E3" w14:paraId="5CE7C459" w14:textId="7AD25A1D">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w:t>
            </w:r>
            <w:r w:rsidRPr="00772BF6" w:rsidR="00137616">
              <w:rPr>
                <w:szCs w:val="20"/>
              </w:rPr>
              <w:t>4</w:t>
            </w:r>
            <w:r w:rsidRPr="00772BF6" w:rsidR="00E75BE0">
              <w:rPr>
                <w:szCs w:val="20"/>
              </w:rPr>
              <w:t>23</w:t>
            </w:r>
            <w:r w:rsidRPr="00772BF6" w:rsidR="00137616">
              <w:rPr>
                <w:szCs w:val="20"/>
              </w:rPr>
              <w:t>,714</w:t>
            </w:r>
            <w:r w:rsidRPr="00772BF6" w:rsidR="00603356">
              <w:rPr>
                <w:szCs w:val="20"/>
              </w:rPr>
              <w:br/>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865AE" w:rsidRPr="00772BF6" w:rsidP="003E78E3" w14:paraId="42647794" w14:textId="72D7F42E">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w:t>
            </w:r>
            <w:r w:rsidRPr="00772BF6" w:rsidR="00AD4C89">
              <w:t>139,238</w:t>
            </w:r>
            <w:r w:rsidRPr="00772BF6" w:rsidR="00E274FB">
              <w:br/>
            </w:r>
          </w:p>
        </w:tc>
      </w:tr>
      <w:tr w14:paraId="71CDBDD9" w14:textId="77777777" w:rsidTr="00603356">
        <w:tblPrEx>
          <w:tblW w:w="5248" w:type="pct"/>
          <w:jc w:val="center"/>
          <w:tblLayout w:type="fixed"/>
          <w:tblCellMar>
            <w:left w:w="0" w:type="dxa"/>
            <w:right w:w="0" w:type="dxa"/>
          </w:tblCellMar>
          <w:tblLook w:val="04A0"/>
        </w:tblPrEx>
        <w:trPr>
          <w:trHeight w:val="290"/>
          <w:jc w:val="center"/>
        </w:trPr>
        <w:tc>
          <w:tcPr>
            <w:tcW w:w="15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25694" w:rsidRPr="00CE3827" w:rsidP="00625694" w14:paraId="3EACD11A" w14:textId="034B06A8">
            <w:pPr>
              <w:tabs>
                <w:tab w:val="left" w:pos="720"/>
                <w:tab w:val="left" w:pos="1440"/>
                <w:tab w:val="left" w:pos="2160"/>
                <w:tab w:val="left" w:pos="2880"/>
                <w:tab w:val="left" w:pos="3600"/>
                <w:tab w:val="left" w:pos="4320"/>
                <w:tab w:val="left" w:pos="5040"/>
                <w:tab w:val="left" w:pos="5850"/>
                <w:tab w:val="left" w:pos="6480"/>
                <w:tab w:val="left" w:pos="7200"/>
                <w:tab w:val="left" w:pos="7922"/>
              </w:tabs>
              <w:rPr>
                <w:szCs w:val="20"/>
              </w:rPr>
            </w:pPr>
            <w:r w:rsidRPr="004A67CA">
              <w:t>Natural Hazards</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CE3827" w:rsidP="00625694" w14:paraId="06DEB4FB" w14:textId="30EADE7A">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AF2A95">
              <w:rPr>
                <w:szCs w:val="20"/>
              </w:rPr>
              <w:t>1</w:t>
            </w:r>
            <w:r>
              <w:rPr>
                <w:szCs w:val="20"/>
              </w:rPr>
              <w:t>,</w:t>
            </w:r>
            <w:r w:rsidRPr="00AF2A95">
              <w:rPr>
                <w:szCs w:val="20"/>
              </w:rPr>
              <w:t>107</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CE3827" w:rsidP="00625694" w14:paraId="28D1AF31" w14:textId="43999713">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9643FF">
              <w:t>369</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CE3827" w:rsidP="00625694" w14:paraId="0F3AB283" w14:textId="48FA8ECB">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Pr>
                <w:szCs w:val="20"/>
              </w:rPr>
              <w:t>$</w:t>
            </w:r>
            <w:r w:rsidRPr="0062513C">
              <w:rPr>
                <w:szCs w:val="20"/>
              </w:rPr>
              <w:t>126</w:t>
            </w:r>
            <w:r>
              <w:rPr>
                <w:szCs w:val="20"/>
              </w:rPr>
              <w:t>,</w:t>
            </w:r>
            <w:r w:rsidRPr="0062513C">
              <w:rPr>
                <w:szCs w:val="20"/>
              </w:rPr>
              <w:t>921</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CE3827" w:rsidP="00625694" w14:paraId="59DEF88C" w14:textId="299C0B02">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862EB5">
              <w:t>$42,307</w:t>
            </w:r>
          </w:p>
        </w:tc>
        <w:tc>
          <w:tcPr>
            <w:tcW w:w="867" w:type="dxa"/>
            <w:tcBorders>
              <w:top w:val="nil"/>
              <w:left w:val="nil"/>
              <w:bottom w:val="single" w:sz="8" w:space="0" w:color="auto"/>
              <w:right w:val="single" w:sz="8" w:space="0" w:color="auto"/>
            </w:tcBorders>
            <w:vAlign w:val="center"/>
          </w:tcPr>
          <w:p w:rsidR="00625694" w:rsidRPr="00772BF6" w:rsidP="009978AE" w14:paraId="15453CEE" w14:textId="5C021D7A">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867" w:type="dxa"/>
            <w:tcBorders>
              <w:top w:val="nil"/>
              <w:left w:val="single" w:sz="8" w:space="0" w:color="auto"/>
              <w:bottom w:val="single" w:sz="8" w:space="0" w:color="auto"/>
              <w:right w:val="single" w:sz="8" w:space="0" w:color="auto"/>
            </w:tcBorders>
            <w:vAlign w:val="center"/>
          </w:tcPr>
          <w:p w:rsidR="00625694" w:rsidRPr="00772BF6" w:rsidP="009978AE" w14:paraId="29EABCE3" w14:textId="5831A5D7">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$0</w:t>
            </w:r>
          </w:p>
        </w:tc>
        <w:tc>
          <w:tcPr>
            <w:tcW w:w="1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5694" w:rsidRPr="00772BF6" w:rsidP="00625694" w14:paraId="59F1EC19" w14:textId="45A6C545">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772BF6" w:rsidP="00625694" w14:paraId="30FB61BC" w14:textId="53C79C0F">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$0</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772BF6" w:rsidP="00625694" w14:paraId="36E13D4B" w14:textId="7F884D13">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$126,921</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772BF6" w:rsidP="00625694" w14:paraId="79F93179" w14:textId="4465A247">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$42,307</w:t>
            </w:r>
          </w:p>
        </w:tc>
      </w:tr>
      <w:tr w14:paraId="57A08C93" w14:textId="77777777" w:rsidTr="00603356">
        <w:tblPrEx>
          <w:tblW w:w="5248" w:type="pct"/>
          <w:jc w:val="center"/>
          <w:tblLayout w:type="fixed"/>
          <w:tblCellMar>
            <w:left w:w="0" w:type="dxa"/>
            <w:right w:w="0" w:type="dxa"/>
          </w:tblCellMar>
          <w:tblLook w:val="04A0"/>
        </w:tblPrEx>
        <w:trPr>
          <w:trHeight w:val="290"/>
          <w:jc w:val="center"/>
        </w:trPr>
        <w:tc>
          <w:tcPr>
            <w:tcW w:w="15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25694" w:rsidRPr="00CE3827" w:rsidP="00625694" w14:paraId="5D9F738B" w14:textId="65C6295F">
            <w:pPr>
              <w:tabs>
                <w:tab w:val="left" w:pos="720"/>
                <w:tab w:val="left" w:pos="1440"/>
                <w:tab w:val="left" w:pos="2160"/>
                <w:tab w:val="left" w:pos="2880"/>
                <w:tab w:val="left" w:pos="3600"/>
                <w:tab w:val="left" w:pos="4320"/>
                <w:tab w:val="left" w:pos="5040"/>
                <w:tab w:val="left" w:pos="5850"/>
                <w:tab w:val="left" w:pos="6480"/>
                <w:tab w:val="left" w:pos="7200"/>
                <w:tab w:val="left" w:pos="7922"/>
              </w:tabs>
              <w:rPr>
                <w:szCs w:val="20"/>
              </w:rPr>
            </w:pPr>
            <w:r w:rsidRPr="004A67CA">
              <w:t>Facility Siting</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CE3827" w:rsidP="00625694" w14:paraId="4920745C" w14:textId="7D0146B0">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AF2A95">
              <w:rPr>
                <w:szCs w:val="20"/>
              </w:rPr>
              <w:t>1,107</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CE3827" w:rsidP="00625694" w14:paraId="7D1CD798" w14:textId="76459621">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9643FF">
              <w:t>369</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CE3827" w:rsidP="00625694" w14:paraId="5687CAD1" w14:textId="389E22F6">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62513C">
              <w:rPr>
                <w:szCs w:val="20"/>
              </w:rPr>
              <w:t>$126,921</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CE3827" w:rsidP="00625694" w14:paraId="327CA3A5" w14:textId="625F23B1">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862EB5">
              <w:t>$42,307</w:t>
            </w:r>
          </w:p>
        </w:tc>
        <w:tc>
          <w:tcPr>
            <w:tcW w:w="867" w:type="dxa"/>
            <w:tcBorders>
              <w:top w:val="nil"/>
              <w:left w:val="nil"/>
              <w:bottom w:val="single" w:sz="8" w:space="0" w:color="auto"/>
              <w:right w:val="single" w:sz="8" w:space="0" w:color="auto"/>
            </w:tcBorders>
            <w:vAlign w:val="center"/>
          </w:tcPr>
          <w:p w:rsidR="00625694" w:rsidRPr="00772BF6" w:rsidP="009978AE" w14:paraId="20263699" w14:textId="03B3FEC1">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867" w:type="dxa"/>
            <w:tcBorders>
              <w:top w:val="nil"/>
              <w:left w:val="single" w:sz="8" w:space="0" w:color="auto"/>
              <w:bottom w:val="single" w:sz="8" w:space="0" w:color="auto"/>
              <w:right w:val="single" w:sz="8" w:space="0" w:color="auto"/>
            </w:tcBorders>
            <w:vAlign w:val="center"/>
          </w:tcPr>
          <w:p w:rsidR="00625694" w:rsidRPr="00772BF6" w:rsidP="009978AE" w14:paraId="7B24BE4F" w14:textId="2B40D6D4">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$0</w:t>
            </w:r>
          </w:p>
        </w:tc>
        <w:tc>
          <w:tcPr>
            <w:tcW w:w="1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5694" w:rsidRPr="00772BF6" w:rsidP="00625694" w14:paraId="729EC41C" w14:textId="194EB28E">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772BF6" w:rsidP="00625694" w14:paraId="4FD657D6" w14:textId="2BBAD579">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$0</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772BF6" w:rsidP="00625694" w14:paraId="6CF49BB5" w14:textId="5EF7F673">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$126,921</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772BF6" w:rsidP="00625694" w14:paraId="7F066F54" w14:textId="0A0F583C">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$42,307</w:t>
            </w:r>
          </w:p>
        </w:tc>
      </w:tr>
      <w:tr w14:paraId="27F21AF4" w14:textId="77777777" w:rsidTr="00603356">
        <w:tblPrEx>
          <w:tblW w:w="5248" w:type="pct"/>
          <w:jc w:val="center"/>
          <w:tblLayout w:type="fixed"/>
          <w:tblCellMar>
            <w:left w:w="0" w:type="dxa"/>
            <w:right w:w="0" w:type="dxa"/>
          </w:tblCellMar>
          <w:tblLook w:val="04A0"/>
        </w:tblPrEx>
        <w:trPr>
          <w:trHeight w:val="290"/>
          <w:jc w:val="center"/>
        </w:trPr>
        <w:tc>
          <w:tcPr>
            <w:tcW w:w="15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25694" w:rsidRPr="00CE3827" w:rsidP="00625694" w14:paraId="0AF79DC5" w14:textId="55B34C47">
            <w:pPr>
              <w:tabs>
                <w:tab w:val="left" w:pos="720"/>
                <w:tab w:val="left" w:pos="1440"/>
                <w:tab w:val="left" w:pos="2160"/>
                <w:tab w:val="left" w:pos="2880"/>
                <w:tab w:val="left" w:pos="3600"/>
                <w:tab w:val="left" w:pos="4320"/>
                <w:tab w:val="left" w:pos="5040"/>
                <w:tab w:val="left" w:pos="5850"/>
                <w:tab w:val="left" w:pos="6480"/>
                <w:tab w:val="left" w:pos="7200"/>
                <w:tab w:val="left" w:pos="7922"/>
              </w:tabs>
              <w:rPr>
                <w:szCs w:val="20"/>
              </w:rPr>
            </w:pPr>
            <w:r w:rsidRPr="004A67CA">
              <w:t>RAGAGEP</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CE3827" w:rsidP="00625694" w14:paraId="586C3F45" w14:textId="2124A570">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633244">
              <w:rPr>
                <w:szCs w:val="20"/>
              </w:rPr>
              <w:t>711</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CE3827" w:rsidP="00625694" w14:paraId="4BC41674" w14:textId="669D7535">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9643FF">
              <w:t>237</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CE3827" w:rsidP="00625694" w14:paraId="3C9E388E" w14:textId="2A35DC67">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Pr>
                <w:szCs w:val="20"/>
              </w:rPr>
              <w:t>$</w:t>
            </w:r>
            <w:r w:rsidRPr="0062513C">
              <w:rPr>
                <w:szCs w:val="20"/>
              </w:rPr>
              <w:t>82</w:t>
            </w:r>
            <w:r>
              <w:rPr>
                <w:szCs w:val="20"/>
              </w:rPr>
              <w:t>,</w:t>
            </w:r>
            <w:r w:rsidRPr="0062513C">
              <w:rPr>
                <w:szCs w:val="20"/>
              </w:rPr>
              <w:t>746</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CE3827" w:rsidP="00625694" w14:paraId="1CEC8651" w14:textId="76E92094">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862EB5">
              <w:t>$27,582</w:t>
            </w:r>
          </w:p>
        </w:tc>
        <w:tc>
          <w:tcPr>
            <w:tcW w:w="867" w:type="dxa"/>
            <w:tcBorders>
              <w:top w:val="nil"/>
              <w:left w:val="nil"/>
              <w:bottom w:val="single" w:sz="8" w:space="0" w:color="auto"/>
              <w:right w:val="single" w:sz="8" w:space="0" w:color="auto"/>
            </w:tcBorders>
            <w:vAlign w:val="center"/>
          </w:tcPr>
          <w:p w:rsidR="00625694" w:rsidRPr="00772BF6" w:rsidP="009978AE" w14:paraId="640D4381" w14:textId="717E5D00">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867" w:type="dxa"/>
            <w:tcBorders>
              <w:top w:val="nil"/>
              <w:left w:val="single" w:sz="8" w:space="0" w:color="auto"/>
              <w:bottom w:val="single" w:sz="8" w:space="0" w:color="auto"/>
              <w:right w:val="single" w:sz="8" w:space="0" w:color="auto"/>
            </w:tcBorders>
            <w:vAlign w:val="center"/>
          </w:tcPr>
          <w:p w:rsidR="00625694" w:rsidRPr="00772BF6" w:rsidP="009978AE" w14:paraId="39AA6E01" w14:textId="17C2CEF9">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$0</w:t>
            </w:r>
          </w:p>
        </w:tc>
        <w:tc>
          <w:tcPr>
            <w:tcW w:w="1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5694" w:rsidRPr="00772BF6" w:rsidP="00625694" w14:paraId="38E98607" w14:textId="0281691F">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772BF6" w:rsidP="00625694" w14:paraId="71C781A6" w14:textId="399C5D9F">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$0</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772BF6" w:rsidP="00625694" w14:paraId="0DC5A59C" w14:textId="5F9117B7">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$82,746</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772BF6" w:rsidP="00625694" w14:paraId="726EFF27" w14:textId="09B8B27E">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$27,582</w:t>
            </w:r>
          </w:p>
        </w:tc>
      </w:tr>
      <w:tr w14:paraId="1370BFE7" w14:textId="77777777" w:rsidTr="00603356">
        <w:tblPrEx>
          <w:tblW w:w="5248" w:type="pct"/>
          <w:jc w:val="center"/>
          <w:tblLayout w:type="fixed"/>
          <w:tblCellMar>
            <w:left w:w="0" w:type="dxa"/>
            <w:right w:w="0" w:type="dxa"/>
          </w:tblCellMar>
          <w:tblLook w:val="04A0"/>
        </w:tblPrEx>
        <w:trPr>
          <w:trHeight w:val="290"/>
          <w:jc w:val="center"/>
        </w:trPr>
        <w:tc>
          <w:tcPr>
            <w:tcW w:w="15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25694" w:rsidRPr="00CE3827" w:rsidP="00625694" w14:paraId="45258E9B"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Cs w:val="20"/>
              </w:rPr>
            </w:pPr>
            <w:r w:rsidRPr="004A67CA">
              <w:t>Community Notification System</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CE3827" w:rsidP="00625694" w14:paraId="4CDCB4DD" w14:textId="37BC9DE4">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633244">
              <w:rPr>
                <w:szCs w:val="20"/>
              </w:rPr>
              <w:t>115</w:t>
            </w:r>
            <w:r>
              <w:rPr>
                <w:szCs w:val="20"/>
              </w:rPr>
              <w:t>,</w:t>
            </w:r>
            <w:r w:rsidRPr="00633244">
              <w:rPr>
                <w:szCs w:val="20"/>
              </w:rPr>
              <w:t>848</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CE3827" w:rsidP="00625694" w14:paraId="4A1352FC" w14:textId="41A670F5">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9643FF">
              <w:t>38,616</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CE3827" w:rsidP="00625694" w14:paraId="62635913" w14:textId="6410DAA9">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Pr>
                <w:szCs w:val="20"/>
              </w:rPr>
              <w:t>$</w:t>
            </w:r>
            <w:r w:rsidRPr="007457CC">
              <w:rPr>
                <w:szCs w:val="20"/>
              </w:rPr>
              <w:t>11</w:t>
            </w:r>
            <w:r>
              <w:rPr>
                <w:szCs w:val="20"/>
              </w:rPr>
              <w:t>,</w:t>
            </w:r>
            <w:r w:rsidRPr="007457CC">
              <w:rPr>
                <w:szCs w:val="20"/>
              </w:rPr>
              <w:t>918</w:t>
            </w:r>
            <w:r>
              <w:rPr>
                <w:szCs w:val="20"/>
              </w:rPr>
              <w:t>,</w:t>
            </w:r>
            <w:r w:rsidRPr="007457CC">
              <w:rPr>
                <w:szCs w:val="20"/>
              </w:rPr>
              <w:t>073</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CE3827" w:rsidP="00625694" w14:paraId="185D0B57" w14:textId="6893C174">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862EB5">
              <w:t>$3,972,691</w:t>
            </w:r>
          </w:p>
        </w:tc>
        <w:tc>
          <w:tcPr>
            <w:tcW w:w="867" w:type="dxa"/>
            <w:tcBorders>
              <w:top w:val="nil"/>
              <w:left w:val="nil"/>
              <w:bottom w:val="single" w:sz="8" w:space="0" w:color="auto"/>
              <w:right w:val="single" w:sz="8" w:space="0" w:color="auto"/>
            </w:tcBorders>
            <w:vAlign w:val="center"/>
          </w:tcPr>
          <w:p w:rsidR="00625694" w:rsidRPr="00772BF6" w:rsidP="009978AE" w14:paraId="62A678AB" w14:textId="278AF79B">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867" w:type="dxa"/>
            <w:tcBorders>
              <w:top w:val="nil"/>
              <w:left w:val="single" w:sz="8" w:space="0" w:color="auto"/>
              <w:bottom w:val="single" w:sz="8" w:space="0" w:color="auto"/>
              <w:right w:val="single" w:sz="8" w:space="0" w:color="auto"/>
            </w:tcBorders>
            <w:vAlign w:val="center"/>
          </w:tcPr>
          <w:p w:rsidR="00625694" w:rsidRPr="00772BF6" w:rsidP="009978AE" w14:paraId="69BC51F1" w14:textId="1949C449">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$0</w:t>
            </w:r>
          </w:p>
        </w:tc>
        <w:tc>
          <w:tcPr>
            <w:tcW w:w="1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5694" w:rsidRPr="00772BF6" w:rsidP="00625694" w14:paraId="4488CF7D" w14:textId="765D0601">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772BF6" w:rsidP="00625694" w14:paraId="4F8CC1CE" w14:textId="3EC06E5C">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$0</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772BF6" w:rsidP="00625694" w14:paraId="65F3DC0B" w14:textId="29AD74A9">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$11,918,073</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5694" w:rsidRPr="00772BF6" w:rsidP="00625694" w14:paraId="574D7487" w14:textId="0DA44433">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$3,972,691</w:t>
            </w:r>
          </w:p>
        </w:tc>
      </w:tr>
      <w:tr w14:paraId="01B7D129" w14:textId="77777777" w:rsidTr="00603356">
        <w:tblPrEx>
          <w:tblW w:w="5248" w:type="pct"/>
          <w:jc w:val="center"/>
          <w:tblLayout w:type="fixed"/>
          <w:tblCellMar>
            <w:left w:w="0" w:type="dxa"/>
            <w:right w:w="0" w:type="dxa"/>
          </w:tblCellMar>
          <w:tblLook w:val="04A0"/>
        </w:tblPrEx>
        <w:trPr>
          <w:trHeight w:val="290"/>
          <w:jc w:val="center"/>
        </w:trPr>
        <w:tc>
          <w:tcPr>
            <w:tcW w:w="15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6095D" w:rsidRPr="00CE3827" w:rsidP="0066095D" w14:paraId="24CD3137"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Cs w:val="20"/>
              </w:rPr>
            </w:pPr>
            <w:r w:rsidRPr="004A67CA">
              <w:t>Information Availability</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CE3827" w:rsidP="0066095D" w14:paraId="6EE5DE4C" w14:textId="798F1D14">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D83E05">
              <w:rPr>
                <w:szCs w:val="20"/>
              </w:rPr>
              <w:t>171</w:t>
            </w:r>
            <w:r>
              <w:rPr>
                <w:szCs w:val="20"/>
              </w:rPr>
              <w:t>,</w:t>
            </w:r>
            <w:r w:rsidRPr="00D83E05">
              <w:rPr>
                <w:szCs w:val="20"/>
              </w:rPr>
              <w:t>588</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CE3827" w:rsidP="0066095D" w14:paraId="038E0937" w14:textId="331DA73B">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08297A">
              <w:rPr>
                <w:szCs w:val="20"/>
              </w:rPr>
              <w:t>57,196</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CE3827" w:rsidP="0066095D" w14:paraId="7B044357" w14:textId="7F2A0A16">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Pr>
                <w:szCs w:val="20"/>
              </w:rPr>
              <w:t>$</w:t>
            </w:r>
            <w:r w:rsidRPr="007457CC">
              <w:rPr>
                <w:szCs w:val="20"/>
              </w:rPr>
              <w:t>19</w:t>
            </w:r>
            <w:r>
              <w:rPr>
                <w:szCs w:val="20"/>
              </w:rPr>
              <w:t>,</w:t>
            </w:r>
            <w:r w:rsidRPr="007457CC">
              <w:rPr>
                <w:szCs w:val="20"/>
              </w:rPr>
              <w:t>356</w:t>
            </w:r>
            <w:r>
              <w:rPr>
                <w:szCs w:val="20"/>
              </w:rPr>
              <w:t>,</w:t>
            </w:r>
            <w:r w:rsidRPr="007457CC">
              <w:rPr>
                <w:szCs w:val="20"/>
              </w:rPr>
              <w:t>771</w:t>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CE3827" w:rsidP="0066095D" w14:paraId="6D9861EE" w14:textId="07716A5E">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862EB5">
              <w:t>$6,452,257</w:t>
            </w:r>
          </w:p>
        </w:tc>
        <w:tc>
          <w:tcPr>
            <w:tcW w:w="867" w:type="dxa"/>
            <w:tcBorders>
              <w:top w:val="nil"/>
              <w:left w:val="nil"/>
              <w:bottom w:val="single" w:sz="8" w:space="0" w:color="auto"/>
              <w:right w:val="single" w:sz="8" w:space="0" w:color="auto"/>
            </w:tcBorders>
            <w:vAlign w:val="center"/>
          </w:tcPr>
          <w:p w:rsidR="0066095D" w:rsidRPr="00772BF6" w:rsidP="009978AE" w14:paraId="54E7EAAD" w14:textId="6C35FE34">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$0</w:t>
            </w:r>
          </w:p>
        </w:tc>
        <w:tc>
          <w:tcPr>
            <w:tcW w:w="867" w:type="dxa"/>
            <w:tcBorders>
              <w:top w:val="nil"/>
              <w:left w:val="single" w:sz="8" w:space="0" w:color="auto"/>
              <w:bottom w:val="single" w:sz="8" w:space="0" w:color="auto"/>
              <w:right w:val="single" w:sz="8" w:space="0" w:color="auto"/>
            </w:tcBorders>
            <w:vAlign w:val="center"/>
          </w:tcPr>
          <w:p w:rsidR="0066095D" w:rsidRPr="00772BF6" w:rsidP="009978AE" w14:paraId="43C3FDE7" w14:textId="6E65F42B">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$0</w:t>
            </w:r>
          </w:p>
        </w:tc>
        <w:tc>
          <w:tcPr>
            <w:tcW w:w="1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6095D" w:rsidRPr="00772BF6" w:rsidP="0066095D" w14:paraId="09F1D516" w14:textId="1500337D">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$18,921,015</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772BF6" w:rsidP="0066095D" w14:paraId="1D885694" w14:textId="775691D7">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$6,307,005</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772BF6" w:rsidP="0066095D" w14:paraId="126E3E57" w14:textId="28380714">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rPr>
                <w:szCs w:val="20"/>
              </w:rPr>
              <w:t>$38,277,786</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6095D" w:rsidRPr="00772BF6" w:rsidP="0066095D" w14:paraId="2A5A4987" w14:textId="71D90362">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szCs w:val="20"/>
              </w:rPr>
            </w:pPr>
            <w:r w:rsidRPr="00772BF6">
              <w:t>$12,759,262</w:t>
            </w:r>
          </w:p>
        </w:tc>
      </w:tr>
      <w:tr w14:paraId="7AA41CEA" w14:textId="77777777" w:rsidTr="000A7BE5">
        <w:tblPrEx>
          <w:tblW w:w="5248" w:type="pct"/>
          <w:jc w:val="center"/>
          <w:tblLayout w:type="fixed"/>
          <w:tblCellMar>
            <w:left w:w="0" w:type="dxa"/>
            <w:right w:w="0" w:type="dxa"/>
          </w:tblCellMar>
          <w:tblLook w:val="04A0"/>
        </w:tblPrEx>
        <w:trPr>
          <w:trHeight w:val="340"/>
          <w:jc w:val="center"/>
        </w:trPr>
        <w:tc>
          <w:tcPr>
            <w:tcW w:w="159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865AE" w:rsidRPr="00CE3827" w:rsidP="00636FA3" w14:paraId="3B8C4BF6" w14:textId="500A9677">
            <w:pPr>
              <w:tabs>
                <w:tab w:val="left" w:pos="720"/>
                <w:tab w:val="left" w:pos="1440"/>
                <w:tab w:val="left" w:pos="2160"/>
                <w:tab w:val="left" w:pos="2880"/>
                <w:tab w:val="left" w:pos="3600"/>
                <w:tab w:val="left" w:pos="4320"/>
                <w:tab w:val="left" w:pos="5040"/>
                <w:tab w:val="left" w:pos="5850"/>
                <w:tab w:val="left" w:pos="6480"/>
                <w:tab w:val="left" w:pos="7200"/>
                <w:tab w:val="left" w:pos="7922"/>
              </w:tabs>
              <w:jc w:val="right"/>
              <w:rPr>
                <w:b/>
                <w:bCs/>
                <w:szCs w:val="20"/>
              </w:rPr>
            </w:pPr>
            <w:r w:rsidRPr="00CE3827">
              <w:rPr>
                <w:b/>
                <w:bCs/>
                <w:szCs w:val="20"/>
              </w:rPr>
              <w:t>Total</w:t>
            </w:r>
            <w:r>
              <w:rPr>
                <w:b/>
                <w:bCs/>
                <w:szCs w:val="20"/>
              </w:rPr>
              <w:t>*</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tcPr>
          <w:p w:rsidR="001865AE" w:rsidRPr="00CE3827" w:rsidP="000A7BE5" w14:paraId="104AE474" w14:textId="61BF8D68">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3616F5">
              <w:rPr>
                <w:b/>
                <w:bCs/>
                <w:szCs w:val="20"/>
              </w:rPr>
              <w:t>3,572,973</w:t>
            </w:r>
            <w:r w:rsidR="00103BD3">
              <w:rPr>
                <w:b/>
                <w:bCs/>
                <w:szCs w:val="20"/>
              </w:rPr>
              <w:br/>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tcPr>
          <w:p w:rsidR="001865AE" w:rsidRPr="00CE3827" w:rsidP="000A7BE5" w14:paraId="242ADF94" w14:textId="0CA0C300">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FE6CDA">
              <w:rPr>
                <w:b/>
                <w:bCs/>
                <w:szCs w:val="20"/>
              </w:rPr>
              <w:t>1,190,991</w:t>
            </w:r>
            <w:r w:rsidR="00103BD3">
              <w:rPr>
                <w:b/>
                <w:bCs/>
                <w:szCs w:val="20"/>
              </w:rPr>
              <w:br/>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tcPr>
          <w:p w:rsidR="001865AE" w:rsidRPr="003245B8" w:rsidP="000A7BE5" w14:paraId="1BCFF567" w14:textId="0E657FEA">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3245B8">
              <w:rPr>
                <w:b/>
                <w:bCs/>
                <w:szCs w:val="20"/>
              </w:rPr>
              <w:t>$342,913,083</w:t>
            </w:r>
            <w:r w:rsidR="00103BD3">
              <w:rPr>
                <w:b/>
                <w:bCs/>
                <w:szCs w:val="20"/>
              </w:rPr>
              <w:br/>
            </w:r>
          </w:p>
        </w:tc>
        <w:tc>
          <w:tcPr>
            <w:tcW w:w="1355" w:type="dxa"/>
            <w:tcBorders>
              <w:top w:val="nil"/>
              <w:left w:val="nil"/>
              <w:bottom w:val="single" w:sz="8" w:space="0" w:color="auto"/>
              <w:right w:val="single" w:sz="8" w:space="0" w:color="auto"/>
            </w:tcBorders>
            <w:noWrap/>
            <w:tcMar>
              <w:top w:w="0" w:type="dxa"/>
              <w:left w:w="108" w:type="dxa"/>
              <w:bottom w:w="0" w:type="dxa"/>
              <w:right w:w="108" w:type="dxa"/>
            </w:tcMar>
          </w:tcPr>
          <w:p w:rsidR="001865AE" w:rsidRPr="003245B8" w:rsidP="000A7BE5" w14:paraId="14063295" w14:textId="66E8EE3A">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3245B8">
              <w:rPr>
                <w:b/>
                <w:bCs/>
                <w:szCs w:val="20"/>
              </w:rPr>
              <w:t>$114,304,361</w:t>
            </w:r>
            <w:r w:rsidR="00103BD3">
              <w:rPr>
                <w:b/>
                <w:bCs/>
                <w:szCs w:val="20"/>
              </w:rPr>
              <w:br/>
            </w:r>
          </w:p>
        </w:tc>
        <w:tc>
          <w:tcPr>
            <w:tcW w:w="867" w:type="dxa"/>
            <w:tcBorders>
              <w:top w:val="nil"/>
              <w:left w:val="nil"/>
              <w:bottom w:val="single" w:sz="8" w:space="0" w:color="auto"/>
              <w:right w:val="single" w:sz="8" w:space="0" w:color="auto"/>
            </w:tcBorders>
          </w:tcPr>
          <w:p w:rsidR="001865AE" w:rsidRPr="00772BF6" w:rsidP="000A7BE5" w14:paraId="32DCC0FE" w14:textId="0954CBCE">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772BF6">
              <w:rPr>
                <w:b/>
                <w:bCs/>
                <w:szCs w:val="20"/>
              </w:rPr>
              <w:t>$235,200</w:t>
            </w:r>
          </w:p>
        </w:tc>
        <w:tc>
          <w:tcPr>
            <w:tcW w:w="867" w:type="dxa"/>
            <w:tcBorders>
              <w:top w:val="nil"/>
              <w:left w:val="single" w:sz="8" w:space="0" w:color="auto"/>
              <w:bottom w:val="single" w:sz="8" w:space="0" w:color="auto"/>
              <w:right w:val="single" w:sz="8" w:space="0" w:color="auto"/>
            </w:tcBorders>
          </w:tcPr>
          <w:p w:rsidR="001865AE" w:rsidRPr="00772BF6" w:rsidP="000A7BE5" w14:paraId="62D12F90" w14:textId="459D2FB7">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772BF6">
              <w:rPr>
                <w:b/>
                <w:bCs/>
                <w:szCs w:val="20"/>
              </w:rPr>
              <w:t>$7</w:t>
            </w:r>
            <w:r w:rsidRPr="00772BF6" w:rsidR="00B971BC">
              <w:rPr>
                <w:b/>
                <w:bCs/>
                <w:szCs w:val="20"/>
              </w:rPr>
              <w:t>8</w:t>
            </w:r>
            <w:r w:rsidRPr="00772BF6">
              <w:rPr>
                <w:b/>
                <w:bCs/>
                <w:szCs w:val="20"/>
              </w:rPr>
              <w:t>,400</w:t>
            </w:r>
          </w:p>
        </w:tc>
        <w:tc>
          <w:tcPr>
            <w:tcW w:w="127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1865AE" w:rsidRPr="00772BF6" w:rsidP="000A7BE5" w14:paraId="4CCF4084" w14:textId="74E4F89F">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772BF6">
              <w:rPr>
                <w:b/>
                <w:szCs w:val="20"/>
              </w:rPr>
              <w:t>$</w:t>
            </w:r>
            <w:bookmarkStart w:id="3" w:name="_Hlk157780323"/>
            <w:r w:rsidRPr="00772BF6">
              <w:rPr>
                <w:b/>
                <w:szCs w:val="20"/>
              </w:rPr>
              <w:t>37,</w:t>
            </w:r>
            <w:r w:rsidR="00CA5B2D">
              <w:rPr>
                <w:b/>
                <w:szCs w:val="20"/>
              </w:rPr>
              <w:t>241</w:t>
            </w:r>
            <w:r w:rsidRPr="00772BF6">
              <w:rPr>
                <w:b/>
                <w:szCs w:val="20"/>
              </w:rPr>
              <w:t>,</w:t>
            </w:r>
            <w:r w:rsidR="00CA5B2D">
              <w:rPr>
                <w:b/>
                <w:szCs w:val="20"/>
              </w:rPr>
              <w:t>130</w:t>
            </w:r>
            <w:bookmarkEnd w:id="3"/>
            <w:r w:rsidRPr="00772BF6" w:rsidR="00490F85">
              <w:rPr>
                <w:b/>
                <w:szCs w:val="20"/>
              </w:rPr>
              <w:br/>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tcPr>
          <w:p w:rsidR="001865AE" w:rsidRPr="00772BF6" w:rsidP="000A7BE5" w14:paraId="45EADF3F" w14:textId="2253297B">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772BF6">
              <w:rPr>
                <w:b/>
                <w:bCs/>
                <w:szCs w:val="20"/>
              </w:rPr>
              <w:t>$12,413,710</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tcPr>
          <w:p w:rsidR="001865AE" w:rsidRPr="00772BF6" w:rsidP="000A7BE5" w14:paraId="5E833ED0" w14:textId="0F22E599">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772BF6">
              <w:rPr>
                <w:b/>
                <w:bCs/>
                <w:szCs w:val="20"/>
              </w:rPr>
              <w:t>$380,</w:t>
            </w:r>
            <w:r w:rsidRPr="00772BF6" w:rsidR="00A00722">
              <w:rPr>
                <w:b/>
                <w:bCs/>
                <w:szCs w:val="20"/>
              </w:rPr>
              <w:t>389,412</w:t>
            </w:r>
            <w:r w:rsidRPr="00772BF6" w:rsidR="00E274FB">
              <w:rPr>
                <w:b/>
                <w:bCs/>
                <w:szCs w:val="20"/>
              </w:rPr>
              <w:br/>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tcPr>
          <w:p w:rsidR="001865AE" w:rsidRPr="00772BF6" w:rsidP="000A7BE5" w14:paraId="6C0DA3FA" w14:textId="48CEDF8B">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Cs w:val="20"/>
              </w:rPr>
            </w:pPr>
            <w:r w:rsidRPr="00772BF6">
              <w:rPr>
                <w:b/>
                <w:bCs/>
              </w:rPr>
              <w:t>$</w:t>
            </w:r>
            <w:r w:rsidRPr="00772BF6" w:rsidR="00A169BE">
              <w:rPr>
                <w:b/>
                <w:bCs/>
              </w:rPr>
              <w:t>126</w:t>
            </w:r>
            <w:r w:rsidRPr="00772BF6" w:rsidR="00DD43C3">
              <w:rPr>
                <w:b/>
                <w:bCs/>
              </w:rPr>
              <w:t>,79</w:t>
            </w:r>
            <w:r w:rsidRPr="00772BF6" w:rsidR="0065411E">
              <w:rPr>
                <w:b/>
                <w:bCs/>
              </w:rPr>
              <w:t>6,4</w:t>
            </w:r>
            <w:r w:rsidRPr="00772BF6" w:rsidR="004A6FA1">
              <w:rPr>
                <w:b/>
                <w:bCs/>
              </w:rPr>
              <w:t>71</w:t>
            </w:r>
            <w:r w:rsidRPr="00772BF6" w:rsidR="00E274FB">
              <w:rPr>
                <w:b/>
                <w:bCs/>
              </w:rPr>
              <w:br/>
            </w:r>
          </w:p>
        </w:tc>
      </w:tr>
    </w:tbl>
    <w:p w:rsidR="0008297A" w:rsidP="00680250" w14:paraId="2A66BA61" w14:textId="14E9A1B3">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ind w:left="90"/>
        <w:rPr>
          <w:sz w:val="18"/>
          <w:szCs w:val="18"/>
        </w:rPr>
      </w:pPr>
      <w:r w:rsidRPr="00281014">
        <w:rPr>
          <w:sz w:val="18"/>
          <w:szCs w:val="18"/>
        </w:rPr>
        <w:t>*</w:t>
      </w:r>
      <w:r w:rsidR="00085B1B">
        <w:rPr>
          <w:sz w:val="18"/>
          <w:szCs w:val="18"/>
        </w:rPr>
        <w:t xml:space="preserve"> </w:t>
      </w:r>
      <w:r w:rsidRPr="00281014">
        <w:rPr>
          <w:sz w:val="18"/>
          <w:szCs w:val="18"/>
        </w:rPr>
        <w:t>Totals may not sum due to rounding.</w:t>
      </w:r>
    </w:p>
    <w:p w:rsidR="00DC7D2B" w:rsidP="0008297A" w14:paraId="16632F4B" w14:textId="25BDB997">
      <w:pPr>
        <w:ind w:left="90"/>
        <w:rPr>
          <w:sz w:val="18"/>
          <w:szCs w:val="18"/>
        </w:rPr>
        <w:sectPr w:rsidSect="00165B22">
          <w:pgSz w:w="15840" w:h="12240" w:orient="landscape"/>
          <w:pgMar w:top="1440" w:right="1440" w:bottom="1440" w:left="1440" w:header="1195" w:footer="1195" w:gutter="0"/>
          <w:cols w:space="720"/>
          <w:noEndnote/>
          <w:docGrid w:linePitch="326"/>
        </w:sectPr>
      </w:pPr>
    </w:p>
    <w:p w:rsidR="00034B18" w:rsidRPr="00034B18" w:rsidP="00A52068" w14:paraId="459C8B37" w14:textId="6B25A39B">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r>
        <w:rPr>
          <w:b/>
          <w:bCs/>
          <w:sz w:val="22"/>
          <w:szCs w:val="22"/>
          <w:u w:val="single"/>
        </w:rPr>
        <w:t xml:space="preserve">14. </w:t>
      </w:r>
      <w:r w:rsidR="008C29AC">
        <w:rPr>
          <w:b/>
          <w:bCs/>
          <w:sz w:val="22"/>
          <w:szCs w:val="22"/>
          <w:u w:val="single"/>
        </w:rPr>
        <w:t>Annualized Costs to the Federal Government</w:t>
      </w:r>
    </w:p>
    <w:p w:rsidR="004C5792" w:rsidP="00A52068" w14:paraId="770F245D"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008C29AC" w:rsidP="00A52068" w14:paraId="6511FF70" w14:textId="2B654630">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sz w:val="22"/>
          <w:szCs w:val="22"/>
        </w:rPr>
        <w:t xml:space="preserve">The final rule provisions </w:t>
      </w:r>
      <w:r w:rsidR="00F75411">
        <w:rPr>
          <w:sz w:val="22"/>
          <w:szCs w:val="22"/>
        </w:rPr>
        <w:t xml:space="preserve">are </w:t>
      </w:r>
      <w:r w:rsidRPr="00D206B9">
        <w:rPr>
          <w:sz w:val="22"/>
          <w:szCs w:val="22"/>
        </w:rPr>
        <w:t>no</w:t>
      </w:r>
      <w:r w:rsidR="00F75411">
        <w:rPr>
          <w:sz w:val="22"/>
          <w:szCs w:val="22"/>
        </w:rPr>
        <w:t>t</w:t>
      </w:r>
      <w:r w:rsidRPr="00D206B9">
        <w:rPr>
          <w:sz w:val="22"/>
          <w:szCs w:val="22"/>
        </w:rPr>
        <w:t xml:space="preserve"> expected </w:t>
      </w:r>
      <w:r w:rsidR="00F75411">
        <w:rPr>
          <w:sz w:val="22"/>
          <w:szCs w:val="22"/>
        </w:rPr>
        <w:t xml:space="preserve">to create </w:t>
      </w:r>
      <w:r w:rsidRPr="00D206B9">
        <w:rPr>
          <w:sz w:val="22"/>
          <w:szCs w:val="22"/>
        </w:rPr>
        <w:t>additional burden to the Federal government</w:t>
      </w:r>
      <w:r w:rsidR="00C60F58">
        <w:rPr>
          <w:sz w:val="22"/>
          <w:szCs w:val="22"/>
        </w:rPr>
        <w:t xml:space="preserve"> beyond </w:t>
      </w:r>
      <w:r w:rsidR="00822DC1">
        <w:rPr>
          <w:sz w:val="22"/>
          <w:szCs w:val="22"/>
        </w:rPr>
        <w:t>what is already required under the existing RMP rule</w:t>
      </w:r>
      <w:r w:rsidRPr="00D206B9">
        <w:rPr>
          <w:sz w:val="22"/>
          <w:szCs w:val="22"/>
        </w:rPr>
        <w:t>.</w:t>
      </w:r>
    </w:p>
    <w:p w:rsidR="00763156" w:rsidP="00A52068" w14:paraId="73A7EB2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763156" w:rsidP="00A52068" w14:paraId="39671FD8" w14:textId="22C833F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r>
        <w:rPr>
          <w:b/>
          <w:bCs/>
          <w:sz w:val="22"/>
          <w:szCs w:val="22"/>
          <w:u w:val="single"/>
        </w:rPr>
        <w:t>1</w:t>
      </w:r>
      <w:r w:rsidR="00E61E42">
        <w:rPr>
          <w:b/>
          <w:bCs/>
          <w:sz w:val="22"/>
          <w:szCs w:val="22"/>
          <w:u w:val="single"/>
        </w:rPr>
        <w:t>5</w:t>
      </w:r>
      <w:r>
        <w:rPr>
          <w:b/>
          <w:bCs/>
          <w:sz w:val="22"/>
          <w:szCs w:val="22"/>
          <w:u w:val="single"/>
        </w:rPr>
        <w:t xml:space="preserve">. </w:t>
      </w:r>
      <w:r w:rsidR="00E61E42">
        <w:rPr>
          <w:b/>
          <w:bCs/>
          <w:sz w:val="22"/>
          <w:szCs w:val="22"/>
          <w:u w:val="single"/>
        </w:rPr>
        <w:t>Reasons for Program Changes or Adjustments on Burden Worksheet</w:t>
      </w:r>
    </w:p>
    <w:p w:rsidR="00E61E42" w:rsidP="00A52068" w14:paraId="6A046CF7"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763156" w:rsidP="00A52068" w14:paraId="2F9C01F6" w14:textId="4785515E">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sz w:val="22"/>
          <w:szCs w:val="22"/>
        </w:rPr>
        <w:t xml:space="preserve">This is a new collection.  </w:t>
      </w:r>
    </w:p>
    <w:p w:rsidR="001A2FBA" w:rsidP="00A52068" w14:paraId="6DF016AE"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190C40" w:rsidP="00422F62" w14:paraId="3898CD72" w14:textId="58CFAF45">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u w:val="single"/>
        </w:rPr>
      </w:pPr>
      <w:r w:rsidRPr="001A2FBA">
        <w:rPr>
          <w:b/>
          <w:sz w:val="22"/>
          <w:szCs w:val="22"/>
          <w:u w:val="single"/>
        </w:rPr>
        <w:t>16. Published Re</w:t>
      </w:r>
      <w:r>
        <w:rPr>
          <w:b/>
          <w:sz w:val="22"/>
          <w:szCs w:val="22"/>
          <w:u w:val="single"/>
        </w:rPr>
        <w:t>sults</w:t>
      </w:r>
    </w:p>
    <w:p w:rsidR="00190C40" w:rsidP="00422F62" w14:paraId="16EDCC5E"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u w:val="single"/>
        </w:rPr>
      </w:pPr>
    </w:p>
    <w:p w:rsidR="00422F62" w:rsidP="00422F62" w14:paraId="1D68CFDA" w14:textId="2D989D23">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422F62">
        <w:rPr>
          <w:sz w:val="22"/>
          <w:szCs w:val="22"/>
        </w:rPr>
        <w:t>RMPs prepared and submitted pursuant to CAA section 112(r) are, by statute, available to the public.</w:t>
      </w:r>
      <w:r w:rsidR="00B941C6">
        <w:rPr>
          <w:sz w:val="22"/>
          <w:szCs w:val="22"/>
        </w:rPr>
        <w:t xml:space="preserve"> </w:t>
      </w:r>
      <w:r w:rsidRPr="00422F62">
        <w:rPr>
          <w:sz w:val="22"/>
          <w:szCs w:val="22"/>
        </w:rPr>
        <w:t xml:space="preserve">Members of the general public may obtain RMP data by visiting a designated federal reading room or by contacting their </w:t>
      </w:r>
      <w:r w:rsidRPr="00476ACD" w:rsidR="00476ACD">
        <w:rPr>
          <w:sz w:val="22"/>
          <w:szCs w:val="22"/>
        </w:rPr>
        <w:t>State Emergency Response Commission</w:t>
      </w:r>
      <w:r w:rsidR="00476ACD">
        <w:rPr>
          <w:sz w:val="22"/>
          <w:szCs w:val="22"/>
        </w:rPr>
        <w:t xml:space="preserve"> </w:t>
      </w:r>
      <w:r w:rsidR="006104AE">
        <w:rPr>
          <w:sz w:val="22"/>
          <w:szCs w:val="22"/>
        </w:rPr>
        <w:t xml:space="preserve">(SERC) </w:t>
      </w:r>
      <w:r w:rsidRPr="00422F62">
        <w:rPr>
          <w:sz w:val="22"/>
          <w:szCs w:val="22"/>
        </w:rPr>
        <w:t>or</w:t>
      </w:r>
      <w:r w:rsidR="006104AE">
        <w:rPr>
          <w:sz w:val="22"/>
          <w:szCs w:val="22"/>
        </w:rPr>
        <w:t xml:space="preserve"> Local </w:t>
      </w:r>
      <w:r w:rsidRPr="00476ACD" w:rsidR="006104AE">
        <w:rPr>
          <w:sz w:val="22"/>
          <w:szCs w:val="22"/>
        </w:rPr>
        <w:t>Emergency Response Commission</w:t>
      </w:r>
      <w:r w:rsidRPr="00422F62">
        <w:rPr>
          <w:sz w:val="22"/>
          <w:szCs w:val="22"/>
        </w:rPr>
        <w:t xml:space="preserve"> </w:t>
      </w:r>
      <w:r w:rsidR="006104AE">
        <w:rPr>
          <w:sz w:val="22"/>
          <w:szCs w:val="22"/>
        </w:rPr>
        <w:t>(</w:t>
      </w:r>
      <w:r w:rsidRPr="00422F62">
        <w:rPr>
          <w:sz w:val="22"/>
          <w:szCs w:val="22"/>
        </w:rPr>
        <w:t>LEPC</w:t>
      </w:r>
      <w:r w:rsidR="006104AE">
        <w:rPr>
          <w:sz w:val="22"/>
          <w:szCs w:val="22"/>
        </w:rPr>
        <w:t>)</w:t>
      </w:r>
      <w:r w:rsidRPr="00422F62">
        <w:rPr>
          <w:sz w:val="22"/>
          <w:szCs w:val="22"/>
        </w:rPr>
        <w:t xml:space="preserve"> public contact. A member of the general public may also submit an official </w:t>
      </w:r>
      <w:r w:rsidR="00476ACD">
        <w:rPr>
          <w:sz w:val="22"/>
          <w:szCs w:val="22"/>
        </w:rPr>
        <w:t>Freedom of Information Act</w:t>
      </w:r>
      <w:r w:rsidRPr="00422F62" w:rsidR="00476ACD">
        <w:rPr>
          <w:sz w:val="22"/>
          <w:szCs w:val="22"/>
        </w:rPr>
        <w:t xml:space="preserve"> </w:t>
      </w:r>
      <w:r w:rsidRPr="00422F62">
        <w:rPr>
          <w:sz w:val="22"/>
          <w:szCs w:val="22"/>
        </w:rPr>
        <w:t>request to obtain non-</w:t>
      </w:r>
      <w:r w:rsidR="00430837">
        <w:rPr>
          <w:sz w:val="22"/>
          <w:szCs w:val="22"/>
        </w:rPr>
        <w:t>Offsite Consequences Analysis</w:t>
      </w:r>
      <w:r w:rsidRPr="00422F62">
        <w:rPr>
          <w:sz w:val="22"/>
          <w:szCs w:val="22"/>
        </w:rPr>
        <w:t xml:space="preserve"> RMP data. </w:t>
      </w:r>
    </w:p>
    <w:p w:rsidR="00422269" w:rsidRPr="001A2FBA" w:rsidP="001A2FBA" w14:paraId="6574DBAE"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u w:val="single"/>
        </w:rPr>
      </w:pPr>
    </w:p>
    <w:p w:rsidR="001A2FBA" w:rsidRPr="001A2FBA" w:rsidP="001A2FBA" w14:paraId="56936A11"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u w:val="single"/>
        </w:rPr>
      </w:pPr>
      <w:r w:rsidRPr="001A2FBA">
        <w:rPr>
          <w:b/>
          <w:sz w:val="22"/>
          <w:szCs w:val="22"/>
          <w:u w:val="single"/>
        </w:rPr>
        <w:t>17. Approval for not displaying OMB Expiration Date</w:t>
      </w:r>
    </w:p>
    <w:p w:rsidR="001A2FBA" w:rsidRPr="001A2FBA" w:rsidP="001A2FBA" w14:paraId="7058E730"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u w:val="single"/>
        </w:rPr>
      </w:pPr>
    </w:p>
    <w:p w:rsidR="001A2FBA" w:rsidP="001A2FBA" w14:paraId="20E31F4B" w14:textId="799B48CD">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605FE6">
        <w:rPr>
          <w:sz w:val="22"/>
          <w:szCs w:val="22"/>
        </w:rPr>
        <w:t>The Agency plans to display the expiration date for OMB approval of the information collection on all instruments</w:t>
      </w:r>
      <w:r>
        <w:rPr>
          <w:sz w:val="22"/>
          <w:szCs w:val="22"/>
        </w:rPr>
        <w:t>.</w:t>
      </w:r>
    </w:p>
    <w:p w:rsidR="00422269" w:rsidRPr="001A2FBA" w:rsidP="001A2FBA" w14:paraId="110C0727"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u w:val="single"/>
        </w:rPr>
      </w:pPr>
    </w:p>
    <w:p w:rsidR="001A2FBA" w:rsidRPr="001A2FBA" w:rsidP="001A2FBA" w14:paraId="44345152"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u w:val="single"/>
        </w:rPr>
      </w:pPr>
      <w:r w:rsidRPr="001A2FBA">
        <w:rPr>
          <w:b/>
          <w:sz w:val="22"/>
          <w:szCs w:val="22"/>
          <w:u w:val="single"/>
        </w:rPr>
        <w:t>18. Exceptions to the “Certification for Paperwork Reduction Act Submissions”</w:t>
      </w:r>
    </w:p>
    <w:p w:rsidR="001A2FBA" w:rsidRPr="001A2FBA" w:rsidP="001A2FBA" w14:paraId="26207ECC"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u w:val="single"/>
        </w:rPr>
      </w:pPr>
    </w:p>
    <w:p w:rsidR="006839D3" w:rsidP="00A52068" w14:paraId="19224D39" w14:textId="7168A1EA">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605FE6">
        <w:rPr>
          <w:sz w:val="22"/>
          <w:szCs w:val="22"/>
        </w:rPr>
        <w:t>This information collection complies with all provisions of the Certification for Paperwork Reduction Act Submissions</w:t>
      </w:r>
      <w:r>
        <w:rPr>
          <w:sz w:val="22"/>
          <w:szCs w:val="22"/>
        </w:rPr>
        <w:t>.</w:t>
      </w:r>
    </w:p>
    <w:p w:rsidR="00C14AA8" w:rsidP="00A52068" w14:paraId="3F897C05"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sectPr w:rsidSect="00165B22">
          <w:pgSz w:w="12240" w:h="15840"/>
          <w:pgMar w:top="1440" w:right="1440" w:bottom="1440" w:left="1440" w:header="1195" w:footer="1195" w:gutter="0"/>
          <w:cols w:space="720"/>
          <w:noEndnote/>
          <w:docGrid w:linePitch="326"/>
        </w:sectPr>
      </w:pPr>
    </w:p>
    <w:p w:rsidR="006839D3" w:rsidP="00047CAD" w14:paraId="0937B00B" w14:textId="0CE40DC6">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Pr>
          <w:b/>
          <w:bCs/>
          <w:sz w:val="22"/>
          <w:szCs w:val="22"/>
        </w:rPr>
        <w:t xml:space="preserve">Appendix </w:t>
      </w:r>
    </w:p>
    <w:p w:rsidR="00047CAD" w:rsidP="00047CAD" w14:paraId="2B3BE5C2"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p>
    <w:p w:rsidR="008624B1" w:rsidP="000E33B8" w14:paraId="42820299" w14:textId="551EB30A">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sz w:val="22"/>
          <w:szCs w:val="22"/>
        </w:rPr>
        <w:t>This appendix includes two sections (1) Burden Hours</w:t>
      </w:r>
      <w:r w:rsidR="0020458A">
        <w:rPr>
          <w:sz w:val="22"/>
          <w:szCs w:val="22"/>
        </w:rPr>
        <w:t xml:space="preserve"> by Rule Provision</w:t>
      </w:r>
      <w:r>
        <w:rPr>
          <w:sz w:val="22"/>
          <w:szCs w:val="22"/>
        </w:rPr>
        <w:t xml:space="preserve"> and (2)</w:t>
      </w:r>
      <w:r>
        <w:rPr>
          <w:sz w:val="22"/>
          <w:szCs w:val="22"/>
        </w:rPr>
        <w:t xml:space="preserve"> Cost for Respondent Burden by </w:t>
      </w:r>
      <w:r w:rsidR="0020458A">
        <w:rPr>
          <w:sz w:val="22"/>
          <w:szCs w:val="22"/>
        </w:rPr>
        <w:t>Rule Provision</w:t>
      </w:r>
      <w:r>
        <w:rPr>
          <w:sz w:val="22"/>
          <w:szCs w:val="22"/>
        </w:rPr>
        <w:t>.</w:t>
      </w:r>
    </w:p>
    <w:p w:rsidR="00880EE7" w:rsidP="000E33B8" w14:paraId="7E463D40"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880EE7" w:rsidRPr="00680250" w:rsidP="000E33B8" w14:paraId="63B92893" w14:textId="1A67CE2D">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Pr>
          <w:b/>
          <w:bCs/>
          <w:sz w:val="22"/>
          <w:szCs w:val="22"/>
        </w:rPr>
        <w:t>Burden Hours by Rule Provision</w:t>
      </w:r>
    </w:p>
    <w:p w:rsidR="008624B1" w:rsidP="000E33B8" w14:paraId="1F2109CF"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0E33B8" w:rsidP="000E33B8" w14:paraId="60351F20" w14:textId="61204120">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sz w:val="22"/>
          <w:szCs w:val="22"/>
        </w:rPr>
        <w:t xml:space="preserve"> </w:t>
      </w:r>
      <w:r w:rsidRPr="00D206B9">
        <w:rPr>
          <w:i/>
          <w:iCs/>
          <w:sz w:val="22"/>
          <w:szCs w:val="22"/>
        </w:rPr>
        <w:t xml:space="preserve">Familiarization with Regulations - </w:t>
      </w:r>
      <w:r w:rsidRPr="00936708">
        <w:rPr>
          <w:sz w:val="22"/>
          <w:szCs w:val="22"/>
        </w:rPr>
        <w:t xml:space="preserve">EPA has adopted a methodology that assigns labor estimates based on facility types to reflect that certain facilities will have to dedicate more time to familiarize themselves with rule provisions that apply only to them. </w:t>
      </w:r>
      <w:r w:rsidRPr="00DF6387" w:rsidR="003C3851">
        <w:rPr>
          <w:sz w:val="22"/>
          <w:szCs w:val="22"/>
        </w:rPr>
        <w:t xml:space="preserve">Most of the </w:t>
      </w:r>
      <w:r w:rsidR="003C3851">
        <w:rPr>
          <w:sz w:val="22"/>
          <w:szCs w:val="22"/>
        </w:rPr>
        <w:t>final rule</w:t>
      </w:r>
      <w:r w:rsidRPr="00DF6387" w:rsidR="003C3851">
        <w:rPr>
          <w:sz w:val="22"/>
          <w:szCs w:val="22"/>
        </w:rPr>
        <w:t xml:space="preserve"> provisions revise current requirements rather than introducing completely new provisions. Many of the provisions are straightforward, e.g., those regarding Information Availability. Others apply only after an RMP-reportable accident, e.g., root cause analysis. Still others, such </w:t>
      </w:r>
      <w:r w:rsidRPr="008462E6" w:rsidR="003C3851">
        <w:rPr>
          <w:sz w:val="22"/>
          <w:szCs w:val="22"/>
        </w:rPr>
        <w:t>as the STAA, are expected to take time to understand</w:t>
      </w:r>
      <w:r w:rsidR="00BD6C52">
        <w:rPr>
          <w:sz w:val="22"/>
          <w:szCs w:val="22"/>
        </w:rPr>
        <w:t xml:space="preserve">; </w:t>
      </w:r>
      <w:r w:rsidRPr="008462E6" w:rsidR="003C3851">
        <w:rPr>
          <w:sz w:val="22"/>
          <w:szCs w:val="22"/>
        </w:rPr>
        <w:t>however they apply to a limited number of facilities.</w:t>
      </w:r>
      <w:r w:rsidRPr="00680250" w:rsidR="003C3851">
        <w:rPr>
          <w:sz w:val="22"/>
          <w:szCs w:val="22"/>
        </w:rPr>
        <w:t xml:space="preserve"> </w:t>
      </w:r>
      <w:r w:rsidRPr="008462E6">
        <w:rPr>
          <w:sz w:val="22"/>
          <w:szCs w:val="22"/>
        </w:rPr>
        <w:t>EPA projects that the time facilities spend to review the final rule and determine which provisions apply will be consistent with the time they spent to review the 2017 amendments rule because the number</w:t>
      </w:r>
      <w:r w:rsidRPr="00936708">
        <w:rPr>
          <w:sz w:val="22"/>
          <w:szCs w:val="22"/>
        </w:rPr>
        <w:t xml:space="preserve"> </w:t>
      </w:r>
      <w:r w:rsidRPr="00922C1A">
        <w:rPr>
          <w:sz w:val="22"/>
          <w:szCs w:val="22"/>
        </w:rPr>
        <w:t xml:space="preserve">and content of provisions are similar. EPA projects that all facilities with simple processes will need </w:t>
      </w:r>
      <w:r w:rsidRPr="00D206B9">
        <w:rPr>
          <w:sz w:val="22"/>
          <w:szCs w:val="22"/>
        </w:rPr>
        <w:t>five</w:t>
      </w:r>
      <w:r w:rsidRPr="00922C1A">
        <w:rPr>
          <w:sz w:val="22"/>
          <w:szCs w:val="22"/>
        </w:rPr>
        <w:t xml:space="preserve"> hours to review the rule as will the few complex facilities in Program 1 and Program 2. Complex facilities in Program 3 are projected to spend 292 hours reviewing the rule. LEPC’s are projected to spend five hours reviewing the rule. Delegated State and local implementing agencies are projected to spend four hours reviewing the rule.</w:t>
      </w:r>
      <w:r w:rsidR="00127393">
        <w:rPr>
          <w:sz w:val="22"/>
          <w:szCs w:val="22"/>
        </w:rPr>
        <w:t xml:space="preserve"> </w:t>
      </w:r>
    </w:p>
    <w:p w:rsidR="000E33B8" w:rsidP="000E33B8" w14:paraId="70F7EDC8"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0E33B8" w:rsidRPr="004E6E78" w:rsidP="000E33B8" w14:paraId="726A05B8" w14:textId="2AA8AA25">
      <w:pPr>
        <w:keepNext/>
        <w:keepLines/>
        <w:tabs>
          <w:tab w:val="center" w:pos="6480"/>
        </w:tabs>
        <w:jc w:val="center"/>
        <w:rPr>
          <w:b/>
          <w:sz w:val="24"/>
        </w:rPr>
      </w:pPr>
      <w:r>
        <w:rPr>
          <w:b/>
          <w:bCs/>
          <w:sz w:val="24"/>
        </w:rPr>
        <w:t xml:space="preserve">Exhibit </w:t>
      </w:r>
      <w:r w:rsidR="00CF3F54">
        <w:rPr>
          <w:b/>
          <w:bCs/>
          <w:sz w:val="24"/>
        </w:rPr>
        <w:t>5</w:t>
      </w:r>
      <w:r>
        <w:rPr>
          <w:b/>
          <w:bCs/>
          <w:sz w:val="24"/>
        </w:rPr>
        <w:t xml:space="preserve">: </w:t>
      </w:r>
      <w:r w:rsidRPr="00EB2EEA">
        <w:rPr>
          <w:b/>
          <w:bCs/>
          <w:sz w:val="24"/>
        </w:rPr>
        <w:t>Hour</w:t>
      </w:r>
      <w:r w:rsidRPr="004E6E78">
        <w:rPr>
          <w:b/>
          <w:bCs/>
          <w:sz w:val="24"/>
        </w:rPr>
        <w:t xml:space="preserve"> Burden for Rule Familiarization</w:t>
      </w:r>
    </w:p>
    <w:tbl>
      <w:tblPr>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705"/>
        <w:gridCol w:w="1260"/>
        <w:gridCol w:w="1430"/>
        <w:gridCol w:w="1092"/>
        <w:gridCol w:w="1015"/>
      </w:tblGrid>
      <w:tr w14:paraId="09E307FD" w14:textId="77777777">
        <w:tblPrEx>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7"/>
          <w:tblHeader/>
          <w:jc w:val="center"/>
        </w:trPr>
        <w:tc>
          <w:tcPr>
            <w:tcW w:w="1530" w:type="dxa"/>
            <w:vMerge w:val="restart"/>
            <w:shd w:val="clear" w:color="auto" w:fill="D9D9D9"/>
            <w:vAlign w:val="center"/>
            <w:hideMark/>
          </w:tcPr>
          <w:p w:rsidR="000B21AC" w14:paraId="59B53ECF" w14:textId="77777777">
            <w:pPr>
              <w:widowControl/>
              <w:adjustRightInd/>
              <w:jc w:val="center"/>
              <w:rPr>
                <w:b/>
                <w:bCs/>
                <w:color w:val="000000"/>
                <w:szCs w:val="20"/>
              </w:rPr>
            </w:pPr>
            <w:r>
              <w:rPr>
                <w:b/>
                <w:bCs/>
                <w:color w:val="000000"/>
                <w:szCs w:val="20"/>
              </w:rPr>
              <w:t>Respondent/</w:t>
            </w:r>
          </w:p>
          <w:p w:rsidR="000E33B8" w:rsidRPr="00680250" w14:paraId="686A4B9E" w14:textId="0768C75F">
            <w:pPr>
              <w:widowControl/>
              <w:adjustRightInd/>
              <w:jc w:val="center"/>
              <w:rPr>
                <w:b/>
                <w:bCs/>
                <w:color w:val="000000"/>
                <w:szCs w:val="20"/>
              </w:rPr>
            </w:pPr>
            <w:r w:rsidRPr="00680250">
              <w:rPr>
                <w:b/>
                <w:bCs/>
                <w:color w:val="000000"/>
                <w:szCs w:val="20"/>
              </w:rPr>
              <w:t>Facility Type</w:t>
            </w:r>
          </w:p>
        </w:tc>
        <w:tc>
          <w:tcPr>
            <w:tcW w:w="1705" w:type="dxa"/>
            <w:vMerge w:val="restart"/>
            <w:shd w:val="clear" w:color="auto" w:fill="D9D9D9"/>
            <w:vAlign w:val="center"/>
          </w:tcPr>
          <w:p w:rsidR="000E33B8" w:rsidRPr="00680250" w14:paraId="50E3DC44" w14:textId="23942748">
            <w:pPr>
              <w:widowControl/>
              <w:adjustRightInd/>
              <w:jc w:val="center"/>
              <w:rPr>
                <w:b/>
                <w:bCs/>
                <w:color w:val="000000"/>
                <w:szCs w:val="20"/>
              </w:rPr>
            </w:pPr>
            <w:r w:rsidRPr="00680250">
              <w:rPr>
                <w:b/>
                <w:bCs/>
                <w:color w:val="000000"/>
                <w:szCs w:val="20"/>
              </w:rPr>
              <w:t xml:space="preserve">Hours Required </w:t>
            </w:r>
            <w:r w:rsidR="00CD6641">
              <w:rPr>
                <w:b/>
                <w:bCs/>
                <w:color w:val="000000"/>
                <w:szCs w:val="20"/>
              </w:rPr>
              <w:t>Per Respondent</w:t>
            </w:r>
          </w:p>
        </w:tc>
        <w:tc>
          <w:tcPr>
            <w:tcW w:w="2690" w:type="dxa"/>
            <w:gridSpan w:val="2"/>
            <w:shd w:val="clear" w:color="auto" w:fill="D9D9D9"/>
            <w:vAlign w:val="center"/>
            <w:hideMark/>
          </w:tcPr>
          <w:p w:rsidR="000E33B8" w:rsidRPr="00680250" w14:paraId="5085FDCF" w14:textId="05B3C6D5">
            <w:pPr>
              <w:widowControl/>
              <w:adjustRightInd/>
              <w:jc w:val="center"/>
              <w:rPr>
                <w:b/>
                <w:bCs/>
                <w:color w:val="000000"/>
                <w:szCs w:val="20"/>
              </w:rPr>
            </w:pPr>
            <w:r w:rsidRPr="00680250">
              <w:rPr>
                <w:b/>
                <w:bCs/>
                <w:color w:val="000000"/>
                <w:szCs w:val="20"/>
              </w:rPr>
              <w:t xml:space="preserve">Number of </w:t>
            </w:r>
            <w:r w:rsidR="00CD6641">
              <w:rPr>
                <w:b/>
                <w:bCs/>
                <w:color w:val="000000"/>
                <w:szCs w:val="20"/>
              </w:rPr>
              <w:t>Respondents</w:t>
            </w:r>
          </w:p>
        </w:tc>
        <w:tc>
          <w:tcPr>
            <w:tcW w:w="1092" w:type="dxa"/>
            <w:vMerge w:val="restart"/>
            <w:shd w:val="clear" w:color="auto" w:fill="D9D9D9"/>
            <w:vAlign w:val="center"/>
          </w:tcPr>
          <w:p w:rsidR="000E33B8" w:rsidRPr="00680250" w14:paraId="3F66D7A0" w14:textId="77777777">
            <w:pPr>
              <w:jc w:val="center"/>
              <w:rPr>
                <w:b/>
                <w:bCs/>
                <w:color w:val="000000"/>
                <w:szCs w:val="20"/>
              </w:rPr>
            </w:pPr>
            <w:r w:rsidRPr="00680250">
              <w:rPr>
                <w:b/>
                <w:bCs/>
                <w:color w:val="000000"/>
                <w:szCs w:val="20"/>
              </w:rPr>
              <w:t>3-Year Annual Average Burden (hours)</w:t>
            </w:r>
          </w:p>
        </w:tc>
        <w:tc>
          <w:tcPr>
            <w:tcW w:w="1015" w:type="dxa"/>
            <w:vMerge w:val="restart"/>
            <w:shd w:val="clear" w:color="auto" w:fill="D9D9D9"/>
            <w:vAlign w:val="center"/>
            <w:hideMark/>
          </w:tcPr>
          <w:p w:rsidR="000E33B8" w:rsidRPr="00680250" w14:paraId="676ADE67" w14:textId="77777777">
            <w:pPr>
              <w:jc w:val="center"/>
              <w:rPr>
                <w:b/>
                <w:bCs/>
                <w:color w:val="000000"/>
                <w:szCs w:val="20"/>
              </w:rPr>
            </w:pPr>
            <w:r w:rsidRPr="00680250">
              <w:rPr>
                <w:b/>
                <w:bCs/>
                <w:color w:val="000000"/>
                <w:szCs w:val="20"/>
              </w:rPr>
              <w:t>3-Year Total Burden (hours)</w:t>
            </w:r>
          </w:p>
        </w:tc>
      </w:tr>
      <w:tr w14:paraId="26981472" w14:textId="77777777">
        <w:tblPrEx>
          <w:tblW w:w="4295" w:type="pct"/>
          <w:jc w:val="center"/>
          <w:tblLayout w:type="fixed"/>
          <w:tblLook w:val="04A0"/>
        </w:tblPrEx>
        <w:trPr>
          <w:trHeight w:val="370"/>
          <w:tblHeader/>
          <w:jc w:val="center"/>
        </w:trPr>
        <w:tc>
          <w:tcPr>
            <w:tcW w:w="1530" w:type="dxa"/>
            <w:vMerge/>
            <w:shd w:val="clear" w:color="auto" w:fill="D9D9D9"/>
            <w:vAlign w:val="center"/>
          </w:tcPr>
          <w:p w:rsidR="000E33B8" w:rsidRPr="00680250" w14:paraId="65B61DF8" w14:textId="77777777">
            <w:pPr>
              <w:widowControl/>
              <w:adjustRightInd/>
              <w:jc w:val="center"/>
              <w:rPr>
                <w:b/>
                <w:bCs/>
                <w:color w:val="000000"/>
                <w:szCs w:val="20"/>
              </w:rPr>
            </w:pPr>
          </w:p>
        </w:tc>
        <w:tc>
          <w:tcPr>
            <w:tcW w:w="1705" w:type="dxa"/>
            <w:vMerge/>
            <w:shd w:val="clear" w:color="auto" w:fill="D9D9D9"/>
            <w:vAlign w:val="center"/>
          </w:tcPr>
          <w:p w:rsidR="000E33B8" w:rsidRPr="00680250" w14:paraId="16A8A19E" w14:textId="77777777">
            <w:pPr>
              <w:widowControl/>
              <w:adjustRightInd/>
              <w:jc w:val="center"/>
              <w:rPr>
                <w:b/>
                <w:bCs/>
                <w:color w:val="000000"/>
                <w:szCs w:val="20"/>
              </w:rPr>
            </w:pPr>
          </w:p>
        </w:tc>
        <w:tc>
          <w:tcPr>
            <w:tcW w:w="1260" w:type="dxa"/>
            <w:shd w:val="clear" w:color="auto" w:fill="D9D9D9"/>
            <w:vAlign w:val="center"/>
            <w:hideMark/>
          </w:tcPr>
          <w:p w:rsidR="000E33B8" w:rsidRPr="00680250" w14:paraId="5E4CDACD" w14:textId="77777777">
            <w:pPr>
              <w:widowControl/>
              <w:adjustRightInd/>
              <w:jc w:val="center"/>
              <w:rPr>
                <w:b/>
                <w:bCs/>
                <w:color w:val="000000"/>
                <w:szCs w:val="20"/>
              </w:rPr>
            </w:pPr>
            <w:r w:rsidRPr="00680250">
              <w:rPr>
                <w:b/>
                <w:bCs/>
                <w:color w:val="000000"/>
                <w:szCs w:val="20"/>
              </w:rPr>
              <w:t>Year 1*</w:t>
            </w:r>
          </w:p>
        </w:tc>
        <w:tc>
          <w:tcPr>
            <w:tcW w:w="1430" w:type="dxa"/>
            <w:shd w:val="clear" w:color="auto" w:fill="D9D9D9"/>
            <w:vAlign w:val="center"/>
            <w:hideMark/>
          </w:tcPr>
          <w:p w:rsidR="000E33B8" w:rsidRPr="00680250" w14:paraId="4572D159" w14:textId="77777777">
            <w:pPr>
              <w:widowControl/>
              <w:adjustRightInd/>
              <w:jc w:val="center"/>
              <w:rPr>
                <w:b/>
                <w:bCs/>
                <w:color w:val="000000"/>
                <w:szCs w:val="20"/>
              </w:rPr>
            </w:pPr>
            <w:r w:rsidRPr="00680250">
              <w:rPr>
                <w:b/>
                <w:bCs/>
                <w:color w:val="000000"/>
                <w:szCs w:val="20"/>
              </w:rPr>
              <w:t>3-Year Total</w:t>
            </w:r>
          </w:p>
        </w:tc>
        <w:tc>
          <w:tcPr>
            <w:tcW w:w="1092" w:type="dxa"/>
            <w:vMerge/>
            <w:shd w:val="clear" w:color="auto" w:fill="D9D9D9"/>
          </w:tcPr>
          <w:p w:rsidR="000E33B8" w:rsidRPr="00680250" w14:paraId="60D62C3B" w14:textId="77777777">
            <w:pPr>
              <w:widowControl/>
              <w:adjustRightInd/>
              <w:jc w:val="center"/>
              <w:rPr>
                <w:b/>
                <w:bCs/>
                <w:color w:val="000000"/>
                <w:szCs w:val="20"/>
              </w:rPr>
            </w:pPr>
          </w:p>
        </w:tc>
        <w:tc>
          <w:tcPr>
            <w:tcW w:w="1015" w:type="dxa"/>
            <w:vMerge/>
            <w:shd w:val="clear" w:color="auto" w:fill="D9D9D9"/>
            <w:vAlign w:val="center"/>
            <w:hideMark/>
          </w:tcPr>
          <w:p w:rsidR="000E33B8" w:rsidRPr="00680250" w14:paraId="136BB8AA" w14:textId="77777777">
            <w:pPr>
              <w:widowControl/>
              <w:adjustRightInd/>
              <w:jc w:val="center"/>
              <w:rPr>
                <w:b/>
                <w:bCs/>
                <w:color w:val="000000"/>
                <w:szCs w:val="20"/>
              </w:rPr>
            </w:pPr>
          </w:p>
        </w:tc>
      </w:tr>
      <w:tr w14:paraId="2D771EAA" w14:textId="77777777" w:rsidTr="00680250">
        <w:tblPrEx>
          <w:tblW w:w="4295" w:type="pct"/>
          <w:jc w:val="center"/>
          <w:tblLayout w:type="fixed"/>
          <w:tblLook w:val="04A0"/>
        </w:tblPrEx>
        <w:trPr>
          <w:trHeight w:val="517"/>
          <w:jc w:val="center"/>
        </w:trPr>
        <w:tc>
          <w:tcPr>
            <w:tcW w:w="1530" w:type="dxa"/>
            <w:shd w:val="clear" w:color="auto" w:fill="auto"/>
            <w:vAlign w:val="bottom"/>
          </w:tcPr>
          <w:p w:rsidR="000E33B8" w:rsidRPr="00680250" w14:paraId="33552637" w14:textId="77777777">
            <w:pPr>
              <w:widowControl/>
              <w:adjustRightInd/>
              <w:jc w:val="center"/>
              <w:rPr>
                <w:color w:val="000000"/>
                <w:szCs w:val="20"/>
              </w:rPr>
            </w:pPr>
            <w:r w:rsidRPr="00680250">
              <w:rPr>
                <w:b/>
                <w:bCs/>
                <w:color w:val="000000"/>
                <w:szCs w:val="20"/>
              </w:rPr>
              <w:t>Total</w:t>
            </w:r>
          </w:p>
        </w:tc>
        <w:tc>
          <w:tcPr>
            <w:tcW w:w="1705" w:type="dxa"/>
            <w:shd w:val="clear" w:color="auto" w:fill="auto"/>
            <w:vAlign w:val="bottom"/>
          </w:tcPr>
          <w:p w:rsidR="000E33B8" w:rsidRPr="00680250" w14:paraId="64A7ECC9" w14:textId="5CDF8C67">
            <w:pPr>
              <w:widowControl/>
              <w:adjustRightInd/>
              <w:jc w:val="center"/>
              <w:rPr>
                <w:b/>
                <w:bCs/>
                <w:color w:val="000000"/>
                <w:szCs w:val="20"/>
              </w:rPr>
            </w:pPr>
          </w:p>
        </w:tc>
        <w:tc>
          <w:tcPr>
            <w:tcW w:w="1260" w:type="dxa"/>
            <w:shd w:val="clear" w:color="auto" w:fill="auto"/>
            <w:vAlign w:val="bottom"/>
            <w:hideMark/>
          </w:tcPr>
          <w:p w:rsidR="000E33B8" w:rsidRPr="00680250" w:rsidP="00CC1AAC" w14:paraId="1933CEF0" w14:textId="77777777">
            <w:pPr>
              <w:widowControl/>
              <w:adjustRightInd/>
              <w:jc w:val="right"/>
              <w:rPr>
                <w:b/>
                <w:bCs/>
                <w:color w:val="000000"/>
                <w:szCs w:val="20"/>
              </w:rPr>
            </w:pPr>
            <w:r w:rsidRPr="00680250">
              <w:rPr>
                <w:b/>
                <w:bCs/>
                <w:color w:val="000000"/>
                <w:szCs w:val="20"/>
              </w:rPr>
              <w:t>14,226</w:t>
            </w:r>
          </w:p>
        </w:tc>
        <w:tc>
          <w:tcPr>
            <w:tcW w:w="1430" w:type="dxa"/>
            <w:shd w:val="clear" w:color="auto" w:fill="auto"/>
            <w:vAlign w:val="bottom"/>
            <w:hideMark/>
          </w:tcPr>
          <w:p w:rsidR="000E33B8" w:rsidRPr="00680250" w:rsidP="00CC1AAC" w14:paraId="73968096" w14:textId="77777777">
            <w:pPr>
              <w:widowControl/>
              <w:adjustRightInd/>
              <w:jc w:val="right"/>
              <w:rPr>
                <w:b/>
                <w:bCs/>
                <w:color w:val="000000"/>
                <w:szCs w:val="20"/>
              </w:rPr>
            </w:pPr>
            <w:r w:rsidRPr="00680250">
              <w:rPr>
                <w:b/>
                <w:bCs/>
                <w:color w:val="000000"/>
                <w:szCs w:val="20"/>
              </w:rPr>
              <w:t>14,226</w:t>
            </w:r>
          </w:p>
        </w:tc>
        <w:tc>
          <w:tcPr>
            <w:tcW w:w="1092" w:type="dxa"/>
            <w:vAlign w:val="bottom"/>
          </w:tcPr>
          <w:p w:rsidR="000E33B8" w:rsidRPr="00680250" w14:paraId="6FCFEB8E" w14:textId="77777777">
            <w:pPr>
              <w:widowControl/>
              <w:adjustRightInd/>
              <w:jc w:val="right"/>
              <w:rPr>
                <w:b/>
                <w:bCs/>
                <w:color w:val="000000"/>
                <w:szCs w:val="20"/>
              </w:rPr>
            </w:pPr>
            <w:r w:rsidRPr="00680250">
              <w:rPr>
                <w:b/>
                <w:bCs/>
                <w:color w:val="000000"/>
                <w:szCs w:val="20"/>
              </w:rPr>
              <w:t>169,793</w:t>
            </w:r>
          </w:p>
        </w:tc>
        <w:tc>
          <w:tcPr>
            <w:tcW w:w="1015" w:type="dxa"/>
            <w:shd w:val="clear" w:color="auto" w:fill="auto"/>
            <w:vAlign w:val="bottom"/>
            <w:hideMark/>
          </w:tcPr>
          <w:p w:rsidR="000E33B8" w:rsidRPr="00680250" w14:paraId="168CAA8A" w14:textId="77777777">
            <w:pPr>
              <w:widowControl/>
              <w:adjustRightInd/>
              <w:jc w:val="right"/>
              <w:rPr>
                <w:b/>
                <w:bCs/>
                <w:color w:val="000000"/>
                <w:szCs w:val="20"/>
              </w:rPr>
            </w:pPr>
            <w:r w:rsidRPr="00680250">
              <w:rPr>
                <w:b/>
                <w:bCs/>
                <w:color w:val="000000"/>
                <w:szCs w:val="20"/>
              </w:rPr>
              <w:t>509,379</w:t>
            </w:r>
          </w:p>
        </w:tc>
      </w:tr>
      <w:tr w14:paraId="48A8A847" w14:textId="77777777">
        <w:tblPrEx>
          <w:tblW w:w="4295" w:type="pct"/>
          <w:jc w:val="center"/>
          <w:tblLayout w:type="fixed"/>
          <w:tblLook w:val="04A0"/>
        </w:tblPrEx>
        <w:trPr>
          <w:trHeight w:val="517"/>
          <w:jc w:val="center"/>
        </w:trPr>
        <w:tc>
          <w:tcPr>
            <w:tcW w:w="1530" w:type="dxa"/>
            <w:shd w:val="clear" w:color="auto" w:fill="auto"/>
            <w:vAlign w:val="bottom"/>
          </w:tcPr>
          <w:p w:rsidR="000E33B8" w:rsidRPr="00680250" w14:paraId="4DE031E1" w14:textId="77777777">
            <w:pPr>
              <w:widowControl/>
              <w:adjustRightInd/>
              <w:rPr>
                <w:color w:val="000000"/>
                <w:szCs w:val="20"/>
              </w:rPr>
            </w:pPr>
            <w:r w:rsidRPr="00680250">
              <w:rPr>
                <w:color w:val="000000"/>
                <w:szCs w:val="20"/>
              </w:rPr>
              <w:t>Simple Facilities</w:t>
            </w:r>
          </w:p>
        </w:tc>
        <w:tc>
          <w:tcPr>
            <w:tcW w:w="1705" w:type="dxa"/>
            <w:shd w:val="clear" w:color="auto" w:fill="auto"/>
            <w:vAlign w:val="bottom"/>
          </w:tcPr>
          <w:p w:rsidR="000E33B8" w:rsidRPr="00680250" w14:paraId="2CE66193" w14:textId="77777777">
            <w:pPr>
              <w:widowControl/>
              <w:adjustRightInd/>
              <w:jc w:val="center"/>
              <w:rPr>
                <w:color w:val="000000"/>
                <w:szCs w:val="20"/>
              </w:rPr>
            </w:pPr>
            <w:r w:rsidRPr="00680250">
              <w:rPr>
                <w:color w:val="000000"/>
                <w:szCs w:val="20"/>
              </w:rPr>
              <w:t>5</w:t>
            </w:r>
          </w:p>
        </w:tc>
        <w:tc>
          <w:tcPr>
            <w:tcW w:w="1260" w:type="dxa"/>
            <w:shd w:val="clear" w:color="auto" w:fill="auto"/>
            <w:vAlign w:val="bottom"/>
          </w:tcPr>
          <w:p w:rsidR="000E33B8" w:rsidRPr="00680250" w14:paraId="1D3A2044" w14:textId="77777777">
            <w:pPr>
              <w:widowControl/>
              <w:adjustRightInd/>
              <w:jc w:val="right"/>
              <w:rPr>
                <w:color w:val="000000"/>
                <w:szCs w:val="20"/>
              </w:rPr>
            </w:pPr>
            <w:r w:rsidRPr="00680250">
              <w:rPr>
                <w:color w:val="000000"/>
                <w:szCs w:val="20"/>
              </w:rPr>
              <w:t>10,082</w:t>
            </w:r>
          </w:p>
        </w:tc>
        <w:tc>
          <w:tcPr>
            <w:tcW w:w="1430" w:type="dxa"/>
            <w:shd w:val="clear" w:color="auto" w:fill="auto"/>
            <w:vAlign w:val="bottom"/>
          </w:tcPr>
          <w:p w:rsidR="000E33B8" w:rsidRPr="00680250" w14:paraId="59F49EB4" w14:textId="77777777">
            <w:pPr>
              <w:widowControl/>
              <w:adjustRightInd/>
              <w:jc w:val="right"/>
              <w:rPr>
                <w:color w:val="000000"/>
                <w:szCs w:val="20"/>
              </w:rPr>
            </w:pPr>
            <w:r w:rsidRPr="00680250">
              <w:rPr>
                <w:color w:val="000000"/>
                <w:szCs w:val="20"/>
              </w:rPr>
              <w:t>10,082</w:t>
            </w:r>
          </w:p>
        </w:tc>
        <w:tc>
          <w:tcPr>
            <w:tcW w:w="1092" w:type="dxa"/>
            <w:vAlign w:val="bottom"/>
          </w:tcPr>
          <w:p w:rsidR="000E33B8" w:rsidRPr="00680250" w14:paraId="18793C9B" w14:textId="77777777">
            <w:pPr>
              <w:widowControl/>
              <w:adjustRightInd/>
              <w:jc w:val="right"/>
              <w:rPr>
                <w:color w:val="000000"/>
                <w:szCs w:val="20"/>
              </w:rPr>
            </w:pPr>
            <w:r w:rsidRPr="00680250">
              <w:rPr>
                <w:color w:val="000000"/>
                <w:szCs w:val="20"/>
              </w:rPr>
              <w:t>16,803</w:t>
            </w:r>
          </w:p>
        </w:tc>
        <w:tc>
          <w:tcPr>
            <w:tcW w:w="1015" w:type="dxa"/>
            <w:shd w:val="clear" w:color="auto" w:fill="auto"/>
            <w:vAlign w:val="bottom"/>
          </w:tcPr>
          <w:p w:rsidR="000E33B8" w:rsidRPr="00680250" w14:paraId="7E16B848" w14:textId="77777777">
            <w:pPr>
              <w:widowControl/>
              <w:adjustRightInd/>
              <w:jc w:val="right"/>
              <w:rPr>
                <w:color w:val="000000"/>
                <w:szCs w:val="20"/>
              </w:rPr>
            </w:pPr>
            <w:r w:rsidRPr="00680250">
              <w:rPr>
                <w:color w:val="000000"/>
                <w:szCs w:val="20"/>
              </w:rPr>
              <w:t>50,410</w:t>
            </w:r>
          </w:p>
        </w:tc>
      </w:tr>
      <w:tr w14:paraId="6752387B" w14:textId="77777777">
        <w:tblPrEx>
          <w:tblW w:w="4295" w:type="pct"/>
          <w:jc w:val="center"/>
          <w:tblLayout w:type="fixed"/>
          <w:tblLook w:val="04A0"/>
        </w:tblPrEx>
        <w:trPr>
          <w:trHeight w:val="517"/>
          <w:jc w:val="center"/>
        </w:trPr>
        <w:tc>
          <w:tcPr>
            <w:tcW w:w="1530" w:type="dxa"/>
            <w:shd w:val="clear" w:color="auto" w:fill="auto"/>
            <w:vAlign w:val="bottom"/>
          </w:tcPr>
          <w:p w:rsidR="000E33B8" w:rsidRPr="00680250" w14:paraId="094C8B08" w14:textId="77777777">
            <w:pPr>
              <w:widowControl/>
              <w:adjustRightInd/>
              <w:rPr>
                <w:color w:val="000000"/>
                <w:szCs w:val="20"/>
              </w:rPr>
            </w:pPr>
            <w:r w:rsidRPr="00680250">
              <w:rPr>
                <w:color w:val="000000"/>
                <w:szCs w:val="20"/>
              </w:rPr>
              <w:t xml:space="preserve">P1 and 2 Complex Facilities </w:t>
            </w:r>
          </w:p>
        </w:tc>
        <w:tc>
          <w:tcPr>
            <w:tcW w:w="1705" w:type="dxa"/>
            <w:shd w:val="clear" w:color="auto" w:fill="auto"/>
            <w:vAlign w:val="bottom"/>
          </w:tcPr>
          <w:p w:rsidR="000E33B8" w:rsidRPr="00680250" w14:paraId="587E6036" w14:textId="77777777">
            <w:pPr>
              <w:widowControl/>
              <w:adjustRightInd/>
              <w:jc w:val="center"/>
              <w:rPr>
                <w:color w:val="000000"/>
                <w:szCs w:val="20"/>
              </w:rPr>
            </w:pPr>
            <w:r w:rsidRPr="00680250">
              <w:rPr>
                <w:color w:val="000000"/>
                <w:szCs w:val="20"/>
              </w:rPr>
              <w:t>5</w:t>
            </w:r>
          </w:p>
        </w:tc>
        <w:tc>
          <w:tcPr>
            <w:tcW w:w="1260" w:type="dxa"/>
            <w:shd w:val="clear" w:color="auto" w:fill="auto"/>
            <w:vAlign w:val="bottom"/>
          </w:tcPr>
          <w:p w:rsidR="000E33B8" w:rsidRPr="00680250" w14:paraId="033DDB33" w14:textId="77777777">
            <w:pPr>
              <w:widowControl/>
              <w:adjustRightInd/>
              <w:jc w:val="right"/>
              <w:rPr>
                <w:color w:val="000000"/>
                <w:szCs w:val="20"/>
              </w:rPr>
            </w:pPr>
            <w:r w:rsidRPr="00680250">
              <w:rPr>
                <w:color w:val="000000"/>
                <w:szCs w:val="20"/>
              </w:rPr>
              <w:t>131</w:t>
            </w:r>
          </w:p>
        </w:tc>
        <w:tc>
          <w:tcPr>
            <w:tcW w:w="1430" w:type="dxa"/>
            <w:shd w:val="clear" w:color="auto" w:fill="auto"/>
            <w:vAlign w:val="bottom"/>
          </w:tcPr>
          <w:p w:rsidR="000E33B8" w:rsidRPr="00680250" w14:paraId="770EF65C" w14:textId="77777777">
            <w:pPr>
              <w:widowControl/>
              <w:adjustRightInd/>
              <w:jc w:val="right"/>
              <w:rPr>
                <w:color w:val="000000"/>
                <w:szCs w:val="20"/>
              </w:rPr>
            </w:pPr>
            <w:r w:rsidRPr="00680250">
              <w:rPr>
                <w:color w:val="000000"/>
                <w:szCs w:val="20"/>
              </w:rPr>
              <w:t>131</w:t>
            </w:r>
          </w:p>
        </w:tc>
        <w:tc>
          <w:tcPr>
            <w:tcW w:w="1092" w:type="dxa"/>
            <w:vAlign w:val="bottom"/>
          </w:tcPr>
          <w:p w:rsidR="000E33B8" w:rsidRPr="00680250" w14:paraId="140E2887" w14:textId="77777777">
            <w:pPr>
              <w:widowControl/>
              <w:adjustRightInd/>
              <w:jc w:val="right"/>
              <w:rPr>
                <w:color w:val="000000"/>
                <w:szCs w:val="20"/>
              </w:rPr>
            </w:pPr>
            <w:r w:rsidRPr="00680250">
              <w:rPr>
                <w:color w:val="000000"/>
                <w:szCs w:val="20"/>
              </w:rPr>
              <w:t>218</w:t>
            </w:r>
          </w:p>
        </w:tc>
        <w:tc>
          <w:tcPr>
            <w:tcW w:w="1015" w:type="dxa"/>
            <w:shd w:val="clear" w:color="auto" w:fill="auto"/>
            <w:vAlign w:val="bottom"/>
          </w:tcPr>
          <w:p w:rsidR="000E33B8" w:rsidRPr="00680250" w14:paraId="7E358C3F" w14:textId="77777777">
            <w:pPr>
              <w:widowControl/>
              <w:adjustRightInd/>
              <w:jc w:val="right"/>
              <w:rPr>
                <w:color w:val="000000"/>
                <w:szCs w:val="20"/>
              </w:rPr>
            </w:pPr>
            <w:r w:rsidRPr="00680250">
              <w:rPr>
                <w:color w:val="000000"/>
                <w:szCs w:val="20"/>
              </w:rPr>
              <w:t>655</w:t>
            </w:r>
          </w:p>
        </w:tc>
      </w:tr>
      <w:tr w14:paraId="5223D797" w14:textId="77777777">
        <w:tblPrEx>
          <w:tblW w:w="4295" w:type="pct"/>
          <w:jc w:val="center"/>
          <w:tblLayout w:type="fixed"/>
          <w:tblLook w:val="04A0"/>
        </w:tblPrEx>
        <w:trPr>
          <w:trHeight w:val="517"/>
          <w:jc w:val="center"/>
        </w:trPr>
        <w:tc>
          <w:tcPr>
            <w:tcW w:w="1530" w:type="dxa"/>
            <w:shd w:val="clear" w:color="auto" w:fill="auto"/>
            <w:vAlign w:val="bottom"/>
          </w:tcPr>
          <w:p w:rsidR="000E33B8" w:rsidRPr="00680250" w14:paraId="584DC097" w14:textId="77777777">
            <w:pPr>
              <w:widowControl/>
              <w:adjustRightInd/>
              <w:rPr>
                <w:color w:val="000000"/>
                <w:szCs w:val="20"/>
              </w:rPr>
            </w:pPr>
            <w:r w:rsidRPr="00680250">
              <w:rPr>
                <w:color w:val="000000"/>
                <w:szCs w:val="20"/>
              </w:rPr>
              <w:t>P3 Complex Facilities</w:t>
            </w:r>
          </w:p>
        </w:tc>
        <w:tc>
          <w:tcPr>
            <w:tcW w:w="1705" w:type="dxa"/>
            <w:shd w:val="clear" w:color="auto" w:fill="auto"/>
            <w:vAlign w:val="bottom"/>
          </w:tcPr>
          <w:p w:rsidR="000E33B8" w:rsidRPr="00680250" w14:paraId="39E24F00" w14:textId="77777777">
            <w:pPr>
              <w:widowControl/>
              <w:adjustRightInd/>
              <w:jc w:val="center"/>
              <w:rPr>
                <w:color w:val="000000"/>
                <w:szCs w:val="20"/>
              </w:rPr>
            </w:pPr>
            <w:r w:rsidRPr="00680250">
              <w:rPr>
                <w:color w:val="000000"/>
                <w:szCs w:val="20"/>
              </w:rPr>
              <w:t>292</w:t>
            </w:r>
          </w:p>
        </w:tc>
        <w:tc>
          <w:tcPr>
            <w:tcW w:w="1260" w:type="dxa"/>
            <w:shd w:val="clear" w:color="auto" w:fill="auto"/>
            <w:vAlign w:val="bottom"/>
          </w:tcPr>
          <w:p w:rsidR="000E33B8" w:rsidRPr="00680250" w14:paraId="39FD8D4A" w14:textId="77777777">
            <w:pPr>
              <w:widowControl/>
              <w:adjustRightInd/>
              <w:jc w:val="right"/>
              <w:rPr>
                <w:color w:val="000000"/>
                <w:szCs w:val="20"/>
              </w:rPr>
            </w:pPr>
            <w:r w:rsidRPr="00680250">
              <w:rPr>
                <w:color w:val="000000"/>
                <w:szCs w:val="20"/>
              </w:rPr>
              <w:t>1,527</w:t>
            </w:r>
          </w:p>
        </w:tc>
        <w:tc>
          <w:tcPr>
            <w:tcW w:w="1430" w:type="dxa"/>
            <w:shd w:val="clear" w:color="auto" w:fill="auto"/>
            <w:vAlign w:val="bottom"/>
          </w:tcPr>
          <w:p w:rsidR="000E33B8" w:rsidRPr="00680250" w14:paraId="4F222500" w14:textId="77777777">
            <w:pPr>
              <w:widowControl/>
              <w:adjustRightInd/>
              <w:jc w:val="right"/>
              <w:rPr>
                <w:color w:val="000000"/>
                <w:szCs w:val="20"/>
              </w:rPr>
            </w:pPr>
            <w:r w:rsidRPr="00680250">
              <w:rPr>
                <w:color w:val="000000"/>
                <w:szCs w:val="20"/>
              </w:rPr>
              <w:t>1,527</w:t>
            </w:r>
          </w:p>
        </w:tc>
        <w:tc>
          <w:tcPr>
            <w:tcW w:w="1092" w:type="dxa"/>
            <w:vAlign w:val="bottom"/>
          </w:tcPr>
          <w:p w:rsidR="000E33B8" w:rsidRPr="00680250" w14:paraId="6BF25806" w14:textId="1E935F4B">
            <w:pPr>
              <w:widowControl/>
              <w:adjustRightInd/>
              <w:jc w:val="right"/>
              <w:rPr>
                <w:color w:val="000000"/>
                <w:szCs w:val="20"/>
              </w:rPr>
            </w:pPr>
            <w:r>
              <w:rPr>
                <w:color w:val="000000"/>
                <w:szCs w:val="20"/>
              </w:rPr>
              <w:t>148,628</w:t>
            </w:r>
          </w:p>
        </w:tc>
        <w:tc>
          <w:tcPr>
            <w:tcW w:w="1015" w:type="dxa"/>
            <w:shd w:val="clear" w:color="auto" w:fill="auto"/>
            <w:vAlign w:val="bottom"/>
          </w:tcPr>
          <w:p w:rsidR="000E33B8" w:rsidRPr="00680250" w14:paraId="4B27D504" w14:textId="77777777">
            <w:pPr>
              <w:widowControl/>
              <w:adjustRightInd/>
              <w:jc w:val="right"/>
              <w:rPr>
                <w:color w:val="000000"/>
                <w:szCs w:val="20"/>
              </w:rPr>
            </w:pPr>
            <w:r w:rsidRPr="00680250">
              <w:rPr>
                <w:color w:val="000000"/>
                <w:szCs w:val="20"/>
              </w:rPr>
              <w:t>445,884</w:t>
            </w:r>
          </w:p>
        </w:tc>
      </w:tr>
      <w:tr w14:paraId="22DEBF03" w14:textId="77777777">
        <w:tblPrEx>
          <w:tblW w:w="4295" w:type="pct"/>
          <w:jc w:val="center"/>
          <w:tblLayout w:type="fixed"/>
          <w:tblLook w:val="04A0"/>
        </w:tblPrEx>
        <w:trPr>
          <w:trHeight w:val="517"/>
          <w:jc w:val="center"/>
        </w:trPr>
        <w:tc>
          <w:tcPr>
            <w:tcW w:w="1530" w:type="dxa"/>
            <w:shd w:val="clear" w:color="auto" w:fill="auto"/>
            <w:vAlign w:val="bottom"/>
          </w:tcPr>
          <w:p w:rsidR="000E33B8" w:rsidRPr="00680250" w14:paraId="44128D3A" w14:textId="77777777">
            <w:pPr>
              <w:widowControl/>
              <w:adjustRightInd/>
              <w:rPr>
                <w:color w:val="000000"/>
                <w:szCs w:val="20"/>
              </w:rPr>
            </w:pPr>
            <w:r w:rsidRPr="00680250">
              <w:rPr>
                <w:color w:val="000000"/>
                <w:szCs w:val="20"/>
              </w:rPr>
              <w:t>LEPCs</w:t>
            </w:r>
          </w:p>
        </w:tc>
        <w:tc>
          <w:tcPr>
            <w:tcW w:w="1705" w:type="dxa"/>
            <w:shd w:val="clear" w:color="auto" w:fill="auto"/>
            <w:vAlign w:val="bottom"/>
          </w:tcPr>
          <w:p w:rsidR="000E33B8" w:rsidRPr="00680250" w14:paraId="16C0CDF4" w14:textId="77777777">
            <w:pPr>
              <w:widowControl/>
              <w:adjustRightInd/>
              <w:jc w:val="center"/>
              <w:rPr>
                <w:color w:val="000000"/>
                <w:szCs w:val="20"/>
              </w:rPr>
            </w:pPr>
            <w:r w:rsidRPr="00680250">
              <w:rPr>
                <w:color w:val="000000"/>
                <w:szCs w:val="20"/>
              </w:rPr>
              <w:t>5</w:t>
            </w:r>
          </w:p>
        </w:tc>
        <w:tc>
          <w:tcPr>
            <w:tcW w:w="1260" w:type="dxa"/>
            <w:shd w:val="clear" w:color="auto" w:fill="auto"/>
            <w:vAlign w:val="bottom"/>
          </w:tcPr>
          <w:p w:rsidR="000E33B8" w:rsidRPr="00680250" w14:paraId="7DA9C1FC" w14:textId="77777777">
            <w:pPr>
              <w:widowControl/>
              <w:adjustRightInd/>
              <w:jc w:val="right"/>
              <w:rPr>
                <w:color w:val="000000"/>
                <w:szCs w:val="20"/>
              </w:rPr>
            </w:pPr>
            <w:r w:rsidRPr="00680250">
              <w:rPr>
                <w:color w:val="000000"/>
                <w:szCs w:val="20"/>
              </w:rPr>
              <w:t>2,473</w:t>
            </w:r>
          </w:p>
        </w:tc>
        <w:tc>
          <w:tcPr>
            <w:tcW w:w="1430" w:type="dxa"/>
            <w:shd w:val="clear" w:color="auto" w:fill="auto"/>
            <w:vAlign w:val="bottom"/>
          </w:tcPr>
          <w:p w:rsidR="000E33B8" w:rsidRPr="00680250" w14:paraId="7483D129" w14:textId="77777777">
            <w:pPr>
              <w:widowControl/>
              <w:adjustRightInd/>
              <w:jc w:val="right"/>
              <w:rPr>
                <w:color w:val="000000"/>
                <w:szCs w:val="20"/>
              </w:rPr>
            </w:pPr>
            <w:r w:rsidRPr="00680250">
              <w:rPr>
                <w:color w:val="000000"/>
                <w:szCs w:val="20"/>
              </w:rPr>
              <w:t>2,473</w:t>
            </w:r>
          </w:p>
        </w:tc>
        <w:tc>
          <w:tcPr>
            <w:tcW w:w="1092" w:type="dxa"/>
            <w:vAlign w:val="bottom"/>
          </w:tcPr>
          <w:p w:rsidR="000E33B8" w:rsidRPr="00680250" w14:paraId="7FFC1265" w14:textId="77777777">
            <w:pPr>
              <w:widowControl/>
              <w:adjustRightInd/>
              <w:jc w:val="right"/>
              <w:rPr>
                <w:color w:val="000000"/>
                <w:szCs w:val="20"/>
              </w:rPr>
            </w:pPr>
            <w:r w:rsidRPr="00680250">
              <w:rPr>
                <w:color w:val="000000"/>
                <w:szCs w:val="20"/>
              </w:rPr>
              <w:t>4,122</w:t>
            </w:r>
          </w:p>
        </w:tc>
        <w:tc>
          <w:tcPr>
            <w:tcW w:w="1015" w:type="dxa"/>
            <w:shd w:val="clear" w:color="auto" w:fill="auto"/>
            <w:vAlign w:val="bottom"/>
          </w:tcPr>
          <w:p w:rsidR="000E33B8" w:rsidRPr="00680250" w14:paraId="045A9A51" w14:textId="77777777">
            <w:pPr>
              <w:widowControl/>
              <w:adjustRightInd/>
              <w:jc w:val="right"/>
              <w:rPr>
                <w:color w:val="000000"/>
                <w:szCs w:val="20"/>
              </w:rPr>
            </w:pPr>
            <w:r w:rsidRPr="00680250">
              <w:rPr>
                <w:color w:val="000000"/>
                <w:szCs w:val="20"/>
              </w:rPr>
              <w:t>12,365</w:t>
            </w:r>
          </w:p>
        </w:tc>
      </w:tr>
      <w:tr w14:paraId="34A0C782" w14:textId="77777777">
        <w:tblPrEx>
          <w:tblW w:w="4295" w:type="pct"/>
          <w:jc w:val="center"/>
          <w:tblLayout w:type="fixed"/>
          <w:tblLook w:val="04A0"/>
        </w:tblPrEx>
        <w:trPr>
          <w:trHeight w:val="517"/>
          <w:jc w:val="center"/>
        </w:trPr>
        <w:tc>
          <w:tcPr>
            <w:tcW w:w="1530" w:type="dxa"/>
            <w:shd w:val="clear" w:color="auto" w:fill="auto"/>
            <w:vAlign w:val="bottom"/>
          </w:tcPr>
          <w:p w:rsidR="000E33B8" w:rsidRPr="00680250" w14:paraId="5652A8A9" w14:textId="77777777">
            <w:pPr>
              <w:widowControl/>
              <w:adjustRightInd/>
              <w:rPr>
                <w:color w:val="000000"/>
                <w:szCs w:val="20"/>
              </w:rPr>
            </w:pPr>
            <w:r w:rsidRPr="00680250">
              <w:rPr>
                <w:color w:val="000000"/>
                <w:szCs w:val="20"/>
              </w:rPr>
              <w:t>Delegated Implementing Agencies</w:t>
            </w:r>
          </w:p>
        </w:tc>
        <w:tc>
          <w:tcPr>
            <w:tcW w:w="1705" w:type="dxa"/>
            <w:shd w:val="clear" w:color="auto" w:fill="auto"/>
            <w:vAlign w:val="bottom"/>
          </w:tcPr>
          <w:p w:rsidR="000E33B8" w:rsidRPr="00680250" w14:paraId="3C1D3BAE" w14:textId="77777777">
            <w:pPr>
              <w:widowControl/>
              <w:adjustRightInd/>
              <w:jc w:val="center"/>
              <w:rPr>
                <w:color w:val="000000"/>
                <w:szCs w:val="20"/>
              </w:rPr>
            </w:pPr>
            <w:r w:rsidRPr="00680250">
              <w:rPr>
                <w:color w:val="000000"/>
                <w:szCs w:val="20"/>
              </w:rPr>
              <w:t>5</w:t>
            </w:r>
          </w:p>
        </w:tc>
        <w:tc>
          <w:tcPr>
            <w:tcW w:w="1260" w:type="dxa"/>
            <w:shd w:val="clear" w:color="auto" w:fill="auto"/>
            <w:vAlign w:val="bottom"/>
          </w:tcPr>
          <w:p w:rsidR="000E33B8" w:rsidRPr="00680250" w14:paraId="48874559" w14:textId="77777777">
            <w:pPr>
              <w:widowControl/>
              <w:adjustRightInd/>
              <w:jc w:val="right"/>
              <w:rPr>
                <w:color w:val="000000"/>
                <w:szCs w:val="20"/>
              </w:rPr>
            </w:pPr>
            <w:r w:rsidRPr="00680250">
              <w:rPr>
                <w:color w:val="000000"/>
                <w:szCs w:val="20"/>
              </w:rPr>
              <w:t>13</w:t>
            </w:r>
          </w:p>
        </w:tc>
        <w:tc>
          <w:tcPr>
            <w:tcW w:w="1430" w:type="dxa"/>
            <w:shd w:val="clear" w:color="auto" w:fill="auto"/>
            <w:vAlign w:val="bottom"/>
          </w:tcPr>
          <w:p w:rsidR="000E33B8" w:rsidRPr="00680250" w14:paraId="087C3795" w14:textId="77777777">
            <w:pPr>
              <w:widowControl/>
              <w:adjustRightInd/>
              <w:jc w:val="right"/>
              <w:rPr>
                <w:color w:val="000000"/>
                <w:szCs w:val="20"/>
              </w:rPr>
            </w:pPr>
            <w:r w:rsidRPr="00680250">
              <w:rPr>
                <w:color w:val="000000"/>
                <w:szCs w:val="20"/>
              </w:rPr>
              <w:t>13</w:t>
            </w:r>
          </w:p>
        </w:tc>
        <w:tc>
          <w:tcPr>
            <w:tcW w:w="1092" w:type="dxa"/>
            <w:vAlign w:val="bottom"/>
          </w:tcPr>
          <w:p w:rsidR="000E33B8" w:rsidRPr="00680250" w14:paraId="206D1736" w14:textId="77777777">
            <w:pPr>
              <w:widowControl/>
              <w:adjustRightInd/>
              <w:jc w:val="right"/>
              <w:rPr>
                <w:color w:val="000000"/>
                <w:szCs w:val="20"/>
              </w:rPr>
            </w:pPr>
            <w:r w:rsidRPr="00680250">
              <w:rPr>
                <w:color w:val="000000"/>
                <w:szCs w:val="20"/>
              </w:rPr>
              <w:t>22</w:t>
            </w:r>
          </w:p>
        </w:tc>
        <w:tc>
          <w:tcPr>
            <w:tcW w:w="1015" w:type="dxa"/>
            <w:shd w:val="clear" w:color="auto" w:fill="auto"/>
            <w:vAlign w:val="bottom"/>
          </w:tcPr>
          <w:p w:rsidR="000E33B8" w:rsidRPr="00680250" w14:paraId="1420426B" w14:textId="77777777">
            <w:pPr>
              <w:widowControl/>
              <w:adjustRightInd/>
              <w:jc w:val="right"/>
              <w:rPr>
                <w:color w:val="000000"/>
                <w:szCs w:val="20"/>
              </w:rPr>
            </w:pPr>
            <w:r w:rsidRPr="00680250">
              <w:rPr>
                <w:color w:val="000000"/>
                <w:szCs w:val="20"/>
              </w:rPr>
              <w:t>65</w:t>
            </w:r>
          </w:p>
        </w:tc>
      </w:tr>
    </w:tbl>
    <w:p w:rsidR="000E33B8" w:rsidRPr="00BD6C52" w:rsidP="000E33B8" w14:paraId="17128864"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rPr>
          <w:szCs w:val="20"/>
        </w:rPr>
      </w:pPr>
      <w:r w:rsidRPr="00BD6C52">
        <w:rPr>
          <w:szCs w:val="20"/>
        </w:rPr>
        <w:t xml:space="preserve">* EPA assumed the burden associated with rule familiarization would be incurred by all facilities in year 1. </w:t>
      </w:r>
      <w:r w:rsidRPr="00BD6C52">
        <w:rPr>
          <w:szCs w:val="20"/>
        </w:rPr>
        <w:br/>
      </w:r>
    </w:p>
    <w:p w:rsidR="000E33B8" w:rsidRPr="009C6838" w:rsidP="000E33B8" w14:paraId="3D0726B7" w14:textId="77777777">
      <w:pPr>
        <w:rPr>
          <w:sz w:val="22"/>
          <w:szCs w:val="28"/>
        </w:rPr>
      </w:pPr>
      <w:r w:rsidRPr="00875E5E">
        <w:rPr>
          <w:bCs/>
          <w:i/>
          <w:iCs/>
          <w:sz w:val="22"/>
          <w:szCs w:val="28"/>
        </w:rPr>
        <w:t>Safer Technology Alternatives Analysis (STAA)</w:t>
      </w:r>
      <w:r>
        <w:rPr>
          <w:bCs/>
          <w:i/>
          <w:iCs/>
          <w:sz w:val="22"/>
          <w:szCs w:val="28"/>
        </w:rPr>
        <w:t xml:space="preserve"> </w:t>
      </w:r>
      <w:r>
        <w:rPr>
          <w:sz w:val="22"/>
          <w:szCs w:val="28"/>
        </w:rPr>
        <w:t xml:space="preserve">- </w:t>
      </w:r>
      <w:r w:rsidRPr="009C6838">
        <w:rPr>
          <w:sz w:val="22"/>
          <w:szCs w:val="28"/>
        </w:rPr>
        <w:t xml:space="preserve">An initial analysis and documentation is required of all facility processes. EPA believes that some facilities may already have conducted such analyses but has taken the conservative approach of assuming that all facilities subject to the STAA provision will conduct them for all processes as a result of the </w:t>
      </w:r>
      <w:r>
        <w:rPr>
          <w:sz w:val="22"/>
          <w:szCs w:val="28"/>
        </w:rPr>
        <w:t>final</w:t>
      </w:r>
      <w:r w:rsidRPr="009C6838">
        <w:rPr>
          <w:sz w:val="22"/>
          <w:szCs w:val="28"/>
        </w:rPr>
        <w:t xml:space="preserve"> rule. Following the initial analysis, EPA is </w:t>
      </w:r>
      <w:r>
        <w:rPr>
          <w:sz w:val="22"/>
          <w:szCs w:val="28"/>
        </w:rPr>
        <w:t>finalizing the requirement</w:t>
      </w:r>
      <w:r w:rsidRPr="009C6838">
        <w:rPr>
          <w:sz w:val="22"/>
          <w:szCs w:val="28"/>
        </w:rPr>
        <w:t xml:space="preserve"> that a practicability assessment be conducted if the initial analysis determines the existence of inherently safer alternatives. EPA expects a practicability assessment to occur only when warranted by the outcome of an initial analysis. EPA also anticipates that some facilities will conduct practicability studies to address alternatives considered in multiple initial analyses. Consequently, some complex firms </w:t>
      </w:r>
      <w:r w:rsidRPr="009C6838">
        <w:rPr>
          <w:sz w:val="22"/>
          <w:szCs w:val="28"/>
        </w:rPr>
        <w:t>are assumed to conduct practicability studies that address up to 12 different alternatives. EPA is retaining the estimates of the hours required to conduct an initial analysis from the 2017 amendments rule RIA and updating the costs to 202</w:t>
      </w:r>
      <w:r>
        <w:rPr>
          <w:sz w:val="22"/>
          <w:szCs w:val="28"/>
        </w:rPr>
        <w:t>2</w:t>
      </w:r>
      <w:r w:rsidRPr="009C6838">
        <w:rPr>
          <w:sz w:val="22"/>
          <w:szCs w:val="28"/>
        </w:rPr>
        <w:t xml:space="preserve"> dollars</w:t>
      </w:r>
      <w:r w:rsidRPr="00922C1A">
        <w:rPr>
          <w:sz w:val="22"/>
          <w:szCs w:val="28"/>
        </w:rPr>
        <w:t>. For large complex facilities, EPA estimates that a total of 738 engineering hours will be required,</w:t>
      </w:r>
      <w:r>
        <w:rPr>
          <w:sz w:val="22"/>
          <w:szCs w:val="28"/>
          <w:vertAlign w:val="superscript"/>
        </w:rPr>
        <w:footnoteReference w:id="8"/>
      </w:r>
      <w:r w:rsidRPr="00922C1A">
        <w:rPr>
          <w:sz w:val="22"/>
          <w:szCs w:val="28"/>
        </w:rPr>
        <w:t xml:space="preserve"> for Small/Medium facilities, a total of 130 hours will be required (20 hours of management, 0.5 hours of corporate management, 3.5 hours of attorney time, 82.5 hours of engineering, and 23.5 hours of production staff support).</w:t>
      </w:r>
      <w:r>
        <w:rPr>
          <w:rStyle w:val="FootnoteReference"/>
          <w:sz w:val="22"/>
          <w:szCs w:val="28"/>
        </w:rPr>
        <w:footnoteReference w:id="9"/>
      </w:r>
      <w:r w:rsidRPr="009C6838">
        <w:rPr>
          <w:sz w:val="22"/>
          <w:szCs w:val="28"/>
        </w:rPr>
        <w:t xml:space="preserve"> </w:t>
      </w:r>
    </w:p>
    <w:p w:rsidR="000E33B8" w:rsidRPr="009C6838" w:rsidP="000E33B8" w14:paraId="566511C5" w14:textId="77777777">
      <w:pPr>
        <w:ind w:firstLine="720"/>
        <w:rPr>
          <w:sz w:val="22"/>
          <w:szCs w:val="28"/>
        </w:rPr>
      </w:pPr>
    </w:p>
    <w:p w:rsidR="000E33B8" w:rsidP="000E33B8" w14:paraId="6905FAF9" w14:textId="129A8752">
      <w:pPr>
        <w:rPr>
          <w:sz w:val="22"/>
          <w:szCs w:val="28"/>
        </w:rPr>
      </w:pPr>
      <w:r w:rsidRPr="009C6838">
        <w:rPr>
          <w:sz w:val="22"/>
          <w:szCs w:val="28"/>
        </w:rPr>
        <w:t>The technical practicability assessment considers the extent of process redesign, its engineering implications, and possible costs. To estimate the cost of the practicability study, referred to in some literature and comments as a feasibility study, EPA maintains the approach developed for the amendments rule RIA. That approach is to identify “reference” STAA projects for the sectors affected by the provision, estimate costs of the reference projects, and apply a percentage to the project cost to calculate the practicability study cost.  EPA adopts the same 1.2 percent of project costs that was estimated for the amendments rule RIA.</w:t>
      </w:r>
      <w:r>
        <w:rPr>
          <w:rStyle w:val="FootnoteReference"/>
          <w:sz w:val="22"/>
          <w:szCs w:val="28"/>
        </w:rPr>
        <w:footnoteReference w:id="10"/>
      </w:r>
      <w:r w:rsidRPr="009C6838">
        <w:rPr>
          <w:sz w:val="22"/>
          <w:szCs w:val="28"/>
        </w:rPr>
        <w:t xml:space="preserve"> EPA then applies the 1.2 percentage estimate to project costs to estimate the practicability study cost (see the Regulatory Impact Analysis for the </w:t>
      </w:r>
      <w:r>
        <w:rPr>
          <w:sz w:val="22"/>
          <w:szCs w:val="28"/>
        </w:rPr>
        <w:t>final</w:t>
      </w:r>
      <w:r w:rsidRPr="009C6838">
        <w:rPr>
          <w:sz w:val="22"/>
          <w:szCs w:val="28"/>
        </w:rPr>
        <w:t xml:space="preserve"> rule for additional detail; Section 4.4).</w:t>
      </w:r>
      <w:r w:rsidR="00127393">
        <w:rPr>
          <w:sz w:val="22"/>
          <w:szCs w:val="28"/>
        </w:rPr>
        <w:t xml:space="preserve"> </w:t>
      </w:r>
    </w:p>
    <w:p w:rsidR="0069131E" w:rsidP="000E33B8" w14:paraId="0815D064" w14:textId="77777777">
      <w:pPr>
        <w:rPr>
          <w:sz w:val="22"/>
          <w:szCs w:val="28"/>
        </w:rPr>
      </w:pPr>
    </w:p>
    <w:p w:rsidR="000E33B8" w:rsidRPr="00451AB6" w:rsidP="000E33B8" w14:paraId="257A0A62" w14:textId="071A4003">
      <w:pPr>
        <w:pStyle w:val="Caption"/>
        <w:keepNext/>
        <w:spacing w:after="0"/>
        <w:jc w:val="center"/>
        <w:rPr>
          <w:b/>
          <w:bCs/>
          <w:i w:val="0"/>
          <w:iCs w:val="0"/>
          <w:color w:val="auto"/>
          <w:sz w:val="22"/>
          <w:szCs w:val="22"/>
        </w:rPr>
      </w:pPr>
      <w:r w:rsidRPr="00451AB6">
        <w:rPr>
          <w:b/>
          <w:bCs/>
          <w:i w:val="0"/>
          <w:iCs w:val="0"/>
          <w:color w:val="auto"/>
          <w:sz w:val="22"/>
          <w:szCs w:val="22"/>
        </w:rPr>
        <w:t>Exhibit</w:t>
      </w:r>
      <w:r>
        <w:rPr>
          <w:b/>
          <w:bCs/>
          <w:i w:val="0"/>
          <w:iCs w:val="0"/>
          <w:color w:val="auto"/>
          <w:sz w:val="22"/>
          <w:szCs w:val="22"/>
        </w:rPr>
        <w:t xml:space="preserve"> </w:t>
      </w:r>
      <w:r w:rsidR="00CF3F54">
        <w:rPr>
          <w:b/>
          <w:bCs/>
          <w:i w:val="0"/>
          <w:iCs w:val="0"/>
          <w:color w:val="auto"/>
          <w:sz w:val="22"/>
          <w:szCs w:val="22"/>
        </w:rPr>
        <w:t>6</w:t>
      </w:r>
      <w:r>
        <w:rPr>
          <w:b/>
          <w:bCs/>
          <w:i w:val="0"/>
          <w:iCs w:val="0"/>
          <w:color w:val="auto"/>
          <w:sz w:val="22"/>
          <w:szCs w:val="22"/>
        </w:rPr>
        <w:t>:</w:t>
      </w:r>
      <w:r w:rsidRPr="009C6838">
        <w:rPr>
          <w:b/>
          <w:bCs/>
          <w:sz w:val="22"/>
          <w:szCs w:val="22"/>
        </w:rPr>
        <w:t xml:space="preserve"> </w:t>
      </w:r>
      <w:r w:rsidRPr="00EB2EEA">
        <w:t xml:space="preserve"> </w:t>
      </w:r>
      <w:r w:rsidRPr="00EB2EEA">
        <w:rPr>
          <w:b/>
          <w:bCs/>
          <w:i w:val="0"/>
          <w:iCs w:val="0"/>
          <w:color w:val="auto"/>
          <w:sz w:val="22"/>
          <w:szCs w:val="22"/>
        </w:rPr>
        <w:t>Hour</w:t>
      </w:r>
      <w:r>
        <w:rPr>
          <w:b/>
          <w:bCs/>
          <w:i w:val="0"/>
          <w:iCs w:val="0"/>
          <w:color w:val="auto"/>
          <w:sz w:val="22"/>
          <w:szCs w:val="22"/>
        </w:rPr>
        <w:t xml:space="preserve"> Burden</w:t>
      </w:r>
      <w:r w:rsidRPr="00451AB6">
        <w:rPr>
          <w:b/>
          <w:bCs/>
          <w:i w:val="0"/>
          <w:iCs w:val="0"/>
          <w:color w:val="auto"/>
          <w:sz w:val="22"/>
          <w:szCs w:val="22"/>
        </w:rPr>
        <w:t xml:space="preserve"> for STAA</w:t>
      </w:r>
    </w:p>
    <w:tbl>
      <w:tblPr>
        <w:tblW w:w="7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5"/>
        <w:gridCol w:w="1440"/>
        <w:gridCol w:w="1080"/>
        <w:gridCol w:w="919"/>
        <w:gridCol w:w="1157"/>
        <w:gridCol w:w="1254"/>
      </w:tblGrid>
      <w:tr w14:paraId="787388DA" w14:textId="77777777" w:rsidTr="00866F83">
        <w:tblPrEx>
          <w:tblW w:w="7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4"/>
          <w:jc w:val="center"/>
        </w:trPr>
        <w:tc>
          <w:tcPr>
            <w:tcW w:w="1525" w:type="dxa"/>
            <w:vMerge w:val="restart"/>
            <w:tcBorders>
              <w:top w:val="single" w:sz="4" w:space="0" w:color="auto"/>
            </w:tcBorders>
            <w:shd w:val="clear" w:color="auto" w:fill="D9D9D9" w:themeFill="background1" w:themeFillShade="D9"/>
            <w:vAlign w:val="center"/>
          </w:tcPr>
          <w:p w:rsidR="00866F83" w:rsidRPr="00D206B9" w14:paraId="55ED28F8" w14:textId="77777777">
            <w:pPr>
              <w:keepNext/>
              <w:keepLines/>
              <w:jc w:val="center"/>
              <w:rPr>
                <w:b/>
                <w:bCs/>
                <w:szCs w:val="20"/>
              </w:rPr>
            </w:pPr>
            <w:r>
              <w:rPr>
                <w:b/>
                <w:bCs/>
                <w:szCs w:val="20"/>
              </w:rPr>
              <w:t>Facility Type</w:t>
            </w:r>
          </w:p>
        </w:tc>
        <w:tc>
          <w:tcPr>
            <w:tcW w:w="1440" w:type="dxa"/>
            <w:vMerge w:val="restart"/>
            <w:tcBorders>
              <w:top w:val="single" w:sz="4" w:space="0" w:color="auto"/>
            </w:tcBorders>
            <w:shd w:val="clear" w:color="auto" w:fill="D9D9D9"/>
            <w:vAlign w:val="center"/>
          </w:tcPr>
          <w:p w:rsidR="00866F83" w:rsidRPr="00835820" w14:paraId="064983FF" w14:textId="77777777">
            <w:pPr>
              <w:keepNext/>
              <w:keepLines/>
              <w:ind w:left="127" w:right="119"/>
              <w:jc w:val="center"/>
              <w:rPr>
                <w:b/>
                <w:szCs w:val="20"/>
              </w:rPr>
            </w:pPr>
            <w:r w:rsidRPr="0033663E">
              <w:rPr>
                <w:b/>
                <w:szCs w:val="20"/>
              </w:rPr>
              <w:t>Hours Required Per Respondent</w:t>
            </w:r>
          </w:p>
        </w:tc>
        <w:tc>
          <w:tcPr>
            <w:tcW w:w="1999" w:type="dxa"/>
            <w:gridSpan w:val="2"/>
            <w:tcBorders>
              <w:top w:val="single" w:sz="4" w:space="0" w:color="auto"/>
            </w:tcBorders>
            <w:shd w:val="clear" w:color="auto" w:fill="D9D9D9"/>
            <w:vAlign w:val="center"/>
          </w:tcPr>
          <w:p w:rsidR="00866F83" w:rsidRPr="00835820" w14:paraId="4D596F34" w14:textId="77777777">
            <w:pPr>
              <w:keepNext/>
              <w:keepLines/>
              <w:ind w:left="100" w:right="79"/>
              <w:jc w:val="center"/>
              <w:rPr>
                <w:b/>
                <w:szCs w:val="20"/>
              </w:rPr>
            </w:pPr>
            <w:r w:rsidRPr="004C1E64">
              <w:rPr>
                <w:b/>
                <w:szCs w:val="20"/>
              </w:rPr>
              <w:t>Number of Facilities</w:t>
            </w:r>
          </w:p>
        </w:tc>
        <w:tc>
          <w:tcPr>
            <w:tcW w:w="1157" w:type="dxa"/>
            <w:vMerge w:val="restart"/>
            <w:tcBorders>
              <w:top w:val="single" w:sz="4" w:space="0" w:color="auto"/>
            </w:tcBorders>
            <w:shd w:val="clear" w:color="auto" w:fill="D9D9D9"/>
            <w:vAlign w:val="center"/>
          </w:tcPr>
          <w:p w:rsidR="00866F83" w:rsidRPr="009762B0" w14:paraId="7B0C061D" w14:textId="77777777">
            <w:pPr>
              <w:keepNext/>
              <w:keepLines/>
              <w:ind w:left="97" w:right="76"/>
              <w:jc w:val="center"/>
              <w:rPr>
                <w:b/>
                <w:szCs w:val="20"/>
              </w:rPr>
            </w:pPr>
            <w:r w:rsidRPr="007C2720">
              <w:rPr>
                <w:b/>
                <w:szCs w:val="20"/>
              </w:rPr>
              <w:t>3-Year Average Annual Burden (hours)</w:t>
            </w:r>
          </w:p>
        </w:tc>
        <w:tc>
          <w:tcPr>
            <w:tcW w:w="1254" w:type="dxa"/>
            <w:vMerge w:val="restart"/>
            <w:tcBorders>
              <w:top w:val="single" w:sz="4" w:space="0" w:color="auto"/>
            </w:tcBorders>
            <w:shd w:val="clear" w:color="auto" w:fill="D9D9D9" w:themeFill="background1" w:themeFillShade="D9"/>
            <w:vAlign w:val="center"/>
          </w:tcPr>
          <w:p w:rsidR="00866F83" w:rsidRPr="00D206B9" w14:paraId="175379C7" w14:textId="77777777">
            <w:pPr>
              <w:keepNext/>
              <w:keepLines/>
              <w:jc w:val="center"/>
              <w:rPr>
                <w:b/>
                <w:szCs w:val="20"/>
              </w:rPr>
            </w:pPr>
            <w:r w:rsidRPr="00E4312C">
              <w:rPr>
                <w:b/>
                <w:szCs w:val="20"/>
              </w:rPr>
              <w:t>3-Year Total Burden (hours)</w:t>
            </w:r>
          </w:p>
        </w:tc>
      </w:tr>
      <w:tr w14:paraId="6911CE35" w14:textId="77777777" w:rsidTr="00B21B43">
        <w:tblPrEx>
          <w:tblW w:w="7375" w:type="dxa"/>
          <w:jc w:val="center"/>
          <w:tblLayout w:type="fixed"/>
          <w:tblCellMar>
            <w:left w:w="0" w:type="dxa"/>
            <w:right w:w="0" w:type="dxa"/>
          </w:tblCellMar>
          <w:tblLook w:val="01E0"/>
        </w:tblPrEx>
        <w:trPr>
          <w:trHeight w:val="413"/>
          <w:jc w:val="center"/>
        </w:trPr>
        <w:tc>
          <w:tcPr>
            <w:tcW w:w="1525" w:type="dxa"/>
            <w:vMerge/>
            <w:shd w:val="clear" w:color="auto" w:fill="D9D9D9" w:themeFill="background1" w:themeFillShade="D9"/>
            <w:vAlign w:val="center"/>
          </w:tcPr>
          <w:p w:rsidR="00866F83" w:rsidP="00866F83" w14:paraId="4E694989" w14:textId="77777777">
            <w:pPr>
              <w:keepNext/>
              <w:keepLines/>
              <w:jc w:val="center"/>
              <w:rPr>
                <w:b/>
                <w:bCs/>
                <w:szCs w:val="20"/>
              </w:rPr>
            </w:pPr>
          </w:p>
        </w:tc>
        <w:tc>
          <w:tcPr>
            <w:tcW w:w="1440" w:type="dxa"/>
            <w:vMerge/>
            <w:shd w:val="clear" w:color="auto" w:fill="D9D9D9"/>
            <w:vAlign w:val="center"/>
          </w:tcPr>
          <w:p w:rsidR="00866F83" w:rsidRPr="0033663E" w:rsidP="00866F83" w14:paraId="3836EC87" w14:textId="77777777">
            <w:pPr>
              <w:keepNext/>
              <w:keepLines/>
              <w:ind w:left="127" w:right="119"/>
              <w:jc w:val="center"/>
              <w:rPr>
                <w:b/>
                <w:szCs w:val="20"/>
              </w:rPr>
            </w:pPr>
          </w:p>
        </w:tc>
        <w:tc>
          <w:tcPr>
            <w:tcW w:w="1080" w:type="dxa"/>
            <w:tcBorders>
              <w:top w:val="single" w:sz="4" w:space="0" w:color="auto"/>
            </w:tcBorders>
            <w:shd w:val="clear" w:color="auto" w:fill="D9D9D9"/>
            <w:vAlign w:val="center"/>
          </w:tcPr>
          <w:p w:rsidR="00866F83" w:rsidRPr="004C1E64" w:rsidP="00866F83" w14:paraId="2FD5238D" w14:textId="2597FE58">
            <w:pPr>
              <w:keepNext/>
              <w:keepLines/>
              <w:ind w:left="100" w:right="79"/>
              <w:jc w:val="center"/>
              <w:rPr>
                <w:b/>
                <w:szCs w:val="20"/>
              </w:rPr>
            </w:pPr>
            <w:r>
              <w:rPr>
                <w:b/>
                <w:szCs w:val="20"/>
              </w:rPr>
              <w:t>Year 1*</w:t>
            </w:r>
          </w:p>
        </w:tc>
        <w:tc>
          <w:tcPr>
            <w:tcW w:w="919" w:type="dxa"/>
            <w:tcBorders>
              <w:top w:val="single" w:sz="4" w:space="0" w:color="auto"/>
            </w:tcBorders>
            <w:shd w:val="clear" w:color="auto" w:fill="D9D9D9"/>
            <w:vAlign w:val="center"/>
          </w:tcPr>
          <w:p w:rsidR="00866F83" w:rsidRPr="004C1E64" w:rsidP="00866F83" w14:paraId="2E1CD621" w14:textId="53054611">
            <w:pPr>
              <w:keepNext/>
              <w:keepLines/>
              <w:ind w:left="100" w:right="79"/>
              <w:jc w:val="center"/>
              <w:rPr>
                <w:b/>
                <w:szCs w:val="20"/>
              </w:rPr>
            </w:pPr>
            <w:r>
              <w:rPr>
                <w:b/>
                <w:szCs w:val="20"/>
              </w:rPr>
              <w:t>3-Year Total</w:t>
            </w:r>
          </w:p>
        </w:tc>
        <w:tc>
          <w:tcPr>
            <w:tcW w:w="1157" w:type="dxa"/>
            <w:vMerge/>
            <w:shd w:val="clear" w:color="auto" w:fill="D9D9D9"/>
            <w:vAlign w:val="center"/>
          </w:tcPr>
          <w:p w:rsidR="00866F83" w:rsidRPr="007C2720" w:rsidP="00866F83" w14:paraId="234F76B9" w14:textId="77777777">
            <w:pPr>
              <w:keepNext/>
              <w:keepLines/>
              <w:ind w:left="97" w:right="76"/>
              <w:jc w:val="center"/>
              <w:rPr>
                <w:b/>
                <w:szCs w:val="20"/>
              </w:rPr>
            </w:pPr>
          </w:p>
        </w:tc>
        <w:tc>
          <w:tcPr>
            <w:tcW w:w="1254" w:type="dxa"/>
            <w:vMerge/>
            <w:shd w:val="clear" w:color="auto" w:fill="D9D9D9" w:themeFill="background1" w:themeFillShade="D9"/>
            <w:vAlign w:val="center"/>
          </w:tcPr>
          <w:p w:rsidR="00866F83" w:rsidRPr="00E4312C" w:rsidP="00866F83" w14:paraId="3A8A5CAB" w14:textId="77777777">
            <w:pPr>
              <w:keepNext/>
              <w:keepLines/>
              <w:jc w:val="center"/>
              <w:rPr>
                <w:b/>
                <w:szCs w:val="20"/>
              </w:rPr>
            </w:pPr>
          </w:p>
        </w:tc>
      </w:tr>
      <w:tr w14:paraId="0648F069" w14:textId="77777777">
        <w:tblPrEx>
          <w:tblW w:w="7375" w:type="dxa"/>
          <w:jc w:val="center"/>
          <w:tblLayout w:type="fixed"/>
          <w:tblCellMar>
            <w:left w:w="0" w:type="dxa"/>
            <w:right w:w="0" w:type="dxa"/>
          </w:tblCellMar>
          <w:tblLook w:val="01E0"/>
        </w:tblPrEx>
        <w:trPr>
          <w:trHeight w:val="482"/>
          <w:jc w:val="center"/>
        </w:trPr>
        <w:tc>
          <w:tcPr>
            <w:tcW w:w="1525" w:type="dxa"/>
            <w:shd w:val="clear" w:color="auto" w:fill="auto"/>
            <w:vAlign w:val="center"/>
          </w:tcPr>
          <w:p w:rsidR="000E33B8" w:rsidRPr="00CD2A9E" w14:paraId="022074C6" w14:textId="77777777">
            <w:pPr>
              <w:keepNext/>
              <w:keepLines/>
              <w:jc w:val="center"/>
              <w:rPr>
                <w:b/>
                <w:bCs/>
                <w:szCs w:val="20"/>
              </w:rPr>
            </w:pPr>
            <w:r>
              <w:rPr>
                <w:b/>
                <w:bCs/>
                <w:szCs w:val="20"/>
              </w:rPr>
              <w:t>Total</w:t>
            </w:r>
          </w:p>
        </w:tc>
        <w:tc>
          <w:tcPr>
            <w:tcW w:w="1440" w:type="dxa"/>
            <w:shd w:val="clear" w:color="auto" w:fill="auto"/>
            <w:vAlign w:val="center"/>
          </w:tcPr>
          <w:p w:rsidR="000E33B8" w:rsidRPr="00BB3B6F" w14:paraId="322C81E8" w14:textId="1516587B">
            <w:pPr>
              <w:keepNext/>
              <w:keepLines/>
              <w:ind w:left="127" w:right="119"/>
              <w:jc w:val="center"/>
              <w:rPr>
                <w:b/>
                <w:szCs w:val="20"/>
              </w:rPr>
            </w:pPr>
          </w:p>
        </w:tc>
        <w:tc>
          <w:tcPr>
            <w:tcW w:w="1080" w:type="dxa"/>
            <w:tcBorders>
              <w:top w:val="single" w:sz="4" w:space="0" w:color="auto"/>
            </w:tcBorders>
            <w:shd w:val="clear" w:color="auto" w:fill="auto"/>
            <w:vAlign w:val="center"/>
          </w:tcPr>
          <w:p w:rsidR="000E33B8" w14:paraId="7080810A" w14:textId="4362C3D8">
            <w:pPr>
              <w:keepNext/>
              <w:keepLines/>
              <w:ind w:left="100" w:right="79"/>
              <w:jc w:val="center"/>
              <w:rPr>
                <w:b/>
                <w:szCs w:val="20"/>
              </w:rPr>
            </w:pPr>
            <w:r>
              <w:rPr>
                <w:b/>
                <w:szCs w:val="20"/>
              </w:rPr>
              <w:t>986</w:t>
            </w:r>
          </w:p>
        </w:tc>
        <w:tc>
          <w:tcPr>
            <w:tcW w:w="919" w:type="dxa"/>
            <w:tcBorders>
              <w:top w:val="single" w:sz="4" w:space="0" w:color="auto"/>
            </w:tcBorders>
            <w:shd w:val="clear" w:color="auto" w:fill="auto"/>
            <w:vAlign w:val="center"/>
          </w:tcPr>
          <w:p w:rsidR="000E33B8" w14:paraId="0CE352B9" w14:textId="3F0001F9">
            <w:pPr>
              <w:keepNext/>
              <w:keepLines/>
              <w:ind w:left="100" w:right="79"/>
              <w:jc w:val="center"/>
              <w:rPr>
                <w:b/>
                <w:szCs w:val="20"/>
              </w:rPr>
            </w:pPr>
            <w:r w:rsidRPr="009B0E9A">
              <w:rPr>
                <w:b/>
                <w:szCs w:val="20"/>
              </w:rPr>
              <w:t>2,95</w:t>
            </w:r>
            <w:r w:rsidR="007A1C3D">
              <w:rPr>
                <w:b/>
                <w:szCs w:val="20"/>
              </w:rPr>
              <w:t>9</w:t>
            </w:r>
          </w:p>
        </w:tc>
        <w:tc>
          <w:tcPr>
            <w:tcW w:w="1157" w:type="dxa"/>
            <w:shd w:val="clear" w:color="auto" w:fill="auto"/>
            <w:vAlign w:val="center"/>
          </w:tcPr>
          <w:p w:rsidR="000E33B8" w:rsidRPr="007C2720" w14:paraId="07E940E0" w14:textId="7E587263">
            <w:pPr>
              <w:keepNext/>
              <w:keepLines/>
              <w:ind w:left="97" w:right="76"/>
              <w:jc w:val="center"/>
              <w:rPr>
                <w:b/>
                <w:szCs w:val="20"/>
              </w:rPr>
            </w:pPr>
            <w:r>
              <w:rPr>
                <w:b/>
                <w:szCs w:val="20"/>
              </w:rPr>
              <w:t>733,853</w:t>
            </w:r>
          </w:p>
        </w:tc>
        <w:tc>
          <w:tcPr>
            <w:tcW w:w="1254" w:type="dxa"/>
            <w:shd w:val="clear" w:color="auto" w:fill="auto"/>
            <w:vAlign w:val="center"/>
          </w:tcPr>
          <w:p w:rsidR="000E33B8" w:rsidRPr="00E4312C" w14:paraId="1A6A97A9" w14:textId="362E6BBF">
            <w:pPr>
              <w:keepNext/>
              <w:keepLines/>
              <w:jc w:val="center"/>
              <w:rPr>
                <w:b/>
                <w:szCs w:val="20"/>
              </w:rPr>
            </w:pPr>
            <w:r>
              <w:rPr>
                <w:b/>
                <w:szCs w:val="20"/>
              </w:rPr>
              <w:t>2,201,5</w:t>
            </w:r>
            <w:r w:rsidR="007A1C3D">
              <w:rPr>
                <w:b/>
                <w:szCs w:val="20"/>
              </w:rPr>
              <w:t>59</w:t>
            </w:r>
          </w:p>
        </w:tc>
      </w:tr>
      <w:tr w14:paraId="058CC6C2" w14:textId="77777777">
        <w:tblPrEx>
          <w:tblW w:w="7375" w:type="dxa"/>
          <w:jc w:val="center"/>
          <w:tblLayout w:type="fixed"/>
          <w:tblCellMar>
            <w:left w:w="0" w:type="dxa"/>
            <w:right w:w="0" w:type="dxa"/>
          </w:tblCellMar>
          <w:tblLook w:val="01E0"/>
        </w:tblPrEx>
        <w:trPr>
          <w:trHeight w:val="146"/>
          <w:jc w:val="center"/>
        </w:trPr>
        <w:tc>
          <w:tcPr>
            <w:tcW w:w="7375" w:type="dxa"/>
            <w:gridSpan w:val="6"/>
            <w:shd w:val="clear" w:color="auto" w:fill="F2F2F2" w:themeFill="background1" w:themeFillShade="F2"/>
            <w:vAlign w:val="center"/>
          </w:tcPr>
          <w:p w:rsidR="000E33B8" w:rsidRPr="00835820" w14:paraId="373BA098" w14:textId="77777777">
            <w:pPr>
              <w:keepNext/>
              <w:keepLines/>
              <w:ind w:left="131" w:right="111"/>
              <w:jc w:val="center"/>
              <w:rPr>
                <w:szCs w:val="20"/>
              </w:rPr>
            </w:pPr>
            <w:r>
              <w:rPr>
                <w:szCs w:val="20"/>
              </w:rPr>
              <w:t>Initial Phase (Per Process)</w:t>
            </w:r>
          </w:p>
        </w:tc>
      </w:tr>
      <w:tr w14:paraId="7536FACA" w14:textId="77777777">
        <w:tblPrEx>
          <w:tblW w:w="7375" w:type="dxa"/>
          <w:jc w:val="center"/>
          <w:tblLayout w:type="fixed"/>
          <w:tblCellMar>
            <w:left w:w="0" w:type="dxa"/>
            <w:right w:w="0" w:type="dxa"/>
          </w:tblCellMar>
          <w:tblLook w:val="01E0"/>
        </w:tblPrEx>
        <w:trPr>
          <w:trHeight w:val="146"/>
          <w:jc w:val="center"/>
        </w:trPr>
        <w:tc>
          <w:tcPr>
            <w:tcW w:w="1525" w:type="dxa"/>
            <w:vAlign w:val="center"/>
          </w:tcPr>
          <w:p w:rsidR="000E33B8" w:rsidRPr="00835820" w14:paraId="04B1A44C" w14:textId="77777777">
            <w:pPr>
              <w:keepNext/>
              <w:keepLines/>
              <w:ind w:left="107"/>
              <w:rPr>
                <w:szCs w:val="20"/>
              </w:rPr>
            </w:pPr>
            <w:r w:rsidRPr="00835820">
              <w:rPr>
                <w:szCs w:val="20"/>
              </w:rPr>
              <w:t>Refineries</w:t>
            </w:r>
          </w:p>
        </w:tc>
        <w:tc>
          <w:tcPr>
            <w:tcW w:w="1440" w:type="dxa"/>
            <w:vAlign w:val="center"/>
          </w:tcPr>
          <w:p w:rsidR="000E33B8" w:rsidRPr="00835820" w14:paraId="2DF8A458" w14:textId="77777777">
            <w:pPr>
              <w:keepNext/>
              <w:keepLines/>
              <w:jc w:val="center"/>
              <w:rPr>
                <w:szCs w:val="20"/>
              </w:rPr>
            </w:pPr>
            <w:r>
              <w:rPr>
                <w:szCs w:val="20"/>
              </w:rPr>
              <w:t>738</w:t>
            </w:r>
          </w:p>
        </w:tc>
        <w:tc>
          <w:tcPr>
            <w:tcW w:w="1080" w:type="dxa"/>
            <w:vAlign w:val="center"/>
          </w:tcPr>
          <w:p w:rsidR="000E33B8" w:rsidRPr="00835820" w14:paraId="36C5884E" w14:textId="438AF1E4">
            <w:pPr>
              <w:keepNext/>
              <w:keepLines/>
              <w:ind w:left="16"/>
              <w:jc w:val="center"/>
              <w:rPr>
                <w:szCs w:val="20"/>
              </w:rPr>
            </w:pPr>
            <w:r>
              <w:rPr>
                <w:szCs w:val="20"/>
              </w:rPr>
              <w:t>307</w:t>
            </w:r>
          </w:p>
        </w:tc>
        <w:tc>
          <w:tcPr>
            <w:tcW w:w="919" w:type="dxa"/>
            <w:vAlign w:val="center"/>
          </w:tcPr>
          <w:p w:rsidR="000E33B8" w:rsidRPr="00835820" w14:paraId="530AE4FD" w14:textId="446E99FC">
            <w:pPr>
              <w:keepNext/>
              <w:keepLines/>
              <w:ind w:right="79"/>
              <w:jc w:val="center"/>
              <w:rPr>
                <w:szCs w:val="20"/>
              </w:rPr>
            </w:pPr>
            <w:r w:rsidRPr="009B0E9A">
              <w:rPr>
                <w:szCs w:val="20"/>
              </w:rPr>
              <w:t>921</w:t>
            </w:r>
          </w:p>
        </w:tc>
        <w:tc>
          <w:tcPr>
            <w:tcW w:w="1157" w:type="dxa"/>
            <w:vAlign w:val="center"/>
          </w:tcPr>
          <w:p w:rsidR="000E33B8" w:rsidRPr="00835820" w14:paraId="63FF90C7" w14:textId="62163070">
            <w:pPr>
              <w:keepNext/>
              <w:keepLines/>
              <w:ind w:left="18"/>
              <w:jc w:val="center"/>
              <w:rPr>
                <w:szCs w:val="20"/>
              </w:rPr>
            </w:pPr>
            <w:r>
              <w:rPr>
                <w:szCs w:val="20"/>
              </w:rPr>
              <w:t>226</w:t>
            </w:r>
            <w:r w:rsidR="003F3156">
              <w:rPr>
                <w:szCs w:val="20"/>
              </w:rPr>
              <w:t>,566</w:t>
            </w:r>
          </w:p>
        </w:tc>
        <w:tc>
          <w:tcPr>
            <w:tcW w:w="1254" w:type="dxa"/>
            <w:vAlign w:val="center"/>
          </w:tcPr>
          <w:p w:rsidR="000E33B8" w:rsidRPr="00835820" w14:paraId="5E621E73" w14:textId="084D1501">
            <w:pPr>
              <w:keepNext/>
              <w:keepLines/>
              <w:ind w:left="131" w:right="111"/>
              <w:jc w:val="center"/>
              <w:rPr>
                <w:szCs w:val="20"/>
              </w:rPr>
            </w:pPr>
            <w:r w:rsidRPr="00A87A90">
              <w:rPr>
                <w:szCs w:val="20"/>
              </w:rPr>
              <w:t>679,698</w:t>
            </w:r>
          </w:p>
        </w:tc>
      </w:tr>
      <w:tr w14:paraId="1AD2681F" w14:textId="77777777">
        <w:tblPrEx>
          <w:tblW w:w="7375" w:type="dxa"/>
          <w:jc w:val="center"/>
          <w:tblLayout w:type="fixed"/>
          <w:tblCellMar>
            <w:left w:w="0" w:type="dxa"/>
            <w:right w:w="0" w:type="dxa"/>
          </w:tblCellMar>
          <w:tblLook w:val="01E0"/>
        </w:tblPrEx>
        <w:trPr>
          <w:trHeight w:val="272"/>
          <w:jc w:val="center"/>
        </w:trPr>
        <w:tc>
          <w:tcPr>
            <w:tcW w:w="1525" w:type="dxa"/>
            <w:vAlign w:val="center"/>
          </w:tcPr>
          <w:p w:rsidR="000E33B8" w:rsidRPr="00835820" w14:paraId="59400F7E" w14:textId="77777777">
            <w:pPr>
              <w:keepNext/>
              <w:keepLines/>
              <w:ind w:left="107"/>
              <w:rPr>
                <w:szCs w:val="20"/>
              </w:rPr>
            </w:pPr>
            <w:r w:rsidRPr="00835820">
              <w:rPr>
                <w:szCs w:val="20"/>
              </w:rPr>
              <w:t>Chemical Manufacturers</w:t>
            </w:r>
          </w:p>
        </w:tc>
        <w:tc>
          <w:tcPr>
            <w:tcW w:w="1440" w:type="dxa"/>
            <w:vAlign w:val="center"/>
          </w:tcPr>
          <w:p w:rsidR="000E33B8" w:rsidRPr="00835820" w14:paraId="099F3536" w14:textId="77777777">
            <w:pPr>
              <w:keepNext/>
              <w:keepLines/>
              <w:ind w:left="94" w:right="119"/>
              <w:jc w:val="center"/>
              <w:rPr>
                <w:szCs w:val="20"/>
              </w:rPr>
            </w:pPr>
            <w:r>
              <w:rPr>
                <w:szCs w:val="20"/>
              </w:rPr>
              <w:t>130</w:t>
            </w:r>
          </w:p>
        </w:tc>
        <w:tc>
          <w:tcPr>
            <w:tcW w:w="1080" w:type="dxa"/>
            <w:vAlign w:val="center"/>
          </w:tcPr>
          <w:p w:rsidR="000E33B8" w:rsidRPr="00835820" w14:paraId="3BC90354" w14:textId="6070BF5E">
            <w:pPr>
              <w:keepNext/>
              <w:keepLines/>
              <w:ind w:left="94" w:right="34"/>
              <w:jc w:val="center"/>
              <w:rPr>
                <w:szCs w:val="20"/>
              </w:rPr>
            </w:pPr>
            <w:r w:rsidRPr="00233242">
              <w:rPr>
                <w:szCs w:val="20"/>
              </w:rPr>
              <w:t>5</w:t>
            </w:r>
            <w:r w:rsidR="002E304D">
              <w:rPr>
                <w:szCs w:val="20"/>
              </w:rPr>
              <w:t>60</w:t>
            </w:r>
          </w:p>
        </w:tc>
        <w:tc>
          <w:tcPr>
            <w:tcW w:w="919" w:type="dxa"/>
            <w:vAlign w:val="center"/>
          </w:tcPr>
          <w:p w:rsidR="000E33B8" w:rsidRPr="00835820" w14:paraId="29917586" w14:textId="606A58C1">
            <w:pPr>
              <w:keepNext/>
              <w:keepLines/>
              <w:ind w:left="94" w:right="79"/>
              <w:jc w:val="center"/>
              <w:rPr>
                <w:szCs w:val="20"/>
              </w:rPr>
            </w:pPr>
            <w:r w:rsidRPr="009D5E35">
              <w:rPr>
                <w:szCs w:val="20"/>
              </w:rPr>
              <w:t>1</w:t>
            </w:r>
            <w:r>
              <w:rPr>
                <w:szCs w:val="20"/>
              </w:rPr>
              <w:t>,</w:t>
            </w:r>
            <w:r w:rsidRPr="009D5E35">
              <w:rPr>
                <w:szCs w:val="20"/>
              </w:rPr>
              <w:t>67</w:t>
            </w:r>
            <w:r w:rsidR="002E304D">
              <w:rPr>
                <w:szCs w:val="20"/>
              </w:rPr>
              <w:t>9</w:t>
            </w:r>
          </w:p>
        </w:tc>
        <w:tc>
          <w:tcPr>
            <w:tcW w:w="1157" w:type="dxa"/>
            <w:vAlign w:val="center"/>
          </w:tcPr>
          <w:p w:rsidR="000E33B8" w:rsidRPr="00835820" w14:paraId="4C565E82" w14:textId="77777777">
            <w:pPr>
              <w:keepNext/>
              <w:keepLines/>
              <w:ind w:left="94" w:right="111"/>
              <w:jc w:val="center"/>
              <w:rPr>
                <w:szCs w:val="20"/>
              </w:rPr>
            </w:pPr>
            <w:r w:rsidRPr="004E7419">
              <w:rPr>
                <w:szCs w:val="20"/>
              </w:rPr>
              <w:t>72,774</w:t>
            </w:r>
          </w:p>
        </w:tc>
        <w:tc>
          <w:tcPr>
            <w:tcW w:w="1254" w:type="dxa"/>
            <w:vAlign w:val="center"/>
          </w:tcPr>
          <w:p w:rsidR="000E33B8" w:rsidRPr="00835820" w14:paraId="28749059" w14:textId="77777777">
            <w:pPr>
              <w:keepNext/>
              <w:keepLines/>
              <w:ind w:left="94" w:right="111"/>
              <w:jc w:val="center"/>
              <w:rPr>
                <w:szCs w:val="20"/>
              </w:rPr>
            </w:pPr>
            <w:r w:rsidRPr="001C1BBA">
              <w:rPr>
                <w:color w:val="000000"/>
                <w:szCs w:val="20"/>
              </w:rPr>
              <w:t>218</w:t>
            </w:r>
            <w:r>
              <w:rPr>
                <w:color w:val="000000"/>
                <w:szCs w:val="20"/>
              </w:rPr>
              <w:t>,</w:t>
            </w:r>
            <w:r w:rsidRPr="001C1BBA">
              <w:rPr>
                <w:color w:val="000000"/>
                <w:szCs w:val="20"/>
              </w:rPr>
              <w:t>322</w:t>
            </w:r>
          </w:p>
        </w:tc>
      </w:tr>
      <w:tr w14:paraId="0444E486" w14:textId="77777777">
        <w:tblPrEx>
          <w:tblW w:w="7375" w:type="dxa"/>
          <w:jc w:val="center"/>
          <w:tblLayout w:type="fixed"/>
          <w:tblCellMar>
            <w:left w:w="0" w:type="dxa"/>
            <w:right w:w="0" w:type="dxa"/>
          </w:tblCellMar>
          <w:tblLook w:val="01E0"/>
        </w:tblPrEx>
        <w:trPr>
          <w:trHeight w:val="272"/>
          <w:jc w:val="center"/>
        </w:trPr>
        <w:tc>
          <w:tcPr>
            <w:tcW w:w="7375" w:type="dxa"/>
            <w:gridSpan w:val="6"/>
            <w:shd w:val="clear" w:color="auto" w:fill="F2F2F2" w:themeFill="background1" w:themeFillShade="F2"/>
            <w:vAlign w:val="center"/>
          </w:tcPr>
          <w:p w:rsidR="000E33B8" w:rsidRPr="00FE4B12" w14:paraId="14F1332C" w14:textId="77777777">
            <w:pPr>
              <w:keepNext/>
              <w:keepLines/>
              <w:ind w:left="94" w:right="111"/>
              <w:jc w:val="center"/>
              <w:rPr>
                <w:color w:val="000000"/>
                <w:szCs w:val="20"/>
              </w:rPr>
            </w:pPr>
            <w:r>
              <w:rPr>
                <w:color w:val="000000"/>
                <w:szCs w:val="20"/>
              </w:rPr>
              <w:t>Practicability Assessment (Per Facility)</w:t>
            </w:r>
          </w:p>
        </w:tc>
      </w:tr>
      <w:tr w14:paraId="3B49A58E" w14:textId="77777777">
        <w:tblPrEx>
          <w:tblW w:w="7375" w:type="dxa"/>
          <w:jc w:val="center"/>
          <w:tblLayout w:type="fixed"/>
          <w:tblCellMar>
            <w:left w:w="0" w:type="dxa"/>
            <w:right w:w="0" w:type="dxa"/>
          </w:tblCellMar>
          <w:tblLook w:val="01E0"/>
        </w:tblPrEx>
        <w:trPr>
          <w:trHeight w:val="272"/>
          <w:jc w:val="center"/>
        </w:trPr>
        <w:tc>
          <w:tcPr>
            <w:tcW w:w="1525" w:type="dxa"/>
            <w:vAlign w:val="center"/>
          </w:tcPr>
          <w:p w:rsidR="000E33B8" w:rsidRPr="00835820" w14:paraId="61FF8B5F" w14:textId="77777777">
            <w:pPr>
              <w:keepNext/>
              <w:keepLines/>
              <w:ind w:left="107"/>
              <w:rPr>
                <w:szCs w:val="20"/>
              </w:rPr>
            </w:pPr>
            <w:r w:rsidRPr="00C20C15">
              <w:rPr>
                <w:szCs w:val="20"/>
              </w:rPr>
              <w:t>Refineries - HF</w:t>
            </w:r>
          </w:p>
        </w:tc>
        <w:tc>
          <w:tcPr>
            <w:tcW w:w="1440" w:type="dxa"/>
            <w:vAlign w:val="center"/>
          </w:tcPr>
          <w:p w:rsidR="000E33B8" w14:paraId="2392992D" w14:textId="6ADBDB9F">
            <w:pPr>
              <w:keepNext/>
              <w:keepLines/>
              <w:ind w:left="94" w:right="119"/>
              <w:jc w:val="center"/>
              <w:rPr>
                <w:szCs w:val="20"/>
              </w:rPr>
            </w:pPr>
            <w:r w:rsidRPr="00E054A6">
              <w:rPr>
                <w:szCs w:val="20"/>
              </w:rPr>
              <w:t>22</w:t>
            </w:r>
            <w:r>
              <w:rPr>
                <w:szCs w:val="20"/>
              </w:rPr>
              <w:t>,</w:t>
            </w:r>
            <w:r w:rsidRPr="00E054A6">
              <w:rPr>
                <w:szCs w:val="20"/>
              </w:rPr>
              <w:t>44</w:t>
            </w:r>
            <w:r w:rsidR="002C13F4">
              <w:rPr>
                <w:szCs w:val="20"/>
              </w:rPr>
              <w:t>6.6</w:t>
            </w:r>
          </w:p>
        </w:tc>
        <w:tc>
          <w:tcPr>
            <w:tcW w:w="1080" w:type="dxa"/>
            <w:vAlign w:val="center"/>
          </w:tcPr>
          <w:p w:rsidR="000E33B8" w:rsidRPr="00835820" w14:paraId="4A0B08C5" w14:textId="0F85581A">
            <w:pPr>
              <w:keepNext/>
              <w:keepLines/>
              <w:ind w:left="94" w:right="34"/>
              <w:jc w:val="center"/>
              <w:rPr>
                <w:szCs w:val="20"/>
              </w:rPr>
            </w:pPr>
            <w:r w:rsidRPr="005C0BE4">
              <w:rPr>
                <w:szCs w:val="20"/>
              </w:rPr>
              <w:t>8</w:t>
            </w:r>
          </w:p>
        </w:tc>
        <w:tc>
          <w:tcPr>
            <w:tcW w:w="919" w:type="dxa"/>
            <w:vAlign w:val="center"/>
          </w:tcPr>
          <w:p w:rsidR="000E33B8" w:rsidRPr="00835820" w14:paraId="245C5AF7" w14:textId="0991A24F">
            <w:pPr>
              <w:keepNext/>
              <w:keepLines/>
              <w:ind w:left="94" w:right="79"/>
              <w:jc w:val="center"/>
              <w:rPr>
                <w:szCs w:val="20"/>
              </w:rPr>
            </w:pPr>
            <w:r>
              <w:rPr>
                <w:szCs w:val="20"/>
              </w:rPr>
              <w:t>25</w:t>
            </w:r>
          </w:p>
        </w:tc>
        <w:tc>
          <w:tcPr>
            <w:tcW w:w="1157" w:type="dxa"/>
            <w:vAlign w:val="center"/>
          </w:tcPr>
          <w:p w:rsidR="000E33B8" w:rsidRPr="00835820" w14:paraId="061A70B4" w14:textId="77777777">
            <w:pPr>
              <w:keepNext/>
              <w:keepLines/>
              <w:ind w:left="94" w:right="111"/>
              <w:jc w:val="center"/>
              <w:rPr>
                <w:szCs w:val="20"/>
              </w:rPr>
            </w:pPr>
            <w:r w:rsidRPr="00876D20">
              <w:rPr>
                <w:szCs w:val="20"/>
              </w:rPr>
              <w:t>188,55</w:t>
            </w:r>
            <w:r>
              <w:rPr>
                <w:szCs w:val="20"/>
              </w:rPr>
              <w:t>2</w:t>
            </w:r>
          </w:p>
        </w:tc>
        <w:tc>
          <w:tcPr>
            <w:tcW w:w="1254" w:type="dxa"/>
            <w:vAlign w:val="center"/>
          </w:tcPr>
          <w:p w:rsidR="000E33B8" w:rsidRPr="00FE4B12" w14:paraId="3F625AFE" w14:textId="16BB802A">
            <w:pPr>
              <w:keepNext/>
              <w:keepLines/>
              <w:ind w:left="94" w:right="111"/>
              <w:jc w:val="center"/>
              <w:rPr>
                <w:color w:val="000000"/>
                <w:szCs w:val="20"/>
              </w:rPr>
            </w:pPr>
            <w:r w:rsidRPr="00B3673D">
              <w:rPr>
                <w:color w:val="000000"/>
                <w:szCs w:val="20"/>
              </w:rPr>
              <w:t>565</w:t>
            </w:r>
            <w:r w:rsidR="00A61A76">
              <w:rPr>
                <w:color w:val="000000"/>
                <w:szCs w:val="20"/>
              </w:rPr>
              <w:t>,</w:t>
            </w:r>
            <w:r w:rsidRPr="00B3673D">
              <w:rPr>
                <w:color w:val="000000"/>
                <w:szCs w:val="20"/>
              </w:rPr>
              <w:t>656</w:t>
            </w:r>
          </w:p>
        </w:tc>
      </w:tr>
      <w:tr w14:paraId="135E0B19" w14:textId="77777777">
        <w:tblPrEx>
          <w:tblW w:w="7375" w:type="dxa"/>
          <w:jc w:val="center"/>
          <w:tblLayout w:type="fixed"/>
          <w:tblCellMar>
            <w:left w:w="0" w:type="dxa"/>
            <w:right w:w="0" w:type="dxa"/>
          </w:tblCellMar>
          <w:tblLook w:val="01E0"/>
        </w:tblPrEx>
        <w:trPr>
          <w:trHeight w:val="272"/>
          <w:jc w:val="center"/>
        </w:trPr>
        <w:tc>
          <w:tcPr>
            <w:tcW w:w="1525" w:type="dxa"/>
            <w:vAlign w:val="center"/>
          </w:tcPr>
          <w:p w:rsidR="000E33B8" w:rsidRPr="00835820" w14:paraId="136105EA" w14:textId="77777777">
            <w:pPr>
              <w:keepNext/>
              <w:keepLines/>
              <w:ind w:left="107"/>
              <w:rPr>
                <w:szCs w:val="20"/>
              </w:rPr>
            </w:pPr>
            <w:r w:rsidRPr="00C20C15">
              <w:rPr>
                <w:szCs w:val="20"/>
              </w:rPr>
              <w:t>Refineries - Non HF</w:t>
            </w:r>
          </w:p>
        </w:tc>
        <w:tc>
          <w:tcPr>
            <w:tcW w:w="1440" w:type="dxa"/>
            <w:vAlign w:val="center"/>
          </w:tcPr>
          <w:p w:rsidR="000E33B8" w14:paraId="0C2CA6DF" w14:textId="330C6167">
            <w:pPr>
              <w:keepNext/>
              <w:keepLines/>
              <w:ind w:left="94" w:right="119"/>
              <w:jc w:val="center"/>
              <w:rPr>
                <w:szCs w:val="20"/>
              </w:rPr>
            </w:pPr>
            <w:r w:rsidRPr="00E054A6">
              <w:rPr>
                <w:szCs w:val="20"/>
              </w:rPr>
              <w:t>22</w:t>
            </w:r>
            <w:r>
              <w:rPr>
                <w:szCs w:val="20"/>
              </w:rPr>
              <w:t>,</w:t>
            </w:r>
            <w:r w:rsidRPr="00E054A6">
              <w:rPr>
                <w:szCs w:val="20"/>
              </w:rPr>
              <w:t>44</w:t>
            </w:r>
            <w:r w:rsidR="00C456A8">
              <w:rPr>
                <w:szCs w:val="20"/>
              </w:rPr>
              <w:t>6.6</w:t>
            </w:r>
          </w:p>
        </w:tc>
        <w:tc>
          <w:tcPr>
            <w:tcW w:w="1080" w:type="dxa"/>
            <w:vAlign w:val="center"/>
          </w:tcPr>
          <w:p w:rsidR="000E33B8" w:rsidRPr="00835820" w14:paraId="280A69B8" w14:textId="7D0188CD">
            <w:pPr>
              <w:keepNext/>
              <w:keepLines/>
              <w:ind w:left="94" w:right="34"/>
              <w:jc w:val="center"/>
              <w:rPr>
                <w:szCs w:val="20"/>
              </w:rPr>
            </w:pPr>
            <w:r w:rsidRPr="00697FCA">
              <w:rPr>
                <w:szCs w:val="20"/>
              </w:rPr>
              <w:t>9</w:t>
            </w:r>
          </w:p>
        </w:tc>
        <w:tc>
          <w:tcPr>
            <w:tcW w:w="919" w:type="dxa"/>
            <w:vAlign w:val="center"/>
          </w:tcPr>
          <w:p w:rsidR="000E33B8" w:rsidRPr="00835820" w14:paraId="32866DDE" w14:textId="3EEA1F40">
            <w:pPr>
              <w:keepNext/>
              <w:keepLines/>
              <w:ind w:left="94" w:right="79"/>
              <w:jc w:val="center"/>
              <w:rPr>
                <w:szCs w:val="20"/>
              </w:rPr>
            </w:pPr>
            <w:r w:rsidRPr="00464E5B">
              <w:rPr>
                <w:szCs w:val="20"/>
              </w:rPr>
              <w:t>28</w:t>
            </w:r>
          </w:p>
        </w:tc>
        <w:tc>
          <w:tcPr>
            <w:tcW w:w="1157" w:type="dxa"/>
            <w:vAlign w:val="center"/>
          </w:tcPr>
          <w:p w:rsidR="000E33B8" w:rsidRPr="00835820" w14:paraId="6A31B610" w14:textId="77777777">
            <w:pPr>
              <w:keepNext/>
              <w:keepLines/>
              <w:ind w:left="94" w:right="111"/>
              <w:jc w:val="center"/>
              <w:rPr>
                <w:szCs w:val="20"/>
              </w:rPr>
            </w:pPr>
            <w:r w:rsidRPr="00876D20">
              <w:rPr>
                <w:szCs w:val="20"/>
              </w:rPr>
              <w:t>210,998</w:t>
            </w:r>
          </w:p>
        </w:tc>
        <w:tc>
          <w:tcPr>
            <w:tcW w:w="1254" w:type="dxa"/>
            <w:vAlign w:val="center"/>
          </w:tcPr>
          <w:p w:rsidR="000E33B8" w:rsidRPr="00FE4B12" w14:paraId="10226A8B" w14:textId="77777777">
            <w:pPr>
              <w:keepNext/>
              <w:keepLines/>
              <w:ind w:left="94" w:right="111"/>
              <w:jc w:val="center"/>
              <w:rPr>
                <w:color w:val="000000"/>
                <w:szCs w:val="20"/>
              </w:rPr>
            </w:pPr>
            <w:r w:rsidRPr="00260481">
              <w:rPr>
                <w:color w:val="000000"/>
                <w:szCs w:val="20"/>
              </w:rPr>
              <w:t>632</w:t>
            </w:r>
            <w:r>
              <w:rPr>
                <w:color w:val="000000"/>
                <w:szCs w:val="20"/>
              </w:rPr>
              <w:t>,</w:t>
            </w:r>
            <w:r w:rsidRPr="00260481">
              <w:rPr>
                <w:color w:val="000000"/>
                <w:szCs w:val="20"/>
              </w:rPr>
              <w:t>994</w:t>
            </w:r>
          </w:p>
        </w:tc>
      </w:tr>
      <w:tr w14:paraId="3925F7AE" w14:textId="77777777">
        <w:tblPrEx>
          <w:tblW w:w="7375" w:type="dxa"/>
          <w:jc w:val="center"/>
          <w:tblLayout w:type="fixed"/>
          <w:tblCellMar>
            <w:left w:w="0" w:type="dxa"/>
            <w:right w:w="0" w:type="dxa"/>
          </w:tblCellMar>
          <w:tblLook w:val="01E0"/>
        </w:tblPrEx>
        <w:trPr>
          <w:trHeight w:val="272"/>
          <w:jc w:val="center"/>
        </w:trPr>
        <w:tc>
          <w:tcPr>
            <w:tcW w:w="1525" w:type="dxa"/>
            <w:vAlign w:val="center"/>
          </w:tcPr>
          <w:p w:rsidR="000E33B8" w:rsidRPr="00835820" w14:paraId="19DC8531" w14:textId="77777777">
            <w:pPr>
              <w:keepNext/>
              <w:keepLines/>
              <w:ind w:left="107"/>
              <w:rPr>
                <w:szCs w:val="20"/>
              </w:rPr>
            </w:pPr>
            <w:r w:rsidRPr="00835820">
              <w:rPr>
                <w:szCs w:val="20"/>
              </w:rPr>
              <w:t>Chemical Manufacturers</w:t>
            </w:r>
          </w:p>
        </w:tc>
        <w:tc>
          <w:tcPr>
            <w:tcW w:w="1440" w:type="dxa"/>
            <w:vAlign w:val="center"/>
          </w:tcPr>
          <w:p w:rsidR="000E33B8" w14:paraId="3BEE6ABD" w14:textId="6BDDA7A7">
            <w:pPr>
              <w:keepNext/>
              <w:keepLines/>
              <w:ind w:left="94" w:right="119"/>
              <w:jc w:val="center"/>
              <w:rPr>
                <w:szCs w:val="20"/>
              </w:rPr>
            </w:pPr>
            <w:r w:rsidRPr="000042D8">
              <w:rPr>
                <w:szCs w:val="20"/>
              </w:rPr>
              <w:t>343</w:t>
            </w:r>
            <w:r w:rsidR="00C456A8">
              <w:rPr>
                <w:szCs w:val="20"/>
              </w:rPr>
              <w:t>.4</w:t>
            </w:r>
          </w:p>
        </w:tc>
        <w:tc>
          <w:tcPr>
            <w:tcW w:w="1080" w:type="dxa"/>
            <w:vAlign w:val="center"/>
          </w:tcPr>
          <w:p w:rsidR="000E33B8" w:rsidRPr="00835820" w14:paraId="4481A881" w14:textId="36BDC0FA">
            <w:pPr>
              <w:keepNext/>
              <w:keepLines/>
              <w:ind w:left="94" w:right="34"/>
              <w:jc w:val="center"/>
              <w:rPr>
                <w:szCs w:val="20"/>
              </w:rPr>
            </w:pPr>
            <w:r w:rsidRPr="00EA72F1">
              <w:rPr>
                <w:szCs w:val="20"/>
              </w:rPr>
              <w:t>10</w:t>
            </w:r>
            <w:r w:rsidR="002E304D">
              <w:rPr>
                <w:szCs w:val="20"/>
              </w:rPr>
              <w:t>2</w:t>
            </w:r>
          </w:p>
        </w:tc>
        <w:tc>
          <w:tcPr>
            <w:tcW w:w="919" w:type="dxa"/>
            <w:vAlign w:val="center"/>
          </w:tcPr>
          <w:p w:rsidR="000E33B8" w:rsidRPr="00835820" w14:paraId="3D2A4085" w14:textId="28A111C9">
            <w:pPr>
              <w:keepNext/>
              <w:keepLines/>
              <w:ind w:left="94" w:right="79"/>
              <w:jc w:val="center"/>
              <w:rPr>
                <w:szCs w:val="20"/>
              </w:rPr>
            </w:pPr>
            <w:r w:rsidRPr="005C229A">
              <w:rPr>
                <w:szCs w:val="20"/>
              </w:rPr>
              <w:t>305</w:t>
            </w:r>
          </w:p>
        </w:tc>
        <w:tc>
          <w:tcPr>
            <w:tcW w:w="1157" w:type="dxa"/>
            <w:vAlign w:val="center"/>
          </w:tcPr>
          <w:p w:rsidR="000E33B8" w:rsidRPr="00835820" w14:paraId="18F9F820" w14:textId="77777777">
            <w:pPr>
              <w:keepNext/>
              <w:keepLines/>
              <w:ind w:left="94" w:right="111"/>
              <w:jc w:val="center"/>
              <w:rPr>
                <w:szCs w:val="20"/>
              </w:rPr>
            </w:pPr>
            <w:r w:rsidRPr="008C5B75">
              <w:rPr>
                <w:szCs w:val="20"/>
              </w:rPr>
              <w:t>34,96</w:t>
            </w:r>
            <w:r>
              <w:rPr>
                <w:szCs w:val="20"/>
              </w:rPr>
              <w:t>3</w:t>
            </w:r>
          </w:p>
        </w:tc>
        <w:tc>
          <w:tcPr>
            <w:tcW w:w="1254" w:type="dxa"/>
            <w:vAlign w:val="center"/>
          </w:tcPr>
          <w:p w:rsidR="000E33B8" w:rsidRPr="00FE4B12" w14:paraId="48B093E1" w14:textId="77777777">
            <w:pPr>
              <w:keepNext/>
              <w:keepLines/>
              <w:ind w:left="94" w:right="111"/>
              <w:jc w:val="center"/>
              <w:rPr>
                <w:color w:val="000000"/>
                <w:szCs w:val="20"/>
              </w:rPr>
            </w:pPr>
            <w:r w:rsidRPr="005F63D3">
              <w:rPr>
                <w:color w:val="000000"/>
                <w:szCs w:val="20"/>
              </w:rPr>
              <w:t>104</w:t>
            </w:r>
            <w:r>
              <w:rPr>
                <w:color w:val="000000"/>
                <w:szCs w:val="20"/>
              </w:rPr>
              <w:t>,</w:t>
            </w:r>
            <w:r w:rsidRPr="005F63D3">
              <w:rPr>
                <w:color w:val="000000"/>
                <w:szCs w:val="20"/>
              </w:rPr>
              <w:t>889</w:t>
            </w:r>
          </w:p>
        </w:tc>
      </w:tr>
    </w:tbl>
    <w:p w:rsidR="000E33B8" w:rsidP="000E33B8" w14:paraId="009B98FE" w14:textId="77777777">
      <w:pPr>
        <w:ind w:left="990" w:right="630"/>
      </w:pPr>
      <w:r>
        <w:t xml:space="preserve">* EPA assumed that the burden associated with this provision would be incurred by the same number of facilities in Years 1, 2, and 3.   </w:t>
      </w:r>
    </w:p>
    <w:p w:rsidR="000E33B8" w:rsidP="000E33B8" w14:paraId="6C490663" w14:textId="77777777">
      <w:pPr>
        <w:keepNext/>
        <w:keepLines/>
        <w:rPr>
          <w:bCs/>
          <w:i/>
          <w:iCs/>
          <w:sz w:val="22"/>
          <w:szCs w:val="28"/>
        </w:rPr>
      </w:pPr>
    </w:p>
    <w:p w:rsidR="000E33B8" w:rsidRPr="00D206B9" w:rsidP="000E33B8" w14:paraId="4886F40F" w14:textId="77777777">
      <w:pPr>
        <w:keepNext/>
        <w:keepLines/>
        <w:rPr>
          <w:bCs/>
          <w:i/>
          <w:iCs/>
          <w:sz w:val="22"/>
          <w:szCs w:val="28"/>
        </w:rPr>
      </w:pPr>
      <w:r w:rsidRPr="00875E5E">
        <w:rPr>
          <w:bCs/>
          <w:i/>
          <w:iCs/>
          <w:sz w:val="22"/>
          <w:szCs w:val="28"/>
        </w:rPr>
        <w:t>Root Cause Analysis</w:t>
      </w:r>
      <w:r>
        <w:rPr>
          <w:bCs/>
          <w:i/>
          <w:iCs/>
          <w:sz w:val="22"/>
          <w:szCs w:val="28"/>
        </w:rPr>
        <w:t xml:space="preserve"> - </w:t>
      </w:r>
      <w:r>
        <w:rPr>
          <w:sz w:val="22"/>
          <w:szCs w:val="28"/>
        </w:rPr>
        <w:t>F</w:t>
      </w:r>
      <w:r w:rsidRPr="002308F5">
        <w:rPr>
          <w:sz w:val="22"/>
          <w:szCs w:val="28"/>
        </w:rPr>
        <w:t>acilities in Programs 2 and 3 th</w:t>
      </w:r>
      <w:r>
        <w:rPr>
          <w:sz w:val="22"/>
          <w:szCs w:val="28"/>
        </w:rPr>
        <w:t>a</w:t>
      </w:r>
      <w:r w:rsidRPr="002308F5">
        <w:rPr>
          <w:sz w:val="22"/>
          <w:szCs w:val="28"/>
        </w:rPr>
        <w:t xml:space="preserve">t have had an RMP-reportable accident </w:t>
      </w:r>
      <w:r>
        <w:rPr>
          <w:sz w:val="22"/>
          <w:szCs w:val="28"/>
        </w:rPr>
        <w:t xml:space="preserve">are required to </w:t>
      </w:r>
      <w:r w:rsidRPr="002308F5">
        <w:rPr>
          <w:sz w:val="22"/>
          <w:szCs w:val="28"/>
        </w:rPr>
        <w:t xml:space="preserve">determine the underlying causes as part of their incident investigation. A root cause analysis is a structured process led by a person trained in the methodology. The time required may vary considerably based on the complexity of the processes involved. </w:t>
      </w:r>
    </w:p>
    <w:p w:rsidR="000E33B8" w:rsidRPr="002308F5" w:rsidP="000E33B8" w14:paraId="7C4DBEA2" w14:textId="77777777">
      <w:pPr>
        <w:keepNext/>
        <w:keepLines/>
        <w:ind w:firstLine="360"/>
        <w:rPr>
          <w:sz w:val="22"/>
          <w:szCs w:val="28"/>
        </w:rPr>
      </w:pPr>
    </w:p>
    <w:p w:rsidR="000E33B8" w:rsidRPr="002308F5" w:rsidP="000E33B8" w14:paraId="4D974F3A" w14:textId="77777777">
      <w:pPr>
        <w:rPr>
          <w:sz w:val="22"/>
          <w:szCs w:val="28"/>
        </w:rPr>
      </w:pPr>
      <w:r w:rsidRPr="002308F5">
        <w:rPr>
          <w:sz w:val="22"/>
          <w:szCs w:val="28"/>
        </w:rPr>
        <w:t>In the baseline, facilities are already required to conduct incident investigations. Management time is expected to be devoted primarily to decisions concerning resolution of corrective actions arising from the investigation. EPA assumes that these activities would require roughly the same amount of time whether corrective actions relate to root causes or other contributing causes. For simple facilities</w:t>
      </w:r>
      <w:r w:rsidRPr="002308F5">
        <w:rPr>
          <w:sz w:val="22"/>
          <w:szCs w:val="28"/>
        </w:rPr>
        <w:t xml:space="preserve">, </w:t>
      </w:r>
      <w:r w:rsidRPr="002308F5">
        <w:rPr>
          <w:sz w:val="22"/>
          <w:szCs w:val="28"/>
        </w:rPr>
        <w:t>EPA assumed that labor for root cause analyses require</w:t>
      </w:r>
      <w:r>
        <w:rPr>
          <w:sz w:val="22"/>
          <w:szCs w:val="28"/>
        </w:rPr>
        <w:t>s</w:t>
      </w:r>
      <w:r w:rsidRPr="002308F5">
        <w:rPr>
          <w:sz w:val="22"/>
          <w:szCs w:val="28"/>
        </w:rPr>
        <w:t xml:space="preserve"> management time and additional time evenly distributed between production staff and engineers. For complex facilities, in addition to facility management, EPA estimate</w:t>
      </w:r>
      <w:r>
        <w:rPr>
          <w:sz w:val="22"/>
          <w:szCs w:val="28"/>
        </w:rPr>
        <w:t>s</w:t>
      </w:r>
      <w:r w:rsidRPr="002308F5">
        <w:rPr>
          <w:sz w:val="22"/>
          <w:szCs w:val="28"/>
        </w:rPr>
        <w:t xml:space="preserve"> that due to the facility’s size and complexity, attorney hours would be required, </w:t>
      </w:r>
      <w:r w:rsidRPr="00D648FA">
        <w:rPr>
          <w:sz w:val="22"/>
          <w:szCs w:val="28"/>
        </w:rPr>
        <w:t>along with the acknowledgment of corporate management, requiring 0.5 hours of corporate manager time. EPA also estimates that multiple hours of engineering and production staff will be required to conduct</w:t>
      </w:r>
      <w:r w:rsidRPr="002308F5">
        <w:rPr>
          <w:sz w:val="22"/>
          <w:szCs w:val="28"/>
        </w:rPr>
        <w:t xml:space="preserve"> the analysis.</w:t>
      </w:r>
    </w:p>
    <w:p w:rsidR="000E33B8" w:rsidRPr="002308F5" w:rsidP="000E33B8" w14:paraId="40C74002" w14:textId="77777777">
      <w:pPr>
        <w:ind w:firstLine="360"/>
        <w:rPr>
          <w:sz w:val="22"/>
          <w:szCs w:val="28"/>
        </w:rPr>
      </w:pPr>
    </w:p>
    <w:p w:rsidR="000E33B8" w:rsidP="000E33B8" w14:paraId="36EF61B2" w14:textId="325AC53A">
      <w:pPr>
        <w:keepNext/>
        <w:keepLines/>
        <w:rPr>
          <w:sz w:val="22"/>
          <w:szCs w:val="28"/>
        </w:rPr>
      </w:pPr>
      <w:r w:rsidRPr="002308F5">
        <w:rPr>
          <w:sz w:val="22"/>
          <w:szCs w:val="28"/>
        </w:rPr>
        <w:t xml:space="preserve">Complex facilities are estimated to require </w:t>
      </w:r>
      <w:r w:rsidRPr="00D648FA">
        <w:rPr>
          <w:sz w:val="22"/>
          <w:szCs w:val="28"/>
        </w:rPr>
        <w:t>132.5 total hours (68 hours of management, 0.5 hours of corporate management, 6 hours of attorneys, 30 hours of engineers, and 28 hours of production staff) for a root cause analysis and simple facilities are estimated to require 14 total hours (6 hours of management, 4 hours of engineering, and 4 hours of production). These</w:t>
      </w:r>
      <w:r w:rsidRPr="002308F5">
        <w:rPr>
          <w:sz w:val="22"/>
          <w:szCs w:val="28"/>
        </w:rPr>
        <w:t xml:space="preserve"> hour estimates apply to root cause analyses of RMP-reportable accidents and reflect the additional time required for root cause analyses over and above incident investigation.</w:t>
      </w:r>
      <w:r w:rsidRPr="00127393" w:rsidR="00127393">
        <w:t xml:space="preserve"> </w:t>
      </w:r>
    </w:p>
    <w:p w:rsidR="000E33B8" w:rsidP="000E33B8" w14:paraId="1883C2C2" w14:textId="77777777">
      <w:pPr>
        <w:keepNext/>
        <w:keepLines/>
        <w:rPr>
          <w:sz w:val="22"/>
          <w:szCs w:val="28"/>
        </w:rPr>
      </w:pPr>
    </w:p>
    <w:p w:rsidR="000E33B8" w:rsidRPr="00451AB6" w:rsidP="000E33B8" w14:paraId="11D33ED5" w14:textId="46341320">
      <w:pPr>
        <w:pStyle w:val="Caption"/>
        <w:keepNext/>
        <w:spacing w:after="0"/>
        <w:jc w:val="center"/>
        <w:rPr>
          <w:b/>
          <w:bCs/>
          <w:i w:val="0"/>
          <w:iCs w:val="0"/>
          <w:color w:val="auto"/>
          <w:sz w:val="22"/>
          <w:szCs w:val="22"/>
        </w:rPr>
      </w:pPr>
      <w:r w:rsidRPr="00451AB6">
        <w:rPr>
          <w:b/>
          <w:bCs/>
          <w:i w:val="0"/>
          <w:iCs w:val="0"/>
          <w:color w:val="auto"/>
          <w:sz w:val="22"/>
          <w:szCs w:val="22"/>
        </w:rPr>
        <w:t>Exhibit</w:t>
      </w:r>
      <w:r>
        <w:rPr>
          <w:b/>
          <w:bCs/>
          <w:i w:val="0"/>
          <w:iCs w:val="0"/>
          <w:color w:val="auto"/>
          <w:sz w:val="22"/>
          <w:szCs w:val="22"/>
        </w:rPr>
        <w:t xml:space="preserve"> </w:t>
      </w:r>
      <w:r w:rsidR="00CF3F54">
        <w:rPr>
          <w:b/>
          <w:bCs/>
          <w:i w:val="0"/>
          <w:iCs w:val="0"/>
          <w:color w:val="auto"/>
          <w:sz w:val="22"/>
          <w:szCs w:val="22"/>
        </w:rPr>
        <w:t>7</w:t>
      </w:r>
      <w:r>
        <w:rPr>
          <w:b/>
          <w:bCs/>
          <w:i w:val="0"/>
          <w:iCs w:val="0"/>
          <w:color w:val="auto"/>
          <w:sz w:val="22"/>
          <w:szCs w:val="22"/>
        </w:rPr>
        <w:t>:</w:t>
      </w:r>
      <w:r w:rsidRPr="009C6838">
        <w:rPr>
          <w:b/>
          <w:bCs/>
          <w:sz w:val="22"/>
          <w:szCs w:val="22"/>
        </w:rPr>
        <w:t xml:space="preserve"> </w:t>
      </w:r>
      <w:r w:rsidRPr="00EB2EEA">
        <w:rPr>
          <w:b/>
          <w:bCs/>
          <w:i w:val="0"/>
          <w:iCs w:val="0"/>
          <w:color w:val="auto"/>
          <w:sz w:val="22"/>
          <w:szCs w:val="22"/>
        </w:rPr>
        <w:t>Hour</w:t>
      </w:r>
      <w:r>
        <w:rPr>
          <w:b/>
          <w:bCs/>
          <w:i w:val="0"/>
          <w:iCs w:val="0"/>
          <w:color w:val="auto"/>
          <w:sz w:val="22"/>
          <w:szCs w:val="22"/>
        </w:rPr>
        <w:t xml:space="preserve"> Burden</w:t>
      </w:r>
      <w:r w:rsidRPr="00451AB6">
        <w:rPr>
          <w:b/>
          <w:bCs/>
          <w:i w:val="0"/>
          <w:iCs w:val="0"/>
          <w:color w:val="auto"/>
          <w:sz w:val="22"/>
          <w:szCs w:val="22"/>
        </w:rPr>
        <w:t xml:space="preserve"> for </w:t>
      </w:r>
      <w:r>
        <w:rPr>
          <w:b/>
          <w:bCs/>
          <w:i w:val="0"/>
          <w:iCs w:val="0"/>
          <w:color w:val="auto"/>
          <w:sz w:val="22"/>
          <w:szCs w:val="22"/>
        </w:rPr>
        <w:t>Root Cause Analysis</w:t>
      </w:r>
    </w:p>
    <w:tbl>
      <w:tblPr>
        <w:tblW w:w="7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8"/>
        <w:gridCol w:w="1537"/>
        <w:gridCol w:w="990"/>
        <w:gridCol w:w="919"/>
        <w:gridCol w:w="1157"/>
        <w:gridCol w:w="1254"/>
      </w:tblGrid>
      <w:tr w14:paraId="078FE52B" w14:textId="77777777">
        <w:tblPrEx>
          <w:tblW w:w="7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2"/>
          <w:jc w:val="center"/>
        </w:trPr>
        <w:tc>
          <w:tcPr>
            <w:tcW w:w="1518" w:type="dxa"/>
            <w:vMerge w:val="restart"/>
            <w:tcBorders>
              <w:top w:val="single" w:sz="4" w:space="0" w:color="auto"/>
            </w:tcBorders>
            <w:shd w:val="clear" w:color="auto" w:fill="D9D9D9" w:themeFill="background1" w:themeFillShade="D9"/>
            <w:vAlign w:val="center"/>
          </w:tcPr>
          <w:p w:rsidR="000E33B8" w:rsidRPr="00F3547C" w14:paraId="701E2740" w14:textId="77777777">
            <w:pPr>
              <w:keepNext/>
              <w:keepLines/>
              <w:jc w:val="center"/>
              <w:rPr>
                <w:b/>
                <w:bCs/>
                <w:szCs w:val="20"/>
              </w:rPr>
            </w:pPr>
            <w:r>
              <w:rPr>
                <w:b/>
                <w:bCs/>
                <w:szCs w:val="20"/>
              </w:rPr>
              <w:t>Facility Type</w:t>
            </w:r>
          </w:p>
        </w:tc>
        <w:tc>
          <w:tcPr>
            <w:tcW w:w="1537" w:type="dxa"/>
            <w:vMerge w:val="restart"/>
            <w:tcBorders>
              <w:top w:val="single" w:sz="4" w:space="0" w:color="auto"/>
            </w:tcBorders>
            <w:shd w:val="clear" w:color="auto" w:fill="D9D9D9"/>
            <w:vAlign w:val="center"/>
          </w:tcPr>
          <w:p w:rsidR="000E33B8" w:rsidRPr="00835820" w14:paraId="4FD4B317" w14:textId="77777777">
            <w:pPr>
              <w:keepNext/>
              <w:keepLines/>
              <w:ind w:left="127" w:right="119"/>
              <w:jc w:val="center"/>
              <w:rPr>
                <w:b/>
                <w:szCs w:val="20"/>
              </w:rPr>
            </w:pPr>
            <w:r w:rsidRPr="00BB3B6F">
              <w:rPr>
                <w:b/>
                <w:szCs w:val="20"/>
              </w:rPr>
              <w:t>Hours</w:t>
            </w:r>
            <w:r>
              <w:rPr>
                <w:b/>
                <w:szCs w:val="20"/>
              </w:rPr>
              <w:t xml:space="preserve"> </w:t>
            </w:r>
            <w:r w:rsidRPr="00BB3B6F">
              <w:rPr>
                <w:b/>
                <w:szCs w:val="20"/>
              </w:rPr>
              <w:t>Required</w:t>
            </w:r>
            <w:r>
              <w:rPr>
                <w:b/>
                <w:szCs w:val="20"/>
              </w:rPr>
              <w:t xml:space="preserve"> </w:t>
            </w:r>
            <w:r w:rsidRPr="004E2F13">
              <w:rPr>
                <w:b/>
                <w:szCs w:val="20"/>
              </w:rPr>
              <w:t>Per Respondent</w:t>
            </w:r>
          </w:p>
        </w:tc>
        <w:tc>
          <w:tcPr>
            <w:tcW w:w="1909" w:type="dxa"/>
            <w:gridSpan w:val="2"/>
            <w:tcBorders>
              <w:top w:val="single" w:sz="4" w:space="0" w:color="auto"/>
            </w:tcBorders>
            <w:shd w:val="clear" w:color="auto" w:fill="D9D9D9"/>
            <w:vAlign w:val="center"/>
          </w:tcPr>
          <w:p w:rsidR="000E33B8" w:rsidRPr="00835820" w14:paraId="2DE7687A" w14:textId="77777777">
            <w:pPr>
              <w:keepNext/>
              <w:keepLines/>
              <w:ind w:left="100" w:right="79"/>
              <w:jc w:val="center"/>
              <w:rPr>
                <w:b/>
                <w:szCs w:val="20"/>
              </w:rPr>
            </w:pPr>
            <w:r w:rsidRPr="004C1E64">
              <w:rPr>
                <w:b/>
                <w:szCs w:val="20"/>
              </w:rPr>
              <w:t>Number of Facilities</w:t>
            </w:r>
          </w:p>
        </w:tc>
        <w:tc>
          <w:tcPr>
            <w:tcW w:w="1157" w:type="dxa"/>
            <w:vMerge w:val="restart"/>
            <w:tcBorders>
              <w:top w:val="single" w:sz="4" w:space="0" w:color="auto"/>
            </w:tcBorders>
            <w:shd w:val="clear" w:color="auto" w:fill="D9D9D9"/>
            <w:vAlign w:val="center"/>
          </w:tcPr>
          <w:p w:rsidR="000E33B8" w:rsidRPr="009762B0" w14:paraId="219FD21C" w14:textId="77777777">
            <w:pPr>
              <w:keepNext/>
              <w:keepLines/>
              <w:ind w:left="97" w:right="76"/>
              <w:jc w:val="center"/>
              <w:rPr>
                <w:b/>
                <w:szCs w:val="20"/>
              </w:rPr>
            </w:pPr>
            <w:r w:rsidRPr="007C2720">
              <w:rPr>
                <w:b/>
                <w:szCs w:val="20"/>
              </w:rPr>
              <w:t>3-Year Average Annual Burden (hours)</w:t>
            </w:r>
          </w:p>
        </w:tc>
        <w:tc>
          <w:tcPr>
            <w:tcW w:w="1254" w:type="dxa"/>
            <w:vMerge w:val="restart"/>
            <w:tcBorders>
              <w:top w:val="single" w:sz="4" w:space="0" w:color="auto"/>
            </w:tcBorders>
            <w:shd w:val="clear" w:color="auto" w:fill="D9D9D9" w:themeFill="background1" w:themeFillShade="D9"/>
            <w:vAlign w:val="center"/>
          </w:tcPr>
          <w:p w:rsidR="000E33B8" w:rsidRPr="00F3547C" w14:paraId="0B4C4215" w14:textId="77777777">
            <w:pPr>
              <w:keepNext/>
              <w:keepLines/>
              <w:jc w:val="center"/>
              <w:rPr>
                <w:b/>
                <w:szCs w:val="20"/>
              </w:rPr>
            </w:pPr>
            <w:r w:rsidRPr="00E4312C">
              <w:rPr>
                <w:b/>
                <w:szCs w:val="20"/>
              </w:rPr>
              <w:t>3-Year Total Burden (hours)</w:t>
            </w:r>
          </w:p>
        </w:tc>
      </w:tr>
      <w:tr w14:paraId="65239E3D" w14:textId="77777777">
        <w:tblPrEx>
          <w:tblW w:w="7375" w:type="dxa"/>
          <w:jc w:val="center"/>
          <w:tblLayout w:type="fixed"/>
          <w:tblCellMar>
            <w:left w:w="0" w:type="dxa"/>
            <w:right w:w="0" w:type="dxa"/>
          </w:tblCellMar>
          <w:tblLook w:val="01E0"/>
        </w:tblPrEx>
        <w:trPr>
          <w:trHeight w:val="482"/>
          <w:jc w:val="center"/>
        </w:trPr>
        <w:tc>
          <w:tcPr>
            <w:tcW w:w="1518" w:type="dxa"/>
            <w:vMerge/>
            <w:shd w:val="clear" w:color="auto" w:fill="D9D9D9" w:themeFill="background1" w:themeFillShade="D9"/>
            <w:vAlign w:val="center"/>
          </w:tcPr>
          <w:p w:rsidR="000E33B8" w:rsidRPr="00CD2A9E" w14:paraId="36574550" w14:textId="77777777">
            <w:pPr>
              <w:keepNext/>
              <w:keepLines/>
              <w:jc w:val="center"/>
              <w:rPr>
                <w:b/>
                <w:bCs/>
                <w:szCs w:val="20"/>
              </w:rPr>
            </w:pPr>
          </w:p>
        </w:tc>
        <w:tc>
          <w:tcPr>
            <w:tcW w:w="1537" w:type="dxa"/>
            <w:vMerge/>
            <w:shd w:val="clear" w:color="auto" w:fill="D9D9D9"/>
            <w:vAlign w:val="center"/>
          </w:tcPr>
          <w:p w:rsidR="000E33B8" w:rsidRPr="00BB3B6F" w14:paraId="4D0AEBB9" w14:textId="77777777">
            <w:pPr>
              <w:keepNext/>
              <w:keepLines/>
              <w:ind w:left="127" w:right="119"/>
              <w:jc w:val="center"/>
              <w:rPr>
                <w:b/>
                <w:szCs w:val="20"/>
              </w:rPr>
            </w:pPr>
          </w:p>
        </w:tc>
        <w:tc>
          <w:tcPr>
            <w:tcW w:w="990" w:type="dxa"/>
            <w:tcBorders>
              <w:top w:val="single" w:sz="4" w:space="0" w:color="auto"/>
            </w:tcBorders>
            <w:shd w:val="clear" w:color="auto" w:fill="D9D9D9"/>
            <w:vAlign w:val="center"/>
          </w:tcPr>
          <w:p w:rsidR="000E33B8" w:rsidRPr="00D00EF5" w14:paraId="3701F3FF" w14:textId="77777777">
            <w:pPr>
              <w:keepNext/>
              <w:keepLines/>
              <w:ind w:left="100" w:right="79"/>
              <w:jc w:val="center"/>
              <w:rPr>
                <w:b/>
                <w:szCs w:val="20"/>
              </w:rPr>
            </w:pPr>
            <w:r>
              <w:rPr>
                <w:b/>
                <w:szCs w:val="20"/>
              </w:rPr>
              <w:t>Year 1*</w:t>
            </w:r>
          </w:p>
        </w:tc>
        <w:tc>
          <w:tcPr>
            <w:tcW w:w="919" w:type="dxa"/>
            <w:tcBorders>
              <w:top w:val="single" w:sz="4" w:space="0" w:color="auto"/>
            </w:tcBorders>
            <w:shd w:val="clear" w:color="auto" w:fill="D9D9D9"/>
            <w:vAlign w:val="center"/>
          </w:tcPr>
          <w:p w:rsidR="000E33B8" w:rsidRPr="00D00EF5" w14:paraId="60FA44AB" w14:textId="77777777">
            <w:pPr>
              <w:keepNext/>
              <w:keepLines/>
              <w:ind w:left="100" w:right="79"/>
              <w:jc w:val="center"/>
              <w:rPr>
                <w:b/>
                <w:szCs w:val="20"/>
              </w:rPr>
            </w:pPr>
            <w:r>
              <w:rPr>
                <w:b/>
                <w:szCs w:val="20"/>
              </w:rPr>
              <w:t>3-Year Total</w:t>
            </w:r>
          </w:p>
        </w:tc>
        <w:tc>
          <w:tcPr>
            <w:tcW w:w="1157" w:type="dxa"/>
            <w:vMerge/>
            <w:shd w:val="clear" w:color="auto" w:fill="D9D9D9"/>
            <w:vAlign w:val="center"/>
          </w:tcPr>
          <w:p w:rsidR="000E33B8" w:rsidRPr="007C2720" w14:paraId="7C293573" w14:textId="77777777">
            <w:pPr>
              <w:keepNext/>
              <w:keepLines/>
              <w:ind w:left="97" w:right="76"/>
              <w:jc w:val="center"/>
              <w:rPr>
                <w:b/>
                <w:szCs w:val="20"/>
              </w:rPr>
            </w:pPr>
          </w:p>
        </w:tc>
        <w:tc>
          <w:tcPr>
            <w:tcW w:w="1254" w:type="dxa"/>
            <w:vMerge/>
            <w:shd w:val="clear" w:color="auto" w:fill="D9D9D9" w:themeFill="background1" w:themeFillShade="D9"/>
            <w:vAlign w:val="center"/>
          </w:tcPr>
          <w:p w:rsidR="000E33B8" w:rsidRPr="00E4312C" w14:paraId="53F47B1B" w14:textId="77777777">
            <w:pPr>
              <w:keepNext/>
              <w:keepLines/>
              <w:jc w:val="center"/>
              <w:rPr>
                <w:b/>
                <w:szCs w:val="20"/>
              </w:rPr>
            </w:pPr>
          </w:p>
        </w:tc>
      </w:tr>
      <w:tr w14:paraId="11910F30" w14:textId="77777777">
        <w:tblPrEx>
          <w:tblW w:w="7375" w:type="dxa"/>
          <w:jc w:val="center"/>
          <w:tblLayout w:type="fixed"/>
          <w:tblCellMar>
            <w:left w:w="0" w:type="dxa"/>
            <w:right w:w="0" w:type="dxa"/>
          </w:tblCellMar>
          <w:tblLook w:val="01E0"/>
        </w:tblPrEx>
        <w:trPr>
          <w:trHeight w:val="482"/>
          <w:jc w:val="center"/>
        </w:trPr>
        <w:tc>
          <w:tcPr>
            <w:tcW w:w="1518" w:type="dxa"/>
            <w:shd w:val="clear" w:color="auto" w:fill="auto"/>
            <w:vAlign w:val="center"/>
          </w:tcPr>
          <w:p w:rsidR="000E33B8" w:rsidRPr="00CD2A9E" w14:paraId="227A656D" w14:textId="77777777">
            <w:pPr>
              <w:keepNext/>
              <w:keepLines/>
              <w:jc w:val="center"/>
              <w:rPr>
                <w:b/>
                <w:bCs/>
                <w:szCs w:val="20"/>
              </w:rPr>
            </w:pPr>
            <w:r>
              <w:rPr>
                <w:b/>
                <w:bCs/>
                <w:szCs w:val="20"/>
              </w:rPr>
              <w:t>Total</w:t>
            </w:r>
          </w:p>
        </w:tc>
        <w:tc>
          <w:tcPr>
            <w:tcW w:w="1537" w:type="dxa"/>
            <w:shd w:val="clear" w:color="auto" w:fill="auto"/>
            <w:vAlign w:val="center"/>
          </w:tcPr>
          <w:p w:rsidR="000E33B8" w:rsidRPr="00BB3B6F" w14:paraId="4C91C337" w14:textId="56CE9AED">
            <w:pPr>
              <w:keepNext/>
              <w:keepLines/>
              <w:ind w:left="127" w:right="119"/>
              <w:jc w:val="center"/>
              <w:rPr>
                <w:b/>
                <w:szCs w:val="20"/>
              </w:rPr>
            </w:pPr>
          </w:p>
        </w:tc>
        <w:tc>
          <w:tcPr>
            <w:tcW w:w="990" w:type="dxa"/>
            <w:tcBorders>
              <w:top w:val="single" w:sz="4" w:space="0" w:color="auto"/>
            </w:tcBorders>
            <w:shd w:val="clear" w:color="auto" w:fill="auto"/>
            <w:vAlign w:val="center"/>
          </w:tcPr>
          <w:p w:rsidR="000E33B8" w:rsidRPr="00746463" w14:paraId="0EFAECCD" w14:textId="4F1A49F1">
            <w:pPr>
              <w:keepNext/>
              <w:keepLines/>
              <w:ind w:left="100" w:right="79"/>
              <w:jc w:val="center"/>
              <w:rPr>
                <w:b/>
                <w:bCs/>
                <w:szCs w:val="20"/>
              </w:rPr>
            </w:pPr>
            <w:r w:rsidRPr="00D206B9">
              <w:rPr>
                <w:b/>
                <w:bCs/>
              </w:rPr>
              <w:t>94</w:t>
            </w:r>
          </w:p>
        </w:tc>
        <w:tc>
          <w:tcPr>
            <w:tcW w:w="919" w:type="dxa"/>
            <w:tcBorders>
              <w:top w:val="single" w:sz="4" w:space="0" w:color="auto"/>
            </w:tcBorders>
            <w:shd w:val="clear" w:color="auto" w:fill="auto"/>
            <w:vAlign w:val="center"/>
          </w:tcPr>
          <w:p w:rsidR="000E33B8" w14:paraId="4B5B2374" w14:textId="3E938635">
            <w:pPr>
              <w:keepNext/>
              <w:keepLines/>
              <w:ind w:left="100" w:right="79"/>
              <w:jc w:val="center"/>
              <w:rPr>
                <w:b/>
                <w:szCs w:val="20"/>
              </w:rPr>
            </w:pPr>
            <w:r>
              <w:rPr>
                <w:b/>
                <w:szCs w:val="20"/>
              </w:rPr>
              <w:t>283</w:t>
            </w:r>
          </w:p>
        </w:tc>
        <w:tc>
          <w:tcPr>
            <w:tcW w:w="1157" w:type="dxa"/>
            <w:shd w:val="clear" w:color="auto" w:fill="auto"/>
            <w:vAlign w:val="center"/>
          </w:tcPr>
          <w:p w:rsidR="000E33B8" w:rsidRPr="007C2720" w14:paraId="026BEEB6" w14:textId="0B1B3B12">
            <w:pPr>
              <w:keepNext/>
              <w:keepLines/>
              <w:ind w:left="97" w:right="76"/>
              <w:jc w:val="center"/>
              <w:rPr>
                <w:b/>
                <w:szCs w:val="20"/>
              </w:rPr>
            </w:pPr>
            <w:r w:rsidRPr="0032766B">
              <w:rPr>
                <w:b/>
                <w:szCs w:val="20"/>
              </w:rPr>
              <w:t>6</w:t>
            </w:r>
            <w:r w:rsidR="008005DD">
              <w:rPr>
                <w:b/>
                <w:szCs w:val="20"/>
              </w:rPr>
              <w:t>,</w:t>
            </w:r>
            <w:r w:rsidRPr="0032766B">
              <w:rPr>
                <w:b/>
                <w:szCs w:val="20"/>
              </w:rPr>
              <w:t>22</w:t>
            </w:r>
            <w:r w:rsidR="004A1FD3">
              <w:rPr>
                <w:b/>
                <w:szCs w:val="20"/>
              </w:rPr>
              <w:t>8</w:t>
            </w:r>
          </w:p>
        </w:tc>
        <w:tc>
          <w:tcPr>
            <w:tcW w:w="1254" w:type="dxa"/>
            <w:shd w:val="clear" w:color="auto" w:fill="auto"/>
            <w:vAlign w:val="center"/>
          </w:tcPr>
          <w:p w:rsidR="000E33B8" w:rsidRPr="00E4312C" w14:paraId="01B1803B" w14:textId="10974DAE">
            <w:pPr>
              <w:keepNext/>
              <w:keepLines/>
              <w:jc w:val="center"/>
              <w:rPr>
                <w:b/>
                <w:szCs w:val="20"/>
              </w:rPr>
            </w:pPr>
            <w:r w:rsidRPr="00DA2921">
              <w:rPr>
                <w:b/>
                <w:szCs w:val="20"/>
              </w:rPr>
              <w:t>18</w:t>
            </w:r>
            <w:r>
              <w:rPr>
                <w:b/>
                <w:szCs w:val="20"/>
              </w:rPr>
              <w:t>,</w:t>
            </w:r>
            <w:r w:rsidRPr="00DA2921">
              <w:rPr>
                <w:b/>
                <w:szCs w:val="20"/>
              </w:rPr>
              <w:t>68</w:t>
            </w:r>
            <w:r w:rsidR="004A1FD3">
              <w:rPr>
                <w:b/>
                <w:szCs w:val="20"/>
              </w:rPr>
              <w:t>3</w:t>
            </w:r>
          </w:p>
        </w:tc>
      </w:tr>
      <w:tr w14:paraId="6FF62F0C" w14:textId="77777777">
        <w:tblPrEx>
          <w:tblW w:w="7375" w:type="dxa"/>
          <w:jc w:val="center"/>
          <w:tblLayout w:type="fixed"/>
          <w:tblCellMar>
            <w:left w:w="0" w:type="dxa"/>
            <w:right w:w="0" w:type="dxa"/>
          </w:tblCellMar>
          <w:tblLook w:val="01E0"/>
        </w:tblPrEx>
        <w:trPr>
          <w:trHeight w:val="272"/>
          <w:jc w:val="center"/>
        </w:trPr>
        <w:tc>
          <w:tcPr>
            <w:tcW w:w="1518" w:type="dxa"/>
          </w:tcPr>
          <w:p w:rsidR="000E33B8" w:rsidRPr="00835820" w14:paraId="7FD8A0D2" w14:textId="77777777">
            <w:pPr>
              <w:keepNext/>
              <w:keepLines/>
              <w:ind w:left="107"/>
              <w:rPr>
                <w:szCs w:val="20"/>
              </w:rPr>
            </w:pPr>
            <w:r w:rsidRPr="005C1F46">
              <w:t>P2 Accidents - simple</w:t>
            </w:r>
          </w:p>
        </w:tc>
        <w:tc>
          <w:tcPr>
            <w:tcW w:w="1537" w:type="dxa"/>
            <w:vAlign w:val="center"/>
          </w:tcPr>
          <w:p w:rsidR="000E33B8" w14:paraId="349EA348" w14:textId="77777777">
            <w:pPr>
              <w:keepNext/>
              <w:keepLines/>
              <w:ind w:left="94" w:right="119"/>
              <w:jc w:val="center"/>
              <w:rPr>
                <w:szCs w:val="20"/>
              </w:rPr>
            </w:pPr>
            <w:r w:rsidRPr="00F63B6C">
              <w:t>14</w:t>
            </w:r>
          </w:p>
        </w:tc>
        <w:tc>
          <w:tcPr>
            <w:tcW w:w="990" w:type="dxa"/>
            <w:vAlign w:val="center"/>
          </w:tcPr>
          <w:p w:rsidR="000E33B8" w:rsidRPr="00835820" w14:paraId="44EAD8E6" w14:textId="16D26053">
            <w:pPr>
              <w:keepNext/>
              <w:keepLines/>
              <w:ind w:left="94" w:right="34"/>
              <w:jc w:val="center"/>
              <w:rPr>
                <w:szCs w:val="20"/>
              </w:rPr>
            </w:pPr>
            <w:r w:rsidRPr="006870F1">
              <w:t>1</w:t>
            </w:r>
            <w:r w:rsidR="00356C13">
              <w:t>3</w:t>
            </w:r>
          </w:p>
        </w:tc>
        <w:tc>
          <w:tcPr>
            <w:tcW w:w="919" w:type="dxa"/>
            <w:vAlign w:val="center"/>
          </w:tcPr>
          <w:p w:rsidR="000E33B8" w:rsidRPr="00835820" w14:paraId="008FBDEF" w14:textId="0C18770F">
            <w:pPr>
              <w:keepNext/>
              <w:keepLines/>
              <w:ind w:left="94" w:right="79"/>
              <w:jc w:val="center"/>
              <w:rPr>
                <w:szCs w:val="20"/>
              </w:rPr>
            </w:pPr>
            <w:r w:rsidRPr="00A92FFD">
              <w:rPr>
                <w:szCs w:val="20"/>
              </w:rPr>
              <w:t>38</w:t>
            </w:r>
          </w:p>
        </w:tc>
        <w:tc>
          <w:tcPr>
            <w:tcW w:w="1157" w:type="dxa"/>
            <w:vAlign w:val="center"/>
          </w:tcPr>
          <w:p w:rsidR="000E33B8" w:rsidRPr="00835820" w14:paraId="25762D27" w14:textId="219C2BFB">
            <w:pPr>
              <w:keepNext/>
              <w:keepLines/>
              <w:ind w:left="94" w:right="111"/>
              <w:jc w:val="center"/>
              <w:rPr>
                <w:szCs w:val="20"/>
              </w:rPr>
            </w:pPr>
            <w:r w:rsidRPr="008B1A4B">
              <w:t>179</w:t>
            </w:r>
          </w:p>
        </w:tc>
        <w:tc>
          <w:tcPr>
            <w:tcW w:w="1254" w:type="dxa"/>
            <w:vAlign w:val="center"/>
          </w:tcPr>
          <w:p w:rsidR="000E33B8" w:rsidRPr="00FE4B12" w14:paraId="41AEF4E8" w14:textId="3908D3CD">
            <w:pPr>
              <w:keepNext/>
              <w:keepLines/>
              <w:ind w:left="94" w:right="111"/>
              <w:jc w:val="center"/>
              <w:rPr>
                <w:color w:val="000000"/>
                <w:szCs w:val="20"/>
              </w:rPr>
            </w:pPr>
            <w:r w:rsidRPr="00B409EC">
              <w:rPr>
                <w:color w:val="000000"/>
                <w:szCs w:val="20"/>
              </w:rPr>
              <w:t>53</w:t>
            </w:r>
            <w:r w:rsidR="00347CDA">
              <w:rPr>
                <w:color w:val="000000"/>
                <w:szCs w:val="20"/>
              </w:rPr>
              <w:t>8</w:t>
            </w:r>
          </w:p>
        </w:tc>
      </w:tr>
      <w:tr w14:paraId="7D4CA7E8" w14:textId="77777777">
        <w:tblPrEx>
          <w:tblW w:w="7375" w:type="dxa"/>
          <w:jc w:val="center"/>
          <w:tblLayout w:type="fixed"/>
          <w:tblCellMar>
            <w:left w:w="0" w:type="dxa"/>
            <w:right w:w="0" w:type="dxa"/>
          </w:tblCellMar>
          <w:tblLook w:val="01E0"/>
        </w:tblPrEx>
        <w:trPr>
          <w:trHeight w:val="272"/>
          <w:jc w:val="center"/>
        </w:trPr>
        <w:tc>
          <w:tcPr>
            <w:tcW w:w="1518" w:type="dxa"/>
          </w:tcPr>
          <w:p w:rsidR="000E33B8" w:rsidRPr="00450353" w14:paraId="5277E1E2" w14:textId="77777777">
            <w:pPr>
              <w:keepNext/>
              <w:keepLines/>
              <w:ind w:left="107"/>
            </w:pPr>
            <w:r w:rsidRPr="005C1F46">
              <w:t xml:space="preserve">P2 </w:t>
            </w:r>
            <w:r>
              <w:t>A</w:t>
            </w:r>
            <w:r w:rsidRPr="005C1F46">
              <w:t>ccidents - complex</w:t>
            </w:r>
          </w:p>
        </w:tc>
        <w:tc>
          <w:tcPr>
            <w:tcW w:w="1537" w:type="dxa"/>
            <w:vAlign w:val="center"/>
          </w:tcPr>
          <w:p w:rsidR="000E33B8" w14:paraId="5C218520" w14:textId="77777777">
            <w:pPr>
              <w:keepNext/>
              <w:keepLines/>
              <w:ind w:left="94" w:right="119"/>
              <w:jc w:val="center"/>
              <w:rPr>
                <w:szCs w:val="20"/>
              </w:rPr>
            </w:pPr>
            <w:r w:rsidRPr="00F63B6C">
              <w:t>132.5</w:t>
            </w:r>
          </w:p>
        </w:tc>
        <w:tc>
          <w:tcPr>
            <w:tcW w:w="990" w:type="dxa"/>
            <w:vAlign w:val="center"/>
          </w:tcPr>
          <w:p w:rsidR="000E33B8" w:rsidRPr="00835820" w14:paraId="0CFCF74B" w14:textId="22B22409">
            <w:pPr>
              <w:keepNext/>
              <w:keepLines/>
              <w:ind w:left="94" w:right="34"/>
              <w:jc w:val="center"/>
              <w:rPr>
                <w:szCs w:val="20"/>
              </w:rPr>
            </w:pPr>
            <w:r>
              <w:t>0</w:t>
            </w:r>
          </w:p>
        </w:tc>
        <w:tc>
          <w:tcPr>
            <w:tcW w:w="919" w:type="dxa"/>
            <w:vAlign w:val="center"/>
          </w:tcPr>
          <w:p w:rsidR="000E33B8" w:rsidRPr="00835820" w14:paraId="5FA7A37A" w14:textId="24A623BD">
            <w:pPr>
              <w:keepNext/>
              <w:keepLines/>
              <w:ind w:left="94" w:right="79"/>
              <w:jc w:val="center"/>
              <w:rPr>
                <w:szCs w:val="20"/>
              </w:rPr>
            </w:pPr>
            <w:r>
              <w:rPr>
                <w:szCs w:val="20"/>
              </w:rPr>
              <w:t>1</w:t>
            </w:r>
          </w:p>
        </w:tc>
        <w:tc>
          <w:tcPr>
            <w:tcW w:w="1157" w:type="dxa"/>
            <w:vAlign w:val="center"/>
          </w:tcPr>
          <w:p w:rsidR="000E33B8" w:rsidRPr="00835820" w14:paraId="3D37781B" w14:textId="14B5E094">
            <w:pPr>
              <w:keepNext/>
              <w:keepLines/>
              <w:ind w:left="94" w:right="111"/>
              <w:jc w:val="center"/>
              <w:rPr>
                <w:szCs w:val="20"/>
              </w:rPr>
            </w:pPr>
            <w:r w:rsidRPr="008B1A4B">
              <w:t>2</w:t>
            </w:r>
            <w:r w:rsidR="00347CDA">
              <w:t>7</w:t>
            </w:r>
          </w:p>
        </w:tc>
        <w:tc>
          <w:tcPr>
            <w:tcW w:w="1254" w:type="dxa"/>
            <w:vAlign w:val="center"/>
          </w:tcPr>
          <w:p w:rsidR="000E33B8" w:rsidRPr="00FE4B12" w14:paraId="14077628" w14:textId="515F8AA3">
            <w:pPr>
              <w:keepNext/>
              <w:keepLines/>
              <w:ind w:left="94" w:right="111"/>
              <w:jc w:val="center"/>
              <w:rPr>
                <w:color w:val="000000"/>
                <w:szCs w:val="20"/>
              </w:rPr>
            </w:pPr>
            <w:r>
              <w:rPr>
                <w:color w:val="000000"/>
                <w:szCs w:val="20"/>
              </w:rPr>
              <w:t>80</w:t>
            </w:r>
          </w:p>
        </w:tc>
      </w:tr>
      <w:tr w14:paraId="45430EE8" w14:textId="77777777">
        <w:tblPrEx>
          <w:tblW w:w="7375" w:type="dxa"/>
          <w:jc w:val="center"/>
          <w:tblLayout w:type="fixed"/>
          <w:tblCellMar>
            <w:left w:w="0" w:type="dxa"/>
            <w:right w:w="0" w:type="dxa"/>
          </w:tblCellMar>
          <w:tblLook w:val="01E0"/>
        </w:tblPrEx>
        <w:trPr>
          <w:trHeight w:val="272"/>
          <w:jc w:val="center"/>
        </w:trPr>
        <w:tc>
          <w:tcPr>
            <w:tcW w:w="1518" w:type="dxa"/>
          </w:tcPr>
          <w:p w:rsidR="000E33B8" w:rsidRPr="00450353" w14:paraId="00D26526" w14:textId="77777777">
            <w:pPr>
              <w:keepNext/>
              <w:keepLines/>
              <w:ind w:left="107"/>
            </w:pPr>
            <w:r w:rsidRPr="005C1F46">
              <w:t xml:space="preserve">P3 </w:t>
            </w:r>
            <w:r>
              <w:t>A</w:t>
            </w:r>
            <w:r w:rsidRPr="005C1F46">
              <w:t>ccidents - simple</w:t>
            </w:r>
          </w:p>
        </w:tc>
        <w:tc>
          <w:tcPr>
            <w:tcW w:w="1537" w:type="dxa"/>
            <w:vAlign w:val="center"/>
          </w:tcPr>
          <w:p w:rsidR="000E33B8" w14:paraId="227F0BA5" w14:textId="77777777">
            <w:pPr>
              <w:keepNext/>
              <w:keepLines/>
              <w:ind w:left="94" w:right="119"/>
              <w:jc w:val="center"/>
              <w:rPr>
                <w:szCs w:val="20"/>
              </w:rPr>
            </w:pPr>
            <w:r w:rsidRPr="00F63B6C">
              <w:t>14</w:t>
            </w:r>
          </w:p>
        </w:tc>
        <w:tc>
          <w:tcPr>
            <w:tcW w:w="990" w:type="dxa"/>
            <w:vAlign w:val="center"/>
          </w:tcPr>
          <w:p w:rsidR="000E33B8" w:rsidRPr="00835820" w14:paraId="7EEE6C31" w14:textId="59567531">
            <w:pPr>
              <w:keepNext/>
              <w:keepLines/>
              <w:ind w:left="94" w:right="34"/>
              <w:jc w:val="center"/>
              <w:rPr>
                <w:szCs w:val="20"/>
              </w:rPr>
            </w:pPr>
            <w:r w:rsidRPr="006870F1">
              <w:t>40</w:t>
            </w:r>
          </w:p>
        </w:tc>
        <w:tc>
          <w:tcPr>
            <w:tcW w:w="919" w:type="dxa"/>
            <w:vAlign w:val="center"/>
          </w:tcPr>
          <w:p w:rsidR="000E33B8" w:rsidRPr="00835820" w14:paraId="1BB9826F" w14:textId="64DABACE">
            <w:pPr>
              <w:keepNext/>
              <w:keepLines/>
              <w:ind w:left="94" w:right="79"/>
              <w:jc w:val="center"/>
              <w:rPr>
                <w:szCs w:val="20"/>
              </w:rPr>
            </w:pPr>
            <w:r>
              <w:rPr>
                <w:szCs w:val="20"/>
              </w:rPr>
              <w:t>12</w:t>
            </w:r>
            <w:r w:rsidR="006F273A">
              <w:rPr>
                <w:szCs w:val="20"/>
              </w:rPr>
              <w:t>1</w:t>
            </w:r>
          </w:p>
        </w:tc>
        <w:tc>
          <w:tcPr>
            <w:tcW w:w="1157" w:type="dxa"/>
            <w:vAlign w:val="center"/>
          </w:tcPr>
          <w:p w:rsidR="000E33B8" w:rsidRPr="00835820" w14:paraId="36CDAA7A" w14:textId="363D6128">
            <w:pPr>
              <w:keepNext/>
              <w:keepLines/>
              <w:ind w:left="94" w:right="111"/>
              <w:jc w:val="center"/>
              <w:rPr>
                <w:szCs w:val="20"/>
              </w:rPr>
            </w:pPr>
            <w:r w:rsidRPr="008B1A4B">
              <w:t>56</w:t>
            </w:r>
            <w:r w:rsidR="00347CDA">
              <w:t>3</w:t>
            </w:r>
          </w:p>
        </w:tc>
        <w:tc>
          <w:tcPr>
            <w:tcW w:w="1254" w:type="dxa"/>
            <w:vAlign w:val="center"/>
          </w:tcPr>
          <w:p w:rsidR="000E33B8" w:rsidRPr="00FE4B12" w14:paraId="0B11CF1C" w14:textId="7EACFEE7">
            <w:pPr>
              <w:keepNext/>
              <w:keepLines/>
              <w:ind w:left="94" w:right="111"/>
              <w:jc w:val="center"/>
              <w:rPr>
                <w:color w:val="000000"/>
                <w:szCs w:val="20"/>
              </w:rPr>
            </w:pPr>
            <w:r w:rsidRPr="001742CF">
              <w:rPr>
                <w:color w:val="000000"/>
                <w:szCs w:val="20"/>
              </w:rPr>
              <w:t>1</w:t>
            </w:r>
            <w:r>
              <w:rPr>
                <w:color w:val="000000"/>
                <w:szCs w:val="20"/>
              </w:rPr>
              <w:t>,</w:t>
            </w:r>
            <w:r w:rsidRPr="001742CF">
              <w:rPr>
                <w:color w:val="000000"/>
                <w:szCs w:val="20"/>
              </w:rPr>
              <w:t>688</w:t>
            </w:r>
          </w:p>
        </w:tc>
      </w:tr>
      <w:tr w14:paraId="08169D06" w14:textId="77777777">
        <w:tblPrEx>
          <w:tblW w:w="7375" w:type="dxa"/>
          <w:jc w:val="center"/>
          <w:tblLayout w:type="fixed"/>
          <w:tblCellMar>
            <w:left w:w="0" w:type="dxa"/>
            <w:right w:w="0" w:type="dxa"/>
          </w:tblCellMar>
          <w:tblLook w:val="01E0"/>
        </w:tblPrEx>
        <w:trPr>
          <w:trHeight w:val="272"/>
          <w:jc w:val="center"/>
        </w:trPr>
        <w:tc>
          <w:tcPr>
            <w:tcW w:w="1518" w:type="dxa"/>
          </w:tcPr>
          <w:p w:rsidR="000E33B8" w:rsidRPr="00450353" w14:paraId="389FBACA" w14:textId="77777777">
            <w:pPr>
              <w:keepNext/>
              <w:keepLines/>
              <w:ind w:left="107"/>
            </w:pPr>
            <w:r w:rsidRPr="005C1F46">
              <w:t xml:space="preserve">P3 </w:t>
            </w:r>
            <w:r>
              <w:t>A</w:t>
            </w:r>
            <w:r w:rsidRPr="005C1F46">
              <w:t>ccidents - complex</w:t>
            </w:r>
          </w:p>
        </w:tc>
        <w:tc>
          <w:tcPr>
            <w:tcW w:w="1537" w:type="dxa"/>
            <w:vAlign w:val="center"/>
          </w:tcPr>
          <w:p w:rsidR="000E33B8" w14:paraId="62CDAF6C" w14:textId="77777777">
            <w:pPr>
              <w:keepNext/>
              <w:keepLines/>
              <w:ind w:left="94" w:right="119"/>
              <w:jc w:val="center"/>
              <w:rPr>
                <w:szCs w:val="20"/>
              </w:rPr>
            </w:pPr>
            <w:r w:rsidRPr="00F63B6C">
              <w:t>132.5</w:t>
            </w:r>
          </w:p>
        </w:tc>
        <w:tc>
          <w:tcPr>
            <w:tcW w:w="990" w:type="dxa"/>
            <w:vAlign w:val="center"/>
          </w:tcPr>
          <w:p w:rsidR="000E33B8" w:rsidRPr="00835820" w14:paraId="07CFAC7D" w14:textId="4DBBD5E2">
            <w:pPr>
              <w:keepNext/>
              <w:keepLines/>
              <w:ind w:left="94" w:right="34"/>
              <w:jc w:val="center"/>
              <w:rPr>
                <w:szCs w:val="20"/>
              </w:rPr>
            </w:pPr>
            <w:r w:rsidRPr="006870F1">
              <w:t>4</w:t>
            </w:r>
            <w:r w:rsidR="006F273A">
              <w:t>1</w:t>
            </w:r>
          </w:p>
        </w:tc>
        <w:tc>
          <w:tcPr>
            <w:tcW w:w="919" w:type="dxa"/>
            <w:vAlign w:val="center"/>
          </w:tcPr>
          <w:p w:rsidR="000E33B8" w:rsidRPr="00835820" w14:paraId="4518DA40" w14:textId="3A092395">
            <w:pPr>
              <w:keepNext/>
              <w:keepLines/>
              <w:ind w:left="94" w:right="79"/>
              <w:jc w:val="center"/>
              <w:rPr>
                <w:szCs w:val="20"/>
              </w:rPr>
            </w:pPr>
            <w:r>
              <w:rPr>
                <w:szCs w:val="20"/>
              </w:rPr>
              <w:t>12</w:t>
            </w:r>
            <w:r w:rsidR="006F273A">
              <w:rPr>
                <w:szCs w:val="20"/>
              </w:rPr>
              <w:t>4</w:t>
            </w:r>
          </w:p>
        </w:tc>
        <w:tc>
          <w:tcPr>
            <w:tcW w:w="1157" w:type="dxa"/>
            <w:vAlign w:val="center"/>
          </w:tcPr>
          <w:p w:rsidR="000E33B8" w:rsidRPr="00835820" w14:paraId="6579B4D8" w14:textId="0BA6D4DD">
            <w:pPr>
              <w:keepNext/>
              <w:keepLines/>
              <w:ind w:left="94" w:right="111"/>
              <w:jc w:val="center"/>
              <w:rPr>
                <w:szCs w:val="20"/>
              </w:rPr>
            </w:pPr>
            <w:r w:rsidRPr="008B1A4B">
              <w:t>5,459</w:t>
            </w:r>
          </w:p>
        </w:tc>
        <w:tc>
          <w:tcPr>
            <w:tcW w:w="1254" w:type="dxa"/>
            <w:vAlign w:val="center"/>
          </w:tcPr>
          <w:p w:rsidR="000E33B8" w:rsidRPr="00FE4B12" w14:paraId="091BBC61" w14:textId="77777777">
            <w:pPr>
              <w:keepNext/>
              <w:keepLines/>
              <w:ind w:left="94" w:right="111"/>
              <w:jc w:val="center"/>
              <w:rPr>
                <w:color w:val="000000"/>
                <w:szCs w:val="20"/>
              </w:rPr>
            </w:pPr>
            <w:r w:rsidRPr="00CD5437">
              <w:rPr>
                <w:color w:val="000000"/>
                <w:szCs w:val="20"/>
              </w:rPr>
              <w:t>16</w:t>
            </w:r>
            <w:r>
              <w:rPr>
                <w:color w:val="000000"/>
                <w:szCs w:val="20"/>
              </w:rPr>
              <w:t>,</w:t>
            </w:r>
            <w:r w:rsidRPr="00CD5437">
              <w:rPr>
                <w:color w:val="000000"/>
                <w:szCs w:val="20"/>
              </w:rPr>
              <w:t>377</w:t>
            </w:r>
          </w:p>
        </w:tc>
      </w:tr>
    </w:tbl>
    <w:p w:rsidR="000E33B8" w:rsidP="000E33B8" w14:paraId="6692A31A" w14:textId="77777777">
      <w:pPr>
        <w:ind w:left="990" w:right="630"/>
      </w:pPr>
      <w:r>
        <w:t xml:space="preserve">* EPA assumed that the burden associated with this provision would be incurred by the same number of facilities in Years 1, 2, and 3.   </w:t>
      </w:r>
    </w:p>
    <w:p w:rsidR="000E33B8" w:rsidRPr="00875E5E" w:rsidP="000E33B8" w14:paraId="228817EE" w14:textId="77777777">
      <w:pPr>
        <w:keepNext/>
        <w:keepLines/>
        <w:rPr>
          <w:bCs/>
          <w:i/>
          <w:iCs/>
          <w:sz w:val="22"/>
          <w:szCs w:val="28"/>
        </w:rPr>
      </w:pPr>
    </w:p>
    <w:p w:rsidR="000E33B8" w:rsidP="000E33B8" w14:paraId="5A0AC61F" w14:textId="3D401C77">
      <w:pPr>
        <w:rPr>
          <w:color w:val="000000"/>
          <w:sz w:val="22"/>
          <w:szCs w:val="28"/>
        </w:rPr>
      </w:pPr>
      <w:r w:rsidRPr="00875E5E">
        <w:rPr>
          <w:i/>
          <w:iCs/>
          <w:sz w:val="22"/>
          <w:szCs w:val="28"/>
        </w:rPr>
        <w:t>T</w:t>
      </w:r>
      <w:r w:rsidRPr="00875E5E">
        <w:rPr>
          <w:i/>
          <w:sz w:val="22"/>
          <w:szCs w:val="28"/>
        </w:rPr>
        <w:t>hird-party Audits</w:t>
      </w:r>
      <w:r>
        <w:rPr>
          <w:i/>
          <w:sz w:val="22"/>
          <w:szCs w:val="28"/>
        </w:rPr>
        <w:t xml:space="preserve"> - </w:t>
      </w:r>
      <w:r w:rsidRPr="004B7ED6">
        <w:rPr>
          <w:color w:val="000000"/>
          <w:sz w:val="22"/>
          <w:szCs w:val="28"/>
        </w:rPr>
        <w:t xml:space="preserve">The current rule requires </w:t>
      </w:r>
      <w:r w:rsidRPr="004B7ED6">
        <w:rPr>
          <w:sz w:val="22"/>
          <w:szCs w:val="28"/>
        </w:rPr>
        <w:t>Program 2</w:t>
      </w:r>
      <w:r w:rsidRPr="004B7ED6">
        <w:rPr>
          <w:color w:val="000000"/>
          <w:sz w:val="22"/>
          <w:szCs w:val="28"/>
        </w:rPr>
        <w:t xml:space="preserve"> and Program 3 facilities to conduct a compliance audit at least once every three years. The </w:t>
      </w:r>
      <w:r>
        <w:rPr>
          <w:color w:val="000000"/>
          <w:sz w:val="22"/>
          <w:szCs w:val="28"/>
        </w:rPr>
        <w:t>final</w:t>
      </w:r>
      <w:r w:rsidRPr="004B7ED6">
        <w:rPr>
          <w:color w:val="000000"/>
          <w:sz w:val="22"/>
          <w:szCs w:val="28"/>
        </w:rPr>
        <w:t xml:space="preserve"> rule require</w:t>
      </w:r>
      <w:r>
        <w:rPr>
          <w:color w:val="000000"/>
          <w:sz w:val="22"/>
          <w:szCs w:val="28"/>
        </w:rPr>
        <w:t>s</w:t>
      </w:r>
      <w:r w:rsidRPr="004B7ED6">
        <w:rPr>
          <w:color w:val="000000"/>
          <w:sz w:val="22"/>
          <w:szCs w:val="28"/>
        </w:rPr>
        <w:t xml:space="preserve"> </w:t>
      </w:r>
      <w:r w:rsidRPr="004B7ED6">
        <w:rPr>
          <w:sz w:val="22"/>
          <w:szCs w:val="28"/>
        </w:rPr>
        <w:t>Program 2</w:t>
      </w:r>
      <w:r w:rsidRPr="004B7ED6">
        <w:rPr>
          <w:color w:val="000000"/>
          <w:sz w:val="22"/>
          <w:szCs w:val="28"/>
        </w:rPr>
        <w:t xml:space="preserve"> and Program 3 facilities that have had two RMP-reportable accidents within the past five years, or facilities </w:t>
      </w:r>
      <w:r w:rsidRPr="004B7ED6">
        <w:rPr>
          <w:sz w:val="22"/>
          <w:szCs w:val="28"/>
        </w:rPr>
        <w:t>with a Program 3 process in NAICS codes 324 or 325</w:t>
      </w:r>
      <w:r>
        <w:rPr>
          <w:sz w:val="22"/>
          <w:szCs w:val="28"/>
        </w:rPr>
        <w:t xml:space="preserve"> that have had one accident and are located</w:t>
      </w:r>
      <w:r w:rsidRPr="004B7ED6">
        <w:rPr>
          <w:sz w:val="22"/>
          <w:szCs w:val="28"/>
        </w:rPr>
        <w:t xml:space="preserve"> within one mile of another facility with a process in NAICS codes 324 or 325,</w:t>
      </w:r>
      <w:r w:rsidRPr="004B7ED6">
        <w:rPr>
          <w:color w:val="000000"/>
          <w:sz w:val="22"/>
          <w:szCs w:val="28"/>
        </w:rPr>
        <w:t xml:space="preserve"> to contract with an independent third-party to conduct the next required audit.</w:t>
      </w:r>
      <w:r>
        <w:rPr>
          <w:color w:val="000000"/>
          <w:sz w:val="22"/>
          <w:szCs w:val="28"/>
        </w:rPr>
        <w:t xml:space="preserve"> </w:t>
      </w:r>
    </w:p>
    <w:p w:rsidR="000E33B8" w:rsidRPr="00451AB6" w:rsidP="000E33B8" w14:paraId="6A5F8A19" w14:textId="42CE7D1A">
      <w:pPr>
        <w:pStyle w:val="Caption"/>
        <w:keepNext/>
        <w:spacing w:after="0"/>
        <w:jc w:val="center"/>
        <w:rPr>
          <w:b/>
          <w:bCs/>
          <w:i w:val="0"/>
          <w:iCs w:val="0"/>
          <w:color w:val="auto"/>
          <w:sz w:val="22"/>
          <w:szCs w:val="22"/>
        </w:rPr>
      </w:pPr>
      <w:r w:rsidRPr="00451AB6">
        <w:rPr>
          <w:b/>
          <w:bCs/>
          <w:i w:val="0"/>
          <w:iCs w:val="0"/>
          <w:color w:val="auto"/>
          <w:sz w:val="22"/>
          <w:szCs w:val="22"/>
        </w:rPr>
        <w:t>Exhibit</w:t>
      </w:r>
      <w:r>
        <w:rPr>
          <w:b/>
          <w:bCs/>
          <w:i w:val="0"/>
          <w:iCs w:val="0"/>
          <w:color w:val="auto"/>
          <w:sz w:val="22"/>
          <w:szCs w:val="22"/>
        </w:rPr>
        <w:t xml:space="preserve"> </w:t>
      </w:r>
      <w:r w:rsidR="00CF3F54">
        <w:rPr>
          <w:b/>
          <w:bCs/>
          <w:i w:val="0"/>
          <w:iCs w:val="0"/>
          <w:color w:val="auto"/>
          <w:sz w:val="22"/>
          <w:szCs w:val="22"/>
        </w:rPr>
        <w:t>8</w:t>
      </w:r>
      <w:r>
        <w:rPr>
          <w:b/>
          <w:bCs/>
          <w:i w:val="0"/>
          <w:iCs w:val="0"/>
          <w:color w:val="auto"/>
          <w:sz w:val="22"/>
          <w:szCs w:val="22"/>
        </w:rPr>
        <w:t>:</w:t>
      </w:r>
      <w:r w:rsidRPr="009C6838">
        <w:rPr>
          <w:b/>
          <w:bCs/>
          <w:sz w:val="22"/>
          <w:szCs w:val="22"/>
        </w:rPr>
        <w:t xml:space="preserve"> </w:t>
      </w:r>
      <w:r w:rsidRPr="00EB2EEA">
        <w:rPr>
          <w:b/>
          <w:bCs/>
          <w:i w:val="0"/>
          <w:iCs w:val="0"/>
          <w:color w:val="auto"/>
          <w:sz w:val="22"/>
          <w:szCs w:val="22"/>
        </w:rPr>
        <w:t>Hour</w:t>
      </w:r>
      <w:r>
        <w:rPr>
          <w:b/>
          <w:bCs/>
          <w:i w:val="0"/>
          <w:iCs w:val="0"/>
          <w:color w:val="auto"/>
          <w:sz w:val="22"/>
          <w:szCs w:val="22"/>
        </w:rPr>
        <w:t xml:space="preserve"> Burden</w:t>
      </w:r>
      <w:r w:rsidRPr="00451AB6">
        <w:rPr>
          <w:b/>
          <w:bCs/>
          <w:i w:val="0"/>
          <w:iCs w:val="0"/>
          <w:color w:val="auto"/>
          <w:sz w:val="22"/>
          <w:szCs w:val="22"/>
        </w:rPr>
        <w:t xml:space="preserve"> for </w:t>
      </w:r>
      <w:r>
        <w:rPr>
          <w:b/>
          <w:bCs/>
          <w:i w:val="0"/>
          <w:iCs w:val="0"/>
          <w:color w:val="auto"/>
          <w:sz w:val="22"/>
          <w:szCs w:val="22"/>
        </w:rPr>
        <w:t>Third Party Audits</w:t>
      </w:r>
    </w:p>
    <w:tbl>
      <w:tblPr>
        <w:tblW w:w="7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8"/>
        <w:gridCol w:w="1537"/>
        <w:gridCol w:w="990"/>
        <w:gridCol w:w="919"/>
        <w:gridCol w:w="1157"/>
        <w:gridCol w:w="1254"/>
      </w:tblGrid>
      <w:tr w14:paraId="7CF0B573" w14:textId="77777777">
        <w:tblPrEx>
          <w:tblW w:w="7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2"/>
          <w:jc w:val="center"/>
        </w:trPr>
        <w:tc>
          <w:tcPr>
            <w:tcW w:w="1518" w:type="dxa"/>
            <w:vMerge w:val="restart"/>
            <w:tcBorders>
              <w:top w:val="single" w:sz="4" w:space="0" w:color="auto"/>
            </w:tcBorders>
            <w:shd w:val="clear" w:color="auto" w:fill="D9D9D9" w:themeFill="background1" w:themeFillShade="D9"/>
            <w:vAlign w:val="center"/>
          </w:tcPr>
          <w:p w:rsidR="000E33B8" w:rsidRPr="00F3547C" w14:paraId="6E41BE11" w14:textId="77777777">
            <w:pPr>
              <w:keepNext/>
              <w:keepLines/>
              <w:jc w:val="center"/>
              <w:rPr>
                <w:b/>
                <w:bCs/>
                <w:szCs w:val="20"/>
              </w:rPr>
            </w:pPr>
            <w:r>
              <w:rPr>
                <w:b/>
                <w:bCs/>
                <w:szCs w:val="20"/>
              </w:rPr>
              <w:t>Facility Type</w:t>
            </w:r>
          </w:p>
        </w:tc>
        <w:tc>
          <w:tcPr>
            <w:tcW w:w="1537" w:type="dxa"/>
            <w:vMerge w:val="restart"/>
            <w:tcBorders>
              <w:top w:val="single" w:sz="4" w:space="0" w:color="auto"/>
            </w:tcBorders>
            <w:shd w:val="clear" w:color="auto" w:fill="D9D9D9"/>
            <w:vAlign w:val="center"/>
          </w:tcPr>
          <w:p w:rsidR="000E33B8" w:rsidRPr="00835820" w14:paraId="6B257BF9" w14:textId="77777777">
            <w:pPr>
              <w:keepNext/>
              <w:keepLines/>
              <w:ind w:left="127" w:right="119"/>
              <w:jc w:val="center"/>
              <w:rPr>
                <w:b/>
                <w:szCs w:val="20"/>
              </w:rPr>
            </w:pPr>
            <w:r w:rsidRPr="00BB3B6F">
              <w:rPr>
                <w:b/>
                <w:szCs w:val="20"/>
              </w:rPr>
              <w:t>Hours</w:t>
            </w:r>
            <w:r>
              <w:rPr>
                <w:b/>
                <w:szCs w:val="20"/>
              </w:rPr>
              <w:t xml:space="preserve"> </w:t>
            </w:r>
            <w:r w:rsidRPr="00BB3B6F">
              <w:rPr>
                <w:b/>
                <w:szCs w:val="20"/>
              </w:rPr>
              <w:t>Required</w:t>
            </w:r>
            <w:r>
              <w:rPr>
                <w:b/>
                <w:szCs w:val="20"/>
              </w:rPr>
              <w:t xml:space="preserve"> </w:t>
            </w:r>
            <w:r w:rsidRPr="004E2F13">
              <w:rPr>
                <w:b/>
                <w:szCs w:val="20"/>
              </w:rPr>
              <w:t>Per Respondent</w:t>
            </w:r>
          </w:p>
        </w:tc>
        <w:tc>
          <w:tcPr>
            <w:tcW w:w="1909" w:type="dxa"/>
            <w:gridSpan w:val="2"/>
            <w:tcBorders>
              <w:top w:val="single" w:sz="4" w:space="0" w:color="auto"/>
            </w:tcBorders>
            <w:shd w:val="clear" w:color="auto" w:fill="D9D9D9"/>
            <w:vAlign w:val="center"/>
          </w:tcPr>
          <w:p w:rsidR="000E33B8" w:rsidRPr="00835820" w14:paraId="1811EB95" w14:textId="77777777">
            <w:pPr>
              <w:keepNext/>
              <w:keepLines/>
              <w:ind w:left="100" w:right="79"/>
              <w:jc w:val="center"/>
              <w:rPr>
                <w:b/>
                <w:szCs w:val="20"/>
              </w:rPr>
            </w:pPr>
            <w:r w:rsidRPr="004C1E64">
              <w:rPr>
                <w:b/>
                <w:szCs w:val="20"/>
              </w:rPr>
              <w:t>Number of Facilities</w:t>
            </w:r>
          </w:p>
        </w:tc>
        <w:tc>
          <w:tcPr>
            <w:tcW w:w="1157" w:type="dxa"/>
            <w:vMerge w:val="restart"/>
            <w:tcBorders>
              <w:top w:val="single" w:sz="4" w:space="0" w:color="auto"/>
            </w:tcBorders>
            <w:shd w:val="clear" w:color="auto" w:fill="D9D9D9"/>
            <w:vAlign w:val="center"/>
          </w:tcPr>
          <w:p w:rsidR="000E33B8" w:rsidRPr="009762B0" w14:paraId="02876ACE" w14:textId="77777777">
            <w:pPr>
              <w:keepNext/>
              <w:keepLines/>
              <w:ind w:left="97" w:right="76"/>
              <w:jc w:val="center"/>
              <w:rPr>
                <w:b/>
                <w:szCs w:val="20"/>
              </w:rPr>
            </w:pPr>
            <w:r w:rsidRPr="007C2720">
              <w:rPr>
                <w:b/>
                <w:szCs w:val="20"/>
              </w:rPr>
              <w:t>3-Year Average Annual Burden (hours)</w:t>
            </w:r>
          </w:p>
        </w:tc>
        <w:tc>
          <w:tcPr>
            <w:tcW w:w="1254" w:type="dxa"/>
            <w:vMerge w:val="restart"/>
            <w:tcBorders>
              <w:top w:val="single" w:sz="4" w:space="0" w:color="auto"/>
            </w:tcBorders>
            <w:shd w:val="clear" w:color="auto" w:fill="D9D9D9" w:themeFill="background1" w:themeFillShade="D9"/>
            <w:vAlign w:val="center"/>
          </w:tcPr>
          <w:p w:rsidR="000E33B8" w:rsidRPr="00F3547C" w14:paraId="201912BE" w14:textId="77777777">
            <w:pPr>
              <w:keepNext/>
              <w:keepLines/>
              <w:jc w:val="center"/>
              <w:rPr>
                <w:b/>
                <w:szCs w:val="20"/>
              </w:rPr>
            </w:pPr>
            <w:r w:rsidRPr="00E4312C">
              <w:rPr>
                <w:b/>
                <w:szCs w:val="20"/>
              </w:rPr>
              <w:t>3-Year Total Burden (hours)</w:t>
            </w:r>
          </w:p>
        </w:tc>
      </w:tr>
      <w:tr w14:paraId="696DE34E" w14:textId="77777777">
        <w:tblPrEx>
          <w:tblW w:w="7375" w:type="dxa"/>
          <w:jc w:val="center"/>
          <w:tblLayout w:type="fixed"/>
          <w:tblCellMar>
            <w:left w:w="0" w:type="dxa"/>
            <w:right w:w="0" w:type="dxa"/>
          </w:tblCellMar>
          <w:tblLook w:val="01E0"/>
        </w:tblPrEx>
        <w:trPr>
          <w:trHeight w:val="482"/>
          <w:jc w:val="center"/>
        </w:trPr>
        <w:tc>
          <w:tcPr>
            <w:tcW w:w="1518" w:type="dxa"/>
            <w:vMerge/>
            <w:shd w:val="clear" w:color="auto" w:fill="D9D9D9" w:themeFill="background1" w:themeFillShade="D9"/>
            <w:vAlign w:val="center"/>
          </w:tcPr>
          <w:p w:rsidR="000E33B8" w:rsidRPr="00CD2A9E" w14:paraId="396DF6FC" w14:textId="77777777">
            <w:pPr>
              <w:keepNext/>
              <w:keepLines/>
              <w:jc w:val="center"/>
              <w:rPr>
                <w:b/>
                <w:bCs/>
                <w:szCs w:val="20"/>
              </w:rPr>
            </w:pPr>
          </w:p>
        </w:tc>
        <w:tc>
          <w:tcPr>
            <w:tcW w:w="1537" w:type="dxa"/>
            <w:vMerge/>
            <w:shd w:val="clear" w:color="auto" w:fill="D9D9D9"/>
            <w:vAlign w:val="center"/>
          </w:tcPr>
          <w:p w:rsidR="000E33B8" w:rsidRPr="00BB3B6F" w14:paraId="4AA90547" w14:textId="77777777">
            <w:pPr>
              <w:keepNext/>
              <w:keepLines/>
              <w:ind w:left="127" w:right="119"/>
              <w:jc w:val="center"/>
              <w:rPr>
                <w:b/>
                <w:szCs w:val="20"/>
              </w:rPr>
            </w:pPr>
          </w:p>
        </w:tc>
        <w:tc>
          <w:tcPr>
            <w:tcW w:w="990" w:type="dxa"/>
            <w:tcBorders>
              <w:top w:val="single" w:sz="4" w:space="0" w:color="auto"/>
            </w:tcBorders>
            <w:shd w:val="clear" w:color="auto" w:fill="D9D9D9"/>
            <w:vAlign w:val="center"/>
          </w:tcPr>
          <w:p w:rsidR="000E33B8" w:rsidRPr="00D00EF5" w14:paraId="513C4591" w14:textId="77777777">
            <w:pPr>
              <w:keepNext/>
              <w:keepLines/>
              <w:ind w:left="100" w:right="79"/>
              <w:jc w:val="center"/>
              <w:rPr>
                <w:b/>
                <w:szCs w:val="20"/>
              </w:rPr>
            </w:pPr>
            <w:r>
              <w:rPr>
                <w:b/>
                <w:szCs w:val="20"/>
              </w:rPr>
              <w:t>Year 1*</w:t>
            </w:r>
          </w:p>
        </w:tc>
        <w:tc>
          <w:tcPr>
            <w:tcW w:w="919" w:type="dxa"/>
            <w:tcBorders>
              <w:top w:val="single" w:sz="4" w:space="0" w:color="auto"/>
            </w:tcBorders>
            <w:shd w:val="clear" w:color="auto" w:fill="D9D9D9"/>
            <w:vAlign w:val="center"/>
          </w:tcPr>
          <w:p w:rsidR="000E33B8" w:rsidRPr="00D00EF5" w14:paraId="10459E2D" w14:textId="77777777">
            <w:pPr>
              <w:keepNext/>
              <w:keepLines/>
              <w:ind w:left="100" w:right="79"/>
              <w:jc w:val="center"/>
              <w:rPr>
                <w:b/>
                <w:szCs w:val="20"/>
              </w:rPr>
            </w:pPr>
            <w:r>
              <w:rPr>
                <w:b/>
                <w:szCs w:val="20"/>
              </w:rPr>
              <w:t>3-Year Total</w:t>
            </w:r>
          </w:p>
        </w:tc>
        <w:tc>
          <w:tcPr>
            <w:tcW w:w="1157" w:type="dxa"/>
            <w:vMerge/>
            <w:shd w:val="clear" w:color="auto" w:fill="D9D9D9"/>
            <w:vAlign w:val="center"/>
          </w:tcPr>
          <w:p w:rsidR="000E33B8" w:rsidRPr="007C2720" w14:paraId="59D1D74C" w14:textId="77777777">
            <w:pPr>
              <w:keepNext/>
              <w:keepLines/>
              <w:ind w:left="97" w:right="76"/>
              <w:jc w:val="center"/>
              <w:rPr>
                <w:b/>
                <w:szCs w:val="20"/>
              </w:rPr>
            </w:pPr>
          </w:p>
        </w:tc>
        <w:tc>
          <w:tcPr>
            <w:tcW w:w="1254" w:type="dxa"/>
            <w:vMerge/>
            <w:shd w:val="clear" w:color="auto" w:fill="D9D9D9" w:themeFill="background1" w:themeFillShade="D9"/>
            <w:vAlign w:val="center"/>
          </w:tcPr>
          <w:p w:rsidR="000E33B8" w:rsidRPr="00E4312C" w14:paraId="623D6C3A" w14:textId="77777777">
            <w:pPr>
              <w:keepNext/>
              <w:keepLines/>
              <w:jc w:val="center"/>
              <w:rPr>
                <w:b/>
                <w:szCs w:val="20"/>
              </w:rPr>
            </w:pPr>
          </w:p>
        </w:tc>
      </w:tr>
      <w:tr w14:paraId="46086760" w14:textId="77777777">
        <w:tblPrEx>
          <w:tblW w:w="7375" w:type="dxa"/>
          <w:jc w:val="center"/>
          <w:tblLayout w:type="fixed"/>
          <w:tblCellMar>
            <w:left w:w="0" w:type="dxa"/>
            <w:right w:w="0" w:type="dxa"/>
          </w:tblCellMar>
          <w:tblLook w:val="01E0"/>
        </w:tblPrEx>
        <w:trPr>
          <w:trHeight w:val="482"/>
          <w:jc w:val="center"/>
        </w:trPr>
        <w:tc>
          <w:tcPr>
            <w:tcW w:w="1518" w:type="dxa"/>
            <w:shd w:val="clear" w:color="auto" w:fill="auto"/>
            <w:vAlign w:val="center"/>
          </w:tcPr>
          <w:p w:rsidR="000E33B8" w:rsidRPr="00CD2A9E" w14:paraId="37B6194D" w14:textId="77777777">
            <w:pPr>
              <w:keepNext/>
              <w:keepLines/>
              <w:jc w:val="center"/>
              <w:rPr>
                <w:b/>
                <w:bCs/>
                <w:szCs w:val="20"/>
              </w:rPr>
            </w:pPr>
            <w:r>
              <w:rPr>
                <w:b/>
                <w:bCs/>
                <w:szCs w:val="20"/>
              </w:rPr>
              <w:t>Total</w:t>
            </w:r>
          </w:p>
        </w:tc>
        <w:tc>
          <w:tcPr>
            <w:tcW w:w="1537" w:type="dxa"/>
            <w:shd w:val="clear" w:color="auto" w:fill="auto"/>
            <w:vAlign w:val="center"/>
          </w:tcPr>
          <w:p w:rsidR="000E33B8" w:rsidRPr="00BB3B6F" w14:paraId="5FF58360" w14:textId="06A218DA">
            <w:pPr>
              <w:keepNext/>
              <w:keepLines/>
              <w:ind w:left="127" w:right="119"/>
              <w:jc w:val="center"/>
              <w:rPr>
                <w:b/>
                <w:szCs w:val="20"/>
              </w:rPr>
            </w:pPr>
          </w:p>
        </w:tc>
        <w:tc>
          <w:tcPr>
            <w:tcW w:w="990" w:type="dxa"/>
            <w:tcBorders>
              <w:top w:val="single" w:sz="4" w:space="0" w:color="auto"/>
            </w:tcBorders>
            <w:shd w:val="clear" w:color="auto" w:fill="auto"/>
            <w:vAlign w:val="center"/>
          </w:tcPr>
          <w:p w:rsidR="000E33B8" w:rsidRPr="00746463" w14:paraId="68BDE2FF" w14:textId="13A024D6">
            <w:pPr>
              <w:keepNext/>
              <w:keepLines/>
              <w:ind w:left="100" w:right="79"/>
              <w:jc w:val="center"/>
              <w:rPr>
                <w:b/>
                <w:bCs/>
                <w:szCs w:val="20"/>
              </w:rPr>
            </w:pPr>
            <w:r w:rsidRPr="00490C96">
              <w:rPr>
                <w:b/>
                <w:bCs/>
                <w:szCs w:val="20"/>
              </w:rPr>
              <w:t>94</w:t>
            </w:r>
          </w:p>
        </w:tc>
        <w:tc>
          <w:tcPr>
            <w:tcW w:w="919" w:type="dxa"/>
            <w:tcBorders>
              <w:top w:val="single" w:sz="4" w:space="0" w:color="auto"/>
            </w:tcBorders>
            <w:shd w:val="clear" w:color="auto" w:fill="auto"/>
            <w:vAlign w:val="center"/>
          </w:tcPr>
          <w:p w:rsidR="000E33B8" w14:paraId="57BA4AC5" w14:textId="01B1DDB8">
            <w:pPr>
              <w:keepNext/>
              <w:keepLines/>
              <w:ind w:left="100" w:right="79"/>
              <w:jc w:val="center"/>
              <w:rPr>
                <w:b/>
                <w:szCs w:val="20"/>
              </w:rPr>
            </w:pPr>
            <w:r w:rsidRPr="00884D6D">
              <w:rPr>
                <w:b/>
                <w:szCs w:val="20"/>
              </w:rPr>
              <w:t>283</w:t>
            </w:r>
          </w:p>
        </w:tc>
        <w:tc>
          <w:tcPr>
            <w:tcW w:w="1157" w:type="dxa"/>
            <w:shd w:val="clear" w:color="auto" w:fill="auto"/>
            <w:vAlign w:val="center"/>
          </w:tcPr>
          <w:p w:rsidR="000E33B8" w:rsidRPr="007C2720" w14:paraId="20D34441" w14:textId="77777777">
            <w:pPr>
              <w:keepNext/>
              <w:keepLines/>
              <w:ind w:left="97" w:right="76"/>
              <w:jc w:val="center"/>
              <w:rPr>
                <w:b/>
                <w:szCs w:val="20"/>
              </w:rPr>
            </w:pPr>
            <w:r w:rsidRPr="00C016EB">
              <w:rPr>
                <w:b/>
                <w:szCs w:val="20"/>
              </w:rPr>
              <w:t>14,208</w:t>
            </w:r>
          </w:p>
        </w:tc>
        <w:tc>
          <w:tcPr>
            <w:tcW w:w="1254" w:type="dxa"/>
            <w:shd w:val="clear" w:color="auto" w:fill="auto"/>
            <w:vAlign w:val="center"/>
          </w:tcPr>
          <w:p w:rsidR="000E33B8" w:rsidRPr="00E4312C" w14:paraId="63EE3F89" w14:textId="77777777">
            <w:pPr>
              <w:keepNext/>
              <w:keepLines/>
              <w:jc w:val="center"/>
              <w:rPr>
                <w:b/>
                <w:szCs w:val="20"/>
              </w:rPr>
            </w:pPr>
            <w:r w:rsidRPr="00A72525">
              <w:rPr>
                <w:b/>
                <w:szCs w:val="20"/>
              </w:rPr>
              <w:t>42</w:t>
            </w:r>
            <w:r>
              <w:rPr>
                <w:b/>
                <w:szCs w:val="20"/>
              </w:rPr>
              <w:t>,</w:t>
            </w:r>
            <w:r w:rsidRPr="00A72525">
              <w:rPr>
                <w:b/>
                <w:szCs w:val="20"/>
              </w:rPr>
              <w:t>624</w:t>
            </w:r>
          </w:p>
        </w:tc>
      </w:tr>
      <w:tr w14:paraId="7DEC9AB5" w14:textId="77777777">
        <w:tblPrEx>
          <w:tblW w:w="7375" w:type="dxa"/>
          <w:jc w:val="center"/>
          <w:tblLayout w:type="fixed"/>
          <w:tblCellMar>
            <w:left w:w="0" w:type="dxa"/>
            <w:right w:w="0" w:type="dxa"/>
          </w:tblCellMar>
          <w:tblLook w:val="01E0"/>
        </w:tblPrEx>
        <w:trPr>
          <w:trHeight w:val="146"/>
          <w:jc w:val="center"/>
        </w:trPr>
        <w:tc>
          <w:tcPr>
            <w:tcW w:w="1518" w:type="dxa"/>
          </w:tcPr>
          <w:p w:rsidR="000E33B8" w:rsidRPr="00835820" w14:paraId="4B72AA56" w14:textId="77777777">
            <w:pPr>
              <w:keepNext/>
              <w:keepLines/>
              <w:ind w:left="107"/>
              <w:rPr>
                <w:szCs w:val="20"/>
              </w:rPr>
            </w:pPr>
            <w:r w:rsidRPr="00721953">
              <w:t>Simple 0-19 FTEs</w:t>
            </w:r>
          </w:p>
        </w:tc>
        <w:tc>
          <w:tcPr>
            <w:tcW w:w="1537" w:type="dxa"/>
            <w:vAlign w:val="center"/>
          </w:tcPr>
          <w:p w:rsidR="000E33B8" w:rsidRPr="00835820" w14:paraId="08FD84A1" w14:textId="102B7273">
            <w:pPr>
              <w:keepNext/>
              <w:keepLines/>
              <w:jc w:val="center"/>
              <w:rPr>
                <w:szCs w:val="20"/>
              </w:rPr>
            </w:pPr>
            <w:r w:rsidRPr="000970E2">
              <w:rPr>
                <w:szCs w:val="20"/>
              </w:rPr>
              <w:t>72</w:t>
            </w:r>
          </w:p>
        </w:tc>
        <w:tc>
          <w:tcPr>
            <w:tcW w:w="990" w:type="dxa"/>
            <w:vAlign w:val="center"/>
          </w:tcPr>
          <w:p w:rsidR="000E33B8" w:rsidRPr="00835820" w14:paraId="00D5D0BC" w14:textId="1F938342">
            <w:pPr>
              <w:keepNext/>
              <w:keepLines/>
              <w:ind w:left="16"/>
              <w:jc w:val="center"/>
              <w:rPr>
                <w:szCs w:val="20"/>
              </w:rPr>
            </w:pPr>
            <w:r w:rsidRPr="00E60A25">
              <w:t>15</w:t>
            </w:r>
          </w:p>
        </w:tc>
        <w:tc>
          <w:tcPr>
            <w:tcW w:w="919" w:type="dxa"/>
            <w:vAlign w:val="center"/>
          </w:tcPr>
          <w:p w:rsidR="000E33B8" w:rsidRPr="00835820" w14:paraId="25B57146" w14:textId="791F4348">
            <w:pPr>
              <w:keepNext/>
              <w:keepLines/>
              <w:ind w:right="79"/>
              <w:jc w:val="center"/>
              <w:rPr>
                <w:szCs w:val="20"/>
              </w:rPr>
            </w:pPr>
            <w:r w:rsidRPr="00217442">
              <w:rPr>
                <w:szCs w:val="20"/>
              </w:rPr>
              <w:t>46</w:t>
            </w:r>
          </w:p>
        </w:tc>
        <w:tc>
          <w:tcPr>
            <w:tcW w:w="1157" w:type="dxa"/>
            <w:vAlign w:val="center"/>
          </w:tcPr>
          <w:p w:rsidR="000E33B8" w:rsidRPr="00835820" w14:paraId="3CC74E04" w14:textId="3F651CDD">
            <w:pPr>
              <w:keepNext/>
              <w:keepLines/>
              <w:ind w:left="18"/>
              <w:jc w:val="center"/>
              <w:rPr>
                <w:szCs w:val="20"/>
              </w:rPr>
            </w:pPr>
            <w:r w:rsidRPr="0019550A">
              <w:t>1,10</w:t>
            </w:r>
            <w:r w:rsidR="004F6EE8">
              <w:t>9</w:t>
            </w:r>
          </w:p>
        </w:tc>
        <w:tc>
          <w:tcPr>
            <w:tcW w:w="1254" w:type="dxa"/>
            <w:vAlign w:val="center"/>
          </w:tcPr>
          <w:p w:rsidR="000E33B8" w:rsidRPr="00835820" w14:paraId="4508CEA6" w14:textId="25111FEE">
            <w:pPr>
              <w:keepNext/>
              <w:keepLines/>
              <w:ind w:left="131" w:right="111"/>
              <w:jc w:val="center"/>
              <w:rPr>
                <w:szCs w:val="20"/>
              </w:rPr>
            </w:pPr>
            <w:r w:rsidRPr="002B0687">
              <w:rPr>
                <w:szCs w:val="20"/>
              </w:rPr>
              <w:t>3</w:t>
            </w:r>
            <w:r>
              <w:rPr>
                <w:szCs w:val="20"/>
              </w:rPr>
              <w:t>,</w:t>
            </w:r>
            <w:r w:rsidRPr="002B0687">
              <w:rPr>
                <w:szCs w:val="20"/>
              </w:rPr>
              <w:t>326</w:t>
            </w:r>
          </w:p>
        </w:tc>
      </w:tr>
      <w:tr w14:paraId="318997A8" w14:textId="77777777">
        <w:tblPrEx>
          <w:tblW w:w="7375" w:type="dxa"/>
          <w:jc w:val="center"/>
          <w:tblLayout w:type="fixed"/>
          <w:tblCellMar>
            <w:left w:w="0" w:type="dxa"/>
            <w:right w:w="0" w:type="dxa"/>
          </w:tblCellMar>
          <w:tblLook w:val="01E0"/>
        </w:tblPrEx>
        <w:trPr>
          <w:trHeight w:val="272"/>
          <w:jc w:val="center"/>
        </w:trPr>
        <w:tc>
          <w:tcPr>
            <w:tcW w:w="1518" w:type="dxa"/>
          </w:tcPr>
          <w:p w:rsidR="000E33B8" w:rsidRPr="00835820" w14:paraId="78F7FAE0" w14:textId="77777777">
            <w:pPr>
              <w:keepNext/>
              <w:keepLines/>
              <w:ind w:left="107"/>
              <w:rPr>
                <w:szCs w:val="20"/>
              </w:rPr>
            </w:pPr>
            <w:r w:rsidRPr="00721953">
              <w:t>Simple 20-99 FTEs</w:t>
            </w:r>
          </w:p>
        </w:tc>
        <w:tc>
          <w:tcPr>
            <w:tcW w:w="1537" w:type="dxa"/>
            <w:vAlign w:val="center"/>
          </w:tcPr>
          <w:p w:rsidR="000E33B8" w:rsidRPr="00835820" w14:paraId="5C605D95" w14:textId="6DD26A42">
            <w:pPr>
              <w:keepNext/>
              <w:keepLines/>
              <w:ind w:left="94" w:right="119"/>
              <w:jc w:val="center"/>
              <w:rPr>
                <w:szCs w:val="20"/>
              </w:rPr>
            </w:pPr>
            <w:r w:rsidRPr="00E94659">
              <w:rPr>
                <w:szCs w:val="20"/>
              </w:rPr>
              <w:t>132</w:t>
            </w:r>
          </w:p>
        </w:tc>
        <w:tc>
          <w:tcPr>
            <w:tcW w:w="990" w:type="dxa"/>
            <w:vAlign w:val="center"/>
          </w:tcPr>
          <w:p w:rsidR="000E33B8" w:rsidRPr="00835820" w14:paraId="77F300DB" w14:textId="77777777">
            <w:pPr>
              <w:keepNext/>
              <w:keepLines/>
              <w:ind w:left="94" w:right="34"/>
              <w:jc w:val="center"/>
              <w:rPr>
                <w:szCs w:val="20"/>
              </w:rPr>
            </w:pPr>
            <w:r w:rsidRPr="00E60A25">
              <w:t>8</w:t>
            </w:r>
          </w:p>
        </w:tc>
        <w:tc>
          <w:tcPr>
            <w:tcW w:w="919" w:type="dxa"/>
            <w:vAlign w:val="center"/>
          </w:tcPr>
          <w:p w:rsidR="000E33B8" w:rsidRPr="00835820" w14:paraId="4074C8B2" w14:textId="77777777">
            <w:pPr>
              <w:keepNext/>
              <w:keepLines/>
              <w:ind w:left="94" w:right="79"/>
              <w:jc w:val="center"/>
              <w:rPr>
                <w:szCs w:val="20"/>
              </w:rPr>
            </w:pPr>
            <w:r>
              <w:rPr>
                <w:szCs w:val="20"/>
              </w:rPr>
              <w:t>24</w:t>
            </w:r>
          </w:p>
        </w:tc>
        <w:tc>
          <w:tcPr>
            <w:tcW w:w="1157" w:type="dxa"/>
            <w:vAlign w:val="center"/>
          </w:tcPr>
          <w:p w:rsidR="000E33B8" w:rsidRPr="00835820" w14:paraId="5B44274F" w14:textId="77777777">
            <w:pPr>
              <w:keepNext/>
              <w:keepLines/>
              <w:ind w:left="94" w:right="111"/>
              <w:jc w:val="center"/>
              <w:rPr>
                <w:szCs w:val="20"/>
              </w:rPr>
            </w:pPr>
            <w:r w:rsidRPr="0019550A">
              <w:t>1,056</w:t>
            </w:r>
          </w:p>
        </w:tc>
        <w:tc>
          <w:tcPr>
            <w:tcW w:w="1254" w:type="dxa"/>
            <w:vAlign w:val="center"/>
          </w:tcPr>
          <w:p w:rsidR="000E33B8" w:rsidRPr="00835820" w14:paraId="60A4E8F3" w14:textId="77777777">
            <w:pPr>
              <w:keepNext/>
              <w:keepLines/>
              <w:ind w:left="94" w:right="111"/>
              <w:jc w:val="center"/>
              <w:rPr>
                <w:szCs w:val="20"/>
              </w:rPr>
            </w:pPr>
            <w:r w:rsidRPr="00B27DFC">
              <w:rPr>
                <w:szCs w:val="20"/>
              </w:rPr>
              <w:t>3</w:t>
            </w:r>
            <w:r>
              <w:rPr>
                <w:szCs w:val="20"/>
              </w:rPr>
              <w:t>,</w:t>
            </w:r>
            <w:r w:rsidRPr="00B27DFC">
              <w:rPr>
                <w:szCs w:val="20"/>
              </w:rPr>
              <w:t>168</w:t>
            </w:r>
          </w:p>
        </w:tc>
      </w:tr>
      <w:tr w14:paraId="60E3F406" w14:textId="77777777">
        <w:tblPrEx>
          <w:tblW w:w="7375" w:type="dxa"/>
          <w:jc w:val="center"/>
          <w:tblLayout w:type="fixed"/>
          <w:tblCellMar>
            <w:left w:w="0" w:type="dxa"/>
            <w:right w:w="0" w:type="dxa"/>
          </w:tblCellMar>
          <w:tblLook w:val="01E0"/>
        </w:tblPrEx>
        <w:trPr>
          <w:trHeight w:val="272"/>
          <w:jc w:val="center"/>
        </w:trPr>
        <w:tc>
          <w:tcPr>
            <w:tcW w:w="1518" w:type="dxa"/>
          </w:tcPr>
          <w:p w:rsidR="000E33B8" w:rsidRPr="00835820" w14:paraId="068BD8A8" w14:textId="77777777">
            <w:pPr>
              <w:keepNext/>
              <w:keepLines/>
              <w:ind w:left="107"/>
              <w:rPr>
                <w:szCs w:val="20"/>
              </w:rPr>
            </w:pPr>
            <w:r w:rsidRPr="00721953">
              <w:t>Simple 100+ FTEs</w:t>
            </w:r>
          </w:p>
        </w:tc>
        <w:tc>
          <w:tcPr>
            <w:tcW w:w="1537" w:type="dxa"/>
            <w:vAlign w:val="center"/>
          </w:tcPr>
          <w:p w:rsidR="000E33B8" w14:paraId="3E036997" w14:textId="3C4366EE">
            <w:pPr>
              <w:keepNext/>
              <w:keepLines/>
              <w:ind w:left="94" w:right="119"/>
              <w:jc w:val="center"/>
              <w:rPr>
                <w:szCs w:val="20"/>
              </w:rPr>
            </w:pPr>
            <w:r w:rsidRPr="00E94659">
              <w:rPr>
                <w:szCs w:val="20"/>
              </w:rPr>
              <w:t>180</w:t>
            </w:r>
          </w:p>
        </w:tc>
        <w:tc>
          <w:tcPr>
            <w:tcW w:w="990" w:type="dxa"/>
            <w:vAlign w:val="center"/>
          </w:tcPr>
          <w:p w:rsidR="000E33B8" w:rsidRPr="00835820" w14:paraId="23F6A76A" w14:textId="77777777">
            <w:pPr>
              <w:keepNext/>
              <w:keepLines/>
              <w:ind w:left="94" w:right="34"/>
              <w:jc w:val="center"/>
              <w:rPr>
                <w:szCs w:val="20"/>
              </w:rPr>
            </w:pPr>
            <w:r w:rsidRPr="00E60A25">
              <w:t>26</w:t>
            </w:r>
          </w:p>
        </w:tc>
        <w:tc>
          <w:tcPr>
            <w:tcW w:w="919" w:type="dxa"/>
            <w:vAlign w:val="center"/>
          </w:tcPr>
          <w:p w:rsidR="000E33B8" w:rsidRPr="00835820" w14:paraId="48815404" w14:textId="77777777">
            <w:pPr>
              <w:keepNext/>
              <w:keepLines/>
              <w:ind w:left="94" w:right="79"/>
              <w:jc w:val="center"/>
              <w:rPr>
                <w:szCs w:val="20"/>
              </w:rPr>
            </w:pPr>
            <w:r>
              <w:rPr>
                <w:szCs w:val="20"/>
              </w:rPr>
              <w:t>78</w:t>
            </w:r>
          </w:p>
        </w:tc>
        <w:tc>
          <w:tcPr>
            <w:tcW w:w="1157" w:type="dxa"/>
            <w:vAlign w:val="center"/>
          </w:tcPr>
          <w:p w:rsidR="000E33B8" w:rsidRPr="00835820" w14:paraId="2480F45F" w14:textId="77777777">
            <w:pPr>
              <w:keepNext/>
              <w:keepLines/>
              <w:ind w:left="94" w:right="111"/>
              <w:jc w:val="center"/>
              <w:rPr>
                <w:szCs w:val="20"/>
              </w:rPr>
            </w:pPr>
            <w:r w:rsidRPr="0019550A">
              <w:t>4,680</w:t>
            </w:r>
          </w:p>
        </w:tc>
        <w:tc>
          <w:tcPr>
            <w:tcW w:w="1254" w:type="dxa"/>
            <w:vAlign w:val="center"/>
          </w:tcPr>
          <w:p w:rsidR="000E33B8" w:rsidRPr="00FE4B12" w14:paraId="022BAEF7" w14:textId="77777777">
            <w:pPr>
              <w:keepNext/>
              <w:keepLines/>
              <w:ind w:left="94" w:right="111"/>
              <w:jc w:val="center"/>
              <w:rPr>
                <w:color w:val="000000"/>
                <w:szCs w:val="20"/>
              </w:rPr>
            </w:pPr>
            <w:r w:rsidRPr="00BE51BC">
              <w:rPr>
                <w:color w:val="000000"/>
                <w:szCs w:val="20"/>
              </w:rPr>
              <w:t>14</w:t>
            </w:r>
            <w:r>
              <w:rPr>
                <w:color w:val="000000"/>
                <w:szCs w:val="20"/>
              </w:rPr>
              <w:t>,</w:t>
            </w:r>
            <w:r w:rsidRPr="00BE51BC">
              <w:rPr>
                <w:color w:val="000000"/>
                <w:szCs w:val="20"/>
              </w:rPr>
              <w:t>040</w:t>
            </w:r>
          </w:p>
        </w:tc>
      </w:tr>
      <w:tr w14:paraId="29D11BED" w14:textId="77777777">
        <w:tblPrEx>
          <w:tblW w:w="7375" w:type="dxa"/>
          <w:jc w:val="center"/>
          <w:tblLayout w:type="fixed"/>
          <w:tblCellMar>
            <w:left w:w="0" w:type="dxa"/>
            <w:right w:w="0" w:type="dxa"/>
          </w:tblCellMar>
          <w:tblLook w:val="01E0"/>
        </w:tblPrEx>
        <w:trPr>
          <w:trHeight w:val="272"/>
          <w:jc w:val="center"/>
        </w:trPr>
        <w:tc>
          <w:tcPr>
            <w:tcW w:w="1518" w:type="dxa"/>
          </w:tcPr>
          <w:p w:rsidR="000E33B8" w:rsidRPr="00835820" w14:paraId="24157029" w14:textId="77777777">
            <w:pPr>
              <w:keepNext/>
              <w:keepLines/>
              <w:ind w:left="107"/>
              <w:rPr>
                <w:szCs w:val="20"/>
              </w:rPr>
            </w:pPr>
            <w:r w:rsidRPr="00721953">
              <w:t>Complex 0-19 FTEs</w:t>
            </w:r>
          </w:p>
        </w:tc>
        <w:tc>
          <w:tcPr>
            <w:tcW w:w="1537" w:type="dxa"/>
            <w:vAlign w:val="center"/>
          </w:tcPr>
          <w:p w:rsidR="000E33B8" w14:paraId="657CA78A" w14:textId="00D0832B">
            <w:pPr>
              <w:keepNext/>
              <w:keepLines/>
              <w:ind w:left="94" w:right="119"/>
              <w:jc w:val="center"/>
              <w:rPr>
                <w:szCs w:val="20"/>
              </w:rPr>
            </w:pPr>
            <w:r w:rsidRPr="00E94659">
              <w:rPr>
                <w:szCs w:val="20"/>
              </w:rPr>
              <w:t>72</w:t>
            </w:r>
          </w:p>
        </w:tc>
        <w:tc>
          <w:tcPr>
            <w:tcW w:w="990" w:type="dxa"/>
            <w:vAlign w:val="center"/>
          </w:tcPr>
          <w:p w:rsidR="000E33B8" w:rsidRPr="00835820" w14:paraId="7A344061" w14:textId="1D02B88B">
            <w:pPr>
              <w:keepNext/>
              <w:keepLines/>
              <w:ind w:left="94" w:right="34"/>
              <w:jc w:val="center"/>
              <w:rPr>
                <w:szCs w:val="20"/>
              </w:rPr>
            </w:pPr>
            <w:r>
              <w:t>2</w:t>
            </w:r>
          </w:p>
        </w:tc>
        <w:tc>
          <w:tcPr>
            <w:tcW w:w="919" w:type="dxa"/>
            <w:vAlign w:val="center"/>
          </w:tcPr>
          <w:p w:rsidR="000E33B8" w:rsidRPr="00835820" w14:paraId="4196D4FB" w14:textId="0C6E6020">
            <w:pPr>
              <w:keepNext/>
              <w:keepLines/>
              <w:ind w:left="94" w:right="79"/>
              <w:jc w:val="center"/>
              <w:rPr>
                <w:szCs w:val="20"/>
              </w:rPr>
            </w:pPr>
            <w:r>
              <w:rPr>
                <w:szCs w:val="20"/>
              </w:rPr>
              <w:t>5</w:t>
            </w:r>
          </w:p>
        </w:tc>
        <w:tc>
          <w:tcPr>
            <w:tcW w:w="1157" w:type="dxa"/>
            <w:vAlign w:val="center"/>
          </w:tcPr>
          <w:p w:rsidR="000E33B8" w:rsidRPr="00835820" w14:paraId="527571E1" w14:textId="016A64E0">
            <w:pPr>
              <w:keepNext/>
              <w:keepLines/>
              <w:ind w:left="94" w:right="111"/>
              <w:jc w:val="center"/>
              <w:rPr>
                <w:szCs w:val="20"/>
              </w:rPr>
            </w:pPr>
            <w:r w:rsidRPr="0019550A">
              <w:t>115</w:t>
            </w:r>
          </w:p>
        </w:tc>
        <w:tc>
          <w:tcPr>
            <w:tcW w:w="1254" w:type="dxa"/>
            <w:vAlign w:val="center"/>
          </w:tcPr>
          <w:p w:rsidR="000E33B8" w:rsidRPr="00FE4B12" w14:paraId="7E9EB6A0" w14:textId="69AC9028">
            <w:pPr>
              <w:keepNext/>
              <w:keepLines/>
              <w:ind w:left="94" w:right="111"/>
              <w:jc w:val="center"/>
              <w:rPr>
                <w:color w:val="000000"/>
                <w:szCs w:val="20"/>
              </w:rPr>
            </w:pPr>
            <w:r w:rsidRPr="00EC2277">
              <w:rPr>
                <w:color w:val="000000"/>
                <w:szCs w:val="20"/>
              </w:rPr>
              <w:t>34</w:t>
            </w:r>
            <w:r w:rsidR="004F6EE8">
              <w:rPr>
                <w:color w:val="000000"/>
                <w:szCs w:val="20"/>
              </w:rPr>
              <w:t>6</w:t>
            </w:r>
          </w:p>
        </w:tc>
      </w:tr>
      <w:tr w14:paraId="2B456002" w14:textId="77777777">
        <w:tblPrEx>
          <w:tblW w:w="7375" w:type="dxa"/>
          <w:jc w:val="center"/>
          <w:tblLayout w:type="fixed"/>
          <w:tblCellMar>
            <w:left w:w="0" w:type="dxa"/>
            <w:right w:w="0" w:type="dxa"/>
          </w:tblCellMar>
          <w:tblLook w:val="01E0"/>
        </w:tblPrEx>
        <w:trPr>
          <w:trHeight w:val="272"/>
          <w:jc w:val="center"/>
        </w:trPr>
        <w:tc>
          <w:tcPr>
            <w:tcW w:w="1518" w:type="dxa"/>
          </w:tcPr>
          <w:p w:rsidR="000E33B8" w:rsidRPr="00835820" w14:paraId="56291A0E" w14:textId="77777777">
            <w:pPr>
              <w:keepNext/>
              <w:keepLines/>
              <w:ind w:left="107"/>
              <w:rPr>
                <w:szCs w:val="20"/>
              </w:rPr>
            </w:pPr>
            <w:r w:rsidRPr="00721953">
              <w:t>Complex 20-99 FTEs</w:t>
            </w:r>
          </w:p>
        </w:tc>
        <w:tc>
          <w:tcPr>
            <w:tcW w:w="1537" w:type="dxa"/>
            <w:vAlign w:val="center"/>
          </w:tcPr>
          <w:p w:rsidR="000E33B8" w14:paraId="01D96574" w14:textId="5A44BFC4">
            <w:pPr>
              <w:keepNext/>
              <w:keepLines/>
              <w:ind w:left="94" w:right="119"/>
              <w:jc w:val="center"/>
              <w:rPr>
                <w:szCs w:val="20"/>
              </w:rPr>
            </w:pPr>
            <w:r w:rsidRPr="00E94659">
              <w:rPr>
                <w:szCs w:val="20"/>
              </w:rPr>
              <w:t>132</w:t>
            </w:r>
          </w:p>
        </w:tc>
        <w:tc>
          <w:tcPr>
            <w:tcW w:w="990" w:type="dxa"/>
            <w:vAlign w:val="center"/>
          </w:tcPr>
          <w:p w:rsidR="000E33B8" w:rsidRPr="00835820" w14:paraId="0C15C8DE" w14:textId="1C2343DF">
            <w:pPr>
              <w:keepNext/>
              <w:keepLines/>
              <w:ind w:left="94" w:right="34"/>
              <w:jc w:val="center"/>
              <w:rPr>
                <w:szCs w:val="20"/>
              </w:rPr>
            </w:pPr>
            <w:r>
              <w:t>8</w:t>
            </w:r>
          </w:p>
        </w:tc>
        <w:tc>
          <w:tcPr>
            <w:tcW w:w="919" w:type="dxa"/>
            <w:vAlign w:val="center"/>
          </w:tcPr>
          <w:p w:rsidR="000E33B8" w:rsidRPr="00835820" w14:paraId="3AC7A932" w14:textId="0FEF9230">
            <w:pPr>
              <w:keepNext/>
              <w:keepLines/>
              <w:ind w:left="94" w:right="79"/>
              <w:jc w:val="center"/>
              <w:rPr>
                <w:szCs w:val="20"/>
              </w:rPr>
            </w:pPr>
            <w:r>
              <w:rPr>
                <w:szCs w:val="20"/>
              </w:rPr>
              <w:t>2</w:t>
            </w:r>
            <w:r w:rsidR="00105851">
              <w:rPr>
                <w:szCs w:val="20"/>
              </w:rPr>
              <w:t>3</w:t>
            </w:r>
          </w:p>
        </w:tc>
        <w:tc>
          <w:tcPr>
            <w:tcW w:w="1157" w:type="dxa"/>
            <w:vAlign w:val="center"/>
          </w:tcPr>
          <w:p w:rsidR="000E33B8" w:rsidRPr="00835820" w14:paraId="18B2A4A5" w14:textId="74C7FC8C">
            <w:pPr>
              <w:keepNext/>
              <w:keepLines/>
              <w:ind w:left="94" w:right="111"/>
              <w:jc w:val="center"/>
              <w:rPr>
                <w:szCs w:val="20"/>
              </w:rPr>
            </w:pPr>
            <w:r w:rsidRPr="0019550A">
              <w:t>1,003</w:t>
            </w:r>
          </w:p>
        </w:tc>
        <w:tc>
          <w:tcPr>
            <w:tcW w:w="1254" w:type="dxa"/>
            <w:vAlign w:val="center"/>
          </w:tcPr>
          <w:p w:rsidR="000E33B8" w:rsidRPr="00FE4B12" w14:paraId="18630F0F" w14:textId="5AD72CB3">
            <w:pPr>
              <w:keepNext/>
              <w:keepLines/>
              <w:ind w:left="94" w:right="111"/>
              <w:jc w:val="center"/>
              <w:rPr>
                <w:color w:val="000000"/>
                <w:szCs w:val="20"/>
              </w:rPr>
            </w:pPr>
            <w:r w:rsidRPr="0080465C">
              <w:rPr>
                <w:color w:val="000000"/>
                <w:szCs w:val="20"/>
              </w:rPr>
              <w:t>3</w:t>
            </w:r>
            <w:r>
              <w:rPr>
                <w:color w:val="000000"/>
                <w:szCs w:val="20"/>
              </w:rPr>
              <w:t>,</w:t>
            </w:r>
            <w:r w:rsidRPr="0080465C">
              <w:rPr>
                <w:color w:val="000000"/>
                <w:szCs w:val="20"/>
              </w:rPr>
              <w:t>0</w:t>
            </w:r>
            <w:r w:rsidR="00D3378E">
              <w:rPr>
                <w:color w:val="000000"/>
                <w:szCs w:val="20"/>
              </w:rPr>
              <w:t>10</w:t>
            </w:r>
          </w:p>
        </w:tc>
      </w:tr>
      <w:tr w14:paraId="12BF5013" w14:textId="77777777">
        <w:tblPrEx>
          <w:tblW w:w="7375" w:type="dxa"/>
          <w:jc w:val="center"/>
          <w:tblLayout w:type="fixed"/>
          <w:tblCellMar>
            <w:left w:w="0" w:type="dxa"/>
            <w:right w:w="0" w:type="dxa"/>
          </w:tblCellMar>
          <w:tblLook w:val="01E0"/>
        </w:tblPrEx>
        <w:trPr>
          <w:trHeight w:val="272"/>
          <w:jc w:val="center"/>
        </w:trPr>
        <w:tc>
          <w:tcPr>
            <w:tcW w:w="1518" w:type="dxa"/>
          </w:tcPr>
          <w:p w:rsidR="000E33B8" w:rsidRPr="00450353" w14:paraId="1F80F0FD" w14:textId="77777777">
            <w:pPr>
              <w:keepNext/>
              <w:keepLines/>
              <w:ind w:left="107"/>
            </w:pPr>
            <w:r w:rsidRPr="00721953">
              <w:t>Complex 100+ FTEs</w:t>
            </w:r>
          </w:p>
        </w:tc>
        <w:tc>
          <w:tcPr>
            <w:tcW w:w="1537" w:type="dxa"/>
            <w:vAlign w:val="center"/>
          </w:tcPr>
          <w:p w:rsidR="000E33B8" w14:paraId="30A9DF98" w14:textId="1A7DB66C">
            <w:pPr>
              <w:keepNext/>
              <w:keepLines/>
              <w:ind w:left="94" w:right="119"/>
              <w:jc w:val="center"/>
              <w:rPr>
                <w:szCs w:val="20"/>
              </w:rPr>
            </w:pPr>
            <w:r w:rsidRPr="00E94659">
              <w:rPr>
                <w:szCs w:val="20"/>
              </w:rPr>
              <w:t>180</w:t>
            </w:r>
          </w:p>
        </w:tc>
        <w:tc>
          <w:tcPr>
            <w:tcW w:w="990" w:type="dxa"/>
            <w:vAlign w:val="center"/>
          </w:tcPr>
          <w:p w:rsidR="000E33B8" w:rsidRPr="00835820" w14:paraId="7FF3A135" w14:textId="61479EE4">
            <w:pPr>
              <w:keepNext/>
              <w:keepLines/>
              <w:ind w:left="94" w:right="34"/>
              <w:jc w:val="center"/>
              <w:rPr>
                <w:szCs w:val="20"/>
              </w:rPr>
            </w:pPr>
            <w:r w:rsidRPr="00E60A25">
              <w:t>32</w:t>
            </w:r>
          </w:p>
        </w:tc>
        <w:tc>
          <w:tcPr>
            <w:tcW w:w="919" w:type="dxa"/>
            <w:vAlign w:val="center"/>
          </w:tcPr>
          <w:p w:rsidR="000E33B8" w:rsidRPr="00835820" w14:paraId="407C6A09" w14:textId="13A78C9D">
            <w:pPr>
              <w:keepNext/>
              <w:keepLines/>
              <w:ind w:left="94" w:right="79"/>
              <w:jc w:val="center"/>
              <w:rPr>
                <w:szCs w:val="20"/>
              </w:rPr>
            </w:pPr>
            <w:r>
              <w:rPr>
                <w:szCs w:val="20"/>
              </w:rPr>
              <w:t>9</w:t>
            </w:r>
            <w:r w:rsidR="00105851">
              <w:rPr>
                <w:szCs w:val="20"/>
              </w:rPr>
              <w:t>7</w:t>
            </w:r>
          </w:p>
        </w:tc>
        <w:tc>
          <w:tcPr>
            <w:tcW w:w="1157" w:type="dxa"/>
            <w:vAlign w:val="center"/>
          </w:tcPr>
          <w:p w:rsidR="000E33B8" w:rsidRPr="00835820" w14:paraId="7FFCB7CD" w14:textId="77777777">
            <w:pPr>
              <w:keepNext/>
              <w:keepLines/>
              <w:ind w:left="94" w:right="111"/>
              <w:jc w:val="center"/>
              <w:rPr>
                <w:szCs w:val="20"/>
              </w:rPr>
            </w:pPr>
            <w:r w:rsidRPr="0019550A">
              <w:t>5,796</w:t>
            </w:r>
          </w:p>
        </w:tc>
        <w:tc>
          <w:tcPr>
            <w:tcW w:w="1254" w:type="dxa"/>
            <w:vAlign w:val="center"/>
          </w:tcPr>
          <w:p w:rsidR="000E33B8" w:rsidRPr="00FE4B12" w14:paraId="1D244031" w14:textId="77777777">
            <w:pPr>
              <w:keepNext/>
              <w:keepLines/>
              <w:ind w:left="94" w:right="111"/>
              <w:jc w:val="center"/>
              <w:rPr>
                <w:color w:val="000000"/>
                <w:szCs w:val="20"/>
              </w:rPr>
            </w:pPr>
            <w:r w:rsidRPr="00762BE5">
              <w:rPr>
                <w:color w:val="000000"/>
                <w:szCs w:val="20"/>
              </w:rPr>
              <w:t>17</w:t>
            </w:r>
            <w:r>
              <w:rPr>
                <w:color w:val="000000"/>
                <w:szCs w:val="20"/>
              </w:rPr>
              <w:t>,</w:t>
            </w:r>
            <w:r w:rsidRPr="00762BE5">
              <w:rPr>
                <w:color w:val="000000"/>
                <w:szCs w:val="20"/>
              </w:rPr>
              <w:t>388</w:t>
            </w:r>
          </w:p>
        </w:tc>
      </w:tr>
      <w:tr w14:paraId="32477E62" w14:textId="77777777">
        <w:tblPrEx>
          <w:tblW w:w="7375" w:type="dxa"/>
          <w:jc w:val="center"/>
          <w:tblLayout w:type="fixed"/>
          <w:tblCellMar>
            <w:left w:w="0" w:type="dxa"/>
            <w:right w:w="0" w:type="dxa"/>
          </w:tblCellMar>
          <w:tblLook w:val="01E0"/>
        </w:tblPrEx>
        <w:trPr>
          <w:trHeight w:val="272"/>
          <w:jc w:val="center"/>
        </w:trPr>
        <w:tc>
          <w:tcPr>
            <w:tcW w:w="1518" w:type="dxa"/>
          </w:tcPr>
          <w:p w:rsidR="000E33B8" w:rsidRPr="00450353" w14:paraId="506FAC30" w14:textId="77777777">
            <w:pPr>
              <w:keepNext/>
              <w:keepLines/>
              <w:ind w:left="107"/>
            </w:pPr>
            <w:r w:rsidRPr="00721953">
              <w:t>Small government (0-99 FTE)</w:t>
            </w:r>
          </w:p>
        </w:tc>
        <w:tc>
          <w:tcPr>
            <w:tcW w:w="1537" w:type="dxa"/>
            <w:vAlign w:val="center"/>
          </w:tcPr>
          <w:p w:rsidR="000E33B8" w14:paraId="672D8B9F" w14:textId="63CC019B">
            <w:pPr>
              <w:keepNext/>
              <w:keepLines/>
              <w:ind w:left="94" w:right="119"/>
              <w:jc w:val="center"/>
              <w:rPr>
                <w:szCs w:val="20"/>
              </w:rPr>
            </w:pPr>
            <w:r w:rsidRPr="00E94659">
              <w:rPr>
                <w:szCs w:val="20"/>
              </w:rPr>
              <w:t>110</w:t>
            </w:r>
          </w:p>
        </w:tc>
        <w:tc>
          <w:tcPr>
            <w:tcW w:w="990" w:type="dxa"/>
            <w:vAlign w:val="center"/>
          </w:tcPr>
          <w:p w:rsidR="000E33B8" w:rsidRPr="00835820" w14:paraId="595238F6" w14:textId="77777777">
            <w:pPr>
              <w:keepNext/>
              <w:keepLines/>
              <w:ind w:left="94" w:right="34"/>
              <w:jc w:val="center"/>
              <w:rPr>
                <w:szCs w:val="20"/>
              </w:rPr>
            </w:pPr>
            <w:r w:rsidRPr="00E60A25">
              <w:t>3</w:t>
            </w:r>
          </w:p>
        </w:tc>
        <w:tc>
          <w:tcPr>
            <w:tcW w:w="919" w:type="dxa"/>
            <w:vAlign w:val="center"/>
          </w:tcPr>
          <w:p w:rsidR="000E33B8" w:rsidRPr="00835820" w14:paraId="42602C47" w14:textId="77777777">
            <w:pPr>
              <w:keepNext/>
              <w:keepLines/>
              <w:ind w:left="94" w:right="79"/>
              <w:jc w:val="center"/>
              <w:rPr>
                <w:szCs w:val="20"/>
              </w:rPr>
            </w:pPr>
            <w:r>
              <w:rPr>
                <w:szCs w:val="20"/>
              </w:rPr>
              <w:t>9</w:t>
            </w:r>
          </w:p>
        </w:tc>
        <w:tc>
          <w:tcPr>
            <w:tcW w:w="1157" w:type="dxa"/>
            <w:vAlign w:val="center"/>
          </w:tcPr>
          <w:p w:rsidR="000E33B8" w:rsidRPr="00835820" w14:paraId="7E8F83BE" w14:textId="77777777">
            <w:pPr>
              <w:keepNext/>
              <w:keepLines/>
              <w:ind w:left="94" w:right="111"/>
              <w:jc w:val="center"/>
              <w:rPr>
                <w:szCs w:val="20"/>
              </w:rPr>
            </w:pPr>
            <w:r w:rsidRPr="0019550A">
              <w:t>330</w:t>
            </w:r>
          </w:p>
        </w:tc>
        <w:tc>
          <w:tcPr>
            <w:tcW w:w="1254" w:type="dxa"/>
            <w:vAlign w:val="center"/>
          </w:tcPr>
          <w:p w:rsidR="000E33B8" w:rsidRPr="00FE4B12" w14:paraId="62BE1C10" w14:textId="77777777">
            <w:pPr>
              <w:keepNext/>
              <w:keepLines/>
              <w:ind w:left="94" w:right="111"/>
              <w:jc w:val="center"/>
              <w:rPr>
                <w:color w:val="000000"/>
                <w:szCs w:val="20"/>
              </w:rPr>
            </w:pPr>
            <w:r w:rsidRPr="00A05F84">
              <w:rPr>
                <w:color w:val="000000"/>
                <w:szCs w:val="20"/>
              </w:rPr>
              <w:t>990</w:t>
            </w:r>
          </w:p>
        </w:tc>
      </w:tr>
      <w:tr w14:paraId="6A74413F" w14:textId="77777777" w:rsidTr="00680250">
        <w:tblPrEx>
          <w:tblW w:w="7375" w:type="dxa"/>
          <w:jc w:val="center"/>
          <w:tblLayout w:type="fixed"/>
          <w:tblCellMar>
            <w:left w:w="0" w:type="dxa"/>
            <w:right w:w="0" w:type="dxa"/>
          </w:tblCellMar>
          <w:tblLook w:val="01E0"/>
        </w:tblPrEx>
        <w:trPr>
          <w:trHeight w:val="272"/>
          <w:jc w:val="center"/>
        </w:trPr>
        <w:tc>
          <w:tcPr>
            <w:tcW w:w="1518" w:type="dxa"/>
          </w:tcPr>
          <w:p w:rsidR="000E33B8" w:rsidRPr="00450353" w14:paraId="7BC85701" w14:textId="77777777">
            <w:pPr>
              <w:keepNext/>
              <w:keepLines/>
              <w:ind w:left="107"/>
            </w:pPr>
            <w:r w:rsidRPr="00721953">
              <w:t>Large Government (100+ FTE)</w:t>
            </w:r>
          </w:p>
        </w:tc>
        <w:tc>
          <w:tcPr>
            <w:tcW w:w="1537" w:type="dxa"/>
            <w:vAlign w:val="center"/>
          </w:tcPr>
          <w:p w:rsidR="000E33B8" w14:paraId="4FBEC6A9" w14:textId="2466963D">
            <w:pPr>
              <w:keepNext/>
              <w:keepLines/>
              <w:ind w:left="94" w:right="119"/>
              <w:jc w:val="center"/>
              <w:rPr>
                <w:szCs w:val="20"/>
              </w:rPr>
            </w:pPr>
            <w:r>
              <w:rPr>
                <w:szCs w:val="20"/>
              </w:rPr>
              <w:t>198</w:t>
            </w:r>
          </w:p>
        </w:tc>
        <w:tc>
          <w:tcPr>
            <w:tcW w:w="990" w:type="dxa"/>
            <w:vAlign w:val="center"/>
          </w:tcPr>
          <w:p w:rsidR="000E33B8" w:rsidRPr="00835820" w14:paraId="64D820A0" w14:textId="1DCA1936">
            <w:pPr>
              <w:keepNext/>
              <w:keepLines/>
              <w:ind w:left="94" w:right="34"/>
              <w:jc w:val="center"/>
              <w:rPr>
                <w:szCs w:val="20"/>
              </w:rPr>
            </w:pPr>
            <w:r>
              <w:t>1</w:t>
            </w:r>
          </w:p>
        </w:tc>
        <w:tc>
          <w:tcPr>
            <w:tcW w:w="919" w:type="dxa"/>
            <w:vAlign w:val="center"/>
          </w:tcPr>
          <w:p w:rsidR="000E33B8" w:rsidRPr="00835820" w:rsidP="00680250" w14:paraId="52689528" w14:textId="6D35EC9B">
            <w:pPr>
              <w:keepNext/>
              <w:keepLines/>
              <w:ind w:right="79"/>
              <w:jc w:val="center"/>
              <w:rPr>
                <w:szCs w:val="20"/>
              </w:rPr>
            </w:pPr>
            <w:r>
              <w:rPr>
                <w:szCs w:val="20"/>
              </w:rPr>
              <w:t>2</w:t>
            </w:r>
          </w:p>
        </w:tc>
        <w:tc>
          <w:tcPr>
            <w:tcW w:w="1157" w:type="dxa"/>
            <w:vAlign w:val="center"/>
          </w:tcPr>
          <w:p w:rsidR="000E33B8" w:rsidRPr="00835820" w14:paraId="112F031D" w14:textId="48C2D4CB">
            <w:pPr>
              <w:keepNext/>
              <w:keepLines/>
              <w:ind w:left="94" w:right="111"/>
              <w:jc w:val="center"/>
              <w:rPr>
                <w:szCs w:val="20"/>
              </w:rPr>
            </w:pPr>
            <w:r w:rsidRPr="0019550A">
              <w:t>11</w:t>
            </w:r>
            <w:r w:rsidR="004F6EE8">
              <w:t>9</w:t>
            </w:r>
          </w:p>
        </w:tc>
        <w:tc>
          <w:tcPr>
            <w:tcW w:w="1254" w:type="dxa"/>
            <w:vAlign w:val="center"/>
          </w:tcPr>
          <w:p w:rsidR="000E33B8" w:rsidRPr="00FE4B12" w14:paraId="5397325F" w14:textId="756A4B88">
            <w:pPr>
              <w:keepNext/>
              <w:keepLines/>
              <w:ind w:left="94" w:right="111"/>
              <w:jc w:val="center"/>
              <w:rPr>
                <w:color w:val="000000"/>
                <w:szCs w:val="20"/>
              </w:rPr>
            </w:pPr>
            <w:r w:rsidRPr="006852F8">
              <w:rPr>
                <w:color w:val="000000"/>
                <w:szCs w:val="20"/>
              </w:rPr>
              <w:t>356</w:t>
            </w:r>
          </w:p>
        </w:tc>
      </w:tr>
    </w:tbl>
    <w:p w:rsidR="000E33B8" w:rsidP="000E33B8" w14:paraId="08F80CD2" w14:textId="42D7ECCB">
      <w:pPr>
        <w:ind w:left="990" w:right="630"/>
      </w:pPr>
      <w:r>
        <w:t>* EPA assumed that the burden associated with this provision would be incurred by the same number of facilities in Years 1, 2, and 3.</w:t>
      </w:r>
    </w:p>
    <w:p w:rsidR="000E33B8" w:rsidP="000E33B8" w14:paraId="2F107C3A" w14:textId="77777777">
      <w:pPr>
        <w:rPr>
          <w:color w:val="000000"/>
        </w:rPr>
      </w:pPr>
    </w:p>
    <w:p w:rsidR="000E33B8" w:rsidRPr="00D206B9" w:rsidP="000E33B8" w14:paraId="267A8FCB" w14:textId="77777777">
      <w:pPr>
        <w:rPr>
          <w:bCs/>
          <w:i/>
          <w:iCs/>
          <w:sz w:val="22"/>
          <w:szCs w:val="28"/>
        </w:rPr>
      </w:pPr>
      <w:r w:rsidRPr="00875E5E">
        <w:rPr>
          <w:bCs/>
          <w:i/>
          <w:iCs/>
          <w:sz w:val="22"/>
          <w:szCs w:val="28"/>
        </w:rPr>
        <w:t>Employee Participation Plan</w:t>
      </w:r>
      <w:r>
        <w:rPr>
          <w:bCs/>
          <w:i/>
          <w:iCs/>
          <w:sz w:val="22"/>
          <w:szCs w:val="28"/>
        </w:rPr>
        <w:t xml:space="preserve"> - </w:t>
      </w:r>
      <w:r w:rsidRPr="009C6838">
        <w:rPr>
          <w:sz w:val="22"/>
          <w:szCs w:val="28"/>
        </w:rPr>
        <w:t xml:space="preserve">Facilities with Program 2 processes </w:t>
      </w:r>
      <w:r>
        <w:rPr>
          <w:sz w:val="22"/>
          <w:szCs w:val="28"/>
        </w:rPr>
        <w:t>previously were</w:t>
      </w:r>
      <w:r w:rsidRPr="009C6838">
        <w:rPr>
          <w:sz w:val="22"/>
          <w:szCs w:val="28"/>
        </w:rPr>
        <w:t xml:space="preserve"> not required to have an employee participation plan. Therefore, they </w:t>
      </w:r>
      <w:r>
        <w:rPr>
          <w:sz w:val="22"/>
          <w:szCs w:val="28"/>
        </w:rPr>
        <w:t>will</w:t>
      </w:r>
      <w:r w:rsidRPr="009C6838">
        <w:rPr>
          <w:sz w:val="22"/>
          <w:szCs w:val="28"/>
        </w:rPr>
        <w:t xml:space="preserve"> need to develop an employee participation plan. Training employees on the employee participation plan or the updated plan is assumed to be covered by ongoing training related to the prevention program. Therefore, EPA estimates the cost for Program 2 facilities to develop a new employee participation plan and </w:t>
      </w:r>
      <w:r w:rsidRPr="009C6838">
        <w:rPr>
          <w:color w:val="000000" w:themeColor="text1"/>
          <w:sz w:val="22"/>
          <w:szCs w:val="28"/>
        </w:rPr>
        <w:t>Program 3</w:t>
      </w:r>
      <w:r w:rsidRPr="009C6838">
        <w:rPr>
          <w:sz w:val="22"/>
          <w:szCs w:val="28"/>
        </w:rPr>
        <w:t xml:space="preserve"> facilities to make minor adjustments to current employee participation plans.  </w:t>
      </w:r>
    </w:p>
    <w:p w:rsidR="000E33B8" w:rsidRPr="009C6838" w:rsidP="000E33B8" w14:paraId="46EB269A" w14:textId="77777777">
      <w:pPr>
        <w:ind w:firstLine="360"/>
        <w:rPr>
          <w:sz w:val="22"/>
          <w:szCs w:val="28"/>
        </w:rPr>
      </w:pPr>
    </w:p>
    <w:p w:rsidR="000E33B8" w:rsidP="000E33B8" w14:paraId="4634C334" w14:textId="5F90C424">
      <w:pPr>
        <w:rPr>
          <w:sz w:val="22"/>
          <w:szCs w:val="22"/>
        </w:rPr>
      </w:pPr>
      <w:r w:rsidRPr="009C6838">
        <w:rPr>
          <w:sz w:val="22"/>
          <w:szCs w:val="28"/>
        </w:rPr>
        <w:t xml:space="preserve">EPA assumes that the development of an employee participation plan for a facility with Program 2 processes is a comparable burden to that for developing an employee participation plan for a facility with Program 3 processes. The 1996 RMP RIA did not include costs for employee participation plans for facilities with Program 3 processes, based on the assumption that those costs were already adequately accounted for under the OSHA PSM program. EPA therefore relied on the 1992 OSHA PSM RIA as the basis for the costs for employee participation plans for facilities with Program 2 </w:t>
      </w:r>
      <w:r w:rsidRPr="008228D3">
        <w:rPr>
          <w:sz w:val="24"/>
        </w:rPr>
        <w:t xml:space="preserve">processes. </w:t>
      </w:r>
      <w:r w:rsidRPr="00D206B9">
        <w:rPr>
          <w:rFonts w:eastAsia="Calibri"/>
          <w:kern w:val="24"/>
          <w:sz w:val="22"/>
          <w:szCs w:val="22"/>
        </w:rPr>
        <w:t>Facilities with Program 3 processes will need to update current employee participation plans. EPA assumes that this will be a minimal effort, and that regardless of facility complexity, 0.5 hours for an engineer and 0.5 hours for a production level staff will be required</w:t>
      </w:r>
      <w:r w:rsidR="00332E9F">
        <w:rPr>
          <w:sz w:val="22"/>
          <w:szCs w:val="22"/>
        </w:rPr>
        <w:t xml:space="preserve">. </w:t>
      </w:r>
    </w:p>
    <w:p w:rsidR="000E33B8" w:rsidRPr="00D206B9" w:rsidP="000E33B8" w14:paraId="713172E3" w14:textId="77777777">
      <w:pPr>
        <w:rPr>
          <w:sz w:val="22"/>
          <w:szCs w:val="22"/>
        </w:rPr>
      </w:pPr>
    </w:p>
    <w:p w:rsidR="000E33B8" w:rsidRPr="00451AB6" w:rsidP="000E33B8" w14:paraId="111155DE" w14:textId="79CB9BC0">
      <w:pPr>
        <w:pStyle w:val="Caption"/>
        <w:keepNext/>
        <w:spacing w:after="0"/>
        <w:jc w:val="center"/>
        <w:rPr>
          <w:b/>
          <w:bCs/>
          <w:i w:val="0"/>
          <w:iCs w:val="0"/>
          <w:color w:val="auto"/>
          <w:sz w:val="22"/>
          <w:szCs w:val="22"/>
        </w:rPr>
      </w:pPr>
      <w:r w:rsidRPr="00451AB6">
        <w:rPr>
          <w:b/>
          <w:bCs/>
          <w:i w:val="0"/>
          <w:iCs w:val="0"/>
          <w:color w:val="auto"/>
          <w:sz w:val="22"/>
          <w:szCs w:val="22"/>
        </w:rPr>
        <w:t>Exhibit</w:t>
      </w:r>
      <w:r>
        <w:rPr>
          <w:b/>
          <w:bCs/>
          <w:i w:val="0"/>
          <w:iCs w:val="0"/>
          <w:color w:val="auto"/>
          <w:sz w:val="22"/>
          <w:szCs w:val="22"/>
        </w:rPr>
        <w:t xml:space="preserve"> </w:t>
      </w:r>
      <w:r w:rsidR="00CF3F54">
        <w:rPr>
          <w:b/>
          <w:bCs/>
          <w:i w:val="0"/>
          <w:iCs w:val="0"/>
          <w:color w:val="auto"/>
          <w:sz w:val="22"/>
          <w:szCs w:val="22"/>
        </w:rPr>
        <w:t>9</w:t>
      </w:r>
      <w:r>
        <w:rPr>
          <w:b/>
          <w:bCs/>
          <w:i w:val="0"/>
          <w:iCs w:val="0"/>
          <w:color w:val="auto"/>
          <w:sz w:val="22"/>
          <w:szCs w:val="22"/>
        </w:rPr>
        <w:t>:</w:t>
      </w:r>
      <w:r w:rsidRPr="009C6838">
        <w:rPr>
          <w:b/>
          <w:bCs/>
          <w:sz w:val="22"/>
          <w:szCs w:val="22"/>
        </w:rPr>
        <w:t xml:space="preserve"> </w:t>
      </w:r>
      <w:r w:rsidRPr="00EB2EEA">
        <w:rPr>
          <w:b/>
          <w:bCs/>
          <w:i w:val="0"/>
          <w:iCs w:val="0"/>
          <w:color w:val="auto"/>
          <w:sz w:val="22"/>
          <w:szCs w:val="22"/>
        </w:rPr>
        <w:t>Hour</w:t>
      </w:r>
      <w:r>
        <w:rPr>
          <w:b/>
          <w:bCs/>
          <w:i w:val="0"/>
          <w:iCs w:val="0"/>
          <w:color w:val="auto"/>
          <w:sz w:val="22"/>
          <w:szCs w:val="22"/>
        </w:rPr>
        <w:t xml:space="preserve"> Burden</w:t>
      </w:r>
      <w:r w:rsidRPr="00451AB6">
        <w:rPr>
          <w:b/>
          <w:bCs/>
          <w:i w:val="0"/>
          <w:iCs w:val="0"/>
          <w:color w:val="auto"/>
          <w:sz w:val="22"/>
          <w:szCs w:val="22"/>
        </w:rPr>
        <w:t xml:space="preserve"> for </w:t>
      </w:r>
      <w:r>
        <w:rPr>
          <w:b/>
          <w:bCs/>
          <w:i w:val="0"/>
          <w:iCs w:val="0"/>
          <w:color w:val="auto"/>
          <w:sz w:val="22"/>
          <w:szCs w:val="22"/>
        </w:rPr>
        <w:t>Employee Participation Plan Activities</w:t>
      </w:r>
    </w:p>
    <w:tbl>
      <w:tblPr>
        <w:tblW w:w="7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8"/>
        <w:gridCol w:w="1537"/>
        <w:gridCol w:w="1080"/>
        <w:gridCol w:w="990"/>
        <w:gridCol w:w="1170"/>
        <w:gridCol w:w="1440"/>
      </w:tblGrid>
      <w:tr w14:paraId="0DBABDB7" w14:textId="77777777">
        <w:tblPrEx>
          <w:tblW w:w="7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2"/>
          <w:jc w:val="center"/>
        </w:trPr>
        <w:tc>
          <w:tcPr>
            <w:tcW w:w="1518" w:type="dxa"/>
            <w:vMerge w:val="restart"/>
            <w:tcBorders>
              <w:top w:val="single" w:sz="4" w:space="0" w:color="auto"/>
            </w:tcBorders>
            <w:shd w:val="clear" w:color="auto" w:fill="D9D9D9" w:themeFill="background1" w:themeFillShade="D9"/>
            <w:vAlign w:val="center"/>
          </w:tcPr>
          <w:p w:rsidR="00F43C61" w14:paraId="1366647F" w14:textId="77777777">
            <w:pPr>
              <w:keepNext/>
              <w:keepLines/>
              <w:jc w:val="center"/>
              <w:rPr>
                <w:b/>
                <w:bCs/>
                <w:szCs w:val="20"/>
              </w:rPr>
            </w:pPr>
            <w:r>
              <w:rPr>
                <w:b/>
                <w:bCs/>
                <w:szCs w:val="20"/>
              </w:rPr>
              <w:t>Respondent/</w:t>
            </w:r>
          </w:p>
          <w:p w:rsidR="000E33B8" w:rsidRPr="00F3547C" w14:paraId="6117F299" w14:textId="1EE00682">
            <w:pPr>
              <w:keepNext/>
              <w:keepLines/>
              <w:jc w:val="center"/>
              <w:rPr>
                <w:b/>
                <w:bCs/>
                <w:szCs w:val="20"/>
              </w:rPr>
            </w:pPr>
            <w:r>
              <w:rPr>
                <w:b/>
                <w:bCs/>
                <w:szCs w:val="20"/>
              </w:rPr>
              <w:t>Facility Type</w:t>
            </w:r>
          </w:p>
        </w:tc>
        <w:tc>
          <w:tcPr>
            <w:tcW w:w="1537" w:type="dxa"/>
            <w:vMerge w:val="restart"/>
            <w:tcBorders>
              <w:top w:val="single" w:sz="4" w:space="0" w:color="auto"/>
            </w:tcBorders>
            <w:shd w:val="clear" w:color="auto" w:fill="D9D9D9"/>
            <w:vAlign w:val="center"/>
          </w:tcPr>
          <w:p w:rsidR="000E33B8" w:rsidRPr="00835820" w14:paraId="6EC2C653" w14:textId="77777777">
            <w:pPr>
              <w:keepNext/>
              <w:keepLines/>
              <w:ind w:left="127" w:right="119"/>
              <w:jc w:val="center"/>
              <w:rPr>
                <w:b/>
                <w:szCs w:val="20"/>
              </w:rPr>
            </w:pPr>
            <w:r w:rsidRPr="00BB3B6F">
              <w:rPr>
                <w:b/>
                <w:szCs w:val="20"/>
              </w:rPr>
              <w:t>Hours</w:t>
            </w:r>
            <w:r>
              <w:rPr>
                <w:b/>
                <w:szCs w:val="20"/>
              </w:rPr>
              <w:t xml:space="preserve"> </w:t>
            </w:r>
            <w:r w:rsidRPr="00BB3B6F">
              <w:rPr>
                <w:b/>
                <w:szCs w:val="20"/>
              </w:rPr>
              <w:t>Required</w:t>
            </w:r>
            <w:r>
              <w:rPr>
                <w:b/>
                <w:szCs w:val="20"/>
              </w:rPr>
              <w:t xml:space="preserve"> </w:t>
            </w:r>
            <w:r w:rsidRPr="004E2F13">
              <w:rPr>
                <w:b/>
                <w:szCs w:val="20"/>
              </w:rPr>
              <w:t>Per Respondent</w:t>
            </w:r>
          </w:p>
        </w:tc>
        <w:tc>
          <w:tcPr>
            <w:tcW w:w="2070" w:type="dxa"/>
            <w:gridSpan w:val="2"/>
            <w:tcBorders>
              <w:top w:val="single" w:sz="4" w:space="0" w:color="auto"/>
            </w:tcBorders>
            <w:shd w:val="clear" w:color="auto" w:fill="D9D9D9"/>
            <w:vAlign w:val="center"/>
          </w:tcPr>
          <w:p w:rsidR="000E33B8" w:rsidRPr="00835820" w14:paraId="413F49D3" w14:textId="13230871">
            <w:pPr>
              <w:keepNext/>
              <w:keepLines/>
              <w:ind w:left="100" w:right="79"/>
              <w:jc w:val="center"/>
              <w:rPr>
                <w:b/>
                <w:szCs w:val="20"/>
              </w:rPr>
            </w:pPr>
            <w:r w:rsidRPr="004C1E64">
              <w:rPr>
                <w:b/>
                <w:szCs w:val="20"/>
              </w:rPr>
              <w:t xml:space="preserve">Number of </w:t>
            </w:r>
            <w:r w:rsidR="00F1550C">
              <w:rPr>
                <w:b/>
                <w:szCs w:val="20"/>
              </w:rPr>
              <w:t>Respondents</w:t>
            </w:r>
          </w:p>
        </w:tc>
        <w:tc>
          <w:tcPr>
            <w:tcW w:w="1170" w:type="dxa"/>
            <w:vMerge w:val="restart"/>
            <w:tcBorders>
              <w:top w:val="single" w:sz="4" w:space="0" w:color="auto"/>
            </w:tcBorders>
            <w:shd w:val="clear" w:color="auto" w:fill="D9D9D9"/>
            <w:vAlign w:val="center"/>
          </w:tcPr>
          <w:p w:rsidR="000E33B8" w:rsidRPr="009762B0" w14:paraId="33FFFE3E" w14:textId="77777777">
            <w:pPr>
              <w:keepNext/>
              <w:keepLines/>
              <w:ind w:left="97" w:right="76"/>
              <w:jc w:val="center"/>
              <w:rPr>
                <w:b/>
                <w:szCs w:val="20"/>
              </w:rPr>
            </w:pPr>
            <w:r w:rsidRPr="007C2720">
              <w:rPr>
                <w:b/>
                <w:szCs w:val="20"/>
              </w:rPr>
              <w:t>3-Year Average Annual Burden (hours)</w:t>
            </w:r>
          </w:p>
        </w:tc>
        <w:tc>
          <w:tcPr>
            <w:tcW w:w="1440" w:type="dxa"/>
            <w:vMerge w:val="restart"/>
            <w:tcBorders>
              <w:top w:val="single" w:sz="4" w:space="0" w:color="auto"/>
            </w:tcBorders>
            <w:shd w:val="clear" w:color="auto" w:fill="D9D9D9" w:themeFill="background1" w:themeFillShade="D9"/>
            <w:vAlign w:val="center"/>
          </w:tcPr>
          <w:p w:rsidR="000E33B8" w:rsidRPr="00F3547C" w14:paraId="7EC95B26" w14:textId="77777777">
            <w:pPr>
              <w:keepNext/>
              <w:keepLines/>
              <w:jc w:val="center"/>
              <w:rPr>
                <w:b/>
                <w:szCs w:val="20"/>
              </w:rPr>
            </w:pPr>
            <w:r w:rsidRPr="00E4312C">
              <w:rPr>
                <w:b/>
                <w:szCs w:val="20"/>
              </w:rPr>
              <w:t>3-Year Total Burden (hours)</w:t>
            </w:r>
          </w:p>
        </w:tc>
      </w:tr>
      <w:tr w14:paraId="0334A843" w14:textId="77777777">
        <w:tblPrEx>
          <w:tblW w:w="7735" w:type="dxa"/>
          <w:jc w:val="center"/>
          <w:tblLayout w:type="fixed"/>
          <w:tblCellMar>
            <w:left w:w="0" w:type="dxa"/>
            <w:right w:w="0" w:type="dxa"/>
          </w:tblCellMar>
          <w:tblLook w:val="01E0"/>
        </w:tblPrEx>
        <w:trPr>
          <w:trHeight w:val="482"/>
          <w:jc w:val="center"/>
        </w:trPr>
        <w:tc>
          <w:tcPr>
            <w:tcW w:w="1518" w:type="dxa"/>
            <w:vMerge/>
            <w:shd w:val="clear" w:color="auto" w:fill="D9D9D9" w:themeFill="background1" w:themeFillShade="D9"/>
            <w:vAlign w:val="center"/>
          </w:tcPr>
          <w:p w:rsidR="000E33B8" w:rsidRPr="00CD2A9E" w14:paraId="500CC12A" w14:textId="77777777">
            <w:pPr>
              <w:keepNext/>
              <w:keepLines/>
              <w:jc w:val="center"/>
              <w:rPr>
                <w:b/>
                <w:bCs/>
                <w:szCs w:val="20"/>
              </w:rPr>
            </w:pPr>
          </w:p>
        </w:tc>
        <w:tc>
          <w:tcPr>
            <w:tcW w:w="1537" w:type="dxa"/>
            <w:vMerge/>
            <w:shd w:val="clear" w:color="auto" w:fill="D9D9D9"/>
            <w:vAlign w:val="center"/>
          </w:tcPr>
          <w:p w:rsidR="000E33B8" w:rsidRPr="00BB3B6F" w14:paraId="145B3E21" w14:textId="77777777">
            <w:pPr>
              <w:keepNext/>
              <w:keepLines/>
              <w:ind w:left="127" w:right="119"/>
              <w:jc w:val="center"/>
              <w:rPr>
                <w:b/>
                <w:szCs w:val="20"/>
              </w:rPr>
            </w:pPr>
          </w:p>
        </w:tc>
        <w:tc>
          <w:tcPr>
            <w:tcW w:w="1080" w:type="dxa"/>
            <w:tcBorders>
              <w:top w:val="single" w:sz="4" w:space="0" w:color="auto"/>
            </w:tcBorders>
            <w:shd w:val="clear" w:color="auto" w:fill="D9D9D9"/>
            <w:vAlign w:val="center"/>
          </w:tcPr>
          <w:p w:rsidR="000E33B8" w:rsidRPr="00D00EF5" w14:paraId="0B6B319D" w14:textId="77777777">
            <w:pPr>
              <w:keepNext/>
              <w:keepLines/>
              <w:ind w:left="100" w:right="79"/>
              <w:jc w:val="center"/>
              <w:rPr>
                <w:b/>
                <w:szCs w:val="20"/>
              </w:rPr>
            </w:pPr>
            <w:r>
              <w:rPr>
                <w:b/>
                <w:szCs w:val="20"/>
              </w:rPr>
              <w:t>Year 1*</w:t>
            </w:r>
          </w:p>
        </w:tc>
        <w:tc>
          <w:tcPr>
            <w:tcW w:w="990" w:type="dxa"/>
            <w:tcBorders>
              <w:top w:val="single" w:sz="4" w:space="0" w:color="auto"/>
            </w:tcBorders>
            <w:shd w:val="clear" w:color="auto" w:fill="D9D9D9"/>
            <w:vAlign w:val="center"/>
          </w:tcPr>
          <w:p w:rsidR="000E33B8" w:rsidRPr="00D00EF5" w14:paraId="2A5AFB4D" w14:textId="77777777">
            <w:pPr>
              <w:keepNext/>
              <w:keepLines/>
              <w:ind w:left="100" w:right="79"/>
              <w:jc w:val="center"/>
              <w:rPr>
                <w:b/>
                <w:szCs w:val="20"/>
              </w:rPr>
            </w:pPr>
            <w:r>
              <w:rPr>
                <w:b/>
                <w:szCs w:val="20"/>
              </w:rPr>
              <w:t>3-Year Total</w:t>
            </w:r>
          </w:p>
        </w:tc>
        <w:tc>
          <w:tcPr>
            <w:tcW w:w="1170" w:type="dxa"/>
            <w:vMerge/>
            <w:shd w:val="clear" w:color="auto" w:fill="D9D9D9"/>
            <w:vAlign w:val="center"/>
          </w:tcPr>
          <w:p w:rsidR="000E33B8" w:rsidRPr="007C2720" w14:paraId="7F677357" w14:textId="77777777">
            <w:pPr>
              <w:keepNext/>
              <w:keepLines/>
              <w:ind w:left="97" w:right="76"/>
              <w:jc w:val="center"/>
              <w:rPr>
                <w:b/>
                <w:szCs w:val="20"/>
              </w:rPr>
            </w:pPr>
          </w:p>
        </w:tc>
        <w:tc>
          <w:tcPr>
            <w:tcW w:w="1440" w:type="dxa"/>
            <w:vMerge/>
            <w:shd w:val="clear" w:color="auto" w:fill="D9D9D9" w:themeFill="background1" w:themeFillShade="D9"/>
            <w:vAlign w:val="center"/>
          </w:tcPr>
          <w:p w:rsidR="000E33B8" w:rsidRPr="00E4312C" w14:paraId="3EC0BD8D" w14:textId="77777777">
            <w:pPr>
              <w:keepNext/>
              <w:keepLines/>
              <w:jc w:val="center"/>
              <w:rPr>
                <w:b/>
                <w:szCs w:val="20"/>
              </w:rPr>
            </w:pPr>
          </w:p>
        </w:tc>
      </w:tr>
      <w:tr w14:paraId="1E2F6ABC" w14:textId="77777777">
        <w:tblPrEx>
          <w:tblW w:w="7735" w:type="dxa"/>
          <w:jc w:val="center"/>
          <w:tblLayout w:type="fixed"/>
          <w:tblCellMar>
            <w:left w:w="0" w:type="dxa"/>
            <w:right w:w="0" w:type="dxa"/>
          </w:tblCellMar>
          <w:tblLook w:val="01E0"/>
        </w:tblPrEx>
        <w:trPr>
          <w:trHeight w:val="269"/>
          <w:jc w:val="center"/>
        </w:trPr>
        <w:tc>
          <w:tcPr>
            <w:tcW w:w="7735" w:type="dxa"/>
            <w:gridSpan w:val="6"/>
            <w:shd w:val="clear" w:color="auto" w:fill="F2F2F2" w:themeFill="background1" w:themeFillShade="F2"/>
          </w:tcPr>
          <w:p w:rsidR="000E33B8" w:rsidRPr="00835820" w14:paraId="6B5E5D55" w14:textId="77777777">
            <w:pPr>
              <w:keepNext/>
              <w:keepLines/>
              <w:ind w:left="131" w:right="111"/>
              <w:jc w:val="center"/>
              <w:rPr>
                <w:szCs w:val="20"/>
              </w:rPr>
            </w:pPr>
            <w:r w:rsidRPr="0053682F">
              <w:rPr>
                <w:szCs w:val="20"/>
              </w:rPr>
              <w:t>P2 requirement to develop new EPP</w:t>
            </w:r>
          </w:p>
        </w:tc>
      </w:tr>
      <w:tr w14:paraId="56869B81" w14:textId="77777777">
        <w:tblPrEx>
          <w:tblW w:w="7735" w:type="dxa"/>
          <w:jc w:val="center"/>
          <w:tblLayout w:type="fixed"/>
          <w:tblCellMar>
            <w:left w:w="0" w:type="dxa"/>
            <w:right w:w="0" w:type="dxa"/>
          </w:tblCellMar>
          <w:tblLook w:val="01E0"/>
        </w:tblPrEx>
        <w:trPr>
          <w:trHeight w:val="272"/>
          <w:jc w:val="center"/>
        </w:trPr>
        <w:tc>
          <w:tcPr>
            <w:tcW w:w="1518" w:type="dxa"/>
          </w:tcPr>
          <w:p w:rsidR="000E33B8" w:rsidRPr="00835820" w14:paraId="1C1E74A8" w14:textId="77777777">
            <w:pPr>
              <w:keepNext/>
              <w:keepLines/>
              <w:ind w:left="107"/>
              <w:rPr>
                <w:szCs w:val="20"/>
              </w:rPr>
            </w:pPr>
            <w:r w:rsidRPr="00B1401F">
              <w:t>Simple 0-19 FTEs</w:t>
            </w:r>
          </w:p>
        </w:tc>
        <w:tc>
          <w:tcPr>
            <w:tcW w:w="1537" w:type="dxa"/>
            <w:vAlign w:val="center"/>
          </w:tcPr>
          <w:p w:rsidR="000E33B8" w:rsidRPr="00835820" w14:paraId="576E1A03" w14:textId="77777777">
            <w:pPr>
              <w:keepNext/>
              <w:keepLines/>
              <w:ind w:left="94" w:right="119"/>
              <w:jc w:val="center"/>
              <w:rPr>
                <w:szCs w:val="20"/>
              </w:rPr>
            </w:pPr>
            <w:r>
              <w:rPr>
                <w:szCs w:val="20"/>
              </w:rPr>
              <w:t>1.5</w:t>
            </w:r>
          </w:p>
        </w:tc>
        <w:tc>
          <w:tcPr>
            <w:tcW w:w="1080" w:type="dxa"/>
            <w:vAlign w:val="center"/>
          </w:tcPr>
          <w:p w:rsidR="000E33B8" w:rsidRPr="00835820" w14:paraId="35E8BBC8" w14:textId="77777777">
            <w:pPr>
              <w:keepNext/>
              <w:keepLines/>
              <w:ind w:left="94" w:right="34"/>
              <w:jc w:val="center"/>
              <w:rPr>
                <w:szCs w:val="20"/>
              </w:rPr>
            </w:pPr>
            <w:r w:rsidRPr="002E07B4">
              <w:t>3,415</w:t>
            </w:r>
          </w:p>
        </w:tc>
        <w:tc>
          <w:tcPr>
            <w:tcW w:w="990" w:type="dxa"/>
            <w:vAlign w:val="center"/>
          </w:tcPr>
          <w:p w:rsidR="000E33B8" w:rsidRPr="00835820" w14:paraId="3C78C791" w14:textId="77777777">
            <w:pPr>
              <w:keepNext/>
              <w:keepLines/>
              <w:ind w:left="94" w:right="79"/>
              <w:jc w:val="center"/>
              <w:rPr>
                <w:szCs w:val="20"/>
              </w:rPr>
            </w:pPr>
            <w:r w:rsidRPr="00E31C9C">
              <w:rPr>
                <w:szCs w:val="20"/>
              </w:rPr>
              <w:t>10</w:t>
            </w:r>
            <w:r>
              <w:rPr>
                <w:szCs w:val="20"/>
              </w:rPr>
              <w:t>,</w:t>
            </w:r>
            <w:r w:rsidRPr="00E31C9C">
              <w:rPr>
                <w:szCs w:val="20"/>
              </w:rPr>
              <w:t>245</w:t>
            </w:r>
          </w:p>
        </w:tc>
        <w:tc>
          <w:tcPr>
            <w:tcW w:w="1170" w:type="dxa"/>
            <w:vAlign w:val="center"/>
          </w:tcPr>
          <w:p w:rsidR="000E33B8" w:rsidRPr="00835820" w14:paraId="008CCC56" w14:textId="14084C46">
            <w:pPr>
              <w:keepNext/>
              <w:keepLines/>
              <w:ind w:left="94" w:right="111"/>
              <w:jc w:val="center"/>
              <w:rPr>
                <w:szCs w:val="20"/>
              </w:rPr>
            </w:pPr>
            <w:r w:rsidRPr="00AB65AE">
              <w:rPr>
                <w:szCs w:val="20"/>
              </w:rPr>
              <w:t>5,12</w:t>
            </w:r>
            <w:r w:rsidR="00F9715C">
              <w:rPr>
                <w:szCs w:val="20"/>
              </w:rPr>
              <w:t>3</w:t>
            </w:r>
          </w:p>
        </w:tc>
        <w:tc>
          <w:tcPr>
            <w:tcW w:w="1440" w:type="dxa"/>
            <w:vAlign w:val="center"/>
          </w:tcPr>
          <w:p w:rsidR="000E33B8" w:rsidRPr="00835820" w14:paraId="3487BDBC" w14:textId="775649E1">
            <w:pPr>
              <w:keepNext/>
              <w:keepLines/>
              <w:ind w:left="94" w:right="111"/>
              <w:jc w:val="center"/>
              <w:rPr>
                <w:szCs w:val="20"/>
              </w:rPr>
            </w:pPr>
            <w:r w:rsidRPr="00B129E1">
              <w:rPr>
                <w:szCs w:val="20"/>
              </w:rPr>
              <w:t>15</w:t>
            </w:r>
            <w:r w:rsidR="00033C7E">
              <w:rPr>
                <w:szCs w:val="20"/>
              </w:rPr>
              <w:t>,</w:t>
            </w:r>
            <w:r w:rsidRPr="00B129E1">
              <w:rPr>
                <w:szCs w:val="20"/>
              </w:rPr>
              <w:t>36</w:t>
            </w:r>
            <w:r w:rsidR="00F9715C">
              <w:rPr>
                <w:szCs w:val="20"/>
              </w:rPr>
              <w:t>8</w:t>
            </w:r>
          </w:p>
        </w:tc>
      </w:tr>
      <w:tr w14:paraId="063E54A1" w14:textId="77777777">
        <w:tblPrEx>
          <w:tblW w:w="7735" w:type="dxa"/>
          <w:jc w:val="center"/>
          <w:tblLayout w:type="fixed"/>
          <w:tblCellMar>
            <w:left w:w="0" w:type="dxa"/>
            <w:right w:w="0" w:type="dxa"/>
          </w:tblCellMar>
          <w:tblLook w:val="01E0"/>
        </w:tblPrEx>
        <w:trPr>
          <w:trHeight w:val="272"/>
          <w:jc w:val="center"/>
        </w:trPr>
        <w:tc>
          <w:tcPr>
            <w:tcW w:w="1518" w:type="dxa"/>
          </w:tcPr>
          <w:p w:rsidR="000E33B8" w:rsidRPr="00835820" w14:paraId="050890C7" w14:textId="77777777">
            <w:pPr>
              <w:keepNext/>
              <w:keepLines/>
              <w:ind w:left="107"/>
              <w:rPr>
                <w:szCs w:val="20"/>
              </w:rPr>
            </w:pPr>
            <w:r w:rsidRPr="00B1401F">
              <w:t>Simple 20+ FTEs</w:t>
            </w:r>
          </w:p>
        </w:tc>
        <w:tc>
          <w:tcPr>
            <w:tcW w:w="1537" w:type="dxa"/>
            <w:vAlign w:val="center"/>
          </w:tcPr>
          <w:p w:rsidR="000E33B8" w14:paraId="34A6C31D" w14:textId="77777777">
            <w:pPr>
              <w:keepNext/>
              <w:keepLines/>
              <w:ind w:left="94" w:right="119"/>
              <w:jc w:val="center"/>
              <w:rPr>
                <w:szCs w:val="20"/>
              </w:rPr>
            </w:pPr>
            <w:r>
              <w:rPr>
                <w:szCs w:val="20"/>
              </w:rPr>
              <w:t>3.5</w:t>
            </w:r>
          </w:p>
        </w:tc>
        <w:tc>
          <w:tcPr>
            <w:tcW w:w="1080" w:type="dxa"/>
            <w:vAlign w:val="center"/>
          </w:tcPr>
          <w:p w:rsidR="000E33B8" w:rsidRPr="00835820" w14:paraId="7C97F870" w14:textId="77777777">
            <w:pPr>
              <w:keepNext/>
              <w:keepLines/>
              <w:ind w:left="94" w:right="34"/>
              <w:jc w:val="center"/>
              <w:rPr>
                <w:szCs w:val="20"/>
              </w:rPr>
            </w:pPr>
            <w:r w:rsidRPr="002E07B4">
              <w:t>496</w:t>
            </w:r>
          </w:p>
        </w:tc>
        <w:tc>
          <w:tcPr>
            <w:tcW w:w="990" w:type="dxa"/>
            <w:vAlign w:val="center"/>
          </w:tcPr>
          <w:p w:rsidR="000E33B8" w:rsidRPr="00835820" w14:paraId="6D22D6C6" w14:textId="77777777">
            <w:pPr>
              <w:keepNext/>
              <w:keepLines/>
              <w:ind w:left="94" w:right="79"/>
              <w:jc w:val="center"/>
              <w:rPr>
                <w:szCs w:val="20"/>
              </w:rPr>
            </w:pPr>
            <w:r w:rsidRPr="00B427E4">
              <w:rPr>
                <w:szCs w:val="20"/>
              </w:rPr>
              <w:t>30</w:t>
            </w:r>
            <w:r>
              <w:rPr>
                <w:szCs w:val="20"/>
              </w:rPr>
              <w:t>,</w:t>
            </w:r>
            <w:r w:rsidRPr="00B427E4">
              <w:rPr>
                <w:szCs w:val="20"/>
              </w:rPr>
              <w:t>735</w:t>
            </w:r>
          </w:p>
        </w:tc>
        <w:tc>
          <w:tcPr>
            <w:tcW w:w="1170" w:type="dxa"/>
            <w:vAlign w:val="center"/>
          </w:tcPr>
          <w:p w:rsidR="000E33B8" w:rsidRPr="00835820" w14:paraId="6C964DF5" w14:textId="77777777">
            <w:pPr>
              <w:keepNext/>
              <w:keepLines/>
              <w:ind w:left="94" w:right="111"/>
              <w:jc w:val="center"/>
              <w:rPr>
                <w:szCs w:val="20"/>
              </w:rPr>
            </w:pPr>
            <w:r w:rsidRPr="001248AC">
              <w:rPr>
                <w:szCs w:val="20"/>
              </w:rPr>
              <w:t>1,736</w:t>
            </w:r>
          </w:p>
        </w:tc>
        <w:tc>
          <w:tcPr>
            <w:tcW w:w="1440" w:type="dxa"/>
            <w:vAlign w:val="center"/>
          </w:tcPr>
          <w:p w:rsidR="000E33B8" w:rsidRPr="00FE4B12" w14:paraId="5D399CB9" w14:textId="63DFBEA7">
            <w:pPr>
              <w:keepNext/>
              <w:keepLines/>
              <w:ind w:left="94" w:right="111"/>
              <w:jc w:val="center"/>
              <w:rPr>
                <w:color w:val="000000"/>
                <w:szCs w:val="20"/>
              </w:rPr>
            </w:pPr>
            <w:r w:rsidRPr="00171E0E">
              <w:rPr>
                <w:color w:val="000000"/>
                <w:szCs w:val="20"/>
              </w:rPr>
              <w:t>5</w:t>
            </w:r>
            <w:r w:rsidR="00033C7E">
              <w:rPr>
                <w:color w:val="000000"/>
                <w:szCs w:val="20"/>
              </w:rPr>
              <w:t>,</w:t>
            </w:r>
            <w:r w:rsidRPr="00171E0E">
              <w:rPr>
                <w:color w:val="000000"/>
                <w:szCs w:val="20"/>
              </w:rPr>
              <w:t>208</w:t>
            </w:r>
          </w:p>
        </w:tc>
      </w:tr>
      <w:tr w14:paraId="7622973E" w14:textId="77777777">
        <w:tblPrEx>
          <w:tblW w:w="7735" w:type="dxa"/>
          <w:jc w:val="center"/>
          <w:tblLayout w:type="fixed"/>
          <w:tblCellMar>
            <w:left w:w="0" w:type="dxa"/>
            <w:right w:w="0" w:type="dxa"/>
          </w:tblCellMar>
          <w:tblLook w:val="01E0"/>
        </w:tblPrEx>
        <w:trPr>
          <w:trHeight w:val="60"/>
          <w:jc w:val="center"/>
        </w:trPr>
        <w:tc>
          <w:tcPr>
            <w:tcW w:w="1518" w:type="dxa"/>
          </w:tcPr>
          <w:p w:rsidR="000E33B8" w:rsidRPr="00835820" w14:paraId="20415BCA" w14:textId="77777777">
            <w:pPr>
              <w:keepNext/>
              <w:keepLines/>
              <w:ind w:left="107"/>
              <w:rPr>
                <w:szCs w:val="20"/>
              </w:rPr>
            </w:pPr>
            <w:r w:rsidRPr="00B1401F">
              <w:t>Complex 0-19 FTEs</w:t>
            </w:r>
          </w:p>
        </w:tc>
        <w:tc>
          <w:tcPr>
            <w:tcW w:w="1537" w:type="dxa"/>
            <w:vAlign w:val="center"/>
          </w:tcPr>
          <w:p w:rsidR="000E33B8" w14:paraId="066B09CF" w14:textId="77777777">
            <w:pPr>
              <w:keepNext/>
              <w:keepLines/>
              <w:ind w:left="94" w:right="119"/>
              <w:jc w:val="center"/>
              <w:rPr>
                <w:szCs w:val="20"/>
              </w:rPr>
            </w:pPr>
            <w:r>
              <w:rPr>
                <w:szCs w:val="20"/>
              </w:rPr>
              <w:t>1.5</w:t>
            </w:r>
          </w:p>
        </w:tc>
        <w:tc>
          <w:tcPr>
            <w:tcW w:w="1080" w:type="dxa"/>
            <w:vAlign w:val="center"/>
          </w:tcPr>
          <w:p w:rsidR="000E33B8" w:rsidRPr="00835820" w14:paraId="5364113B" w14:textId="77777777">
            <w:pPr>
              <w:keepNext/>
              <w:keepLines/>
              <w:ind w:left="94" w:right="34"/>
              <w:jc w:val="center"/>
              <w:rPr>
                <w:szCs w:val="20"/>
              </w:rPr>
            </w:pPr>
            <w:r w:rsidRPr="002E07B4">
              <w:t>29</w:t>
            </w:r>
          </w:p>
        </w:tc>
        <w:tc>
          <w:tcPr>
            <w:tcW w:w="990" w:type="dxa"/>
            <w:vAlign w:val="center"/>
          </w:tcPr>
          <w:p w:rsidR="000E33B8" w:rsidRPr="00835820" w14:paraId="40F5E5C4" w14:textId="77777777">
            <w:pPr>
              <w:keepNext/>
              <w:keepLines/>
              <w:ind w:left="94" w:right="79"/>
              <w:jc w:val="center"/>
              <w:rPr>
                <w:szCs w:val="20"/>
              </w:rPr>
            </w:pPr>
            <w:r w:rsidRPr="00E76406">
              <w:rPr>
                <w:szCs w:val="20"/>
              </w:rPr>
              <w:t>87</w:t>
            </w:r>
          </w:p>
        </w:tc>
        <w:tc>
          <w:tcPr>
            <w:tcW w:w="1170" w:type="dxa"/>
            <w:vAlign w:val="center"/>
          </w:tcPr>
          <w:p w:rsidR="000E33B8" w:rsidRPr="00835820" w14:paraId="347C682C" w14:textId="500ED3CA">
            <w:pPr>
              <w:keepNext/>
              <w:keepLines/>
              <w:ind w:left="94" w:right="111"/>
              <w:jc w:val="center"/>
              <w:rPr>
                <w:szCs w:val="20"/>
              </w:rPr>
            </w:pPr>
            <w:r w:rsidRPr="003B5C62">
              <w:rPr>
                <w:szCs w:val="20"/>
              </w:rPr>
              <w:t>4</w:t>
            </w:r>
            <w:r w:rsidR="00033C7E">
              <w:rPr>
                <w:szCs w:val="20"/>
              </w:rPr>
              <w:t>4</w:t>
            </w:r>
          </w:p>
        </w:tc>
        <w:tc>
          <w:tcPr>
            <w:tcW w:w="1440" w:type="dxa"/>
            <w:vAlign w:val="center"/>
          </w:tcPr>
          <w:p w:rsidR="000E33B8" w:rsidRPr="00FE4B12" w14:paraId="23B51CE7" w14:textId="75698EC6">
            <w:pPr>
              <w:keepNext/>
              <w:keepLines/>
              <w:ind w:left="94" w:right="111"/>
              <w:jc w:val="center"/>
              <w:rPr>
                <w:color w:val="000000"/>
                <w:szCs w:val="20"/>
              </w:rPr>
            </w:pPr>
            <w:r w:rsidRPr="003D740A">
              <w:rPr>
                <w:color w:val="000000"/>
                <w:szCs w:val="20"/>
              </w:rPr>
              <w:t>13</w:t>
            </w:r>
            <w:r w:rsidR="00F9715C">
              <w:rPr>
                <w:color w:val="000000"/>
                <w:szCs w:val="20"/>
              </w:rPr>
              <w:t>1</w:t>
            </w:r>
          </w:p>
        </w:tc>
      </w:tr>
      <w:tr w14:paraId="7F7CEF11" w14:textId="77777777">
        <w:tblPrEx>
          <w:tblW w:w="7735" w:type="dxa"/>
          <w:jc w:val="center"/>
          <w:tblLayout w:type="fixed"/>
          <w:tblCellMar>
            <w:left w:w="0" w:type="dxa"/>
            <w:right w:w="0" w:type="dxa"/>
          </w:tblCellMar>
          <w:tblLook w:val="01E0"/>
        </w:tblPrEx>
        <w:trPr>
          <w:trHeight w:val="272"/>
          <w:jc w:val="center"/>
        </w:trPr>
        <w:tc>
          <w:tcPr>
            <w:tcW w:w="1518" w:type="dxa"/>
          </w:tcPr>
          <w:p w:rsidR="000E33B8" w:rsidRPr="00835820" w14:paraId="281110BF" w14:textId="77777777">
            <w:pPr>
              <w:keepNext/>
              <w:keepLines/>
              <w:ind w:left="107"/>
              <w:rPr>
                <w:szCs w:val="20"/>
              </w:rPr>
            </w:pPr>
            <w:r w:rsidRPr="00B1401F">
              <w:t>Complex 20+ FTEs</w:t>
            </w:r>
          </w:p>
        </w:tc>
        <w:tc>
          <w:tcPr>
            <w:tcW w:w="1537" w:type="dxa"/>
            <w:vAlign w:val="center"/>
          </w:tcPr>
          <w:p w:rsidR="000E33B8" w14:paraId="31BC4688" w14:textId="77777777">
            <w:pPr>
              <w:keepNext/>
              <w:keepLines/>
              <w:ind w:left="94" w:right="119"/>
              <w:jc w:val="center"/>
              <w:rPr>
                <w:szCs w:val="20"/>
              </w:rPr>
            </w:pPr>
            <w:r>
              <w:rPr>
                <w:szCs w:val="20"/>
              </w:rPr>
              <w:t>3.5</w:t>
            </w:r>
          </w:p>
        </w:tc>
        <w:tc>
          <w:tcPr>
            <w:tcW w:w="1080" w:type="dxa"/>
            <w:vAlign w:val="center"/>
          </w:tcPr>
          <w:p w:rsidR="000E33B8" w:rsidRPr="00835820" w14:paraId="1EEA8C66" w14:textId="77777777">
            <w:pPr>
              <w:keepNext/>
              <w:keepLines/>
              <w:ind w:left="94" w:right="34"/>
              <w:jc w:val="center"/>
              <w:rPr>
                <w:szCs w:val="20"/>
              </w:rPr>
            </w:pPr>
            <w:r w:rsidRPr="002E07B4">
              <w:t>35</w:t>
            </w:r>
          </w:p>
        </w:tc>
        <w:tc>
          <w:tcPr>
            <w:tcW w:w="990" w:type="dxa"/>
            <w:vAlign w:val="center"/>
          </w:tcPr>
          <w:p w:rsidR="000E33B8" w:rsidRPr="00835820" w14:paraId="2718F95A" w14:textId="77777777">
            <w:pPr>
              <w:keepNext/>
              <w:keepLines/>
              <w:ind w:left="94" w:right="79"/>
              <w:jc w:val="center"/>
              <w:rPr>
                <w:szCs w:val="20"/>
              </w:rPr>
            </w:pPr>
            <w:r w:rsidRPr="003273F7">
              <w:rPr>
                <w:szCs w:val="20"/>
              </w:rPr>
              <w:t>105</w:t>
            </w:r>
          </w:p>
        </w:tc>
        <w:tc>
          <w:tcPr>
            <w:tcW w:w="1170" w:type="dxa"/>
            <w:vAlign w:val="center"/>
          </w:tcPr>
          <w:p w:rsidR="000E33B8" w:rsidRPr="00835820" w14:paraId="0422B270" w14:textId="6D97394A">
            <w:pPr>
              <w:keepNext/>
              <w:keepLines/>
              <w:ind w:left="94" w:right="111"/>
              <w:jc w:val="center"/>
              <w:rPr>
                <w:szCs w:val="20"/>
              </w:rPr>
            </w:pPr>
            <w:r w:rsidRPr="00B32F55">
              <w:rPr>
                <w:szCs w:val="20"/>
              </w:rPr>
              <w:t>12</w:t>
            </w:r>
            <w:r w:rsidR="00F9715C">
              <w:rPr>
                <w:szCs w:val="20"/>
              </w:rPr>
              <w:t>3</w:t>
            </w:r>
          </w:p>
        </w:tc>
        <w:tc>
          <w:tcPr>
            <w:tcW w:w="1440" w:type="dxa"/>
            <w:vAlign w:val="center"/>
          </w:tcPr>
          <w:p w:rsidR="000E33B8" w:rsidRPr="00FE4B12" w14:paraId="422423C4" w14:textId="5D7DB35B">
            <w:pPr>
              <w:keepNext/>
              <w:keepLines/>
              <w:ind w:left="94" w:right="111"/>
              <w:jc w:val="center"/>
              <w:rPr>
                <w:color w:val="000000"/>
                <w:szCs w:val="20"/>
              </w:rPr>
            </w:pPr>
            <w:r w:rsidRPr="0033749E">
              <w:rPr>
                <w:color w:val="000000"/>
                <w:szCs w:val="20"/>
              </w:rPr>
              <w:t>36</w:t>
            </w:r>
            <w:r w:rsidR="00F9715C">
              <w:rPr>
                <w:color w:val="000000"/>
                <w:szCs w:val="20"/>
              </w:rPr>
              <w:t>8</w:t>
            </w:r>
          </w:p>
        </w:tc>
      </w:tr>
      <w:tr w14:paraId="61C6C401" w14:textId="77777777">
        <w:tblPrEx>
          <w:tblW w:w="7735" w:type="dxa"/>
          <w:jc w:val="center"/>
          <w:tblLayout w:type="fixed"/>
          <w:tblCellMar>
            <w:left w:w="0" w:type="dxa"/>
            <w:right w:w="0" w:type="dxa"/>
          </w:tblCellMar>
          <w:tblLook w:val="01E0"/>
        </w:tblPrEx>
        <w:trPr>
          <w:trHeight w:val="272"/>
          <w:jc w:val="center"/>
        </w:trPr>
        <w:tc>
          <w:tcPr>
            <w:tcW w:w="7735" w:type="dxa"/>
            <w:gridSpan w:val="6"/>
            <w:shd w:val="clear" w:color="auto" w:fill="F2F2F2" w:themeFill="background1" w:themeFillShade="F2"/>
          </w:tcPr>
          <w:p w:rsidR="000E33B8" w:rsidRPr="00FE4B12" w14:paraId="76EC4959" w14:textId="77777777">
            <w:pPr>
              <w:keepNext/>
              <w:keepLines/>
              <w:ind w:left="94" w:right="111"/>
              <w:jc w:val="center"/>
              <w:rPr>
                <w:color w:val="000000"/>
                <w:szCs w:val="20"/>
              </w:rPr>
            </w:pPr>
            <w:r w:rsidRPr="00945D92">
              <w:rPr>
                <w:color w:val="000000"/>
                <w:szCs w:val="20"/>
              </w:rPr>
              <w:t>P3 requirement to update existing EPP</w:t>
            </w:r>
          </w:p>
        </w:tc>
      </w:tr>
      <w:tr w14:paraId="5C5A1CF1" w14:textId="77777777">
        <w:tblPrEx>
          <w:tblW w:w="7735" w:type="dxa"/>
          <w:jc w:val="center"/>
          <w:tblLayout w:type="fixed"/>
          <w:tblCellMar>
            <w:left w:w="0" w:type="dxa"/>
            <w:right w:w="0" w:type="dxa"/>
          </w:tblCellMar>
          <w:tblLook w:val="01E0"/>
        </w:tblPrEx>
        <w:trPr>
          <w:trHeight w:val="272"/>
          <w:jc w:val="center"/>
        </w:trPr>
        <w:tc>
          <w:tcPr>
            <w:tcW w:w="1518" w:type="dxa"/>
          </w:tcPr>
          <w:p w:rsidR="000E33B8" w:rsidRPr="00450353" w14:paraId="215A5120" w14:textId="77777777">
            <w:pPr>
              <w:keepNext/>
              <w:keepLines/>
              <w:ind w:left="107"/>
            </w:pPr>
            <w:r w:rsidRPr="00011099">
              <w:t>Simple</w:t>
            </w:r>
          </w:p>
        </w:tc>
        <w:tc>
          <w:tcPr>
            <w:tcW w:w="1537" w:type="dxa"/>
            <w:vAlign w:val="center"/>
          </w:tcPr>
          <w:p w:rsidR="000E33B8" w14:paraId="20E70EA5" w14:textId="77777777">
            <w:pPr>
              <w:keepNext/>
              <w:keepLines/>
              <w:ind w:left="94" w:right="119"/>
              <w:jc w:val="center"/>
              <w:rPr>
                <w:szCs w:val="20"/>
              </w:rPr>
            </w:pPr>
            <w:r>
              <w:rPr>
                <w:szCs w:val="20"/>
              </w:rPr>
              <w:t>1</w:t>
            </w:r>
          </w:p>
        </w:tc>
        <w:tc>
          <w:tcPr>
            <w:tcW w:w="1080" w:type="dxa"/>
            <w:vAlign w:val="center"/>
          </w:tcPr>
          <w:p w:rsidR="000E33B8" w:rsidRPr="00835820" w14:paraId="5B29977F" w14:textId="77777777">
            <w:pPr>
              <w:keepNext/>
              <w:keepLines/>
              <w:ind w:left="94" w:right="34"/>
              <w:jc w:val="center"/>
              <w:rPr>
                <w:szCs w:val="20"/>
              </w:rPr>
            </w:pPr>
            <w:r w:rsidRPr="00071EE0">
              <w:t>5,578</w:t>
            </w:r>
          </w:p>
        </w:tc>
        <w:tc>
          <w:tcPr>
            <w:tcW w:w="990" w:type="dxa"/>
            <w:vAlign w:val="center"/>
          </w:tcPr>
          <w:p w:rsidR="000E33B8" w:rsidRPr="00835820" w14:paraId="65A5CEE2" w14:textId="77777777">
            <w:pPr>
              <w:keepNext/>
              <w:keepLines/>
              <w:ind w:left="94" w:right="79"/>
              <w:jc w:val="center"/>
              <w:rPr>
                <w:szCs w:val="20"/>
              </w:rPr>
            </w:pPr>
            <w:r w:rsidRPr="003D5D80">
              <w:rPr>
                <w:szCs w:val="20"/>
              </w:rPr>
              <w:t>16</w:t>
            </w:r>
            <w:r>
              <w:rPr>
                <w:szCs w:val="20"/>
              </w:rPr>
              <w:t>,</w:t>
            </w:r>
            <w:r w:rsidRPr="003D5D80">
              <w:rPr>
                <w:szCs w:val="20"/>
              </w:rPr>
              <w:t>734</w:t>
            </w:r>
          </w:p>
        </w:tc>
        <w:tc>
          <w:tcPr>
            <w:tcW w:w="1170" w:type="dxa"/>
            <w:vAlign w:val="center"/>
          </w:tcPr>
          <w:p w:rsidR="000E33B8" w:rsidRPr="00835820" w14:paraId="24FE9596" w14:textId="77777777">
            <w:pPr>
              <w:keepNext/>
              <w:keepLines/>
              <w:ind w:left="94" w:right="111"/>
              <w:jc w:val="center"/>
              <w:rPr>
                <w:szCs w:val="20"/>
              </w:rPr>
            </w:pPr>
            <w:r w:rsidRPr="00720B60">
              <w:rPr>
                <w:szCs w:val="20"/>
              </w:rPr>
              <w:t>5,578</w:t>
            </w:r>
          </w:p>
        </w:tc>
        <w:tc>
          <w:tcPr>
            <w:tcW w:w="1440" w:type="dxa"/>
            <w:vAlign w:val="center"/>
          </w:tcPr>
          <w:p w:rsidR="000E33B8" w:rsidRPr="00FE4B12" w14:paraId="55BD5B08" w14:textId="77777777">
            <w:pPr>
              <w:keepNext/>
              <w:keepLines/>
              <w:ind w:left="94" w:right="111"/>
              <w:jc w:val="center"/>
              <w:rPr>
                <w:color w:val="000000"/>
                <w:szCs w:val="20"/>
              </w:rPr>
            </w:pPr>
            <w:r w:rsidRPr="0025319C">
              <w:rPr>
                <w:color w:val="000000"/>
                <w:szCs w:val="20"/>
              </w:rPr>
              <w:t>16</w:t>
            </w:r>
            <w:r>
              <w:rPr>
                <w:color w:val="000000"/>
                <w:szCs w:val="20"/>
              </w:rPr>
              <w:t>,</w:t>
            </w:r>
            <w:r w:rsidRPr="0025319C">
              <w:rPr>
                <w:color w:val="000000"/>
                <w:szCs w:val="20"/>
              </w:rPr>
              <w:t>734</w:t>
            </w:r>
          </w:p>
        </w:tc>
      </w:tr>
      <w:tr w14:paraId="6364F395" w14:textId="77777777">
        <w:tblPrEx>
          <w:tblW w:w="7735" w:type="dxa"/>
          <w:jc w:val="center"/>
          <w:tblLayout w:type="fixed"/>
          <w:tblCellMar>
            <w:left w:w="0" w:type="dxa"/>
            <w:right w:w="0" w:type="dxa"/>
          </w:tblCellMar>
          <w:tblLook w:val="01E0"/>
        </w:tblPrEx>
        <w:trPr>
          <w:trHeight w:val="272"/>
          <w:jc w:val="center"/>
        </w:trPr>
        <w:tc>
          <w:tcPr>
            <w:tcW w:w="1518" w:type="dxa"/>
          </w:tcPr>
          <w:p w:rsidR="000E33B8" w:rsidRPr="00450353" w14:paraId="08153DFE" w14:textId="77777777">
            <w:pPr>
              <w:keepNext/>
              <w:keepLines/>
              <w:ind w:left="107"/>
            </w:pPr>
            <w:r w:rsidRPr="00011099">
              <w:t>Complex</w:t>
            </w:r>
          </w:p>
        </w:tc>
        <w:tc>
          <w:tcPr>
            <w:tcW w:w="1537" w:type="dxa"/>
            <w:vAlign w:val="center"/>
          </w:tcPr>
          <w:p w:rsidR="000E33B8" w14:paraId="31F7F717" w14:textId="77777777">
            <w:pPr>
              <w:keepNext/>
              <w:keepLines/>
              <w:ind w:left="94" w:right="119"/>
              <w:jc w:val="center"/>
              <w:rPr>
                <w:szCs w:val="20"/>
              </w:rPr>
            </w:pPr>
            <w:r>
              <w:rPr>
                <w:szCs w:val="20"/>
              </w:rPr>
              <w:t>1</w:t>
            </w:r>
          </w:p>
        </w:tc>
        <w:tc>
          <w:tcPr>
            <w:tcW w:w="1080" w:type="dxa"/>
            <w:vAlign w:val="center"/>
          </w:tcPr>
          <w:p w:rsidR="000E33B8" w:rsidRPr="00835820" w14:paraId="10CF0194" w14:textId="77777777">
            <w:pPr>
              <w:keepNext/>
              <w:keepLines/>
              <w:ind w:left="94" w:right="34"/>
              <w:jc w:val="center"/>
              <w:rPr>
                <w:szCs w:val="20"/>
              </w:rPr>
            </w:pPr>
            <w:r w:rsidRPr="00071EE0">
              <w:t>1,527</w:t>
            </w:r>
          </w:p>
        </w:tc>
        <w:tc>
          <w:tcPr>
            <w:tcW w:w="990" w:type="dxa"/>
            <w:vAlign w:val="center"/>
          </w:tcPr>
          <w:p w:rsidR="000E33B8" w:rsidRPr="00835820" w14:paraId="707C4488" w14:textId="77777777">
            <w:pPr>
              <w:keepNext/>
              <w:keepLines/>
              <w:ind w:left="94" w:right="79"/>
              <w:jc w:val="center"/>
              <w:rPr>
                <w:szCs w:val="20"/>
              </w:rPr>
            </w:pPr>
            <w:r w:rsidRPr="00F04CAF">
              <w:rPr>
                <w:szCs w:val="20"/>
              </w:rPr>
              <w:t>4</w:t>
            </w:r>
            <w:r>
              <w:rPr>
                <w:szCs w:val="20"/>
              </w:rPr>
              <w:t>,</w:t>
            </w:r>
            <w:r w:rsidRPr="00F04CAF">
              <w:rPr>
                <w:szCs w:val="20"/>
              </w:rPr>
              <w:t>581</w:t>
            </w:r>
          </w:p>
        </w:tc>
        <w:tc>
          <w:tcPr>
            <w:tcW w:w="1170" w:type="dxa"/>
            <w:vAlign w:val="center"/>
          </w:tcPr>
          <w:p w:rsidR="000E33B8" w:rsidRPr="00835820" w14:paraId="6A5E1754" w14:textId="77777777">
            <w:pPr>
              <w:keepNext/>
              <w:keepLines/>
              <w:ind w:left="94" w:right="111"/>
              <w:jc w:val="center"/>
              <w:rPr>
                <w:szCs w:val="20"/>
              </w:rPr>
            </w:pPr>
            <w:r w:rsidRPr="00A70DF2">
              <w:rPr>
                <w:szCs w:val="20"/>
              </w:rPr>
              <w:t>1,527</w:t>
            </w:r>
          </w:p>
        </w:tc>
        <w:tc>
          <w:tcPr>
            <w:tcW w:w="1440" w:type="dxa"/>
            <w:vAlign w:val="center"/>
          </w:tcPr>
          <w:p w:rsidR="000E33B8" w:rsidRPr="00FE4B12" w14:paraId="36B1F085" w14:textId="77777777">
            <w:pPr>
              <w:keepNext/>
              <w:keepLines/>
              <w:ind w:left="94" w:right="111"/>
              <w:jc w:val="center"/>
              <w:rPr>
                <w:color w:val="000000"/>
                <w:szCs w:val="20"/>
              </w:rPr>
            </w:pPr>
            <w:r w:rsidRPr="00B25EF5">
              <w:rPr>
                <w:color w:val="000000"/>
                <w:szCs w:val="20"/>
              </w:rPr>
              <w:t>4</w:t>
            </w:r>
            <w:r>
              <w:rPr>
                <w:color w:val="000000"/>
                <w:szCs w:val="20"/>
              </w:rPr>
              <w:t>,</w:t>
            </w:r>
            <w:r w:rsidRPr="00B25EF5">
              <w:rPr>
                <w:color w:val="000000"/>
                <w:szCs w:val="20"/>
              </w:rPr>
              <w:t>581</w:t>
            </w:r>
          </w:p>
        </w:tc>
      </w:tr>
      <w:tr w14:paraId="1261B0F4" w14:textId="77777777">
        <w:tblPrEx>
          <w:tblW w:w="7735" w:type="dxa"/>
          <w:jc w:val="center"/>
          <w:tblLayout w:type="fixed"/>
          <w:tblCellMar>
            <w:left w:w="0" w:type="dxa"/>
            <w:right w:w="0" w:type="dxa"/>
          </w:tblCellMar>
          <w:tblLook w:val="01E0"/>
        </w:tblPrEx>
        <w:trPr>
          <w:trHeight w:val="272"/>
          <w:jc w:val="center"/>
        </w:trPr>
        <w:tc>
          <w:tcPr>
            <w:tcW w:w="7735" w:type="dxa"/>
            <w:gridSpan w:val="6"/>
            <w:shd w:val="clear" w:color="auto" w:fill="F2F2F2" w:themeFill="background1" w:themeFillShade="F2"/>
            <w:vAlign w:val="center"/>
          </w:tcPr>
          <w:p w:rsidR="000E33B8" w:rsidRPr="00FE4B12" w14:paraId="32E19018" w14:textId="77777777">
            <w:pPr>
              <w:keepNext/>
              <w:keepLines/>
              <w:ind w:left="94" w:right="111"/>
              <w:jc w:val="center"/>
              <w:rPr>
                <w:color w:val="000000"/>
                <w:szCs w:val="20"/>
              </w:rPr>
            </w:pPr>
            <w:r w:rsidRPr="00786C53">
              <w:rPr>
                <w:color w:val="000000"/>
                <w:szCs w:val="20"/>
              </w:rPr>
              <w:t>P2 requirement to train employees on EPP</w:t>
            </w:r>
          </w:p>
        </w:tc>
      </w:tr>
      <w:tr w14:paraId="4E1B8735" w14:textId="77777777">
        <w:tblPrEx>
          <w:tblW w:w="7735" w:type="dxa"/>
          <w:jc w:val="center"/>
          <w:tblLayout w:type="fixed"/>
          <w:tblCellMar>
            <w:left w:w="0" w:type="dxa"/>
            <w:right w:w="0" w:type="dxa"/>
          </w:tblCellMar>
          <w:tblLook w:val="01E0"/>
        </w:tblPrEx>
        <w:trPr>
          <w:trHeight w:val="272"/>
          <w:jc w:val="center"/>
        </w:trPr>
        <w:tc>
          <w:tcPr>
            <w:tcW w:w="1518" w:type="dxa"/>
          </w:tcPr>
          <w:p w:rsidR="000E33B8" w:rsidRPr="00011099" w14:paraId="48CE3803" w14:textId="77777777">
            <w:pPr>
              <w:keepNext/>
              <w:keepLines/>
              <w:ind w:left="107"/>
            </w:pPr>
            <w:r w:rsidRPr="00526656">
              <w:t>Trained Employees</w:t>
            </w:r>
          </w:p>
        </w:tc>
        <w:tc>
          <w:tcPr>
            <w:tcW w:w="1537" w:type="dxa"/>
            <w:vAlign w:val="center"/>
          </w:tcPr>
          <w:p w:rsidR="000E33B8" w14:paraId="2A47ADD9" w14:textId="77777777">
            <w:pPr>
              <w:keepNext/>
              <w:keepLines/>
              <w:ind w:left="94" w:right="119"/>
              <w:jc w:val="center"/>
              <w:rPr>
                <w:szCs w:val="20"/>
              </w:rPr>
            </w:pPr>
            <w:r>
              <w:rPr>
                <w:szCs w:val="20"/>
              </w:rPr>
              <w:t>0.5</w:t>
            </w:r>
          </w:p>
        </w:tc>
        <w:tc>
          <w:tcPr>
            <w:tcW w:w="1080" w:type="dxa"/>
            <w:vAlign w:val="center"/>
          </w:tcPr>
          <w:p w:rsidR="000E33B8" w:rsidRPr="00835820" w14:paraId="1AE520BF" w14:textId="28EE681A">
            <w:pPr>
              <w:keepNext/>
              <w:keepLines/>
              <w:ind w:left="94" w:right="34"/>
              <w:jc w:val="center"/>
              <w:rPr>
                <w:szCs w:val="20"/>
              </w:rPr>
            </w:pPr>
            <w:r w:rsidRPr="00ED29A8">
              <w:t>12,15</w:t>
            </w:r>
            <w:r w:rsidR="00A5551C">
              <w:t>9</w:t>
            </w:r>
          </w:p>
        </w:tc>
        <w:tc>
          <w:tcPr>
            <w:tcW w:w="990" w:type="dxa"/>
            <w:vAlign w:val="center"/>
          </w:tcPr>
          <w:p w:rsidR="000E33B8" w:rsidRPr="00835820" w14:paraId="6325FABA" w14:textId="26DB7718">
            <w:pPr>
              <w:keepNext/>
              <w:keepLines/>
              <w:ind w:left="94" w:right="79"/>
              <w:jc w:val="center"/>
              <w:rPr>
                <w:szCs w:val="20"/>
              </w:rPr>
            </w:pPr>
            <w:r w:rsidRPr="00911D4C">
              <w:rPr>
                <w:szCs w:val="20"/>
              </w:rPr>
              <w:t>36</w:t>
            </w:r>
            <w:r>
              <w:rPr>
                <w:szCs w:val="20"/>
              </w:rPr>
              <w:t>,</w:t>
            </w:r>
            <w:r w:rsidRPr="00911D4C">
              <w:rPr>
                <w:szCs w:val="20"/>
              </w:rPr>
              <w:t>47</w:t>
            </w:r>
            <w:r w:rsidR="00F9715C">
              <w:rPr>
                <w:szCs w:val="20"/>
              </w:rPr>
              <w:t>6</w:t>
            </w:r>
          </w:p>
        </w:tc>
        <w:tc>
          <w:tcPr>
            <w:tcW w:w="1170" w:type="dxa"/>
            <w:vAlign w:val="center"/>
          </w:tcPr>
          <w:p w:rsidR="000E33B8" w:rsidRPr="00835820" w14:paraId="4310AC61" w14:textId="4C74A59D">
            <w:pPr>
              <w:keepNext/>
              <w:keepLines/>
              <w:ind w:left="94" w:right="111"/>
              <w:jc w:val="center"/>
              <w:rPr>
                <w:szCs w:val="20"/>
              </w:rPr>
            </w:pPr>
            <w:r w:rsidRPr="00FE6A57">
              <w:rPr>
                <w:szCs w:val="20"/>
              </w:rPr>
              <w:t>6,079</w:t>
            </w:r>
          </w:p>
        </w:tc>
        <w:tc>
          <w:tcPr>
            <w:tcW w:w="1440" w:type="dxa"/>
            <w:vAlign w:val="center"/>
          </w:tcPr>
          <w:p w:rsidR="000E33B8" w:rsidRPr="00FE4B12" w14:paraId="71B1D3E9" w14:textId="32026655">
            <w:pPr>
              <w:keepNext/>
              <w:keepLines/>
              <w:ind w:left="94" w:right="111"/>
              <w:jc w:val="center"/>
              <w:rPr>
                <w:color w:val="000000"/>
                <w:szCs w:val="20"/>
              </w:rPr>
            </w:pPr>
            <w:r w:rsidRPr="004D00EB">
              <w:rPr>
                <w:color w:val="000000"/>
                <w:szCs w:val="20"/>
              </w:rPr>
              <w:t>18</w:t>
            </w:r>
            <w:r>
              <w:rPr>
                <w:color w:val="000000"/>
                <w:szCs w:val="20"/>
              </w:rPr>
              <w:t>,</w:t>
            </w:r>
            <w:r w:rsidRPr="004D00EB">
              <w:rPr>
                <w:color w:val="000000"/>
                <w:szCs w:val="20"/>
              </w:rPr>
              <w:t>23</w:t>
            </w:r>
            <w:r w:rsidR="00F9715C">
              <w:rPr>
                <w:color w:val="000000"/>
                <w:szCs w:val="20"/>
              </w:rPr>
              <w:t>8</w:t>
            </w:r>
          </w:p>
        </w:tc>
      </w:tr>
      <w:tr w14:paraId="4A17F048" w14:textId="77777777">
        <w:tblPrEx>
          <w:tblW w:w="7735" w:type="dxa"/>
          <w:jc w:val="center"/>
          <w:tblLayout w:type="fixed"/>
          <w:tblCellMar>
            <w:left w:w="0" w:type="dxa"/>
            <w:right w:w="0" w:type="dxa"/>
          </w:tblCellMar>
          <w:tblLook w:val="01E0"/>
        </w:tblPrEx>
        <w:trPr>
          <w:trHeight w:val="272"/>
          <w:jc w:val="center"/>
        </w:trPr>
        <w:tc>
          <w:tcPr>
            <w:tcW w:w="1518" w:type="dxa"/>
          </w:tcPr>
          <w:p w:rsidR="000E33B8" w:rsidRPr="00011099" w14:paraId="111ED5F2" w14:textId="77777777">
            <w:pPr>
              <w:keepNext/>
              <w:keepLines/>
              <w:ind w:left="107"/>
            </w:pPr>
            <w:r w:rsidRPr="00526656">
              <w:t>Facility</w:t>
            </w:r>
          </w:p>
        </w:tc>
        <w:tc>
          <w:tcPr>
            <w:tcW w:w="1537" w:type="dxa"/>
            <w:vAlign w:val="center"/>
          </w:tcPr>
          <w:p w:rsidR="000E33B8" w14:paraId="670268A6" w14:textId="77777777">
            <w:pPr>
              <w:keepNext/>
              <w:keepLines/>
              <w:ind w:left="94" w:right="119"/>
              <w:jc w:val="center"/>
              <w:rPr>
                <w:szCs w:val="20"/>
              </w:rPr>
            </w:pPr>
            <w:r>
              <w:rPr>
                <w:szCs w:val="20"/>
              </w:rPr>
              <w:t>1</w:t>
            </w:r>
          </w:p>
        </w:tc>
        <w:tc>
          <w:tcPr>
            <w:tcW w:w="1080" w:type="dxa"/>
            <w:vAlign w:val="center"/>
          </w:tcPr>
          <w:p w:rsidR="000E33B8" w:rsidRPr="00835820" w14:paraId="627589EF" w14:textId="77777777">
            <w:pPr>
              <w:keepNext/>
              <w:keepLines/>
              <w:ind w:left="94" w:right="34"/>
              <w:jc w:val="center"/>
              <w:rPr>
                <w:szCs w:val="20"/>
              </w:rPr>
            </w:pPr>
            <w:r w:rsidRPr="00ED29A8">
              <w:t>795</w:t>
            </w:r>
          </w:p>
        </w:tc>
        <w:tc>
          <w:tcPr>
            <w:tcW w:w="990" w:type="dxa"/>
            <w:vAlign w:val="center"/>
          </w:tcPr>
          <w:p w:rsidR="000E33B8" w:rsidRPr="00835820" w14:paraId="523989AA" w14:textId="77777777">
            <w:pPr>
              <w:keepNext/>
              <w:keepLines/>
              <w:ind w:left="94" w:right="79"/>
              <w:jc w:val="center"/>
              <w:rPr>
                <w:szCs w:val="20"/>
              </w:rPr>
            </w:pPr>
            <w:r w:rsidRPr="00E4640F">
              <w:rPr>
                <w:szCs w:val="20"/>
              </w:rPr>
              <w:t>2</w:t>
            </w:r>
            <w:r>
              <w:rPr>
                <w:szCs w:val="20"/>
              </w:rPr>
              <w:t>,</w:t>
            </w:r>
            <w:r w:rsidRPr="00E4640F">
              <w:rPr>
                <w:szCs w:val="20"/>
              </w:rPr>
              <w:t>385</w:t>
            </w:r>
          </w:p>
        </w:tc>
        <w:tc>
          <w:tcPr>
            <w:tcW w:w="1170" w:type="dxa"/>
            <w:vAlign w:val="center"/>
          </w:tcPr>
          <w:p w:rsidR="000E33B8" w:rsidRPr="00835820" w14:paraId="0463118F" w14:textId="77777777">
            <w:pPr>
              <w:keepNext/>
              <w:keepLines/>
              <w:ind w:left="94" w:right="111"/>
              <w:jc w:val="center"/>
              <w:rPr>
                <w:szCs w:val="20"/>
              </w:rPr>
            </w:pPr>
            <w:r w:rsidRPr="00771350">
              <w:rPr>
                <w:szCs w:val="20"/>
              </w:rPr>
              <w:t>795</w:t>
            </w:r>
          </w:p>
        </w:tc>
        <w:tc>
          <w:tcPr>
            <w:tcW w:w="1440" w:type="dxa"/>
            <w:vAlign w:val="center"/>
          </w:tcPr>
          <w:p w:rsidR="000E33B8" w:rsidRPr="00FE4B12" w14:paraId="67A54369" w14:textId="77777777">
            <w:pPr>
              <w:keepNext/>
              <w:keepLines/>
              <w:ind w:left="94" w:right="111"/>
              <w:jc w:val="center"/>
              <w:rPr>
                <w:color w:val="000000"/>
                <w:szCs w:val="20"/>
              </w:rPr>
            </w:pPr>
            <w:r w:rsidRPr="00073520">
              <w:rPr>
                <w:color w:val="000000"/>
                <w:szCs w:val="20"/>
              </w:rPr>
              <w:t>2</w:t>
            </w:r>
            <w:r>
              <w:rPr>
                <w:color w:val="000000"/>
                <w:szCs w:val="20"/>
              </w:rPr>
              <w:t>,</w:t>
            </w:r>
            <w:r w:rsidRPr="00073520">
              <w:rPr>
                <w:color w:val="000000"/>
                <w:szCs w:val="20"/>
              </w:rPr>
              <w:t>385</w:t>
            </w:r>
          </w:p>
        </w:tc>
      </w:tr>
      <w:tr w14:paraId="5CB1DDEC" w14:textId="77777777">
        <w:tblPrEx>
          <w:tblW w:w="7735" w:type="dxa"/>
          <w:jc w:val="center"/>
          <w:tblLayout w:type="fixed"/>
          <w:tblCellMar>
            <w:left w:w="0" w:type="dxa"/>
            <w:right w:w="0" w:type="dxa"/>
          </w:tblCellMar>
          <w:tblLook w:val="01E0"/>
        </w:tblPrEx>
        <w:trPr>
          <w:trHeight w:val="272"/>
          <w:jc w:val="center"/>
        </w:trPr>
        <w:tc>
          <w:tcPr>
            <w:tcW w:w="7735" w:type="dxa"/>
            <w:gridSpan w:val="6"/>
            <w:shd w:val="clear" w:color="auto" w:fill="F2F2F2" w:themeFill="background1" w:themeFillShade="F2"/>
            <w:vAlign w:val="center"/>
          </w:tcPr>
          <w:p w:rsidR="000E33B8" w:rsidRPr="00FE4B12" w14:paraId="1369CB88" w14:textId="77777777">
            <w:pPr>
              <w:keepNext/>
              <w:keepLines/>
              <w:ind w:left="94" w:right="111"/>
              <w:jc w:val="center"/>
              <w:rPr>
                <w:color w:val="000000"/>
                <w:szCs w:val="20"/>
              </w:rPr>
            </w:pPr>
            <w:r w:rsidRPr="00B001BD">
              <w:rPr>
                <w:color w:val="000000"/>
                <w:szCs w:val="20"/>
              </w:rPr>
              <w:t>P3 requirement to train employees on EPP</w:t>
            </w:r>
          </w:p>
        </w:tc>
      </w:tr>
      <w:tr w14:paraId="421DD0A4" w14:textId="77777777">
        <w:tblPrEx>
          <w:tblW w:w="7735" w:type="dxa"/>
          <w:jc w:val="center"/>
          <w:tblLayout w:type="fixed"/>
          <w:tblCellMar>
            <w:left w:w="0" w:type="dxa"/>
            <w:right w:w="0" w:type="dxa"/>
          </w:tblCellMar>
          <w:tblLook w:val="01E0"/>
        </w:tblPrEx>
        <w:trPr>
          <w:trHeight w:val="272"/>
          <w:jc w:val="center"/>
        </w:trPr>
        <w:tc>
          <w:tcPr>
            <w:tcW w:w="1518" w:type="dxa"/>
          </w:tcPr>
          <w:p w:rsidR="000E33B8" w:rsidRPr="00526656" w14:paraId="2E9B8572" w14:textId="77777777">
            <w:pPr>
              <w:keepNext/>
              <w:keepLines/>
              <w:ind w:left="107"/>
            </w:pPr>
            <w:r w:rsidRPr="00BF5E07">
              <w:t>Trained Employees</w:t>
            </w:r>
          </w:p>
        </w:tc>
        <w:tc>
          <w:tcPr>
            <w:tcW w:w="1537" w:type="dxa"/>
            <w:vAlign w:val="center"/>
          </w:tcPr>
          <w:p w:rsidR="000E33B8" w14:paraId="1F5B30AC" w14:textId="77777777">
            <w:pPr>
              <w:keepNext/>
              <w:keepLines/>
              <w:ind w:left="94" w:right="119"/>
              <w:jc w:val="center"/>
              <w:rPr>
                <w:szCs w:val="20"/>
              </w:rPr>
            </w:pPr>
            <w:r>
              <w:rPr>
                <w:szCs w:val="20"/>
              </w:rPr>
              <w:t>0.5</w:t>
            </w:r>
          </w:p>
        </w:tc>
        <w:tc>
          <w:tcPr>
            <w:tcW w:w="1080" w:type="dxa"/>
            <w:vAlign w:val="center"/>
          </w:tcPr>
          <w:p w:rsidR="000E33B8" w:rsidRPr="00835820" w14:paraId="0866EA30" w14:textId="211C8CBE">
            <w:pPr>
              <w:keepNext/>
              <w:keepLines/>
              <w:ind w:left="94" w:right="34"/>
              <w:jc w:val="center"/>
              <w:rPr>
                <w:szCs w:val="20"/>
              </w:rPr>
            </w:pPr>
            <w:r w:rsidRPr="00864F54">
              <w:t>295,11</w:t>
            </w:r>
            <w:r w:rsidR="00A5551C">
              <w:t>6</w:t>
            </w:r>
          </w:p>
        </w:tc>
        <w:tc>
          <w:tcPr>
            <w:tcW w:w="990" w:type="dxa"/>
            <w:vAlign w:val="center"/>
          </w:tcPr>
          <w:p w:rsidR="000E33B8" w:rsidRPr="00835820" w14:paraId="6F32F3A6" w14:textId="5F5021E6">
            <w:pPr>
              <w:keepNext/>
              <w:keepLines/>
              <w:ind w:left="94" w:right="79"/>
              <w:jc w:val="center"/>
              <w:rPr>
                <w:szCs w:val="20"/>
              </w:rPr>
            </w:pPr>
            <w:r w:rsidRPr="00B01F8B">
              <w:rPr>
                <w:szCs w:val="20"/>
              </w:rPr>
              <w:t>885</w:t>
            </w:r>
            <w:r>
              <w:rPr>
                <w:szCs w:val="20"/>
              </w:rPr>
              <w:t>,</w:t>
            </w:r>
            <w:r w:rsidRPr="00B01F8B">
              <w:rPr>
                <w:szCs w:val="20"/>
              </w:rPr>
              <w:t>347</w:t>
            </w:r>
          </w:p>
        </w:tc>
        <w:tc>
          <w:tcPr>
            <w:tcW w:w="1170" w:type="dxa"/>
            <w:vAlign w:val="center"/>
          </w:tcPr>
          <w:p w:rsidR="000E33B8" w:rsidRPr="00835820" w14:paraId="10BA1AB3" w14:textId="20315C55">
            <w:pPr>
              <w:keepNext/>
              <w:keepLines/>
              <w:ind w:left="94" w:right="111"/>
              <w:jc w:val="center"/>
              <w:rPr>
                <w:szCs w:val="20"/>
              </w:rPr>
            </w:pPr>
            <w:r w:rsidRPr="00977FF5">
              <w:rPr>
                <w:szCs w:val="20"/>
              </w:rPr>
              <w:t>147,55</w:t>
            </w:r>
            <w:r w:rsidR="00F9715C">
              <w:rPr>
                <w:szCs w:val="20"/>
              </w:rPr>
              <w:t>8</w:t>
            </w:r>
          </w:p>
        </w:tc>
        <w:tc>
          <w:tcPr>
            <w:tcW w:w="1440" w:type="dxa"/>
            <w:vAlign w:val="center"/>
          </w:tcPr>
          <w:p w:rsidR="000E33B8" w:rsidRPr="00FE4B12" w14:paraId="4E9EEE03" w14:textId="20AFF250">
            <w:pPr>
              <w:keepNext/>
              <w:keepLines/>
              <w:ind w:left="94" w:right="111"/>
              <w:jc w:val="center"/>
              <w:rPr>
                <w:color w:val="000000"/>
                <w:szCs w:val="20"/>
              </w:rPr>
            </w:pPr>
            <w:r w:rsidRPr="001728E1">
              <w:rPr>
                <w:color w:val="000000"/>
                <w:szCs w:val="20"/>
              </w:rPr>
              <w:t>442</w:t>
            </w:r>
            <w:r>
              <w:rPr>
                <w:color w:val="000000"/>
                <w:szCs w:val="20"/>
              </w:rPr>
              <w:t>,</w:t>
            </w:r>
            <w:r w:rsidRPr="001728E1">
              <w:rPr>
                <w:color w:val="000000"/>
                <w:szCs w:val="20"/>
              </w:rPr>
              <w:t>67</w:t>
            </w:r>
            <w:r w:rsidR="00094166">
              <w:rPr>
                <w:color w:val="000000"/>
                <w:szCs w:val="20"/>
              </w:rPr>
              <w:t>4</w:t>
            </w:r>
          </w:p>
        </w:tc>
      </w:tr>
      <w:tr w14:paraId="32C019BB" w14:textId="77777777">
        <w:tblPrEx>
          <w:tblW w:w="7735" w:type="dxa"/>
          <w:jc w:val="center"/>
          <w:tblLayout w:type="fixed"/>
          <w:tblCellMar>
            <w:left w:w="0" w:type="dxa"/>
            <w:right w:w="0" w:type="dxa"/>
          </w:tblCellMar>
          <w:tblLook w:val="01E0"/>
        </w:tblPrEx>
        <w:trPr>
          <w:trHeight w:val="272"/>
          <w:jc w:val="center"/>
        </w:trPr>
        <w:tc>
          <w:tcPr>
            <w:tcW w:w="1518" w:type="dxa"/>
          </w:tcPr>
          <w:p w:rsidR="000E33B8" w:rsidRPr="00526656" w14:paraId="0CD9FE78" w14:textId="77777777">
            <w:pPr>
              <w:keepNext/>
              <w:keepLines/>
              <w:ind w:left="107"/>
            </w:pPr>
            <w:r w:rsidRPr="00BF5E07">
              <w:t>Facility</w:t>
            </w:r>
          </w:p>
        </w:tc>
        <w:tc>
          <w:tcPr>
            <w:tcW w:w="1537" w:type="dxa"/>
            <w:vAlign w:val="center"/>
          </w:tcPr>
          <w:p w:rsidR="000E33B8" w14:paraId="220401BC" w14:textId="77777777">
            <w:pPr>
              <w:keepNext/>
              <w:keepLines/>
              <w:ind w:left="94" w:right="119"/>
              <w:jc w:val="center"/>
              <w:rPr>
                <w:szCs w:val="20"/>
              </w:rPr>
            </w:pPr>
            <w:r>
              <w:rPr>
                <w:szCs w:val="20"/>
              </w:rPr>
              <w:t>1</w:t>
            </w:r>
          </w:p>
        </w:tc>
        <w:tc>
          <w:tcPr>
            <w:tcW w:w="1080" w:type="dxa"/>
            <w:vAlign w:val="center"/>
          </w:tcPr>
          <w:p w:rsidR="000E33B8" w:rsidRPr="00835820" w14:paraId="0EC34F5C" w14:textId="77777777">
            <w:pPr>
              <w:keepNext/>
              <w:keepLines/>
              <w:ind w:left="94" w:right="34"/>
              <w:jc w:val="center"/>
              <w:rPr>
                <w:szCs w:val="20"/>
              </w:rPr>
            </w:pPr>
            <w:r w:rsidRPr="00864F54">
              <w:t>1,421</w:t>
            </w:r>
          </w:p>
        </w:tc>
        <w:tc>
          <w:tcPr>
            <w:tcW w:w="990" w:type="dxa"/>
            <w:vAlign w:val="center"/>
          </w:tcPr>
          <w:p w:rsidR="000E33B8" w:rsidRPr="00835820" w14:paraId="75C82987" w14:textId="77777777">
            <w:pPr>
              <w:keepNext/>
              <w:keepLines/>
              <w:ind w:left="94" w:right="79"/>
              <w:jc w:val="center"/>
              <w:rPr>
                <w:szCs w:val="20"/>
              </w:rPr>
            </w:pPr>
            <w:r w:rsidRPr="009B0387">
              <w:rPr>
                <w:szCs w:val="20"/>
              </w:rPr>
              <w:t>4</w:t>
            </w:r>
            <w:r>
              <w:rPr>
                <w:szCs w:val="20"/>
              </w:rPr>
              <w:t>,</w:t>
            </w:r>
            <w:r w:rsidRPr="009B0387">
              <w:rPr>
                <w:szCs w:val="20"/>
              </w:rPr>
              <w:t>263</w:t>
            </w:r>
          </w:p>
        </w:tc>
        <w:tc>
          <w:tcPr>
            <w:tcW w:w="1170" w:type="dxa"/>
            <w:vAlign w:val="center"/>
          </w:tcPr>
          <w:p w:rsidR="000E33B8" w:rsidRPr="00835820" w14:paraId="1AEE0739" w14:textId="77777777">
            <w:pPr>
              <w:keepNext/>
              <w:keepLines/>
              <w:ind w:left="94" w:right="111"/>
              <w:jc w:val="center"/>
              <w:rPr>
                <w:szCs w:val="20"/>
              </w:rPr>
            </w:pPr>
            <w:r w:rsidRPr="00C30444">
              <w:rPr>
                <w:szCs w:val="20"/>
              </w:rPr>
              <w:t>1,421</w:t>
            </w:r>
          </w:p>
        </w:tc>
        <w:tc>
          <w:tcPr>
            <w:tcW w:w="1440" w:type="dxa"/>
            <w:vAlign w:val="center"/>
          </w:tcPr>
          <w:p w:rsidR="000E33B8" w:rsidRPr="00FE4B12" w14:paraId="3897CDD4" w14:textId="77777777">
            <w:pPr>
              <w:keepNext/>
              <w:keepLines/>
              <w:ind w:left="94" w:right="111"/>
              <w:jc w:val="center"/>
              <w:rPr>
                <w:color w:val="000000"/>
                <w:szCs w:val="20"/>
              </w:rPr>
            </w:pPr>
            <w:r w:rsidRPr="001A2D32">
              <w:rPr>
                <w:color w:val="000000"/>
                <w:szCs w:val="20"/>
              </w:rPr>
              <w:t>4</w:t>
            </w:r>
            <w:r>
              <w:rPr>
                <w:color w:val="000000"/>
                <w:szCs w:val="20"/>
              </w:rPr>
              <w:t>,</w:t>
            </w:r>
            <w:r w:rsidRPr="001A2D32">
              <w:rPr>
                <w:color w:val="000000"/>
                <w:szCs w:val="20"/>
              </w:rPr>
              <w:t>263</w:t>
            </w:r>
          </w:p>
        </w:tc>
      </w:tr>
    </w:tbl>
    <w:p w:rsidR="000E33B8" w:rsidP="000E33B8" w14:paraId="0EA7DB00" w14:textId="77777777">
      <w:pPr>
        <w:ind w:left="990" w:right="630"/>
      </w:pPr>
      <w:r>
        <w:t xml:space="preserve">* EPA assumed that the burden associated with this provision would be incurred by the same number of facilities in Years 1, 2, and 3.   </w:t>
      </w:r>
    </w:p>
    <w:p w:rsidR="000E33B8" w:rsidP="000E33B8" w14:paraId="58894E17" w14:textId="77777777">
      <w:pPr>
        <w:rPr>
          <w:rStyle w:val="Strong"/>
          <w:rFonts w:asciiTheme="majorBidi" w:hAnsiTheme="majorBidi" w:cstheme="majorBidi"/>
          <w:b w:val="0"/>
          <w:bCs w:val="0"/>
          <w:i/>
          <w:iCs/>
          <w:sz w:val="22"/>
          <w:szCs w:val="28"/>
        </w:rPr>
      </w:pPr>
    </w:p>
    <w:p w:rsidR="000E33B8" w:rsidP="000E33B8" w14:paraId="26859FF3" w14:textId="77777777">
      <w:pPr>
        <w:rPr>
          <w:color w:val="000000"/>
          <w:sz w:val="22"/>
          <w:szCs w:val="22"/>
        </w:rPr>
      </w:pPr>
      <w:r w:rsidRPr="005F4006">
        <w:rPr>
          <w:rStyle w:val="Strong"/>
          <w:rFonts w:asciiTheme="majorBidi" w:hAnsiTheme="majorBidi" w:cstheme="majorBidi"/>
          <w:b w:val="0"/>
          <w:bCs w:val="0"/>
          <w:i/>
          <w:iCs/>
          <w:sz w:val="22"/>
          <w:szCs w:val="28"/>
        </w:rPr>
        <w:t>Emergency Backup Power for Perimeter Monitors</w:t>
      </w:r>
      <w:r>
        <w:rPr>
          <w:rStyle w:val="Strong"/>
          <w:rFonts w:asciiTheme="majorBidi" w:hAnsiTheme="majorBidi" w:cstheme="majorBidi"/>
          <w:b w:val="0"/>
          <w:bCs w:val="0"/>
          <w:i/>
          <w:iCs/>
          <w:sz w:val="22"/>
          <w:szCs w:val="28"/>
        </w:rPr>
        <w:t xml:space="preserve">, </w:t>
      </w:r>
      <w:r w:rsidRPr="004B67FF">
        <w:rPr>
          <w:rFonts w:asciiTheme="majorBidi" w:hAnsiTheme="majorBidi" w:cstheme="majorBidi"/>
          <w:i/>
          <w:iCs/>
          <w:sz w:val="22"/>
          <w:szCs w:val="28"/>
        </w:rPr>
        <w:t>Hazard Evaluation Amplifications</w:t>
      </w:r>
      <w:r>
        <w:rPr>
          <w:rFonts w:asciiTheme="majorBidi" w:hAnsiTheme="majorBidi" w:cstheme="majorBidi"/>
          <w:i/>
          <w:iCs/>
          <w:sz w:val="22"/>
          <w:szCs w:val="28"/>
        </w:rPr>
        <w:t>,</w:t>
      </w:r>
      <w:r w:rsidRPr="004B67FF">
        <w:rPr>
          <w:rFonts w:asciiTheme="majorBidi" w:hAnsiTheme="majorBidi" w:cstheme="majorBidi"/>
          <w:i/>
          <w:iCs/>
          <w:sz w:val="22"/>
          <w:szCs w:val="28"/>
        </w:rPr>
        <w:t xml:space="preserve"> and RAGAGEP Gap Analysis</w:t>
      </w:r>
      <w:r>
        <w:rPr>
          <w:rStyle w:val="Strong"/>
          <w:rFonts w:asciiTheme="majorBidi" w:hAnsiTheme="majorBidi" w:cstheme="majorBidi"/>
          <w:b w:val="0"/>
          <w:bCs w:val="0"/>
          <w:i/>
          <w:iCs/>
          <w:sz w:val="22"/>
          <w:szCs w:val="28"/>
        </w:rPr>
        <w:t xml:space="preserve"> - </w:t>
      </w:r>
      <w:r w:rsidRPr="005D6C8A">
        <w:rPr>
          <w:sz w:val="22"/>
          <w:szCs w:val="22"/>
        </w:rPr>
        <w:t xml:space="preserve">EPA is </w:t>
      </w:r>
      <w:r>
        <w:rPr>
          <w:sz w:val="22"/>
          <w:szCs w:val="22"/>
        </w:rPr>
        <w:t>finalizing the</w:t>
      </w:r>
      <w:r w:rsidRPr="005D6C8A">
        <w:rPr>
          <w:sz w:val="22"/>
          <w:szCs w:val="22"/>
        </w:rPr>
        <w:t xml:space="preserve"> require</w:t>
      </w:r>
      <w:r>
        <w:rPr>
          <w:sz w:val="22"/>
          <w:szCs w:val="22"/>
        </w:rPr>
        <w:t>ment for</w:t>
      </w:r>
      <w:r w:rsidRPr="005D6C8A">
        <w:rPr>
          <w:sz w:val="22"/>
          <w:szCs w:val="22"/>
        </w:rPr>
        <w:t xml:space="preserve"> perimeter monitoring equipment associated with prevention and detection of accidental releases from RMP-regulated processes to have standby or backup power to ensure compliance with the intent of the rule. </w:t>
      </w:r>
      <w:r w:rsidRPr="005D6C8A">
        <w:rPr>
          <w:color w:val="000000"/>
          <w:sz w:val="22"/>
          <w:szCs w:val="22"/>
        </w:rPr>
        <w:t xml:space="preserve">Facilities with perimeter monitoring equipment that do not have backup power </w:t>
      </w:r>
      <w:r>
        <w:rPr>
          <w:color w:val="000000"/>
          <w:sz w:val="22"/>
          <w:szCs w:val="22"/>
        </w:rPr>
        <w:t>will</w:t>
      </w:r>
      <w:r w:rsidRPr="005D6C8A">
        <w:rPr>
          <w:color w:val="000000"/>
          <w:sz w:val="22"/>
          <w:szCs w:val="22"/>
        </w:rPr>
        <w:t xml:space="preserve"> need to acquire backup power. Many continuous emissions monitoring systems have low power requirements. </w:t>
      </w:r>
      <w:r>
        <w:rPr>
          <w:color w:val="000000"/>
          <w:sz w:val="22"/>
          <w:szCs w:val="22"/>
        </w:rPr>
        <w:t>T</w:t>
      </w:r>
      <w:r w:rsidRPr="00EF017F">
        <w:rPr>
          <w:color w:val="000000"/>
          <w:sz w:val="22"/>
          <w:szCs w:val="22"/>
        </w:rPr>
        <w:t>he final rule require</w:t>
      </w:r>
      <w:r>
        <w:rPr>
          <w:color w:val="000000"/>
          <w:sz w:val="22"/>
          <w:szCs w:val="22"/>
        </w:rPr>
        <w:t>s</w:t>
      </w:r>
      <w:r w:rsidRPr="00EF017F">
        <w:rPr>
          <w:color w:val="000000"/>
          <w:sz w:val="22"/>
          <w:szCs w:val="22"/>
        </w:rPr>
        <w:t xml:space="preserve"> Program 2 and 3 facilities to include in their RMP a justification for why the facility has not installed emergency backup power for each process without emergency backup power</w:t>
      </w:r>
      <w:r>
        <w:rPr>
          <w:color w:val="000000"/>
          <w:sz w:val="22"/>
          <w:szCs w:val="22"/>
        </w:rPr>
        <w:t>.</w:t>
      </w:r>
    </w:p>
    <w:p w:rsidR="000E33B8" w:rsidP="000E33B8" w14:paraId="6F55EDB7" w14:textId="77777777">
      <w:pPr>
        <w:rPr>
          <w:color w:val="000000"/>
          <w:sz w:val="22"/>
          <w:szCs w:val="22"/>
        </w:rPr>
      </w:pPr>
    </w:p>
    <w:p w:rsidR="000E33B8" w:rsidP="000E33B8" w14:paraId="4E8D6769" w14:textId="4FC17AC9">
      <w:r w:rsidRPr="005D6C8A">
        <w:rPr>
          <w:sz w:val="22"/>
          <w:szCs w:val="22"/>
        </w:rPr>
        <w:t xml:space="preserve">EPA is </w:t>
      </w:r>
      <w:r>
        <w:rPr>
          <w:sz w:val="22"/>
          <w:szCs w:val="22"/>
        </w:rPr>
        <w:t>also finalizing the</w:t>
      </w:r>
      <w:r w:rsidRPr="005D6C8A">
        <w:rPr>
          <w:sz w:val="22"/>
          <w:szCs w:val="22"/>
        </w:rPr>
        <w:t xml:space="preserve"> require</w:t>
      </w:r>
      <w:r>
        <w:rPr>
          <w:sz w:val="22"/>
          <w:szCs w:val="22"/>
        </w:rPr>
        <w:t>ment for</w:t>
      </w:r>
      <w:r w:rsidRPr="005D6C8A">
        <w:rPr>
          <w:sz w:val="22"/>
          <w:szCs w:val="22"/>
        </w:rPr>
        <w:t xml:space="preserve"> </w:t>
      </w:r>
      <w:r w:rsidRPr="008B2E5B">
        <w:rPr>
          <w:sz w:val="22"/>
          <w:szCs w:val="22"/>
        </w:rPr>
        <w:t>Program 2</w:t>
      </w:r>
      <w:r w:rsidRPr="005D6C8A">
        <w:rPr>
          <w:sz w:val="22"/>
          <w:szCs w:val="22"/>
        </w:rPr>
        <w:t xml:space="preserve"> and </w:t>
      </w:r>
      <w:r w:rsidRPr="008B2E5B">
        <w:rPr>
          <w:sz w:val="22"/>
          <w:szCs w:val="22"/>
        </w:rPr>
        <w:t xml:space="preserve">3 facilities </w:t>
      </w:r>
      <w:r w:rsidRPr="005D6C8A">
        <w:rPr>
          <w:sz w:val="22"/>
          <w:szCs w:val="22"/>
        </w:rPr>
        <w:t xml:space="preserve">to </w:t>
      </w:r>
      <w:r w:rsidRPr="008B2E5B">
        <w:rPr>
          <w:sz w:val="22"/>
          <w:szCs w:val="22"/>
        </w:rPr>
        <w:t>address stationary source siting, natural hazards,</w:t>
      </w:r>
      <w:r w:rsidRPr="005D6C8A">
        <w:rPr>
          <w:sz w:val="22"/>
          <w:szCs w:val="22"/>
        </w:rPr>
        <w:t xml:space="preserve"> power </w:t>
      </w:r>
      <w:r w:rsidRPr="008B2E5B">
        <w:rPr>
          <w:sz w:val="22"/>
          <w:szCs w:val="22"/>
        </w:rPr>
        <w:t>loss, and a RAGAGEP gap analysis in their PHAs or Hazard Reviews</w:t>
      </w:r>
      <w:r w:rsidRPr="005D6C8A">
        <w:rPr>
          <w:sz w:val="22"/>
          <w:szCs w:val="22"/>
        </w:rPr>
        <w:t xml:space="preserve"> to ensure compliance with the intent of the rule. </w:t>
      </w:r>
      <w:r w:rsidRPr="001176E8">
        <w:rPr>
          <w:sz w:val="22"/>
          <w:szCs w:val="22"/>
        </w:rPr>
        <w:t>The stationary source siting and natural hazards provisions will require all Program 2 and 3 facilities to include a justification in the RMP for each stationary source siting or natural hazards recommendation the facility declined to implement. The RAGAGEP provision will also require all Program 3 facilities to include a justification for each PHA recommendation the facility declined to implement associated with adopting practices from the latest version of RAGAGEP.</w:t>
      </w:r>
      <w:r>
        <w:rPr>
          <w:sz w:val="22"/>
          <w:szCs w:val="22"/>
        </w:rPr>
        <w:t xml:space="preserve"> </w:t>
      </w:r>
      <w:r w:rsidRPr="00D206B9">
        <w:rPr>
          <w:sz w:val="22"/>
          <w:szCs w:val="22"/>
        </w:rPr>
        <w:t>The RMP justifications will involve selecting from a dropdown menu of justification options. EPA assumes facilities already address these issues and that language is just amplifying these implicit requirements therefore EPA assumes that this will be a minimal effort</w:t>
      </w:r>
      <w:r>
        <w:rPr>
          <w:sz w:val="22"/>
          <w:szCs w:val="22"/>
        </w:rPr>
        <w:t xml:space="preserve"> </w:t>
      </w:r>
      <w:r w:rsidRPr="00D206B9">
        <w:rPr>
          <w:sz w:val="22"/>
          <w:szCs w:val="22"/>
        </w:rPr>
        <w:t xml:space="preserve">regardless of facility complexity. EPA assumes facilities will take five minutes of manager time to identify which justification applies to a given declined recommendation or process without backup power. </w:t>
      </w:r>
    </w:p>
    <w:p w:rsidR="000E33B8" w:rsidP="000E33B8" w14:paraId="21C51092" w14:textId="77777777"/>
    <w:p w:rsidR="000E33B8" w:rsidRPr="00D206B9" w:rsidP="000E33B8" w14:paraId="20197A52" w14:textId="188CFC68">
      <w:pPr>
        <w:pStyle w:val="Caption"/>
        <w:jc w:val="center"/>
        <w:rPr>
          <w:b/>
          <w:bCs/>
          <w:i w:val="0"/>
          <w:iCs w:val="0"/>
          <w:color w:val="auto"/>
          <w:sz w:val="22"/>
          <w:szCs w:val="22"/>
        </w:rPr>
      </w:pPr>
      <w:r w:rsidRPr="00D206B9">
        <w:rPr>
          <w:b/>
          <w:bCs/>
          <w:i w:val="0"/>
          <w:iCs w:val="0"/>
          <w:color w:val="auto"/>
          <w:sz w:val="22"/>
          <w:szCs w:val="22"/>
        </w:rPr>
        <w:t xml:space="preserve">Exhibit </w:t>
      </w:r>
      <w:r w:rsidR="00CF3F54">
        <w:rPr>
          <w:b/>
          <w:bCs/>
          <w:i w:val="0"/>
          <w:iCs w:val="0"/>
          <w:color w:val="auto"/>
          <w:sz w:val="22"/>
          <w:szCs w:val="22"/>
        </w:rPr>
        <w:t>10</w:t>
      </w:r>
      <w:r w:rsidRPr="00D206B9">
        <w:rPr>
          <w:b/>
          <w:bCs/>
          <w:i w:val="0"/>
          <w:iCs w:val="0"/>
          <w:color w:val="auto"/>
          <w:sz w:val="22"/>
          <w:szCs w:val="22"/>
        </w:rPr>
        <w:t xml:space="preserve">: </w:t>
      </w:r>
      <w:r>
        <w:rPr>
          <w:b/>
          <w:bCs/>
          <w:i w:val="0"/>
          <w:iCs w:val="0"/>
          <w:color w:val="auto"/>
          <w:sz w:val="22"/>
          <w:szCs w:val="22"/>
        </w:rPr>
        <w:t xml:space="preserve">Hour Burden </w:t>
      </w:r>
      <w:r w:rsidRPr="00D206B9">
        <w:rPr>
          <w:b/>
          <w:bCs/>
          <w:i w:val="0"/>
          <w:iCs w:val="0"/>
          <w:color w:val="auto"/>
          <w:sz w:val="22"/>
          <w:szCs w:val="22"/>
        </w:rPr>
        <w:t>for RMP Justifications</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5"/>
        <w:gridCol w:w="1804"/>
        <w:gridCol w:w="1349"/>
        <w:gridCol w:w="1349"/>
        <w:gridCol w:w="1529"/>
        <w:gridCol w:w="1444"/>
      </w:tblGrid>
      <w:tr w14:paraId="0ADBB8DC" w14:textId="77777777">
        <w:tblPrEx>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0"/>
          <w:jc w:val="center"/>
        </w:trPr>
        <w:tc>
          <w:tcPr>
            <w:tcW w:w="1885" w:type="dxa"/>
            <w:vMerge w:val="restart"/>
            <w:shd w:val="clear" w:color="auto" w:fill="D9D9D9"/>
            <w:vAlign w:val="center"/>
          </w:tcPr>
          <w:p w:rsidR="000E33B8" w:rsidRPr="00053143" w14:paraId="0C7667FF" w14:textId="77777777">
            <w:pPr>
              <w:keepNext/>
              <w:jc w:val="center"/>
              <w:rPr>
                <w:b/>
                <w:sz w:val="22"/>
                <w:szCs w:val="22"/>
              </w:rPr>
            </w:pPr>
          </w:p>
          <w:p w:rsidR="000E33B8" w:rsidRPr="00053143" w14:paraId="35804AB3" w14:textId="77777777">
            <w:pPr>
              <w:keepNext/>
              <w:ind w:left="444" w:right="317" w:hanging="101"/>
              <w:jc w:val="center"/>
              <w:rPr>
                <w:b/>
                <w:sz w:val="22"/>
                <w:szCs w:val="22"/>
              </w:rPr>
            </w:pPr>
            <w:r w:rsidRPr="00053143">
              <w:rPr>
                <w:b/>
                <w:sz w:val="22"/>
                <w:szCs w:val="22"/>
              </w:rPr>
              <w:t>Facility Type</w:t>
            </w:r>
          </w:p>
        </w:tc>
        <w:tc>
          <w:tcPr>
            <w:tcW w:w="1804" w:type="dxa"/>
            <w:vMerge w:val="restart"/>
            <w:shd w:val="clear" w:color="auto" w:fill="D9D9D9" w:themeFill="background1" w:themeFillShade="D9"/>
            <w:vAlign w:val="center"/>
          </w:tcPr>
          <w:p w:rsidR="000E33B8" w:rsidRPr="00053143" w14:paraId="15BE7D30" w14:textId="77777777">
            <w:pPr>
              <w:keepNext/>
              <w:ind w:left="114" w:right="85" w:hanging="20"/>
              <w:jc w:val="center"/>
              <w:rPr>
                <w:b/>
                <w:sz w:val="22"/>
                <w:szCs w:val="22"/>
              </w:rPr>
            </w:pPr>
            <w:r w:rsidRPr="00053143">
              <w:rPr>
                <w:b/>
                <w:sz w:val="22"/>
                <w:szCs w:val="22"/>
              </w:rPr>
              <w:t>Hours Required Per Respondent</w:t>
            </w:r>
          </w:p>
        </w:tc>
        <w:tc>
          <w:tcPr>
            <w:tcW w:w="2698" w:type="dxa"/>
            <w:gridSpan w:val="2"/>
            <w:shd w:val="clear" w:color="auto" w:fill="D9D9D9"/>
            <w:vAlign w:val="center"/>
          </w:tcPr>
          <w:p w:rsidR="000E33B8" w:rsidRPr="00053143" w14:paraId="47D54AD7" w14:textId="77777777">
            <w:pPr>
              <w:keepNext/>
              <w:ind w:left="114" w:right="85" w:hanging="20"/>
              <w:jc w:val="center"/>
              <w:rPr>
                <w:b/>
                <w:sz w:val="22"/>
                <w:szCs w:val="22"/>
              </w:rPr>
            </w:pPr>
            <w:r w:rsidRPr="00053143">
              <w:rPr>
                <w:b/>
                <w:sz w:val="22"/>
                <w:szCs w:val="22"/>
              </w:rPr>
              <w:t>Number of Facilities</w:t>
            </w:r>
          </w:p>
        </w:tc>
        <w:tc>
          <w:tcPr>
            <w:tcW w:w="1529" w:type="dxa"/>
            <w:vMerge w:val="restart"/>
            <w:shd w:val="clear" w:color="auto" w:fill="D9D9D9"/>
            <w:vAlign w:val="center"/>
          </w:tcPr>
          <w:p w:rsidR="000E33B8" w:rsidRPr="00053143" w14:paraId="5CA500FB" w14:textId="77777777">
            <w:pPr>
              <w:keepNext/>
              <w:jc w:val="center"/>
              <w:rPr>
                <w:b/>
                <w:sz w:val="22"/>
                <w:szCs w:val="22"/>
              </w:rPr>
            </w:pPr>
            <w:r w:rsidRPr="00053143">
              <w:rPr>
                <w:b/>
                <w:sz w:val="22"/>
                <w:szCs w:val="22"/>
              </w:rPr>
              <w:t>3-Year Average Annual Burden (hours)</w:t>
            </w:r>
          </w:p>
        </w:tc>
        <w:tc>
          <w:tcPr>
            <w:tcW w:w="1444" w:type="dxa"/>
            <w:vMerge w:val="restart"/>
            <w:shd w:val="clear" w:color="auto" w:fill="D9D9D9"/>
            <w:vAlign w:val="center"/>
          </w:tcPr>
          <w:p w:rsidR="000E33B8" w:rsidRPr="00D206B9" w14:paraId="41238615" w14:textId="77777777">
            <w:pPr>
              <w:keepNext/>
              <w:ind w:left="91" w:right="169"/>
              <w:jc w:val="center"/>
              <w:rPr>
                <w:b/>
                <w:sz w:val="22"/>
                <w:szCs w:val="22"/>
              </w:rPr>
            </w:pPr>
            <w:r w:rsidRPr="00D206B9">
              <w:rPr>
                <w:b/>
                <w:sz w:val="22"/>
                <w:szCs w:val="22"/>
              </w:rPr>
              <w:t>3-Year Total Burden (hours)</w:t>
            </w:r>
          </w:p>
        </w:tc>
      </w:tr>
      <w:tr w14:paraId="0DD1DC4E" w14:textId="77777777">
        <w:tblPrEx>
          <w:tblW w:w="9360" w:type="dxa"/>
          <w:jc w:val="center"/>
          <w:tblLayout w:type="fixed"/>
          <w:tblCellMar>
            <w:left w:w="0" w:type="dxa"/>
            <w:right w:w="0" w:type="dxa"/>
          </w:tblCellMar>
          <w:tblLook w:val="01E0"/>
        </w:tblPrEx>
        <w:trPr>
          <w:trHeight w:val="530"/>
          <w:jc w:val="center"/>
        </w:trPr>
        <w:tc>
          <w:tcPr>
            <w:tcW w:w="1885" w:type="dxa"/>
            <w:vMerge/>
            <w:shd w:val="clear" w:color="auto" w:fill="D9D9D9"/>
            <w:vAlign w:val="center"/>
          </w:tcPr>
          <w:p w:rsidR="000E33B8" w:rsidRPr="00053143" w14:paraId="2A4F929C" w14:textId="77777777">
            <w:pPr>
              <w:keepNext/>
              <w:jc w:val="center"/>
              <w:rPr>
                <w:b/>
                <w:sz w:val="22"/>
                <w:szCs w:val="22"/>
              </w:rPr>
            </w:pPr>
          </w:p>
        </w:tc>
        <w:tc>
          <w:tcPr>
            <w:tcW w:w="1804" w:type="dxa"/>
            <w:vMerge/>
            <w:shd w:val="clear" w:color="auto" w:fill="D9D9D9" w:themeFill="background1" w:themeFillShade="D9"/>
            <w:vAlign w:val="center"/>
          </w:tcPr>
          <w:p w:rsidR="000E33B8" w:rsidRPr="00053143" w14:paraId="49B83779" w14:textId="77777777">
            <w:pPr>
              <w:keepNext/>
              <w:ind w:left="114" w:right="85" w:hanging="20"/>
              <w:jc w:val="center"/>
              <w:rPr>
                <w:b/>
                <w:sz w:val="22"/>
                <w:szCs w:val="22"/>
              </w:rPr>
            </w:pPr>
          </w:p>
        </w:tc>
        <w:tc>
          <w:tcPr>
            <w:tcW w:w="1349" w:type="dxa"/>
            <w:shd w:val="clear" w:color="auto" w:fill="D9D9D9"/>
            <w:vAlign w:val="center"/>
          </w:tcPr>
          <w:p w:rsidR="000E33B8" w:rsidRPr="00053143" w14:paraId="3B34FDC4" w14:textId="77777777">
            <w:pPr>
              <w:keepNext/>
              <w:ind w:left="114" w:right="85" w:hanging="20"/>
              <w:jc w:val="center"/>
              <w:rPr>
                <w:b/>
                <w:sz w:val="22"/>
                <w:szCs w:val="22"/>
              </w:rPr>
            </w:pPr>
            <w:r w:rsidRPr="00053143">
              <w:rPr>
                <w:b/>
                <w:sz w:val="22"/>
                <w:szCs w:val="22"/>
              </w:rPr>
              <w:t>Year 1*</w:t>
            </w:r>
          </w:p>
        </w:tc>
        <w:tc>
          <w:tcPr>
            <w:tcW w:w="1349" w:type="dxa"/>
            <w:shd w:val="clear" w:color="auto" w:fill="D9D9D9" w:themeFill="background1" w:themeFillShade="D9"/>
            <w:vAlign w:val="center"/>
          </w:tcPr>
          <w:p w:rsidR="000E33B8" w:rsidRPr="00053143" w14:paraId="7AF815C0" w14:textId="77777777">
            <w:pPr>
              <w:keepNext/>
              <w:ind w:left="114" w:right="85" w:hanging="20"/>
              <w:jc w:val="center"/>
              <w:rPr>
                <w:b/>
                <w:sz w:val="22"/>
                <w:szCs w:val="22"/>
              </w:rPr>
            </w:pPr>
            <w:r w:rsidRPr="00053143">
              <w:rPr>
                <w:b/>
                <w:sz w:val="22"/>
                <w:szCs w:val="22"/>
              </w:rPr>
              <w:t>3-Year Total</w:t>
            </w:r>
          </w:p>
        </w:tc>
        <w:tc>
          <w:tcPr>
            <w:tcW w:w="1529" w:type="dxa"/>
            <w:vMerge/>
            <w:shd w:val="clear" w:color="auto" w:fill="D9D9D9"/>
            <w:vAlign w:val="center"/>
          </w:tcPr>
          <w:p w:rsidR="000E33B8" w:rsidRPr="00053143" w14:paraId="1A6766E1" w14:textId="77777777">
            <w:pPr>
              <w:keepNext/>
              <w:jc w:val="center"/>
              <w:rPr>
                <w:b/>
                <w:sz w:val="22"/>
                <w:szCs w:val="22"/>
              </w:rPr>
            </w:pPr>
          </w:p>
        </w:tc>
        <w:tc>
          <w:tcPr>
            <w:tcW w:w="1444" w:type="dxa"/>
            <w:vMerge/>
            <w:shd w:val="clear" w:color="auto" w:fill="D9D9D9"/>
            <w:vAlign w:val="center"/>
          </w:tcPr>
          <w:p w:rsidR="000E33B8" w:rsidRPr="00D206B9" w14:paraId="0BE29098" w14:textId="77777777">
            <w:pPr>
              <w:keepNext/>
              <w:ind w:left="91" w:right="169"/>
              <w:jc w:val="center"/>
              <w:rPr>
                <w:b/>
                <w:sz w:val="22"/>
                <w:szCs w:val="22"/>
              </w:rPr>
            </w:pPr>
          </w:p>
        </w:tc>
      </w:tr>
      <w:tr w14:paraId="4C6D57E1" w14:textId="77777777">
        <w:tblPrEx>
          <w:tblW w:w="9360" w:type="dxa"/>
          <w:jc w:val="center"/>
          <w:tblLayout w:type="fixed"/>
          <w:tblCellMar>
            <w:left w:w="0" w:type="dxa"/>
            <w:right w:w="0" w:type="dxa"/>
          </w:tblCellMar>
          <w:tblLook w:val="01E0"/>
        </w:tblPrEx>
        <w:trPr>
          <w:trHeight w:val="308"/>
          <w:jc w:val="center"/>
        </w:trPr>
        <w:tc>
          <w:tcPr>
            <w:tcW w:w="9360" w:type="dxa"/>
            <w:gridSpan w:val="6"/>
            <w:shd w:val="clear" w:color="auto" w:fill="F2F2F2" w:themeFill="background1" w:themeFillShade="F2"/>
            <w:vAlign w:val="center"/>
          </w:tcPr>
          <w:p w:rsidR="000E33B8" w:rsidRPr="00680250" w14:paraId="0112A017" w14:textId="77777777">
            <w:pPr>
              <w:keepNext/>
              <w:ind w:left="189" w:right="183"/>
              <w:jc w:val="center"/>
              <w:rPr>
                <w:sz w:val="22"/>
                <w:szCs w:val="22"/>
              </w:rPr>
            </w:pPr>
            <w:r w:rsidRPr="00680250">
              <w:rPr>
                <w:sz w:val="22"/>
                <w:szCs w:val="22"/>
              </w:rPr>
              <w:t>Emergency Backup Power for Perimeter Monitors -</w:t>
            </w:r>
          </w:p>
          <w:p w:rsidR="000E33B8" w:rsidRPr="00680250" w14:paraId="42944023" w14:textId="77777777">
            <w:pPr>
              <w:keepNext/>
              <w:ind w:left="189" w:right="183"/>
              <w:jc w:val="center"/>
              <w:rPr>
                <w:sz w:val="22"/>
                <w:szCs w:val="22"/>
              </w:rPr>
            </w:pPr>
            <w:r w:rsidRPr="00680250">
              <w:rPr>
                <w:sz w:val="22"/>
                <w:szCs w:val="22"/>
              </w:rPr>
              <w:t>Justification for No Backup Power</w:t>
            </w:r>
          </w:p>
        </w:tc>
      </w:tr>
      <w:tr w14:paraId="4E160661" w14:textId="77777777">
        <w:tblPrEx>
          <w:tblW w:w="9360" w:type="dxa"/>
          <w:jc w:val="center"/>
          <w:tblLayout w:type="fixed"/>
          <w:tblCellMar>
            <w:left w:w="0" w:type="dxa"/>
            <w:right w:w="0" w:type="dxa"/>
          </w:tblCellMar>
          <w:tblLook w:val="01E0"/>
        </w:tblPrEx>
        <w:trPr>
          <w:trHeight w:val="308"/>
          <w:jc w:val="center"/>
        </w:trPr>
        <w:tc>
          <w:tcPr>
            <w:tcW w:w="1885" w:type="dxa"/>
            <w:shd w:val="clear" w:color="auto" w:fill="auto"/>
          </w:tcPr>
          <w:p w:rsidR="000E33B8" w:rsidRPr="00680250" w14:paraId="19D13DE3" w14:textId="77777777">
            <w:pPr>
              <w:keepNext/>
              <w:ind w:left="189" w:right="183"/>
              <w:jc w:val="center"/>
              <w:rPr>
                <w:sz w:val="22"/>
                <w:szCs w:val="22"/>
              </w:rPr>
            </w:pPr>
            <w:r w:rsidRPr="00680250">
              <w:rPr>
                <w:sz w:val="22"/>
                <w:szCs w:val="28"/>
              </w:rPr>
              <w:t>Complex</w:t>
            </w:r>
          </w:p>
        </w:tc>
        <w:tc>
          <w:tcPr>
            <w:tcW w:w="1804" w:type="dxa"/>
            <w:shd w:val="clear" w:color="auto" w:fill="auto"/>
            <w:vAlign w:val="center"/>
          </w:tcPr>
          <w:p w:rsidR="000E33B8" w:rsidRPr="00680250" w14:paraId="0B3FFD91" w14:textId="35043851">
            <w:pPr>
              <w:keepNext/>
              <w:ind w:left="189" w:right="183"/>
              <w:jc w:val="center"/>
              <w:rPr>
                <w:sz w:val="22"/>
                <w:szCs w:val="22"/>
              </w:rPr>
            </w:pPr>
            <w:r w:rsidRPr="00680250">
              <w:rPr>
                <w:sz w:val="22"/>
                <w:szCs w:val="22"/>
              </w:rPr>
              <w:t>.08</w:t>
            </w:r>
          </w:p>
        </w:tc>
        <w:tc>
          <w:tcPr>
            <w:tcW w:w="1349" w:type="dxa"/>
            <w:shd w:val="clear" w:color="auto" w:fill="auto"/>
            <w:vAlign w:val="center"/>
          </w:tcPr>
          <w:p w:rsidR="000E33B8" w:rsidRPr="00680250" w14:paraId="30EF5DD2" w14:textId="26E07581">
            <w:pPr>
              <w:keepNext/>
              <w:ind w:left="189" w:right="183"/>
              <w:jc w:val="center"/>
              <w:rPr>
                <w:sz w:val="22"/>
                <w:szCs w:val="22"/>
              </w:rPr>
            </w:pPr>
            <w:r w:rsidRPr="00680250">
              <w:rPr>
                <w:sz w:val="22"/>
                <w:szCs w:val="22"/>
              </w:rPr>
              <w:t>176</w:t>
            </w:r>
          </w:p>
        </w:tc>
        <w:tc>
          <w:tcPr>
            <w:tcW w:w="1349" w:type="dxa"/>
            <w:shd w:val="clear" w:color="auto" w:fill="auto"/>
            <w:vAlign w:val="center"/>
          </w:tcPr>
          <w:p w:rsidR="000E33B8" w:rsidRPr="00680250" w14:paraId="69EF1954" w14:textId="3F3DBAEA">
            <w:pPr>
              <w:keepNext/>
              <w:ind w:left="189" w:right="183"/>
              <w:jc w:val="center"/>
              <w:rPr>
                <w:sz w:val="22"/>
                <w:szCs w:val="22"/>
              </w:rPr>
            </w:pPr>
            <w:r w:rsidRPr="00680250">
              <w:rPr>
                <w:sz w:val="22"/>
                <w:szCs w:val="22"/>
              </w:rPr>
              <w:t>527</w:t>
            </w:r>
          </w:p>
        </w:tc>
        <w:tc>
          <w:tcPr>
            <w:tcW w:w="1529" w:type="dxa"/>
            <w:shd w:val="clear" w:color="auto" w:fill="auto"/>
            <w:vAlign w:val="center"/>
          </w:tcPr>
          <w:p w:rsidR="000E33B8" w:rsidRPr="00680250" w14:paraId="14AB95C4" w14:textId="6E5B11C0">
            <w:pPr>
              <w:keepNext/>
              <w:ind w:left="189" w:right="183"/>
              <w:jc w:val="center"/>
              <w:rPr>
                <w:sz w:val="22"/>
                <w:szCs w:val="22"/>
              </w:rPr>
            </w:pPr>
            <w:r w:rsidRPr="00680250">
              <w:rPr>
                <w:sz w:val="22"/>
                <w:szCs w:val="22"/>
              </w:rPr>
              <w:t>15</w:t>
            </w:r>
          </w:p>
        </w:tc>
        <w:tc>
          <w:tcPr>
            <w:tcW w:w="1444" w:type="dxa"/>
            <w:shd w:val="clear" w:color="auto" w:fill="auto"/>
            <w:vAlign w:val="center"/>
          </w:tcPr>
          <w:p w:rsidR="000E33B8" w:rsidRPr="00680250" w14:paraId="159D4969" w14:textId="384C2BB9">
            <w:pPr>
              <w:keepNext/>
              <w:ind w:left="189" w:right="183"/>
              <w:jc w:val="center"/>
              <w:rPr>
                <w:sz w:val="22"/>
                <w:szCs w:val="22"/>
              </w:rPr>
            </w:pPr>
            <w:r w:rsidRPr="00680250">
              <w:rPr>
                <w:sz w:val="22"/>
                <w:szCs w:val="22"/>
              </w:rPr>
              <w:t>44</w:t>
            </w:r>
          </w:p>
        </w:tc>
      </w:tr>
      <w:tr w14:paraId="4C3D6660" w14:textId="77777777">
        <w:tblPrEx>
          <w:tblW w:w="9360" w:type="dxa"/>
          <w:jc w:val="center"/>
          <w:tblLayout w:type="fixed"/>
          <w:tblCellMar>
            <w:left w:w="0" w:type="dxa"/>
            <w:right w:w="0" w:type="dxa"/>
          </w:tblCellMar>
          <w:tblLook w:val="01E0"/>
        </w:tblPrEx>
        <w:trPr>
          <w:trHeight w:val="308"/>
          <w:jc w:val="center"/>
        </w:trPr>
        <w:tc>
          <w:tcPr>
            <w:tcW w:w="1885" w:type="dxa"/>
            <w:shd w:val="clear" w:color="auto" w:fill="auto"/>
          </w:tcPr>
          <w:p w:rsidR="000E33B8" w:rsidRPr="00680250" w14:paraId="3DFF8AC9" w14:textId="77777777">
            <w:pPr>
              <w:keepNext/>
              <w:ind w:left="189" w:right="183"/>
              <w:jc w:val="center"/>
              <w:rPr>
                <w:sz w:val="22"/>
                <w:szCs w:val="22"/>
              </w:rPr>
            </w:pPr>
            <w:r w:rsidRPr="00680250">
              <w:rPr>
                <w:sz w:val="22"/>
                <w:szCs w:val="28"/>
              </w:rPr>
              <w:t>Simple</w:t>
            </w:r>
          </w:p>
        </w:tc>
        <w:tc>
          <w:tcPr>
            <w:tcW w:w="1804" w:type="dxa"/>
            <w:shd w:val="clear" w:color="auto" w:fill="auto"/>
            <w:vAlign w:val="center"/>
          </w:tcPr>
          <w:p w:rsidR="000E33B8" w:rsidRPr="00680250" w14:paraId="0F7C08CE" w14:textId="2BC1F6B6">
            <w:pPr>
              <w:keepNext/>
              <w:ind w:left="189" w:right="183"/>
              <w:jc w:val="center"/>
              <w:rPr>
                <w:sz w:val="22"/>
                <w:szCs w:val="22"/>
              </w:rPr>
            </w:pPr>
            <w:r w:rsidRPr="00680250">
              <w:rPr>
                <w:sz w:val="22"/>
                <w:szCs w:val="22"/>
              </w:rPr>
              <w:t>.08</w:t>
            </w:r>
          </w:p>
        </w:tc>
        <w:tc>
          <w:tcPr>
            <w:tcW w:w="1349" w:type="dxa"/>
            <w:shd w:val="clear" w:color="auto" w:fill="auto"/>
            <w:vAlign w:val="center"/>
          </w:tcPr>
          <w:p w:rsidR="000E33B8" w:rsidRPr="00680250" w14:paraId="246A7AC3" w14:textId="07AD8A0F">
            <w:pPr>
              <w:keepNext/>
              <w:ind w:left="189" w:right="183"/>
              <w:jc w:val="center"/>
              <w:rPr>
                <w:sz w:val="22"/>
                <w:szCs w:val="22"/>
              </w:rPr>
            </w:pPr>
            <w:r w:rsidRPr="00680250">
              <w:rPr>
                <w:sz w:val="22"/>
                <w:szCs w:val="22"/>
              </w:rPr>
              <w:t>1,494</w:t>
            </w:r>
          </w:p>
        </w:tc>
        <w:tc>
          <w:tcPr>
            <w:tcW w:w="1349" w:type="dxa"/>
            <w:shd w:val="clear" w:color="auto" w:fill="auto"/>
            <w:vAlign w:val="center"/>
          </w:tcPr>
          <w:p w:rsidR="000E33B8" w:rsidRPr="00680250" w14:paraId="23F45FF6" w14:textId="28175E5C">
            <w:pPr>
              <w:keepNext/>
              <w:ind w:left="189" w:right="183"/>
              <w:jc w:val="center"/>
              <w:rPr>
                <w:sz w:val="22"/>
                <w:szCs w:val="22"/>
              </w:rPr>
            </w:pPr>
            <w:r w:rsidRPr="00680250">
              <w:rPr>
                <w:sz w:val="22"/>
                <w:szCs w:val="22"/>
              </w:rPr>
              <w:t>4,483</w:t>
            </w:r>
          </w:p>
        </w:tc>
        <w:tc>
          <w:tcPr>
            <w:tcW w:w="1529" w:type="dxa"/>
            <w:shd w:val="clear" w:color="auto" w:fill="auto"/>
            <w:vAlign w:val="center"/>
          </w:tcPr>
          <w:p w:rsidR="000E33B8" w:rsidRPr="00680250" w14:paraId="71122107" w14:textId="0008FAC5">
            <w:pPr>
              <w:keepNext/>
              <w:ind w:left="189" w:right="183"/>
              <w:jc w:val="center"/>
              <w:rPr>
                <w:sz w:val="22"/>
                <w:szCs w:val="22"/>
              </w:rPr>
            </w:pPr>
            <w:r w:rsidRPr="00680250">
              <w:rPr>
                <w:sz w:val="22"/>
                <w:szCs w:val="22"/>
              </w:rPr>
              <w:t>125</w:t>
            </w:r>
          </w:p>
        </w:tc>
        <w:tc>
          <w:tcPr>
            <w:tcW w:w="1444" w:type="dxa"/>
            <w:shd w:val="clear" w:color="auto" w:fill="auto"/>
            <w:vAlign w:val="center"/>
          </w:tcPr>
          <w:p w:rsidR="000E33B8" w:rsidRPr="00680250" w14:paraId="5F8A0061" w14:textId="130A4B25">
            <w:pPr>
              <w:keepNext/>
              <w:ind w:left="189" w:right="183"/>
              <w:jc w:val="center"/>
              <w:rPr>
                <w:sz w:val="22"/>
                <w:szCs w:val="22"/>
              </w:rPr>
            </w:pPr>
            <w:r w:rsidRPr="00680250">
              <w:rPr>
                <w:sz w:val="22"/>
                <w:szCs w:val="22"/>
              </w:rPr>
              <w:t>374</w:t>
            </w:r>
          </w:p>
        </w:tc>
      </w:tr>
      <w:tr w14:paraId="48334EC4" w14:textId="77777777">
        <w:tblPrEx>
          <w:tblW w:w="9360" w:type="dxa"/>
          <w:jc w:val="center"/>
          <w:tblLayout w:type="fixed"/>
          <w:tblCellMar>
            <w:left w:w="0" w:type="dxa"/>
            <w:right w:w="0" w:type="dxa"/>
          </w:tblCellMar>
          <w:tblLook w:val="01E0"/>
        </w:tblPrEx>
        <w:trPr>
          <w:trHeight w:val="308"/>
          <w:jc w:val="center"/>
        </w:trPr>
        <w:tc>
          <w:tcPr>
            <w:tcW w:w="9360" w:type="dxa"/>
            <w:gridSpan w:val="6"/>
            <w:shd w:val="clear" w:color="auto" w:fill="F2F2F2" w:themeFill="background1" w:themeFillShade="F2"/>
            <w:vAlign w:val="center"/>
          </w:tcPr>
          <w:p w:rsidR="000E33B8" w:rsidRPr="00680250" w14:paraId="6A8D423F" w14:textId="77777777">
            <w:pPr>
              <w:keepNext/>
              <w:ind w:left="189" w:right="183"/>
              <w:jc w:val="center"/>
              <w:rPr>
                <w:sz w:val="22"/>
                <w:szCs w:val="22"/>
              </w:rPr>
            </w:pPr>
            <w:r w:rsidRPr="00680250">
              <w:rPr>
                <w:sz w:val="22"/>
                <w:szCs w:val="22"/>
              </w:rPr>
              <w:t>Facility Siting</w:t>
            </w:r>
          </w:p>
        </w:tc>
      </w:tr>
      <w:tr w14:paraId="7844DAFF" w14:textId="77777777">
        <w:tblPrEx>
          <w:tblW w:w="9360" w:type="dxa"/>
          <w:jc w:val="center"/>
          <w:tblLayout w:type="fixed"/>
          <w:tblCellMar>
            <w:left w:w="0" w:type="dxa"/>
            <w:right w:w="0" w:type="dxa"/>
          </w:tblCellMar>
          <w:tblLook w:val="01E0"/>
        </w:tblPrEx>
        <w:trPr>
          <w:trHeight w:val="263"/>
          <w:jc w:val="center"/>
        </w:trPr>
        <w:tc>
          <w:tcPr>
            <w:tcW w:w="1885" w:type="dxa"/>
            <w:vAlign w:val="center"/>
          </w:tcPr>
          <w:p w:rsidR="000E33B8" w:rsidRPr="00680250" w14:paraId="736193E9" w14:textId="77777777">
            <w:pPr>
              <w:ind w:left="180" w:right="87"/>
              <w:jc w:val="center"/>
              <w:rPr>
                <w:sz w:val="22"/>
                <w:szCs w:val="22"/>
              </w:rPr>
            </w:pPr>
            <w:r w:rsidRPr="00680250">
              <w:rPr>
                <w:sz w:val="22"/>
                <w:szCs w:val="22"/>
              </w:rPr>
              <w:t>Complex</w:t>
            </w:r>
          </w:p>
        </w:tc>
        <w:tc>
          <w:tcPr>
            <w:tcW w:w="1804" w:type="dxa"/>
            <w:vAlign w:val="center"/>
          </w:tcPr>
          <w:p w:rsidR="000E33B8" w:rsidRPr="00680250" w14:paraId="01744244" w14:textId="4BAA90EF">
            <w:pPr>
              <w:ind w:left="277" w:right="267"/>
              <w:jc w:val="center"/>
              <w:rPr>
                <w:sz w:val="22"/>
                <w:szCs w:val="22"/>
              </w:rPr>
            </w:pPr>
            <w:r w:rsidRPr="00680250">
              <w:rPr>
                <w:sz w:val="22"/>
                <w:szCs w:val="22"/>
              </w:rPr>
              <w:t>.08</w:t>
            </w:r>
          </w:p>
        </w:tc>
        <w:tc>
          <w:tcPr>
            <w:tcW w:w="1349" w:type="dxa"/>
            <w:vAlign w:val="center"/>
          </w:tcPr>
          <w:p w:rsidR="000E33B8" w:rsidRPr="00680250" w14:paraId="641EDE7A" w14:textId="4FDF9616">
            <w:pPr>
              <w:ind w:left="277" w:right="267"/>
              <w:jc w:val="center"/>
              <w:rPr>
                <w:sz w:val="22"/>
                <w:szCs w:val="22"/>
              </w:rPr>
            </w:pPr>
            <w:r w:rsidRPr="00680250">
              <w:rPr>
                <w:sz w:val="22"/>
                <w:szCs w:val="22"/>
              </w:rPr>
              <w:t>636</w:t>
            </w:r>
          </w:p>
        </w:tc>
        <w:tc>
          <w:tcPr>
            <w:tcW w:w="1349" w:type="dxa"/>
            <w:vAlign w:val="center"/>
          </w:tcPr>
          <w:p w:rsidR="000E33B8" w:rsidRPr="00680250" w14:paraId="0F49DBDF" w14:textId="17279774">
            <w:pPr>
              <w:ind w:left="277" w:right="267"/>
              <w:jc w:val="center"/>
              <w:rPr>
                <w:sz w:val="22"/>
                <w:szCs w:val="22"/>
              </w:rPr>
            </w:pPr>
            <w:r w:rsidRPr="00680250">
              <w:rPr>
                <w:sz w:val="22"/>
                <w:szCs w:val="22"/>
              </w:rPr>
              <w:t>1,909</w:t>
            </w:r>
          </w:p>
        </w:tc>
        <w:tc>
          <w:tcPr>
            <w:tcW w:w="1529" w:type="dxa"/>
            <w:vAlign w:val="center"/>
          </w:tcPr>
          <w:p w:rsidR="000E33B8" w:rsidRPr="00680250" w14:paraId="1F84A805" w14:textId="5A9E0B03">
            <w:pPr>
              <w:jc w:val="center"/>
              <w:rPr>
                <w:sz w:val="22"/>
                <w:szCs w:val="22"/>
              </w:rPr>
            </w:pPr>
            <w:r w:rsidRPr="00680250">
              <w:rPr>
                <w:sz w:val="22"/>
                <w:szCs w:val="22"/>
              </w:rPr>
              <w:t>53</w:t>
            </w:r>
          </w:p>
        </w:tc>
        <w:tc>
          <w:tcPr>
            <w:tcW w:w="1444" w:type="dxa"/>
            <w:vAlign w:val="center"/>
          </w:tcPr>
          <w:p w:rsidR="000E33B8" w:rsidRPr="00680250" w14:paraId="3F2E8F86" w14:textId="4223FED8">
            <w:pPr>
              <w:ind w:left="191" w:right="183"/>
              <w:jc w:val="center"/>
              <w:rPr>
                <w:sz w:val="22"/>
                <w:szCs w:val="22"/>
              </w:rPr>
            </w:pPr>
            <w:r w:rsidRPr="00680250">
              <w:rPr>
                <w:sz w:val="22"/>
                <w:szCs w:val="22"/>
              </w:rPr>
              <w:t>159</w:t>
            </w:r>
          </w:p>
        </w:tc>
      </w:tr>
      <w:tr w14:paraId="43A04135" w14:textId="77777777">
        <w:tblPrEx>
          <w:tblW w:w="9360" w:type="dxa"/>
          <w:jc w:val="center"/>
          <w:tblLayout w:type="fixed"/>
          <w:tblCellMar>
            <w:left w:w="0" w:type="dxa"/>
            <w:right w:w="0" w:type="dxa"/>
          </w:tblCellMar>
          <w:tblLook w:val="01E0"/>
        </w:tblPrEx>
        <w:trPr>
          <w:trHeight w:val="263"/>
          <w:jc w:val="center"/>
        </w:trPr>
        <w:tc>
          <w:tcPr>
            <w:tcW w:w="1885" w:type="dxa"/>
            <w:vAlign w:val="center"/>
          </w:tcPr>
          <w:p w:rsidR="000E33B8" w:rsidRPr="00680250" w14:paraId="0492683E" w14:textId="77777777">
            <w:pPr>
              <w:ind w:left="180" w:right="87"/>
              <w:jc w:val="center"/>
              <w:rPr>
                <w:sz w:val="22"/>
                <w:szCs w:val="22"/>
              </w:rPr>
            </w:pPr>
            <w:r w:rsidRPr="00680250">
              <w:rPr>
                <w:sz w:val="22"/>
                <w:szCs w:val="22"/>
              </w:rPr>
              <w:t>Simple</w:t>
            </w:r>
          </w:p>
        </w:tc>
        <w:tc>
          <w:tcPr>
            <w:tcW w:w="1804" w:type="dxa"/>
            <w:vAlign w:val="center"/>
          </w:tcPr>
          <w:p w:rsidR="000E33B8" w:rsidRPr="00680250" w14:paraId="7FB5D2E2" w14:textId="7E458DF5">
            <w:pPr>
              <w:ind w:left="277" w:right="267"/>
              <w:jc w:val="center"/>
              <w:rPr>
                <w:sz w:val="22"/>
                <w:szCs w:val="22"/>
              </w:rPr>
            </w:pPr>
            <w:r w:rsidRPr="00680250">
              <w:rPr>
                <w:sz w:val="22"/>
                <w:szCs w:val="22"/>
              </w:rPr>
              <w:t>.08</w:t>
            </w:r>
          </w:p>
        </w:tc>
        <w:tc>
          <w:tcPr>
            <w:tcW w:w="1349" w:type="dxa"/>
            <w:vAlign w:val="center"/>
          </w:tcPr>
          <w:p w:rsidR="000E33B8" w:rsidRPr="00680250" w14:paraId="7D68296D" w14:textId="184BDC13">
            <w:pPr>
              <w:ind w:left="277" w:right="267"/>
              <w:jc w:val="center"/>
              <w:rPr>
                <w:sz w:val="22"/>
                <w:szCs w:val="22"/>
              </w:rPr>
            </w:pPr>
            <w:r w:rsidRPr="00680250">
              <w:rPr>
                <w:sz w:val="22"/>
                <w:szCs w:val="22"/>
              </w:rPr>
              <w:t>3,796</w:t>
            </w:r>
          </w:p>
        </w:tc>
        <w:tc>
          <w:tcPr>
            <w:tcW w:w="1349" w:type="dxa"/>
            <w:vAlign w:val="center"/>
          </w:tcPr>
          <w:p w:rsidR="000E33B8" w:rsidRPr="00680250" w14:paraId="200A2838" w14:textId="53416BFF">
            <w:pPr>
              <w:ind w:left="277" w:right="267"/>
              <w:jc w:val="center"/>
              <w:rPr>
                <w:sz w:val="22"/>
                <w:szCs w:val="22"/>
              </w:rPr>
            </w:pPr>
            <w:r w:rsidRPr="00680250">
              <w:rPr>
                <w:sz w:val="22"/>
                <w:szCs w:val="22"/>
              </w:rPr>
              <w:t>11,</w:t>
            </w:r>
            <w:r w:rsidRPr="00680250" w:rsidR="0091009E">
              <w:rPr>
                <w:sz w:val="22"/>
                <w:szCs w:val="22"/>
              </w:rPr>
              <w:t>387</w:t>
            </w:r>
          </w:p>
        </w:tc>
        <w:tc>
          <w:tcPr>
            <w:tcW w:w="1529" w:type="dxa"/>
            <w:vAlign w:val="center"/>
          </w:tcPr>
          <w:p w:rsidR="000E33B8" w:rsidRPr="00680250" w14:paraId="40B5BC4B" w14:textId="263B1C9F">
            <w:pPr>
              <w:jc w:val="center"/>
              <w:rPr>
                <w:sz w:val="22"/>
                <w:szCs w:val="22"/>
              </w:rPr>
            </w:pPr>
            <w:r w:rsidRPr="00680250">
              <w:rPr>
                <w:sz w:val="22"/>
                <w:szCs w:val="22"/>
              </w:rPr>
              <w:t>316</w:t>
            </w:r>
          </w:p>
        </w:tc>
        <w:tc>
          <w:tcPr>
            <w:tcW w:w="1444" w:type="dxa"/>
            <w:vAlign w:val="center"/>
          </w:tcPr>
          <w:p w:rsidR="000E33B8" w:rsidRPr="00680250" w14:paraId="17055BD2" w14:textId="57108D75">
            <w:pPr>
              <w:ind w:left="191" w:right="183"/>
              <w:jc w:val="center"/>
              <w:rPr>
                <w:sz w:val="22"/>
                <w:szCs w:val="22"/>
              </w:rPr>
            </w:pPr>
            <w:r w:rsidRPr="00680250">
              <w:rPr>
                <w:sz w:val="22"/>
                <w:szCs w:val="22"/>
              </w:rPr>
              <w:t>949</w:t>
            </w:r>
          </w:p>
        </w:tc>
      </w:tr>
      <w:tr w14:paraId="71E8F75C" w14:textId="77777777">
        <w:tblPrEx>
          <w:tblW w:w="9360" w:type="dxa"/>
          <w:jc w:val="center"/>
          <w:tblLayout w:type="fixed"/>
          <w:tblCellMar>
            <w:left w:w="0" w:type="dxa"/>
            <w:right w:w="0" w:type="dxa"/>
          </w:tblCellMar>
          <w:tblLook w:val="01E0"/>
        </w:tblPrEx>
        <w:trPr>
          <w:trHeight w:val="263"/>
          <w:jc w:val="center"/>
        </w:trPr>
        <w:tc>
          <w:tcPr>
            <w:tcW w:w="9360" w:type="dxa"/>
            <w:gridSpan w:val="6"/>
            <w:shd w:val="clear" w:color="auto" w:fill="F2F2F2" w:themeFill="background1" w:themeFillShade="F2"/>
            <w:vAlign w:val="center"/>
          </w:tcPr>
          <w:p w:rsidR="000E33B8" w:rsidRPr="00680250" w14:paraId="75F277C0" w14:textId="77777777">
            <w:pPr>
              <w:ind w:left="191" w:right="183"/>
              <w:jc w:val="center"/>
              <w:rPr>
                <w:sz w:val="22"/>
                <w:szCs w:val="22"/>
              </w:rPr>
            </w:pPr>
            <w:r w:rsidRPr="00680250">
              <w:rPr>
                <w:sz w:val="22"/>
                <w:szCs w:val="22"/>
              </w:rPr>
              <w:t>Natural Hazards</w:t>
            </w:r>
          </w:p>
        </w:tc>
      </w:tr>
      <w:tr w14:paraId="62FD1A53" w14:textId="77777777">
        <w:tblPrEx>
          <w:tblW w:w="9360" w:type="dxa"/>
          <w:jc w:val="center"/>
          <w:tblLayout w:type="fixed"/>
          <w:tblCellMar>
            <w:left w:w="0" w:type="dxa"/>
            <w:right w:w="0" w:type="dxa"/>
          </w:tblCellMar>
          <w:tblLook w:val="01E0"/>
        </w:tblPrEx>
        <w:trPr>
          <w:trHeight w:val="263"/>
          <w:jc w:val="center"/>
        </w:trPr>
        <w:tc>
          <w:tcPr>
            <w:tcW w:w="1885" w:type="dxa"/>
            <w:vAlign w:val="center"/>
          </w:tcPr>
          <w:p w:rsidR="0091009E" w:rsidRPr="00680250" w:rsidP="0091009E" w14:paraId="116672F2" w14:textId="77777777">
            <w:pPr>
              <w:ind w:left="180" w:right="87"/>
              <w:jc w:val="center"/>
              <w:rPr>
                <w:sz w:val="22"/>
                <w:szCs w:val="22"/>
              </w:rPr>
            </w:pPr>
            <w:r w:rsidRPr="00680250">
              <w:rPr>
                <w:sz w:val="22"/>
                <w:szCs w:val="22"/>
              </w:rPr>
              <w:t>Complex</w:t>
            </w:r>
          </w:p>
        </w:tc>
        <w:tc>
          <w:tcPr>
            <w:tcW w:w="1804" w:type="dxa"/>
            <w:vAlign w:val="center"/>
          </w:tcPr>
          <w:p w:rsidR="0091009E" w:rsidRPr="00680250" w:rsidP="0091009E" w14:paraId="22545E65" w14:textId="7CAA27C2">
            <w:pPr>
              <w:ind w:left="277" w:right="267"/>
              <w:jc w:val="center"/>
              <w:rPr>
                <w:sz w:val="22"/>
                <w:szCs w:val="22"/>
              </w:rPr>
            </w:pPr>
            <w:r w:rsidRPr="00680250">
              <w:rPr>
                <w:sz w:val="22"/>
                <w:szCs w:val="22"/>
              </w:rPr>
              <w:t>.08</w:t>
            </w:r>
          </w:p>
        </w:tc>
        <w:tc>
          <w:tcPr>
            <w:tcW w:w="1349" w:type="dxa"/>
            <w:vAlign w:val="center"/>
          </w:tcPr>
          <w:p w:rsidR="0091009E" w:rsidRPr="00680250" w:rsidP="0091009E" w14:paraId="19B6102D" w14:textId="0044C2B0">
            <w:pPr>
              <w:ind w:left="277" w:right="267"/>
              <w:jc w:val="center"/>
              <w:rPr>
                <w:sz w:val="22"/>
                <w:szCs w:val="22"/>
              </w:rPr>
            </w:pPr>
            <w:r w:rsidRPr="00680250">
              <w:rPr>
                <w:sz w:val="22"/>
                <w:szCs w:val="22"/>
              </w:rPr>
              <w:t>636</w:t>
            </w:r>
          </w:p>
        </w:tc>
        <w:tc>
          <w:tcPr>
            <w:tcW w:w="1349" w:type="dxa"/>
            <w:vAlign w:val="center"/>
          </w:tcPr>
          <w:p w:rsidR="0091009E" w:rsidRPr="00680250" w:rsidP="0091009E" w14:paraId="78974CC3" w14:textId="0F032A81">
            <w:pPr>
              <w:ind w:left="277" w:right="267"/>
              <w:jc w:val="center"/>
              <w:rPr>
                <w:sz w:val="22"/>
                <w:szCs w:val="22"/>
              </w:rPr>
            </w:pPr>
            <w:r w:rsidRPr="00680250">
              <w:rPr>
                <w:sz w:val="22"/>
                <w:szCs w:val="22"/>
              </w:rPr>
              <w:t>1,909</w:t>
            </w:r>
          </w:p>
        </w:tc>
        <w:tc>
          <w:tcPr>
            <w:tcW w:w="1529" w:type="dxa"/>
            <w:vAlign w:val="center"/>
          </w:tcPr>
          <w:p w:rsidR="0091009E" w:rsidRPr="00680250" w:rsidP="0091009E" w14:paraId="5F68BA71" w14:textId="0B06D6A4">
            <w:pPr>
              <w:jc w:val="center"/>
              <w:rPr>
                <w:sz w:val="22"/>
                <w:szCs w:val="22"/>
              </w:rPr>
            </w:pPr>
            <w:r w:rsidRPr="00680250">
              <w:rPr>
                <w:sz w:val="22"/>
                <w:szCs w:val="22"/>
              </w:rPr>
              <w:t>53</w:t>
            </w:r>
          </w:p>
        </w:tc>
        <w:tc>
          <w:tcPr>
            <w:tcW w:w="1444" w:type="dxa"/>
            <w:vAlign w:val="center"/>
          </w:tcPr>
          <w:p w:rsidR="0091009E" w:rsidRPr="00680250" w:rsidP="0091009E" w14:paraId="4FC56694" w14:textId="74B66D8C">
            <w:pPr>
              <w:ind w:left="191" w:right="183"/>
              <w:jc w:val="center"/>
              <w:rPr>
                <w:sz w:val="22"/>
                <w:szCs w:val="22"/>
              </w:rPr>
            </w:pPr>
            <w:r w:rsidRPr="00680250">
              <w:rPr>
                <w:sz w:val="22"/>
                <w:szCs w:val="22"/>
              </w:rPr>
              <w:t>159</w:t>
            </w:r>
          </w:p>
        </w:tc>
      </w:tr>
      <w:tr w14:paraId="2BBC3626" w14:textId="77777777">
        <w:tblPrEx>
          <w:tblW w:w="9360" w:type="dxa"/>
          <w:jc w:val="center"/>
          <w:tblLayout w:type="fixed"/>
          <w:tblCellMar>
            <w:left w:w="0" w:type="dxa"/>
            <w:right w:w="0" w:type="dxa"/>
          </w:tblCellMar>
          <w:tblLook w:val="01E0"/>
        </w:tblPrEx>
        <w:trPr>
          <w:trHeight w:val="263"/>
          <w:jc w:val="center"/>
        </w:trPr>
        <w:tc>
          <w:tcPr>
            <w:tcW w:w="1885" w:type="dxa"/>
            <w:vAlign w:val="center"/>
          </w:tcPr>
          <w:p w:rsidR="0091009E" w:rsidRPr="00680250" w:rsidP="0091009E" w14:paraId="22E7C4D6" w14:textId="77777777">
            <w:pPr>
              <w:ind w:left="180" w:right="87"/>
              <w:jc w:val="center"/>
              <w:rPr>
                <w:sz w:val="22"/>
                <w:szCs w:val="22"/>
              </w:rPr>
            </w:pPr>
            <w:r w:rsidRPr="00680250">
              <w:rPr>
                <w:sz w:val="22"/>
                <w:szCs w:val="22"/>
              </w:rPr>
              <w:t>Simple</w:t>
            </w:r>
          </w:p>
        </w:tc>
        <w:tc>
          <w:tcPr>
            <w:tcW w:w="1804" w:type="dxa"/>
            <w:vAlign w:val="center"/>
          </w:tcPr>
          <w:p w:rsidR="0091009E" w:rsidRPr="00680250" w:rsidP="0091009E" w14:paraId="307701B0" w14:textId="128F354F">
            <w:pPr>
              <w:ind w:left="277" w:right="267"/>
              <w:jc w:val="center"/>
              <w:rPr>
                <w:sz w:val="22"/>
                <w:szCs w:val="22"/>
              </w:rPr>
            </w:pPr>
            <w:r w:rsidRPr="00680250">
              <w:rPr>
                <w:sz w:val="22"/>
                <w:szCs w:val="22"/>
              </w:rPr>
              <w:t>.08</w:t>
            </w:r>
          </w:p>
        </w:tc>
        <w:tc>
          <w:tcPr>
            <w:tcW w:w="1349" w:type="dxa"/>
            <w:vAlign w:val="center"/>
          </w:tcPr>
          <w:p w:rsidR="0091009E" w:rsidRPr="00680250" w:rsidP="0091009E" w14:paraId="60887C66" w14:textId="68ED92E1">
            <w:pPr>
              <w:ind w:left="277" w:right="267"/>
              <w:jc w:val="center"/>
              <w:rPr>
                <w:sz w:val="22"/>
                <w:szCs w:val="22"/>
              </w:rPr>
            </w:pPr>
            <w:r w:rsidRPr="00680250">
              <w:rPr>
                <w:sz w:val="22"/>
                <w:szCs w:val="22"/>
              </w:rPr>
              <w:t>3,796</w:t>
            </w:r>
          </w:p>
        </w:tc>
        <w:tc>
          <w:tcPr>
            <w:tcW w:w="1349" w:type="dxa"/>
            <w:vAlign w:val="center"/>
          </w:tcPr>
          <w:p w:rsidR="0091009E" w:rsidRPr="00680250" w:rsidP="0091009E" w14:paraId="6F194F7C" w14:textId="07824506">
            <w:pPr>
              <w:ind w:left="277" w:right="267"/>
              <w:jc w:val="center"/>
              <w:rPr>
                <w:sz w:val="22"/>
                <w:szCs w:val="22"/>
              </w:rPr>
            </w:pPr>
            <w:r w:rsidRPr="00680250">
              <w:rPr>
                <w:sz w:val="22"/>
                <w:szCs w:val="22"/>
              </w:rPr>
              <w:t>11,387</w:t>
            </w:r>
          </w:p>
        </w:tc>
        <w:tc>
          <w:tcPr>
            <w:tcW w:w="1529" w:type="dxa"/>
            <w:vAlign w:val="center"/>
          </w:tcPr>
          <w:p w:rsidR="0091009E" w:rsidRPr="00680250" w:rsidP="0091009E" w14:paraId="390B409B" w14:textId="41049116">
            <w:pPr>
              <w:jc w:val="center"/>
              <w:rPr>
                <w:sz w:val="22"/>
                <w:szCs w:val="22"/>
              </w:rPr>
            </w:pPr>
            <w:r w:rsidRPr="00680250">
              <w:rPr>
                <w:sz w:val="22"/>
                <w:szCs w:val="22"/>
              </w:rPr>
              <w:t>316</w:t>
            </w:r>
          </w:p>
        </w:tc>
        <w:tc>
          <w:tcPr>
            <w:tcW w:w="1444" w:type="dxa"/>
            <w:vAlign w:val="center"/>
          </w:tcPr>
          <w:p w:rsidR="0091009E" w:rsidRPr="00680250" w:rsidP="0091009E" w14:paraId="7FBA5E2F" w14:textId="36C786AA">
            <w:pPr>
              <w:ind w:left="191" w:right="183"/>
              <w:jc w:val="center"/>
              <w:rPr>
                <w:sz w:val="22"/>
                <w:szCs w:val="22"/>
              </w:rPr>
            </w:pPr>
            <w:r w:rsidRPr="00680250">
              <w:rPr>
                <w:sz w:val="22"/>
                <w:szCs w:val="22"/>
              </w:rPr>
              <w:t>949</w:t>
            </w:r>
          </w:p>
        </w:tc>
      </w:tr>
      <w:tr w14:paraId="43D28B83" w14:textId="77777777">
        <w:tblPrEx>
          <w:tblW w:w="9360" w:type="dxa"/>
          <w:jc w:val="center"/>
          <w:tblLayout w:type="fixed"/>
          <w:tblCellMar>
            <w:left w:w="0" w:type="dxa"/>
            <w:right w:w="0" w:type="dxa"/>
          </w:tblCellMar>
          <w:tblLook w:val="01E0"/>
        </w:tblPrEx>
        <w:trPr>
          <w:trHeight w:val="263"/>
          <w:jc w:val="center"/>
        </w:trPr>
        <w:tc>
          <w:tcPr>
            <w:tcW w:w="9360" w:type="dxa"/>
            <w:gridSpan w:val="6"/>
            <w:shd w:val="clear" w:color="auto" w:fill="F2F2F2" w:themeFill="background1" w:themeFillShade="F2"/>
            <w:vAlign w:val="center"/>
          </w:tcPr>
          <w:p w:rsidR="000E33B8" w:rsidRPr="00680250" w14:paraId="6E761A0E" w14:textId="77777777">
            <w:pPr>
              <w:ind w:left="191" w:right="183"/>
              <w:jc w:val="center"/>
              <w:rPr>
                <w:sz w:val="22"/>
                <w:szCs w:val="22"/>
              </w:rPr>
            </w:pPr>
            <w:r w:rsidRPr="00680250">
              <w:rPr>
                <w:sz w:val="22"/>
                <w:szCs w:val="22"/>
              </w:rPr>
              <w:t>RAGAGEP</w:t>
            </w:r>
          </w:p>
        </w:tc>
      </w:tr>
      <w:tr w14:paraId="46CBA64B" w14:textId="77777777">
        <w:tblPrEx>
          <w:tblW w:w="9360" w:type="dxa"/>
          <w:jc w:val="center"/>
          <w:tblLayout w:type="fixed"/>
          <w:tblCellMar>
            <w:left w:w="0" w:type="dxa"/>
            <w:right w:w="0" w:type="dxa"/>
          </w:tblCellMar>
          <w:tblLook w:val="01E0"/>
        </w:tblPrEx>
        <w:trPr>
          <w:trHeight w:val="263"/>
          <w:jc w:val="center"/>
        </w:trPr>
        <w:tc>
          <w:tcPr>
            <w:tcW w:w="1885" w:type="dxa"/>
            <w:vAlign w:val="center"/>
          </w:tcPr>
          <w:p w:rsidR="000E33B8" w:rsidRPr="00680250" w14:paraId="7F3F0750" w14:textId="77777777">
            <w:pPr>
              <w:ind w:left="180" w:right="87"/>
              <w:jc w:val="center"/>
              <w:rPr>
                <w:sz w:val="22"/>
                <w:szCs w:val="22"/>
              </w:rPr>
            </w:pPr>
            <w:r w:rsidRPr="00680250">
              <w:rPr>
                <w:sz w:val="22"/>
                <w:szCs w:val="22"/>
              </w:rPr>
              <w:t>Complex</w:t>
            </w:r>
          </w:p>
        </w:tc>
        <w:tc>
          <w:tcPr>
            <w:tcW w:w="1804" w:type="dxa"/>
            <w:vAlign w:val="center"/>
          </w:tcPr>
          <w:p w:rsidR="000E33B8" w:rsidRPr="00680250" w14:paraId="30088964" w14:textId="77C654CC">
            <w:pPr>
              <w:ind w:left="277" w:right="267"/>
              <w:jc w:val="center"/>
              <w:rPr>
                <w:sz w:val="22"/>
                <w:szCs w:val="22"/>
              </w:rPr>
            </w:pPr>
            <w:r w:rsidRPr="00680250">
              <w:rPr>
                <w:sz w:val="22"/>
                <w:szCs w:val="22"/>
              </w:rPr>
              <w:t>.08</w:t>
            </w:r>
          </w:p>
        </w:tc>
        <w:tc>
          <w:tcPr>
            <w:tcW w:w="1349" w:type="dxa"/>
            <w:vAlign w:val="center"/>
          </w:tcPr>
          <w:p w:rsidR="000E33B8" w:rsidRPr="00680250" w14:paraId="528B8896" w14:textId="07C67897">
            <w:pPr>
              <w:ind w:left="277" w:right="267"/>
              <w:jc w:val="center"/>
              <w:rPr>
                <w:sz w:val="22"/>
                <w:szCs w:val="22"/>
              </w:rPr>
            </w:pPr>
            <w:r w:rsidRPr="00680250">
              <w:rPr>
                <w:sz w:val="22"/>
                <w:szCs w:val="22"/>
              </w:rPr>
              <w:t>611</w:t>
            </w:r>
          </w:p>
        </w:tc>
        <w:tc>
          <w:tcPr>
            <w:tcW w:w="1349" w:type="dxa"/>
            <w:vAlign w:val="center"/>
          </w:tcPr>
          <w:p w:rsidR="000E33B8" w:rsidRPr="00680250" w14:paraId="4E03B25D" w14:textId="3224CF69">
            <w:pPr>
              <w:ind w:left="277" w:right="267"/>
              <w:jc w:val="center"/>
              <w:rPr>
                <w:sz w:val="22"/>
                <w:szCs w:val="22"/>
              </w:rPr>
            </w:pPr>
            <w:r w:rsidRPr="00680250">
              <w:rPr>
                <w:sz w:val="22"/>
                <w:szCs w:val="22"/>
              </w:rPr>
              <w:t>1</w:t>
            </w:r>
            <w:r w:rsidRPr="00680250" w:rsidR="0061314C">
              <w:rPr>
                <w:sz w:val="22"/>
                <w:szCs w:val="22"/>
              </w:rPr>
              <w:t>,832</w:t>
            </w:r>
          </w:p>
        </w:tc>
        <w:tc>
          <w:tcPr>
            <w:tcW w:w="1529" w:type="dxa"/>
            <w:vAlign w:val="center"/>
          </w:tcPr>
          <w:p w:rsidR="000E33B8" w:rsidRPr="00680250" w14:paraId="7EDE8BBF" w14:textId="716D85C8">
            <w:pPr>
              <w:jc w:val="center"/>
              <w:rPr>
                <w:sz w:val="22"/>
                <w:szCs w:val="22"/>
              </w:rPr>
            </w:pPr>
            <w:r w:rsidRPr="00680250">
              <w:rPr>
                <w:sz w:val="22"/>
                <w:szCs w:val="22"/>
              </w:rPr>
              <w:t>51</w:t>
            </w:r>
          </w:p>
        </w:tc>
        <w:tc>
          <w:tcPr>
            <w:tcW w:w="1444" w:type="dxa"/>
            <w:vAlign w:val="center"/>
          </w:tcPr>
          <w:p w:rsidR="000E33B8" w:rsidRPr="00680250" w14:paraId="3AA42928" w14:textId="3E4B33E3">
            <w:pPr>
              <w:ind w:left="191" w:right="183"/>
              <w:jc w:val="center"/>
              <w:rPr>
                <w:sz w:val="22"/>
                <w:szCs w:val="22"/>
              </w:rPr>
            </w:pPr>
            <w:r w:rsidRPr="00680250">
              <w:rPr>
                <w:sz w:val="22"/>
                <w:szCs w:val="22"/>
              </w:rPr>
              <w:t>153</w:t>
            </w:r>
          </w:p>
        </w:tc>
      </w:tr>
      <w:tr w14:paraId="0E0164C7" w14:textId="77777777">
        <w:tblPrEx>
          <w:tblW w:w="9360" w:type="dxa"/>
          <w:jc w:val="center"/>
          <w:tblLayout w:type="fixed"/>
          <w:tblCellMar>
            <w:left w:w="0" w:type="dxa"/>
            <w:right w:w="0" w:type="dxa"/>
          </w:tblCellMar>
          <w:tblLook w:val="01E0"/>
        </w:tblPrEx>
        <w:trPr>
          <w:trHeight w:val="263"/>
          <w:jc w:val="center"/>
        </w:trPr>
        <w:tc>
          <w:tcPr>
            <w:tcW w:w="1885" w:type="dxa"/>
            <w:vAlign w:val="center"/>
          </w:tcPr>
          <w:p w:rsidR="000E33B8" w:rsidRPr="00680250" w14:paraId="0DB75F05" w14:textId="77777777">
            <w:pPr>
              <w:ind w:left="180" w:right="87"/>
              <w:jc w:val="center"/>
              <w:rPr>
                <w:sz w:val="22"/>
                <w:szCs w:val="22"/>
              </w:rPr>
            </w:pPr>
            <w:r w:rsidRPr="00680250">
              <w:rPr>
                <w:sz w:val="22"/>
                <w:szCs w:val="22"/>
              </w:rPr>
              <w:t>Simple</w:t>
            </w:r>
          </w:p>
        </w:tc>
        <w:tc>
          <w:tcPr>
            <w:tcW w:w="1804" w:type="dxa"/>
            <w:vAlign w:val="center"/>
          </w:tcPr>
          <w:p w:rsidR="000E33B8" w:rsidRPr="00680250" w14:paraId="4EC4F924" w14:textId="0908BDC5">
            <w:pPr>
              <w:ind w:left="277" w:right="267"/>
              <w:jc w:val="center"/>
              <w:rPr>
                <w:sz w:val="22"/>
                <w:szCs w:val="22"/>
              </w:rPr>
            </w:pPr>
            <w:r w:rsidRPr="00680250">
              <w:rPr>
                <w:sz w:val="22"/>
                <w:szCs w:val="22"/>
              </w:rPr>
              <w:t>.08</w:t>
            </w:r>
          </w:p>
        </w:tc>
        <w:tc>
          <w:tcPr>
            <w:tcW w:w="1349" w:type="dxa"/>
            <w:vAlign w:val="center"/>
          </w:tcPr>
          <w:p w:rsidR="000E33B8" w:rsidRPr="00680250" w14:paraId="7596A800" w14:textId="57585EF8">
            <w:pPr>
              <w:ind w:left="277" w:right="267"/>
              <w:jc w:val="center"/>
              <w:rPr>
                <w:sz w:val="22"/>
                <w:szCs w:val="22"/>
              </w:rPr>
            </w:pPr>
            <w:r w:rsidRPr="00680250">
              <w:rPr>
                <w:sz w:val="22"/>
                <w:szCs w:val="22"/>
              </w:rPr>
              <w:t>2,231</w:t>
            </w:r>
          </w:p>
        </w:tc>
        <w:tc>
          <w:tcPr>
            <w:tcW w:w="1349" w:type="dxa"/>
            <w:vAlign w:val="center"/>
          </w:tcPr>
          <w:p w:rsidR="000E33B8" w:rsidRPr="00680250" w14:paraId="2FB8049B" w14:textId="618C1401">
            <w:pPr>
              <w:ind w:left="277" w:right="267"/>
              <w:jc w:val="center"/>
              <w:rPr>
                <w:sz w:val="22"/>
                <w:szCs w:val="22"/>
              </w:rPr>
            </w:pPr>
            <w:r w:rsidRPr="00680250">
              <w:rPr>
                <w:sz w:val="22"/>
                <w:szCs w:val="22"/>
              </w:rPr>
              <w:t>6,694</w:t>
            </w:r>
          </w:p>
        </w:tc>
        <w:tc>
          <w:tcPr>
            <w:tcW w:w="1529" w:type="dxa"/>
            <w:vAlign w:val="center"/>
          </w:tcPr>
          <w:p w:rsidR="000E33B8" w:rsidRPr="00680250" w14:paraId="41958AD8" w14:textId="52F9184E">
            <w:pPr>
              <w:jc w:val="center"/>
              <w:rPr>
                <w:sz w:val="22"/>
                <w:szCs w:val="22"/>
              </w:rPr>
            </w:pPr>
            <w:r w:rsidRPr="00680250">
              <w:rPr>
                <w:sz w:val="22"/>
                <w:szCs w:val="22"/>
              </w:rPr>
              <w:t>186</w:t>
            </w:r>
          </w:p>
        </w:tc>
        <w:tc>
          <w:tcPr>
            <w:tcW w:w="1444" w:type="dxa"/>
            <w:vAlign w:val="center"/>
          </w:tcPr>
          <w:p w:rsidR="000E33B8" w:rsidRPr="00680250" w14:paraId="20FC66D3" w14:textId="2F1DE3C2">
            <w:pPr>
              <w:ind w:left="191" w:right="183"/>
              <w:jc w:val="center"/>
              <w:rPr>
                <w:sz w:val="22"/>
                <w:szCs w:val="22"/>
              </w:rPr>
            </w:pPr>
            <w:r w:rsidRPr="00680250">
              <w:rPr>
                <w:sz w:val="22"/>
                <w:szCs w:val="22"/>
              </w:rPr>
              <w:t>558</w:t>
            </w:r>
          </w:p>
        </w:tc>
      </w:tr>
    </w:tbl>
    <w:p w:rsidR="000E33B8" w:rsidP="000E33B8" w14:paraId="6683DBA4" w14:textId="77777777">
      <w:r w:rsidRPr="005751A7">
        <w:t xml:space="preserve">* EPA assumed that the burden associated with this provision would be incurred by the same number of facilities in Years 1, 2, and 3.   </w:t>
      </w:r>
    </w:p>
    <w:p w:rsidR="000E33B8" w:rsidRPr="00D206B9" w:rsidP="000E33B8" w14:paraId="6B8E0901" w14:textId="77777777">
      <w:pPr>
        <w:rPr>
          <w:highlight w:val="green"/>
        </w:rPr>
      </w:pPr>
    </w:p>
    <w:p w:rsidR="000E33B8" w:rsidRPr="00CA2D27" w:rsidP="000E33B8" w14:paraId="42FC50D1" w14:textId="77777777">
      <w:pPr>
        <w:rPr>
          <w:sz w:val="22"/>
          <w:szCs w:val="22"/>
        </w:rPr>
      </w:pPr>
      <w:r w:rsidRPr="00D206B9">
        <w:rPr>
          <w:i/>
          <w:iCs/>
          <w:sz w:val="22"/>
          <w:szCs w:val="22"/>
        </w:rPr>
        <w:t xml:space="preserve">Community </w:t>
      </w:r>
      <w:r w:rsidRPr="00330FF3">
        <w:rPr>
          <w:i/>
          <w:iCs/>
          <w:sz w:val="22"/>
          <w:szCs w:val="22"/>
        </w:rPr>
        <w:t>Notification</w:t>
      </w:r>
      <w:r w:rsidRPr="00D206B9">
        <w:rPr>
          <w:i/>
          <w:iCs/>
          <w:sz w:val="22"/>
          <w:szCs w:val="22"/>
        </w:rPr>
        <w:t xml:space="preserve"> System</w:t>
      </w:r>
      <w:r w:rsidRPr="00D206B9">
        <w:rPr>
          <w:sz w:val="22"/>
          <w:szCs w:val="22"/>
        </w:rPr>
        <w:t xml:space="preserve"> </w:t>
      </w:r>
      <w:r>
        <w:rPr>
          <w:sz w:val="22"/>
          <w:szCs w:val="22"/>
        </w:rPr>
        <w:t>–</w:t>
      </w:r>
      <w:r w:rsidRPr="00D206B9">
        <w:rPr>
          <w:sz w:val="22"/>
          <w:szCs w:val="22"/>
        </w:rPr>
        <w:t xml:space="preserve"> </w:t>
      </w:r>
      <w:r w:rsidRPr="00CA2D27">
        <w:rPr>
          <w:sz w:val="22"/>
          <w:szCs w:val="22"/>
        </w:rPr>
        <w:t>The final rule will require all facilities with Program 2 or 3 processes to provide accidental release notification and data to local responders and ensure that a community notification system is in place. The presence of State and/or local Integrated Public Alert and Warning System (IPAWS)  alerting authorities covering all 50 States plus D.C., Puerto Rico, and the U.S. Virgin Islands implies that the infrastructure is in place nationwide for facilities to ensure community notification. Therefore, the direct cost associated with the provision will be coordination between the facilities and local responders.</w:t>
      </w:r>
    </w:p>
    <w:p w:rsidR="000E33B8" w:rsidRPr="00CA2D27" w:rsidP="000E33B8" w14:paraId="64B539AA" w14:textId="77777777">
      <w:pPr>
        <w:rPr>
          <w:sz w:val="22"/>
          <w:szCs w:val="22"/>
        </w:rPr>
      </w:pPr>
    </w:p>
    <w:p w:rsidR="000E33B8" w:rsidP="000E33B8" w14:paraId="17722380" w14:textId="4C904577">
      <w:pPr>
        <w:rPr>
          <w:sz w:val="22"/>
          <w:szCs w:val="22"/>
        </w:rPr>
      </w:pPr>
      <w:r w:rsidRPr="00CA2D27">
        <w:rPr>
          <w:sz w:val="22"/>
          <w:szCs w:val="22"/>
        </w:rPr>
        <w:t>EPA assumes all facilities with Program 2 or 3 processes will have to take some additional steps to coordinate with local responders to ensure a process is in place to transfer accidental release notification and data to local responders and ensure the successful ability to use a community notification system. EPA assumes simple facilities will require an additional 2 hours of facility management time and an additional 1 hour of local responder time for them to communicate with each other about a community notification system and for the facility to provide any additional information necessary for coordination and document this additional coordination. EPA assumes the additional coordination time for complex facilities will be approximately double that of simple facilities.</w:t>
      </w:r>
      <w:r w:rsidRPr="00332E9F" w:rsidR="00332E9F">
        <w:t xml:space="preserve"> </w:t>
      </w:r>
    </w:p>
    <w:p w:rsidR="000E33B8" w:rsidRPr="00451AB6" w:rsidP="000E33B8" w14:paraId="10C898D4" w14:textId="47D37738">
      <w:pPr>
        <w:pStyle w:val="Caption"/>
        <w:keepNext/>
        <w:spacing w:after="0"/>
        <w:jc w:val="center"/>
        <w:rPr>
          <w:b/>
          <w:bCs/>
          <w:i w:val="0"/>
          <w:iCs w:val="0"/>
          <w:color w:val="auto"/>
          <w:sz w:val="22"/>
          <w:szCs w:val="22"/>
        </w:rPr>
      </w:pPr>
      <w:r w:rsidRPr="00451AB6">
        <w:rPr>
          <w:b/>
          <w:bCs/>
          <w:i w:val="0"/>
          <w:iCs w:val="0"/>
          <w:color w:val="auto"/>
          <w:sz w:val="22"/>
          <w:szCs w:val="22"/>
        </w:rPr>
        <w:t>Exhibit</w:t>
      </w:r>
      <w:r>
        <w:rPr>
          <w:b/>
          <w:bCs/>
          <w:i w:val="0"/>
          <w:iCs w:val="0"/>
          <w:color w:val="auto"/>
          <w:sz w:val="22"/>
          <w:szCs w:val="22"/>
        </w:rPr>
        <w:t xml:space="preserve"> </w:t>
      </w:r>
      <w:r w:rsidR="00CF3F54">
        <w:rPr>
          <w:b/>
          <w:bCs/>
          <w:i w:val="0"/>
          <w:iCs w:val="0"/>
          <w:color w:val="auto"/>
          <w:sz w:val="22"/>
          <w:szCs w:val="22"/>
        </w:rPr>
        <w:t>11</w:t>
      </w:r>
      <w:r>
        <w:rPr>
          <w:b/>
          <w:bCs/>
          <w:i w:val="0"/>
          <w:iCs w:val="0"/>
          <w:color w:val="auto"/>
          <w:sz w:val="22"/>
          <w:szCs w:val="22"/>
        </w:rPr>
        <w:t>:</w:t>
      </w:r>
      <w:r w:rsidRPr="009C6838">
        <w:rPr>
          <w:b/>
          <w:bCs/>
          <w:sz w:val="22"/>
          <w:szCs w:val="22"/>
        </w:rPr>
        <w:t xml:space="preserve"> </w:t>
      </w:r>
      <w:r>
        <w:rPr>
          <w:b/>
          <w:bCs/>
          <w:i w:val="0"/>
          <w:iCs w:val="0"/>
          <w:color w:val="auto"/>
          <w:sz w:val="22"/>
          <w:szCs w:val="22"/>
        </w:rPr>
        <w:t>Hour Burden</w:t>
      </w:r>
      <w:r w:rsidRPr="00451AB6">
        <w:rPr>
          <w:b/>
          <w:bCs/>
          <w:i w:val="0"/>
          <w:iCs w:val="0"/>
          <w:color w:val="auto"/>
          <w:sz w:val="22"/>
          <w:szCs w:val="22"/>
        </w:rPr>
        <w:t xml:space="preserve"> for </w:t>
      </w:r>
      <w:r w:rsidRPr="008C16A9">
        <w:rPr>
          <w:b/>
          <w:bCs/>
          <w:i w:val="0"/>
          <w:iCs w:val="0"/>
          <w:color w:val="auto"/>
          <w:sz w:val="22"/>
          <w:szCs w:val="22"/>
        </w:rPr>
        <w:t>Community Notification</w:t>
      </w:r>
      <w:r>
        <w:rPr>
          <w:b/>
          <w:bCs/>
          <w:i w:val="0"/>
          <w:iCs w:val="0"/>
          <w:color w:val="auto"/>
          <w:sz w:val="22"/>
          <w:szCs w:val="22"/>
        </w:rPr>
        <w:t xml:space="preserve"> System</w:t>
      </w:r>
    </w:p>
    <w:tbl>
      <w:tblPr>
        <w:tblW w:w="7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8"/>
        <w:gridCol w:w="1537"/>
        <w:gridCol w:w="990"/>
        <w:gridCol w:w="919"/>
        <w:gridCol w:w="1157"/>
        <w:gridCol w:w="1254"/>
      </w:tblGrid>
      <w:tr w14:paraId="0AB9E88F" w14:textId="77777777">
        <w:tblPrEx>
          <w:tblW w:w="7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2"/>
          <w:jc w:val="center"/>
        </w:trPr>
        <w:tc>
          <w:tcPr>
            <w:tcW w:w="1518" w:type="dxa"/>
            <w:vMerge w:val="restart"/>
            <w:tcBorders>
              <w:top w:val="single" w:sz="4" w:space="0" w:color="auto"/>
            </w:tcBorders>
            <w:shd w:val="clear" w:color="auto" w:fill="D9D9D9" w:themeFill="background1" w:themeFillShade="D9"/>
            <w:vAlign w:val="center"/>
          </w:tcPr>
          <w:p w:rsidR="000E33B8" w:rsidRPr="00F3547C" w14:paraId="7A9BC0BF" w14:textId="77777777">
            <w:pPr>
              <w:keepNext/>
              <w:keepLines/>
              <w:jc w:val="center"/>
              <w:rPr>
                <w:b/>
                <w:bCs/>
                <w:szCs w:val="20"/>
              </w:rPr>
            </w:pPr>
            <w:r>
              <w:rPr>
                <w:b/>
                <w:bCs/>
                <w:szCs w:val="20"/>
              </w:rPr>
              <w:t>Facility Type</w:t>
            </w:r>
          </w:p>
        </w:tc>
        <w:tc>
          <w:tcPr>
            <w:tcW w:w="1537" w:type="dxa"/>
            <w:vMerge w:val="restart"/>
            <w:tcBorders>
              <w:top w:val="single" w:sz="4" w:space="0" w:color="auto"/>
            </w:tcBorders>
            <w:shd w:val="clear" w:color="auto" w:fill="D9D9D9"/>
            <w:vAlign w:val="center"/>
          </w:tcPr>
          <w:p w:rsidR="000E33B8" w:rsidRPr="00835820" w14:paraId="443E6762" w14:textId="77777777">
            <w:pPr>
              <w:keepNext/>
              <w:keepLines/>
              <w:ind w:left="127" w:right="119"/>
              <w:jc w:val="center"/>
              <w:rPr>
                <w:b/>
                <w:szCs w:val="20"/>
              </w:rPr>
            </w:pPr>
            <w:r w:rsidRPr="00BB3B6F">
              <w:rPr>
                <w:b/>
                <w:szCs w:val="20"/>
              </w:rPr>
              <w:t>Hours</w:t>
            </w:r>
            <w:r>
              <w:rPr>
                <w:b/>
                <w:szCs w:val="20"/>
              </w:rPr>
              <w:t xml:space="preserve"> </w:t>
            </w:r>
            <w:r w:rsidRPr="00BB3B6F">
              <w:rPr>
                <w:b/>
                <w:szCs w:val="20"/>
              </w:rPr>
              <w:t>Required</w:t>
            </w:r>
            <w:r>
              <w:rPr>
                <w:b/>
                <w:szCs w:val="20"/>
              </w:rPr>
              <w:t xml:space="preserve"> </w:t>
            </w:r>
            <w:r w:rsidRPr="004E2F13">
              <w:rPr>
                <w:b/>
                <w:szCs w:val="20"/>
              </w:rPr>
              <w:t>Per Respondent</w:t>
            </w:r>
          </w:p>
        </w:tc>
        <w:tc>
          <w:tcPr>
            <w:tcW w:w="1909" w:type="dxa"/>
            <w:gridSpan w:val="2"/>
            <w:tcBorders>
              <w:top w:val="single" w:sz="4" w:space="0" w:color="auto"/>
            </w:tcBorders>
            <w:shd w:val="clear" w:color="auto" w:fill="D9D9D9"/>
            <w:vAlign w:val="center"/>
          </w:tcPr>
          <w:p w:rsidR="000E33B8" w:rsidRPr="00835820" w14:paraId="2910E827" w14:textId="1691707E">
            <w:pPr>
              <w:keepNext/>
              <w:keepLines/>
              <w:ind w:left="100" w:right="79"/>
              <w:jc w:val="center"/>
              <w:rPr>
                <w:b/>
                <w:szCs w:val="20"/>
              </w:rPr>
            </w:pPr>
            <w:r w:rsidRPr="004C1E64">
              <w:rPr>
                <w:b/>
                <w:szCs w:val="20"/>
              </w:rPr>
              <w:t xml:space="preserve">Number of </w:t>
            </w:r>
            <w:r w:rsidR="00050E0D">
              <w:rPr>
                <w:b/>
                <w:szCs w:val="20"/>
              </w:rPr>
              <w:t>Respondents</w:t>
            </w:r>
          </w:p>
        </w:tc>
        <w:tc>
          <w:tcPr>
            <w:tcW w:w="1157" w:type="dxa"/>
            <w:vMerge w:val="restart"/>
            <w:tcBorders>
              <w:top w:val="single" w:sz="4" w:space="0" w:color="auto"/>
            </w:tcBorders>
            <w:shd w:val="clear" w:color="auto" w:fill="D9D9D9"/>
            <w:vAlign w:val="center"/>
          </w:tcPr>
          <w:p w:rsidR="000E33B8" w:rsidRPr="009762B0" w14:paraId="08A6F9F0" w14:textId="77777777">
            <w:pPr>
              <w:keepNext/>
              <w:keepLines/>
              <w:ind w:left="97" w:right="76"/>
              <w:jc w:val="center"/>
              <w:rPr>
                <w:b/>
                <w:szCs w:val="20"/>
              </w:rPr>
            </w:pPr>
            <w:r w:rsidRPr="007C2720">
              <w:rPr>
                <w:b/>
                <w:szCs w:val="20"/>
              </w:rPr>
              <w:t>3-Year Average Annual Burden (hours)</w:t>
            </w:r>
          </w:p>
        </w:tc>
        <w:tc>
          <w:tcPr>
            <w:tcW w:w="1254" w:type="dxa"/>
            <w:vMerge w:val="restart"/>
            <w:tcBorders>
              <w:top w:val="single" w:sz="4" w:space="0" w:color="auto"/>
            </w:tcBorders>
            <w:shd w:val="clear" w:color="auto" w:fill="D9D9D9" w:themeFill="background1" w:themeFillShade="D9"/>
            <w:vAlign w:val="center"/>
          </w:tcPr>
          <w:p w:rsidR="000E33B8" w:rsidRPr="00F3547C" w14:paraId="08CF1088" w14:textId="77777777">
            <w:pPr>
              <w:keepNext/>
              <w:keepLines/>
              <w:jc w:val="center"/>
              <w:rPr>
                <w:b/>
                <w:szCs w:val="20"/>
              </w:rPr>
            </w:pPr>
            <w:r w:rsidRPr="00E4312C">
              <w:rPr>
                <w:b/>
                <w:szCs w:val="20"/>
              </w:rPr>
              <w:t>3-Year Total Burden (hours)</w:t>
            </w:r>
          </w:p>
        </w:tc>
      </w:tr>
      <w:tr w14:paraId="19D1CB2E" w14:textId="77777777">
        <w:tblPrEx>
          <w:tblW w:w="7375" w:type="dxa"/>
          <w:jc w:val="center"/>
          <w:tblLayout w:type="fixed"/>
          <w:tblCellMar>
            <w:left w:w="0" w:type="dxa"/>
            <w:right w:w="0" w:type="dxa"/>
          </w:tblCellMar>
          <w:tblLook w:val="01E0"/>
        </w:tblPrEx>
        <w:trPr>
          <w:trHeight w:val="482"/>
          <w:jc w:val="center"/>
        </w:trPr>
        <w:tc>
          <w:tcPr>
            <w:tcW w:w="1518" w:type="dxa"/>
            <w:vMerge/>
            <w:shd w:val="clear" w:color="auto" w:fill="D9D9D9" w:themeFill="background1" w:themeFillShade="D9"/>
            <w:vAlign w:val="center"/>
          </w:tcPr>
          <w:p w:rsidR="000E33B8" w:rsidRPr="00CD2A9E" w14:paraId="191B5D70" w14:textId="77777777">
            <w:pPr>
              <w:keepNext/>
              <w:keepLines/>
              <w:jc w:val="center"/>
              <w:rPr>
                <w:b/>
                <w:bCs/>
                <w:szCs w:val="20"/>
              </w:rPr>
            </w:pPr>
          </w:p>
        </w:tc>
        <w:tc>
          <w:tcPr>
            <w:tcW w:w="1537" w:type="dxa"/>
            <w:vMerge/>
            <w:shd w:val="clear" w:color="auto" w:fill="D9D9D9"/>
            <w:vAlign w:val="center"/>
          </w:tcPr>
          <w:p w:rsidR="000E33B8" w:rsidRPr="00BB3B6F" w14:paraId="49DC60F6" w14:textId="77777777">
            <w:pPr>
              <w:keepNext/>
              <w:keepLines/>
              <w:ind w:left="127" w:right="119"/>
              <w:jc w:val="center"/>
              <w:rPr>
                <w:b/>
                <w:szCs w:val="20"/>
              </w:rPr>
            </w:pPr>
          </w:p>
        </w:tc>
        <w:tc>
          <w:tcPr>
            <w:tcW w:w="990" w:type="dxa"/>
            <w:tcBorders>
              <w:top w:val="single" w:sz="4" w:space="0" w:color="auto"/>
            </w:tcBorders>
            <w:shd w:val="clear" w:color="auto" w:fill="D9D9D9"/>
            <w:vAlign w:val="center"/>
          </w:tcPr>
          <w:p w:rsidR="000E33B8" w:rsidRPr="00D00EF5" w14:paraId="26809DF4" w14:textId="77777777">
            <w:pPr>
              <w:keepNext/>
              <w:keepLines/>
              <w:ind w:left="100" w:right="79"/>
              <w:jc w:val="center"/>
              <w:rPr>
                <w:b/>
                <w:szCs w:val="20"/>
              </w:rPr>
            </w:pPr>
            <w:r>
              <w:rPr>
                <w:b/>
                <w:szCs w:val="20"/>
              </w:rPr>
              <w:t>Year 1*</w:t>
            </w:r>
          </w:p>
        </w:tc>
        <w:tc>
          <w:tcPr>
            <w:tcW w:w="919" w:type="dxa"/>
            <w:tcBorders>
              <w:top w:val="single" w:sz="4" w:space="0" w:color="auto"/>
            </w:tcBorders>
            <w:shd w:val="clear" w:color="auto" w:fill="D9D9D9"/>
            <w:vAlign w:val="center"/>
          </w:tcPr>
          <w:p w:rsidR="000E33B8" w:rsidRPr="00D00EF5" w14:paraId="2F38524A" w14:textId="77777777">
            <w:pPr>
              <w:keepNext/>
              <w:keepLines/>
              <w:ind w:left="100" w:right="79"/>
              <w:jc w:val="center"/>
              <w:rPr>
                <w:b/>
                <w:szCs w:val="20"/>
              </w:rPr>
            </w:pPr>
            <w:r>
              <w:rPr>
                <w:b/>
                <w:szCs w:val="20"/>
              </w:rPr>
              <w:t>3-Year Total</w:t>
            </w:r>
          </w:p>
        </w:tc>
        <w:tc>
          <w:tcPr>
            <w:tcW w:w="1157" w:type="dxa"/>
            <w:vMerge/>
            <w:shd w:val="clear" w:color="auto" w:fill="D9D9D9"/>
            <w:vAlign w:val="center"/>
          </w:tcPr>
          <w:p w:rsidR="000E33B8" w:rsidRPr="007C2720" w14:paraId="1EB9A0A6" w14:textId="77777777">
            <w:pPr>
              <w:keepNext/>
              <w:keepLines/>
              <w:ind w:left="97" w:right="76"/>
              <w:jc w:val="center"/>
              <w:rPr>
                <w:b/>
                <w:szCs w:val="20"/>
              </w:rPr>
            </w:pPr>
          </w:p>
        </w:tc>
        <w:tc>
          <w:tcPr>
            <w:tcW w:w="1254" w:type="dxa"/>
            <w:vMerge/>
            <w:shd w:val="clear" w:color="auto" w:fill="D9D9D9" w:themeFill="background1" w:themeFillShade="D9"/>
            <w:vAlign w:val="center"/>
          </w:tcPr>
          <w:p w:rsidR="000E33B8" w:rsidRPr="00E4312C" w14:paraId="5254C9E2" w14:textId="77777777">
            <w:pPr>
              <w:keepNext/>
              <w:keepLines/>
              <w:jc w:val="center"/>
              <w:rPr>
                <w:b/>
                <w:szCs w:val="20"/>
              </w:rPr>
            </w:pPr>
          </w:p>
        </w:tc>
      </w:tr>
      <w:tr w14:paraId="7BBFF690" w14:textId="77777777">
        <w:tblPrEx>
          <w:tblW w:w="7375" w:type="dxa"/>
          <w:jc w:val="center"/>
          <w:tblLayout w:type="fixed"/>
          <w:tblCellMar>
            <w:left w:w="0" w:type="dxa"/>
            <w:right w:w="0" w:type="dxa"/>
          </w:tblCellMar>
          <w:tblLook w:val="01E0"/>
        </w:tblPrEx>
        <w:trPr>
          <w:trHeight w:val="146"/>
          <w:jc w:val="center"/>
        </w:trPr>
        <w:tc>
          <w:tcPr>
            <w:tcW w:w="7375" w:type="dxa"/>
            <w:gridSpan w:val="6"/>
            <w:shd w:val="clear" w:color="auto" w:fill="F2F2F2" w:themeFill="background1" w:themeFillShade="F2"/>
            <w:vAlign w:val="center"/>
          </w:tcPr>
          <w:p w:rsidR="000E33B8" w:rsidRPr="00835820" w14:paraId="235B2C51" w14:textId="77777777">
            <w:pPr>
              <w:keepNext/>
              <w:keepLines/>
              <w:ind w:left="131" w:right="111"/>
              <w:jc w:val="center"/>
              <w:rPr>
                <w:szCs w:val="20"/>
              </w:rPr>
            </w:pPr>
            <w:r w:rsidRPr="004C172E">
              <w:rPr>
                <w:szCs w:val="20"/>
              </w:rPr>
              <w:t>Facility Burden</w:t>
            </w:r>
          </w:p>
        </w:tc>
      </w:tr>
      <w:tr w14:paraId="4733D0A4" w14:textId="77777777">
        <w:tblPrEx>
          <w:tblW w:w="7375" w:type="dxa"/>
          <w:jc w:val="center"/>
          <w:tblLayout w:type="fixed"/>
          <w:tblCellMar>
            <w:left w:w="0" w:type="dxa"/>
            <w:right w:w="0" w:type="dxa"/>
          </w:tblCellMar>
          <w:tblLook w:val="01E0"/>
        </w:tblPrEx>
        <w:trPr>
          <w:trHeight w:val="272"/>
          <w:jc w:val="center"/>
        </w:trPr>
        <w:tc>
          <w:tcPr>
            <w:tcW w:w="1518" w:type="dxa"/>
          </w:tcPr>
          <w:p w:rsidR="000E33B8" w:rsidRPr="00835820" w14:paraId="0E62FC09" w14:textId="77777777">
            <w:pPr>
              <w:keepNext/>
              <w:keepLines/>
              <w:ind w:left="107"/>
              <w:rPr>
                <w:szCs w:val="20"/>
              </w:rPr>
            </w:pPr>
            <w:r w:rsidRPr="00377F96">
              <w:t>Complex</w:t>
            </w:r>
          </w:p>
        </w:tc>
        <w:tc>
          <w:tcPr>
            <w:tcW w:w="1537" w:type="dxa"/>
            <w:vAlign w:val="center"/>
          </w:tcPr>
          <w:p w:rsidR="000E33B8" w:rsidRPr="00835820" w14:paraId="066B935B" w14:textId="77777777">
            <w:pPr>
              <w:keepNext/>
              <w:keepLines/>
              <w:ind w:left="94" w:right="119"/>
              <w:jc w:val="center"/>
              <w:rPr>
                <w:szCs w:val="20"/>
              </w:rPr>
            </w:pPr>
            <w:r>
              <w:rPr>
                <w:szCs w:val="20"/>
              </w:rPr>
              <w:t>4</w:t>
            </w:r>
          </w:p>
        </w:tc>
        <w:tc>
          <w:tcPr>
            <w:tcW w:w="990" w:type="dxa"/>
          </w:tcPr>
          <w:p w:rsidR="000E33B8" w:rsidRPr="00835820" w14:paraId="6800B25E" w14:textId="77777777">
            <w:pPr>
              <w:keepNext/>
              <w:keepLines/>
              <w:ind w:left="94" w:right="34"/>
              <w:jc w:val="center"/>
              <w:rPr>
                <w:szCs w:val="20"/>
              </w:rPr>
            </w:pPr>
            <w:r w:rsidRPr="00761DEA">
              <w:t>1,792</w:t>
            </w:r>
          </w:p>
        </w:tc>
        <w:tc>
          <w:tcPr>
            <w:tcW w:w="919" w:type="dxa"/>
            <w:vAlign w:val="center"/>
          </w:tcPr>
          <w:p w:rsidR="000E33B8" w:rsidRPr="00835820" w14:paraId="7DC7B5B5" w14:textId="77777777">
            <w:pPr>
              <w:keepNext/>
              <w:keepLines/>
              <w:ind w:left="94" w:right="79"/>
              <w:jc w:val="center"/>
              <w:rPr>
                <w:szCs w:val="20"/>
              </w:rPr>
            </w:pPr>
            <w:r w:rsidRPr="00C83698">
              <w:rPr>
                <w:szCs w:val="20"/>
              </w:rPr>
              <w:t>5</w:t>
            </w:r>
            <w:r>
              <w:rPr>
                <w:szCs w:val="20"/>
              </w:rPr>
              <w:t>,</w:t>
            </w:r>
            <w:r w:rsidRPr="00C83698">
              <w:rPr>
                <w:szCs w:val="20"/>
              </w:rPr>
              <w:t>376</w:t>
            </w:r>
          </w:p>
        </w:tc>
        <w:tc>
          <w:tcPr>
            <w:tcW w:w="1157" w:type="dxa"/>
            <w:vAlign w:val="center"/>
          </w:tcPr>
          <w:p w:rsidR="000E33B8" w:rsidRPr="00835820" w14:paraId="7192E0BB" w14:textId="77777777">
            <w:pPr>
              <w:keepNext/>
              <w:keepLines/>
              <w:ind w:left="94" w:right="111"/>
              <w:jc w:val="center"/>
              <w:rPr>
                <w:szCs w:val="20"/>
              </w:rPr>
            </w:pPr>
            <w:r w:rsidRPr="005950CA">
              <w:rPr>
                <w:szCs w:val="20"/>
              </w:rPr>
              <w:t>7,168</w:t>
            </w:r>
          </w:p>
        </w:tc>
        <w:tc>
          <w:tcPr>
            <w:tcW w:w="1254" w:type="dxa"/>
            <w:vAlign w:val="center"/>
          </w:tcPr>
          <w:p w:rsidR="000E33B8" w:rsidRPr="00835820" w14:paraId="2AC44911" w14:textId="77777777">
            <w:pPr>
              <w:keepNext/>
              <w:keepLines/>
              <w:ind w:left="94" w:right="111"/>
              <w:jc w:val="center"/>
              <w:rPr>
                <w:szCs w:val="20"/>
              </w:rPr>
            </w:pPr>
            <w:r w:rsidRPr="00441F11">
              <w:rPr>
                <w:szCs w:val="20"/>
              </w:rPr>
              <w:t>21</w:t>
            </w:r>
            <w:r>
              <w:rPr>
                <w:szCs w:val="20"/>
              </w:rPr>
              <w:t>,</w:t>
            </w:r>
            <w:r w:rsidRPr="00441F11">
              <w:rPr>
                <w:szCs w:val="20"/>
              </w:rPr>
              <w:t>504</w:t>
            </w:r>
          </w:p>
        </w:tc>
      </w:tr>
      <w:tr w14:paraId="272AEBCE" w14:textId="77777777">
        <w:tblPrEx>
          <w:tblW w:w="7375" w:type="dxa"/>
          <w:jc w:val="center"/>
          <w:tblLayout w:type="fixed"/>
          <w:tblCellMar>
            <w:left w:w="0" w:type="dxa"/>
            <w:right w:w="0" w:type="dxa"/>
          </w:tblCellMar>
          <w:tblLook w:val="01E0"/>
        </w:tblPrEx>
        <w:trPr>
          <w:trHeight w:val="272"/>
          <w:jc w:val="center"/>
        </w:trPr>
        <w:tc>
          <w:tcPr>
            <w:tcW w:w="1518" w:type="dxa"/>
          </w:tcPr>
          <w:p w:rsidR="000E33B8" w:rsidRPr="00377F96" w14:paraId="29D7F7A6" w14:textId="77777777">
            <w:pPr>
              <w:keepNext/>
              <w:keepLines/>
              <w:ind w:left="107"/>
            </w:pPr>
            <w:r w:rsidRPr="00377F96">
              <w:t>Simple</w:t>
            </w:r>
          </w:p>
        </w:tc>
        <w:tc>
          <w:tcPr>
            <w:tcW w:w="1537" w:type="dxa"/>
            <w:vAlign w:val="center"/>
          </w:tcPr>
          <w:p w:rsidR="000E33B8" w:rsidRPr="00835820" w14:paraId="5D446D80" w14:textId="77777777">
            <w:pPr>
              <w:keepNext/>
              <w:keepLines/>
              <w:ind w:left="94" w:right="119"/>
              <w:jc w:val="center"/>
              <w:rPr>
                <w:szCs w:val="20"/>
              </w:rPr>
            </w:pPr>
            <w:r>
              <w:rPr>
                <w:szCs w:val="20"/>
              </w:rPr>
              <w:t>2</w:t>
            </w:r>
          </w:p>
        </w:tc>
        <w:tc>
          <w:tcPr>
            <w:tcW w:w="990" w:type="dxa"/>
          </w:tcPr>
          <w:p w:rsidR="000E33B8" w:rsidRPr="00835820" w14:paraId="2529AB4E" w14:textId="77777777">
            <w:pPr>
              <w:keepNext/>
              <w:keepLines/>
              <w:ind w:left="94" w:right="34"/>
              <w:jc w:val="center"/>
              <w:rPr>
                <w:szCs w:val="20"/>
              </w:rPr>
            </w:pPr>
            <w:r w:rsidRPr="00761DEA">
              <w:t>9,288</w:t>
            </w:r>
          </w:p>
        </w:tc>
        <w:tc>
          <w:tcPr>
            <w:tcW w:w="919" w:type="dxa"/>
            <w:vAlign w:val="center"/>
          </w:tcPr>
          <w:p w:rsidR="000E33B8" w:rsidRPr="00835820" w14:paraId="4A9DA714" w14:textId="77777777">
            <w:pPr>
              <w:keepNext/>
              <w:keepLines/>
              <w:ind w:left="94" w:right="79"/>
              <w:jc w:val="center"/>
              <w:rPr>
                <w:szCs w:val="20"/>
              </w:rPr>
            </w:pPr>
            <w:r w:rsidRPr="008F6CA1">
              <w:rPr>
                <w:szCs w:val="20"/>
              </w:rPr>
              <w:t>27</w:t>
            </w:r>
            <w:r>
              <w:rPr>
                <w:szCs w:val="20"/>
              </w:rPr>
              <w:t>,</w:t>
            </w:r>
            <w:r w:rsidRPr="008F6CA1">
              <w:rPr>
                <w:szCs w:val="20"/>
              </w:rPr>
              <w:t>864</w:t>
            </w:r>
          </w:p>
        </w:tc>
        <w:tc>
          <w:tcPr>
            <w:tcW w:w="1157" w:type="dxa"/>
            <w:vAlign w:val="center"/>
          </w:tcPr>
          <w:p w:rsidR="000E33B8" w:rsidRPr="00835820" w14:paraId="1D1F78A5" w14:textId="77777777">
            <w:pPr>
              <w:keepNext/>
              <w:keepLines/>
              <w:ind w:left="94" w:right="111"/>
              <w:jc w:val="center"/>
              <w:rPr>
                <w:szCs w:val="20"/>
              </w:rPr>
            </w:pPr>
            <w:r w:rsidRPr="005950CA">
              <w:rPr>
                <w:szCs w:val="20"/>
              </w:rPr>
              <w:t>18,576</w:t>
            </w:r>
          </w:p>
        </w:tc>
        <w:tc>
          <w:tcPr>
            <w:tcW w:w="1254" w:type="dxa"/>
            <w:vAlign w:val="center"/>
          </w:tcPr>
          <w:p w:rsidR="000E33B8" w:rsidRPr="00835820" w14:paraId="5B640544" w14:textId="77777777">
            <w:pPr>
              <w:keepNext/>
              <w:keepLines/>
              <w:ind w:left="94" w:right="111"/>
              <w:jc w:val="center"/>
              <w:rPr>
                <w:szCs w:val="20"/>
              </w:rPr>
            </w:pPr>
            <w:r w:rsidRPr="0049147E">
              <w:rPr>
                <w:szCs w:val="20"/>
              </w:rPr>
              <w:t>55</w:t>
            </w:r>
            <w:r>
              <w:rPr>
                <w:szCs w:val="20"/>
              </w:rPr>
              <w:t>,</w:t>
            </w:r>
            <w:r w:rsidRPr="0049147E">
              <w:rPr>
                <w:szCs w:val="20"/>
              </w:rPr>
              <w:t>728</w:t>
            </w:r>
          </w:p>
        </w:tc>
      </w:tr>
      <w:tr w14:paraId="37F54E49" w14:textId="77777777">
        <w:tblPrEx>
          <w:tblW w:w="7375" w:type="dxa"/>
          <w:jc w:val="center"/>
          <w:tblLayout w:type="fixed"/>
          <w:tblCellMar>
            <w:left w:w="0" w:type="dxa"/>
            <w:right w:w="0" w:type="dxa"/>
          </w:tblCellMar>
          <w:tblLook w:val="01E0"/>
        </w:tblPrEx>
        <w:trPr>
          <w:trHeight w:val="272"/>
          <w:jc w:val="center"/>
        </w:trPr>
        <w:tc>
          <w:tcPr>
            <w:tcW w:w="7375" w:type="dxa"/>
            <w:gridSpan w:val="6"/>
            <w:shd w:val="clear" w:color="auto" w:fill="F2F2F2" w:themeFill="background1" w:themeFillShade="F2"/>
          </w:tcPr>
          <w:p w:rsidR="000E33B8" w:rsidRPr="00835820" w14:paraId="34A4F91B" w14:textId="77777777">
            <w:pPr>
              <w:keepNext/>
              <w:keepLines/>
              <w:ind w:left="94" w:right="111"/>
              <w:jc w:val="center"/>
              <w:rPr>
                <w:szCs w:val="20"/>
              </w:rPr>
            </w:pPr>
            <w:r w:rsidRPr="00875220">
              <w:rPr>
                <w:szCs w:val="20"/>
              </w:rPr>
              <w:t>LEPC Burden</w:t>
            </w:r>
          </w:p>
        </w:tc>
      </w:tr>
      <w:tr w14:paraId="0C7F1671" w14:textId="77777777">
        <w:tblPrEx>
          <w:tblW w:w="7375" w:type="dxa"/>
          <w:jc w:val="center"/>
          <w:tblLayout w:type="fixed"/>
          <w:tblCellMar>
            <w:left w:w="0" w:type="dxa"/>
            <w:right w:w="0" w:type="dxa"/>
          </w:tblCellMar>
          <w:tblLook w:val="01E0"/>
        </w:tblPrEx>
        <w:trPr>
          <w:trHeight w:val="272"/>
          <w:jc w:val="center"/>
        </w:trPr>
        <w:tc>
          <w:tcPr>
            <w:tcW w:w="1518" w:type="dxa"/>
          </w:tcPr>
          <w:p w:rsidR="000E33B8" w:rsidRPr="00377F96" w14:paraId="58C91950" w14:textId="77777777">
            <w:pPr>
              <w:keepNext/>
              <w:keepLines/>
              <w:ind w:left="107"/>
            </w:pPr>
            <w:r w:rsidRPr="00377F96">
              <w:t>Complex</w:t>
            </w:r>
          </w:p>
        </w:tc>
        <w:tc>
          <w:tcPr>
            <w:tcW w:w="1537" w:type="dxa"/>
            <w:vAlign w:val="center"/>
          </w:tcPr>
          <w:p w:rsidR="000E33B8" w:rsidRPr="00835820" w14:paraId="35DD0740" w14:textId="77777777">
            <w:pPr>
              <w:keepNext/>
              <w:keepLines/>
              <w:ind w:left="94" w:right="119"/>
              <w:jc w:val="center"/>
              <w:rPr>
                <w:szCs w:val="20"/>
              </w:rPr>
            </w:pPr>
            <w:r>
              <w:rPr>
                <w:szCs w:val="20"/>
              </w:rPr>
              <w:t>2</w:t>
            </w:r>
          </w:p>
        </w:tc>
        <w:tc>
          <w:tcPr>
            <w:tcW w:w="990" w:type="dxa"/>
          </w:tcPr>
          <w:p w:rsidR="000E33B8" w:rsidRPr="00835820" w14:paraId="7B6BFF62" w14:textId="77777777">
            <w:pPr>
              <w:keepNext/>
              <w:keepLines/>
              <w:ind w:left="94" w:right="34"/>
              <w:jc w:val="center"/>
              <w:rPr>
                <w:szCs w:val="20"/>
              </w:rPr>
            </w:pPr>
            <w:r w:rsidRPr="00384EFB">
              <w:t>1,792</w:t>
            </w:r>
          </w:p>
        </w:tc>
        <w:tc>
          <w:tcPr>
            <w:tcW w:w="919" w:type="dxa"/>
            <w:vAlign w:val="center"/>
          </w:tcPr>
          <w:p w:rsidR="000E33B8" w:rsidRPr="00835820" w14:paraId="79314A55" w14:textId="77777777">
            <w:pPr>
              <w:keepNext/>
              <w:keepLines/>
              <w:ind w:left="94" w:right="79"/>
              <w:jc w:val="center"/>
              <w:rPr>
                <w:szCs w:val="20"/>
              </w:rPr>
            </w:pPr>
            <w:r w:rsidRPr="00C83698">
              <w:rPr>
                <w:szCs w:val="20"/>
              </w:rPr>
              <w:t>5</w:t>
            </w:r>
            <w:r>
              <w:rPr>
                <w:szCs w:val="20"/>
              </w:rPr>
              <w:t>,</w:t>
            </w:r>
            <w:r w:rsidRPr="00C83698">
              <w:rPr>
                <w:szCs w:val="20"/>
              </w:rPr>
              <w:t>376</w:t>
            </w:r>
          </w:p>
        </w:tc>
        <w:tc>
          <w:tcPr>
            <w:tcW w:w="1157" w:type="dxa"/>
            <w:vAlign w:val="center"/>
          </w:tcPr>
          <w:p w:rsidR="000E33B8" w:rsidRPr="00835820" w14:paraId="72FDA945" w14:textId="77777777">
            <w:pPr>
              <w:keepNext/>
              <w:keepLines/>
              <w:ind w:left="94" w:right="111"/>
              <w:jc w:val="center"/>
              <w:rPr>
                <w:szCs w:val="20"/>
              </w:rPr>
            </w:pPr>
            <w:r w:rsidRPr="00BC185A">
              <w:rPr>
                <w:szCs w:val="20"/>
              </w:rPr>
              <w:t>3,584</w:t>
            </w:r>
          </w:p>
        </w:tc>
        <w:tc>
          <w:tcPr>
            <w:tcW w:w="1254" w:type="dxa"/>
            <w:vAlign w:val="center"/>
          </w:tcPr>
          <w:p w:rsidR="000E33B8" w:rsidRPr="00835820" w14:paraId="0853A8CB" w14:textId="77777777">
            <w:pPr>
              <w:keepNext/>
              <w:keepLines/>
              <w:ind w:left="94" w:right="111"/>
              <w:jc w:val="center"/>
              <w:rPr>
                <w:szCs w:val="20"/>
              </w:rPr>
            </w:pPr>
            <w:r w:rsidRPr="00DF12F8">
              <w:rPr>
                <w:szCs w:val="20"/>
              </w:rPr>
              <w:t>10</w:t>
            </w:r>
            <w:r>
              <w:rPr>
                <w:szCs w:val="20"/>
              </w:rPr>
              <w:t>,</w:t>
            </w:r>
            <w:r w:rsidRPr="00DF12F8">
              <w:rPr>
                <w:szCs w:val="20"/>
              </w:rPr>
              <w:t>752</w:t>
            </w:r>
          </w:p>
        </w:tc>
      </w:tr>
      <w:tr w14:paraId="21C5DB8F" w14:textId="77777777">
        <w:tblPrEx>
          <w:tblW w:w="7375" w:type="dxa"/>
          <w:jc w:val="center"/>
          <w:tblLayout w:type="fixed"/>
          <w:tblCellMar>
            <w:left w:w="0" w:type="dxa"/>
            <w:right w:w="0" w:type="dxa"/>
          </w:tblCellMar>
          <w:tblLook w:val="01E0"/>
        </w:tblPrEx>
        <w:trPr>
          <w:trHeight w:val="272"/>
          <w:jc w:val="center"/>
        </w:trPr>
        <w:tc>
          <w:tcPr>
            <w:tcW w:w="1518" w:type="dxa"/>
          </w:tcPr>
          <w:p w:rsidR="000E33B8" w:rsidRPr="00377F96" w14:paraId="028CA45A" w14:textId="77777777">
            <w:pPr>
              <w:keepNext/>
              <w:keepLines/>
              <w:ind w:left="107"/>
            </w:pPr>
            <w:r w:rsidRPr="00377F96">
              <w:t>Simple</w:t>
            </w:r>
          </w:p>
        </w:tc>
        <w:tc>
          <w:tcPr>
            <w:tcW w:w="1537" w:type="dxa"/>
            <w:vAlign w:val="center"/>
          </w:tcPr>
          <w:p w:rsidR="000E33B8" w:rsidRPr="00835820" w14:paraId="6889C61E" w14:textId="77777777">
            <w:pPr>
              <w:keepNext/>
              <w:keepLines/>
              <w:ind w:left="94" w:right="119"/>
              <w:jc w:val="center"/>
              <w:rPr>
                <w:szCs w:val="20"/>
              </w:rPr>
            </w:pPr>
            <w:r>
              <w:rPr>
                <w:szCs w:val="20"/>
              </w:rPr>
              <w:t>1</w:t>
            </w:r>
          </w:p>
        </w:tc>
        <w:tc>
          <w:tcPr>
            <w:tcW w:w="990" w:type="dxa"/>
          </w:tcPr>
          <w:p w:rsidR="000E33B8" w:rsidRPr="00835820" w14:paraId="08825A4D" w14:textId="77777777">
            <w:pPr>
              <w:keepNext/>
              <w:keepLines/>
              <w:ind w:left="94" w:right="34"/>
              <w:jc w:val="center"/>
              <w:rPr>
                <w:szCs w:val="20"/>
              </w:rPr>
            </w:pPr>
            <w:r w:rsidRPr="00384EFB">
              <w:t>9,288</w:t>
            </w:r>
          </w:p>
        </w:tc>
        <w:tc>
          <w:tcPr>
            <w:tcW w:w="919" w:type="dxa"/>
            <w:vAlign w:val="center"/>
          </w:tcPr>
          <w:p w:rsidR="000E33B8" w:rsidRPr="00835820" w14:paraId="0BCEE796" w14:textId="77777777">
            <w:pPr>
              <w:keepNext/>
              <w:keepLines/>
              <w:ind w:left="94" w:right="79"/>
              <w:jc w:val="center"/>
              <w:rPr>
                <w:szCs w:val="20"/>
              </w:rPr>
            </w:pPr>
            <w:r w:rsidRPr="008F6CA1">
              <w:rPr>
                <w:szCs w:val="20"/>
              </w:rPr>
              <w:t>27</w:t>
            </w:r>
            <w:r>
              <w:rPr>
                <w:szCs w:val="20"/>
              </w:rPr>
              <w:t>,</w:t>
            </w:r>
            <w:r w:rsidRPr="008F6CA1">
              <w:rPr>
                <w:szCs w:val="20"/>
              </w:rPr>
              <w:t>864</w:t>
            </w:r>
          </w:p>
        </w:tc>
        <w:tc>
          <w:tcPr>
            <w:tcW w:w="1157" w:type="dxa"/>
            <w:vAlign w:val="center"/>
          </w:tcPr>
          <w:p w:rsidR="000E33B8" w:rsidRPr="00835820" w14:paraId="1B970E08" w14:textId="77777777">
            <w:pPr>
              <w:keepNext/>
              <w:keepLines/>
              <w:ind w:left="94" w:right="111"/>
              <w:jc w:val="center"/>
              <w:rPr>
                <w:szCs w:val="20"/>
              </w:rPr>
            </w:pPr>
            <w:r w:rsidRPr="00507668">
              <w:rPr>
                <w:szCs w:val="20"/>
              </w:rPr>
              <w:t>9,288</w:t>
            </w:r>
          </w:p>
        </w:tc>
        <w:tc>
          <w:tcPr>
            <w:tcW w:w="1254" w:type="dxa"/>
            <w:vAlign w:val="center"/>
          </w:tcPr>
          <w:p w:rsidR="000E33B8" w:rsidRPr="00835820" w14:paraId="0D0206A7" w14:textId="77777777">
            <w:pPr>
              <w:keepNext/>
              <w:keepLines/>
              <w:ind w:left="94" w:right="111"/>
              <w:jc w:val="center"/>
              <w:rPr>
                <w:szCs w:val="20"/>
              </w:rPr>
            </w:pPr>
            <w:r w:rsidRPr="0098213B">
              <w:rPr>
                <w:szCs w:val="20"/>
              </w:rPr>
              <w:t>27</w:t>
            </w:r>
            <w:r>
              <w:rPr>
                <w:szCs w:val="20"/>
              </w:rPr>
              <w:t>,</w:t>
            </w:r>
            <w:r w:rsidRPr="0098213B">
              <w:rPr>
                <w:szCs w:val="20"/>
              </w:rPr>
              <w:t>864</w:t>
            </w:r>
          </w:p>
        </w:tc>
      </w:tr>
    </w:tbl>
    <w:p w:rsidR="000E33B8" w:rsidP="000E33B8" w14:paraId="3E84BAD7" w14:textId="77777777">
      <w:pPr>
        <w:ind w:left="990" w:right="540"/>
      </w:pPr>
      <w:r w:rsidRPr="005751A7">
        <w:t xml:space="preserve">* EPA assumed that the burden associated with this provision would be incurred by the same number of facilities in Years 1, 2, and 3.   </w:t>
      </w:r>
    </w:p>
    <w:p w:rsidR="000E33B8" w:rsidP="000E33B8" w14:paraId="0500A54C" w14:textId="77777777">
      <w:pPr>
        <w:pStyle w:val="Caption"/>
        <w:keepNext/>
        <w:spacing w:after="0"/>
        <w:jc w:val="center"/>
        <w:rPr>
          <w:b/>
          <w:bCs/>
          <w:i w:val="0"/>
          <w:iCs w:val="0"/>
          <w:color w:val="auto"/>
          <w:sz w:val="22"/>
          <w:szCs w:val="22"/>
        </w:rPr>
      </w:pPr>
    </w:p>
    <w:p w:rsidR="000E33B8" w:rsidP="000E33B8" w14:paraId="04D20A4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i/>
          <w:iCs/>
          <w:sz w:val="22"/>
          <w:szCs w:val="22"/>
        </w:rPr>
      </w:pPr>
    </w:p>
    <w:p w:rsidR="000E33B8" w:rsidRPr="00456836" w:rsidP="000E33B8" w14:paraId="08E061EB"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i/>
          <w:iCs/>
          <w:sz w:val="22"/>
          <w:szCs w:val="22"/>
        </w:rPr>
        <w:t>Information Availability</w:t>
      </w:r>
      <w:r w:rsidRPr="00F3547C">
        <w:rPr>
          <w:sz w:val="22"/>
          <w:szCs w:val="22"/>
        </w:rPr>
        <w:t xml:space="preserve"> </w:t>
      </w:r>
      <w:r>
        <w:rPr>
          <w:sz w:val="22"/>
          <w:szCs w:val="22"/>
        </w:rPr>
        <w:t>–</w:t>
      </w:r>
      <w:r w:rsidRPr="00F3547C">
        <w:rPr>
          <w:sz w:val="22"/>
          <w:szCs w:val="22"/>
        </w:rPr>
        <w:t xml:space="preserve"> </w:t>
      </w:r>
      <w:r w:rsidRPr="00456836">
        <w:rPr>
          <w:sz w:val="22"/>
          <w:szCs w:val="22"/>
        </w:rPr>
        <w:t xml:space="preserve">The final rule will require facilities to make certain information available upon request to community members living, working, or spending significant amounts of time within 6 miles of a facility either through file sharing, providing information at a public library or other public offices, or providing it via e-mail or on the facility’s website. The provision will require facilities to inform the public about what information is available upon request and how to obtain the requested information. The information elements should be readily available to facility managers because most of the information is already compiled for compliance with various health and safety regulations. Especially for simple facilities, this information is unlikely to change much from year to year; the only cost associated with this element is the time required to collect and review the information for accuracy. </w:t>
      </w:r>
    </w:p>
    <w:p w:rsidR="000E33B8" w:rsidRPr="00456836" w:rsidP="000E33B8" w14:paraId="231922FB"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0E33B8" w:rsidP="000E33B8" w14:paraId="165FA9EA" w14:textId="55C5B4E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456836">
        <w:rPr>
          <w:sz w:val="22"/>
          <w:szCs w:val="22"/>
        </w:rPr>
        <w:t xml:space="preserve">EPA assumes, on average, facilities will receive one information request in any given year. The analysis estimates that simple facilities will spend 2 hours reviewing the information to ensure that it is up-to-date. Complex facilities may have more information to review because they may manufacture, process, and use multiple regulated substances in multiple processes. The analysis estimates that small complex facilities will spend 4 hours collecting and reviewing the information. Large complex facilities were estimated to spend 54 hours because management and possibly counsel will need to ensure that the information was not subject to any restrictions related to security or </w:t>
      </w:r>
      <w:r w:rsidR="00D45CDC">
        <w:rPr>
          <w:sz w:val="22"/>
          <w:szCs w:val="22"/>
        </w:rPr>
        <w:t>CBI</w:t>
      </w:r>
      <w:r w:rsidRPr="00456836">
        <w:rPr>
          <w:sz w:val="22"/>
          <w:szCs w:val="22"/>
        </w:rPr>
        <w:t xml:space="preserve"> concerns.</w:t>
      </w:r>
      <w:r w:rsidRPr="00332E9F" w:rsidR="00332E9F">
        <w:t xml:space="preserve"> </w:t>
      </w:r>
    </w:p>
    <w:p w:rsidR="000E33B8" w:rsidRPr="00D206B9" w:rsidP="000E33B8" w14:paraId="6F06285B" w14:textId="77777777">
      <w:pPr>
        <w:rPr>
          <w:sz w:val="22"/>
          <w:szCs w:val="22"/>
        </w:rPr>
      </w:pPr>
    </w:p>
    <w:p w:rsidR="000E33B8" w:rsidRPr="00451AB6" w:rsidP="000E33B8" w14:paraId="5A472DA8" w14:textId="5BB5F42F">
      <w:pPr>
        <w:pStyle w:val="Caption"/>
        <w:keepNext/>
        <w:spacing w:after="0"/>
        <w:jc w:val="center"/>
        <w:rPr>
          <w:b/>
          <w:bCs/>
          <w:i w:val="0"/>
          <w:iCs w:val="0"/>
          <w:color w:val="auto"/>
          <w:sz w:val="22"/>
          <w:szCs w:val="22"/>
        </w:rPr>
      </w:pPr>
      <w:r w:rsidRPr="00451AB6">
        <w:rPr>
          <w:b/>
          <w:bCs/>
          <w:i w:val="0"/>
          <w:iCs w:val="0"/>
          <w:color w:val="auto"/>
          <w:sz w:val="22"/>
          <w:szCs w:val="22"/>
        </w:rPr>
        <w:t>Exhibit</w:t>
      </w:r>
      <w:r>
        <w:rPr>
          <w:b/>
          <w:bCs/>
          <w:i w:val="0"/>
          <w:iCs w:val="0"/>
          <w:color w:val="auto"/>
          <w:sz w:val="22"/>
          <w:szCs w:val="22"/>
        </w:rPr>
        <w:t xml:space="preserve"> 1</w:t>
      </w:r>
      <w:r w:rsidR="00CF3F54">
        <w:rPr>
          <w:b/>
          <w:bCs/>
          <w:i w:val="0"/>
          <w:iCs w:val="0"/>
          <w:color w:val="auto"/>
          <w:sz w:val="22"/>
          <w:szCs w:val="22"/>
        </w:rPr>
        <w:t>2</w:t>
      </w:r>
      <w:r>
        <w:rPr>
          <w:b/>
          <w:bCs/>
          <w:i w:val="0"/>
          <w:iCs w:val="0"/>
          <w:color w:val="auto"/>
          <w:sz w:val="22"/>
          <w:szCs w:val="22"/>
        </w:rPr>
        <w:t>:</w:t>
      </w:r>
      <w:r w:rsidRPr="009C6838">
        <w:rPr>
          <w:b/>
          <w:bCs/>
          <w:sz w:val="22"/>
          <w:szCs w:val="22"/>
        </w:rPr>
        <w:t xml:space="preserve"> </w:t>
      </w:r>
      <w:r>
        <w:rPr>
          <w:b/>
          <w:bCs/>
          <w:i w:val="0"/>
          <w:iCs w:val="0"/>
          <w:color w:val="auto"/>
          <w:sz w:val="22"/>
          <w:szCs w:val="22"/>
        </w:rPr>
        <w:t>Hour Burden</w:t>
      </w:r>
      <w:r w:rsidRPr="00451AB6">
        <w:rPr>
          <w:b/>
          <w:bCs/>
          <w:i w:val="0"/>
          <w:iCs w:val="0"/>
          <w:color w:val="auto"/>
          <w:sz w:val="22"/>
          <w:szCs w:val="22"/>
        </w:rPr>
        <w:t xml:space="preserve"> for </w:t>
      </w:r>
      <w:r w:rsidRPr="00FB5DDB">
        <w:rPr>
          <w:b/>
          <w:bCs/>
          <w:i w:val="0"/>
          <w:iCs w:val="0"/>
          <w:color w:val="auto"/>
          <w:sz w:val="22"/>
          <w:szCs w:val="22"/>
        </w:rPr>
        <w:t>Information Availability</w:t>
      </w:r>
    </w:p>
    <w:tbl>
      <w:tblPr>
        <w:tblW w:w="7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8"/>
        <w:gridCol w:w="1537"/>
        <w:gridCol w:w="990"/>
        <w:gridCol w:w="919"/>
        <w:gridCol w:w="1157"/>
        <w:gridCol w:w="1254"/>
      </w:tblGrid>
      <w:tr w14:paraId="5F529A0B" w14:textId="77777777">
        <w:tblPrEx>
          <w:tblW w:w="7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2"/>
          <w:jc w:val="center"/>
        </w:trPr>
        <w:tc>
          <w:tcPr>
            <w:tcW w:w="1518" w:type="dxa"/>
            <w:vMerge w:val="restart"/>
            <w:tcBorders>
              <w:top w:val="single" w:sz="4" w:space="0" w:color="auto"/>
            </w:tcBorders>
            <w:shd w:val="clear" w:color="auto" w:fill="D9D9D9" w:themeFill="background1" w:themeFillShade="D9"/>
            <w:vAlign w:val="center"/>
          </w:tcPr>
          <w:p w:rsidR="000E33B8" w:rsidRPr="00F3547C" w14:paraId="77AF76F2" w14:textId="77777777">
            <w:pPr>
              <w:keepNext/>
              <w:keepLines/>
              <w:jc w:val="center"/>
              <w:rPr>
                <w:b/>
                <w:bCs/>
                <w:szCs w:val="20"/>
              </w:rPr>
            </w:pPr>
            <w:r>
              <w:rPr>
                <w:b/>
                <w:bCs/>
                <w:szCs w:val="20"/>
              </w:rPr>
              <w:t>Facility Type</w:t>
            </w:r>
          </w:p>
        </w:tc>
        <w:tc>
          <w:tcPr>
            <w:tcW w:w="1537" w:type="dxa"/>
            <w:vMerge w:val="restart"/>
            <w:tcBorders>
              <w:top w:val="single" w:sz="4" w:space="0" w:color="auto"/>
            </w:tcBorders>
            <w:shd w:val="clear" w:color="auto" w:fill="D9D9D9"/>
            <w:vAlign w:val="center"/>
          </w:tcPr>
          <w:p w:rsidR="000E33B8" w:rsidRPr="00835820" w14:paraId="217317DA" w14:textId="77777777">
            <w:pPr>
              <w:keepNext/>
              <w:keepLines/>
              <w:ind w:left="127" w:right="119"/>
              <w:jc w:val="center"/>
              <w:rPr>
                <w:b/>
                <w:szCs w:val="20"/>
              </w:rPr>
            </w:pPr>
            <w:r w:rsidRPr="00BB3B6F">
              <w:rPr>
                <w:b/>
                <w:szCs w:val="20"/>
              </w:rPr>
              <w:t>Hours</w:t>
            </w:r>
            <w:r>
              <w:rPr>
                <w:b/>
                <w:szCs w:val="20"/>
              </w:rPr>
              <w:t xml:space="preserve"> </w:t>
            </w:r>
            <w:r w:rsidRPr="00BB3B6F">
              <w:rPr>
                <w:b/>
                <w:szCs w:val="20"/>
              </w:rPr>
              <w:t>Required</w:t>
            </w:r>
            <w:r>
              <w:rPr>
                <w:b/>
                <w:szCs w:val="20"/>
              </w:rPr>
              <w:t xml:space="preserve"> </w:t>
            </w:r>
            <w:r w:rsidRPr="004E2F13">
              <w:rPr>
                <w:b/>
                <w:szCs w:val="20"/>
              </w:rPr>
              <w:t>Per Respondent</w:t>
            </w:r>
          </w:p>
        </w:tc>
        <w:tc>
          <w:tcPr>
            <w:tcW w:w="1909" w:type="dxa"/>
            <w:gridSpan w:val="2"/>
            <w:tcBorders>
              <w:top w:val="single" w:sz="4" w:space="0" w:color="auto"/>
            </w:tcBorders>
            <w:shd w:val="clear" w:color="auto" w:fill="D9D9D9"/>
            <w:vAlign w:val="center"/>
          </w:tcPr>
          <w:p w:rsidR="000E33B8" w:rsidRPr="00835820" w14:paraId="5766DC70" w14:textId="77777777">
            <w:pPr>
              <w:keepNext/>
              <w:keepLines/>
              <w:ind w:left="100" w:right="79"/>
              <w:jc w:val="center"/>
              <w:rPr>
                <w:b/>
                <w:szCs w:val="20"/>
              </w:rPr>
            </w:pPr>
            <w:r w:rsidRPr="004C1E64">
              <w:rPr>
                <w:b/>
                <w:szCs w:val="20"/>
              </w:rPr>
              <w:t>Number of Facilities</w:t>
            </w:r>
          </w:p>
        </w:tc>
        <w:tc>
          <w:tcPr>
            <w:tcW w:w="1157" w:type="dxa"/>
            <w:vMerge w:val="restart"/>
            <w:tcBorders>
              <w:top w:val="single" w:sz="4" w:space="0" w:color="auto"/>
            </w:tcBorders>
            <w:shd w:val="clear" w:color="auto" w:fill="D9D9D9"/>
            <w:vAlign w:val="center"/>
          </w:tcPr>
          <w:p w:rsidR="000E33B8" w:rsidRPr="009762B0" w14:paraId="20239127" w14:textId="77777777">
            <w:pPr>
              <w:keepNext/>
              <w:keepLines/>
              <w:ind w:left="97" w:right="76"/>
              <w:jc w:val="center"/>
              <w:rPr>
                <w:b/>
                <w:szCs w:val="20"/>
              </w:rPr>
            </w:pPr>
            <w:r w:rsidRPr="007C2720">
              <w:rPr>
                <w:b/>
                <w:szCs w:val="20"/>
              </w:rPr>
              <w:t>3-Year Average Annual Burden (hours)</w:t>
            </w:r>
          </w:p>
        </w:tc>
        <w:tc>
          <w:tcPr>
            <w:tcW w:w="1254" w:type="dxa"/>
            <w:vMerge w:val="restart"/>
            <w:tcBorders>
              <w:top w:val="single" w:sz="4" w:space="0" w:color="auto"/>
            </w:tcBorders>
            <w:shd w:val="clear" w:color="auto" w:fill="D9D9D9" w:themeFill="background1" w:themeFillShade="D9"/>
            <w:vAlign w:val="center"/>
          </w:tcPr>
          <w:p w:rsidR="000E33B8" w:rsidRPr="00F3547C" w14:paraId="0F843E31" w14:textId="77777777">
            <w:pPr>
              <w:keepNext/>
              <w:keepLines/>
              <w:jc w:val="center"/>
              <w:rPr>
                <w:b/>
                <w:szCs w:val="20"/>
              </w:rPr>
            </w:pPr>
            <w:r w:rsidRPr="00E4312C">
              <w:rPr>
                <w:b/>
                <w:szCs w:val="20"/>
              </w:rPr>
              <w:t>3-Year Total Burden (hours)</w:t>
            </w:r>
          </w:p>
        </w:tc>
      </w:tr>
      <w:tr w14:paraId="0476B7FA" w14:textId="77777777">
        <w:tblPrEx>
          <w:tblW w:w="7375" w:type="dxa"/>
          <w:jc w:val="center"/>
          <w:tblLayout w:type="fixed"/>
          <w:tblCellMar>
            <w:left w:w="0" w:type="dxa"/>
            <w:right w:w="0" w:type="dxa"/>
          </w:tblCellMar>
          <w:tblLook w:val="01E0"/>
        </w:tblPrEx>
        <w:trPr>
          <w:trHeight w:val="482"/>
          <w:jc w:val="center"/>
        </w:trPr>
        <w:tc>
          <w:tcPr>
            <w:tcW w:w="1518" w:type="dxa"/>
            <w:vMerge/>
            <w:shd w:val="clear" w:color="auto" w:fill="D9D9D9" w:themeFill="background1" w:themeFillShade="D9"/>
            <w:vAlign w:val="center"/>
          </w:tcPr>
          <w:p w:rsidR="000E33B8" w:rsidRPr="00CD2A9E" w14:paraId="7EEC7355" w14:textId="77777777">
            <w:pPr>
              <w:keepNext/>
              <w:keepLines/>
              <w:jc w:val="center"/>
              <w:rPr>
                <w:b/>
                <w:bCs/>
                <w:szCs w:val="20"/>
              </w:rPr>
            </w:pPr>
          </w:p>
        </w:tc>
        <w:tc>
          <w:tcPr>
            <w:tcW w:w="1537" w:type="dxa"/>
            <w:vMerge/>
            <w:shd w:val="clear" w:color="auto" w:fill="D9D9D9"/>
            <w:vAlign w:val="center"/>
          </w:tcPr>
          <w:p w:rsidR="000E33B8" w:rsidRPr="00BB3B6F" w14:paraId="50116DD4" w14:textId="77777777">
            <w:pPr>
              <w:keepNext/>
              <w:keepLines/>
              <w:ind w:left="127" w:right="119"/>
              <w:jc w:val="center"/>
              <w:rPr>
                <w:b/>
                <w:szCs w:val="20"/>
              </w:rPr>
            </w:pPr>
          </w:p>
        </w:tc>
        <w:tc>
          <w:tcPr>
            <w:tcW w:w="990" w:type="dxa"/>
            <w:tcBorders>
              <w:top w:val="single" w:sz="4" w:space="0" w:color="auto"/>
            </w:tcBorders>
            <w:shd w:val="clear" w:color="auto" w:fill="D9D9D9"/>
            <w:vAlign w:val="center"/>
          </w:tcPr>
          <w:p w:rsidR="000E33B8" w:rsidRPr="00D00EF5" w14:paraId="47AF31DC" w14:textId="77777777">
            <w:pPr>
              <w:keepNext/>
              <w:keepLines/>
              <w:ind w:left="100" w:right="79"/>
              <w:jc w:val="center"/>
              <w:rPr>
                <w:b/>
                <w:szCs w:val="20"/>
              </w:rPr>
            </w:pPr>
            <w:r>
              <w:rPr>
                <w:b/>
                <w:szCs w:val="20"/>
              </w:rPr>
              <w:t>Year 1*</w:t>
            </w:r>
          </w:p>
        </w:tc>
        <w:tc>
          <w:tcPr>
            <w:tcW w:w="919" w:type="dxa"/>
            <w:tcBorders>
              <w:top w:val="single" w:sz="4" w:space="0" w:color="auto"/>
            </w:tcBorders>
            <w:shd w:val="clear" w:color="auto" w:fill="D9D9D9"/>
            <w:vAlign w:val="center"/>
          </w:tcPr>
          <w:p w:rsidR="000E33B8" w:rsidRPr="00D00EF5" w14:paraId="2718A894" w14:textId="77777777">
            <w:pPr>
              <w:keepNext/>
              <w:keepLines/>
              <w:ind w:left="100" w:right="79"/>
              <w:jc w:val="center"/>
              <w:rPr>
                <w:b/>
                <w:szCs w:val="20"/>
              </w:rPr>
            </w:pPr>
            <w:r>
              <w:rPr>
                <w:b/>
                <w:szCs w:val="20"/>
              </w:rPr>
              <w:t>3-Year Total</w:t>
            </w:r>
          </w:p>
        </w:tc>
        <w:tc>
          <w:tcPr>
            <w:tcW w:w="1157" w:type="dxa"/>
            <w:vMerge/>
            <w:shd w:val="clear" w:color="auto" w:fill="D9D9D9"/>
            <w:vAlign w:val="center"/>
          </w:tcPr>
          <w:p w:rsidR="000E33B8" w:rsidRPr="007C2720" w14:paraId="7807FF91" w14:textId="77777777">
            <w:pPr>
              <w:keepNext/>
              <w:keepLines/>
              <w:ind w:left="97" w:right="76"/>
              <w:jc w:val="center"/>
              <w:rPr>
                <w:b/>
                <w:szCs w:val="20"/>
              </w:rPr>
            </w:pPr>
          </w:p>
        </w:tc>
        <w:tc>
          <w:tcPr>
            <w:tcW w:w="1254" w:type="dxa"/>
            <w:vMerge/>
            <w:shd w:val="clear" w:color="auto" w:fill="D9D9D9" w:themeFill="background1" w:themeFillShade="D9"/>
            <w:vAlign w:val="center"/>
          </w:tcPr>
          <w:p w:rsidR="000E33B8" w:rsidRPr="00E4312C" w14:paraId="65E45AA7" w14:textId="77777777">
            <w:pPr>
              <w:keepNext/>
              <w:keepLines/>
              <w:jc w:val="center"/>
              <w:rPr>
                <w:b/>
                <w:szCs w:val="20"/>
              </w:rPr>
            </w:pPr>
          </w:p>
        </w:tc>
      </w:tr>
      <w:tr w14:paraId="7C7E0D9E" w14:textId="77777777">
        <w:tblPrEx>
          <w:tblW w:w="7375" w:type="dxa"/>
          <w:jc w:val="center"/>
          <w:tblLayout w:type="fixed"/>
          <w:tblCellMar>
            <w:left w:w="0" w:type="dxa"/>
            <w:right w:w="0" w:type="dxa"/>
          </w:tblCellMar>
          <w:tblLook w:val="01E0"/>
        </w:tblPrEx>
        <w:trPr>
          <w:trHeight w:val="482"/>
          <w:jc w:val="center"/>
        </w:trPr>
        <w:tc>
          <w:tcPr>
            <w:tcW w:w="1518" w:type="dxa"/>
            <w:shd w:val="clear" w:color="auto" w:fill="auto"/>
            <w:vAlign w:val="center"/>
          </w:tcPr>
          <w:p w:rsidR="000E33B8" w:rsidRPr="00CD2A9E" w14:paraId="597C963C" w14:textId="77777777">
            <w:pPr>
              <w:keepNext/>
              <w:keepLines/>
              <w:jc w:val="center"/>
              <w:rPr>
                <w:b/>
                <w:bCs/>
                <w:szCs w:val="20"/>
              </w:rPr>
            </w:pPr>
            <w:r>
              <w:rPr>
                <w:b/>
                <w:bCs/>
                <w:szCs w:val="20"/>
              </w:rPr>
              <w:t>Total</w:t>
            </w:r>
          </w:p>
        </w:tc>
        <w:tc>
          <w:tcPr>
            <w:tcW w:w="1537" w:type="dxa"/>
            <w:shd w:val="clear" w:color="auto" w:fill="auto"/>
            <w:vAlign w:val="center"/>
          </w:tcPr>
          <w:p w:rsidR="000E33B8" w:rsidRPr="00BB3B6F" w14:paraId="1B9C6047" w14:textId="6E659A25">
            <w:pPr>
              <w:keepNext/>
              <w:keepLines/>
              <w:ind w:left="127" w:right="119"/>
              <w:jc w:val="center"/>
              <w:rPr>
                <w:b/>
                <w:szCs w:val="20"/>
              </w:rPr>
            </w:pPr>
          </w:p>
        </w:tc>
        <w:tc>
          <w:tcPr>
            <w:tcW w:w="990" w:type="dxa"/>
            <w:tcBorders>
              <w:top w:val="single" w:sz="4" w:space="0" w:color="auto"/>
            </w:tcBorders>
            <w:shd w:val="clear" w:color="auto" w:fill="auto"/>
            <w:vAlign w:val="center"/>
          </w:tcPr>
          <w:p w:rsidR="000E33B8" w:rsidRPr="00746463" w14:paraId="59264D85" w14:textId="188DC6CF">
            <w:pPr>
              <w:keepNext/>
              <w:keepLines/>
              <w:ind w:left="100" w:right="79"/>
              <w:jc w:val="center"/>
              <w:rPr>
                <w:b/>
                <w:bCs/>
                <w:szCs w:val="20"/>
              </w:rPr>
            </w:pPr>
            <w:r>
              <w:rPr>
                <w:b/>
                <w:bCs/>
                <w:szCs w:val="20"/>
              </w:rPr>
              <w:t>11,740</w:t>
            </w:r>
          </w:p>
        </w:tc>
        <w:tc>
          <w:tcPr>
            <w:tcW w:w="919" w:type="dxa"/>
            <w:tcBorders>
              <w:top w:val="single" w:sz="4" w:space="0" w:color="auto"/>
            </w:tcBorders>
            <w:shd w:val="clear" w:color="auto" w:fill="auto"/>
            <w:vAlign w:val="center"/>
          </w:tcPr>
          <w:p w:rsidR="000E33B8" w14:paraId="2D78DD54" w14:textId="21322AA0">
            <w:pPr>
              <w:keepNext/>
              <w:keepLines/>
              <w:ind w:left="100" w:right="79"/>
              <w:jc w:val="center"/>
              <w:rPr>
                <w:b/>
                <w:szCs w:val="20"/>
              </w:rPr>
            </w:pPr>
            <w:r>
              <w:rPr>
                <w:b/>
                <w:szCs w:val="20"/>
              </w:rPr>
              <w:t>35,220</w:t>
            </w:r>
          </w:p>
        </w:tc>
        <w:tc>
          <w:tcPr>
            <w:tcW w:w="1157" w:type="dxa"/>
            <w:shd w:val="clear" w:color="auto" w:fill="auto"/>
            <w:vAlign w:val="center"/>
          </w:tcPr>
          <w:p w:rsidR="000E33B8" w:rsidRPr="007C2720" w14:paraId="10CFBC94" w14:textId="77777777">
            <w:pPr>
              <w:keepNext/>
              <w:keepLines/>
              <w:ind w:left="97" w:right="76"/>
              <w:jc w:val="center"/>
              <w:rPr>
                <w:b/>
                <w:szCs w:val="20"/>
              </w:rPr>
            </w:pPr>
            <w:r w:rsidRPr="003045B9">
              <w:rPr>
                <w:b/>
                <w:szCs w:val="20"/>
              </w:rPr>
              <w:t>57,196</w:t>
            </w:r>
          </w:p>
        </w:tc>
        <w:tc>
          <w:tcPr>
            <w:tcW w:w="1254" w:type="dxa"/>
            <w:shd w:val="clear" w:color="auto" w:fill="auto"/>
            <w:vAlign w:val="center"/>
          </w:tcPr>
          <w:p w:rsidR="000E33B8" w:rsidRPr="00E4312C" w14:paraId="0C82442C" w14:textId="77777777">
            <w:pPr>
              <w:keepNext/>
              <w:keepLines/>
              <w:jc w:val="center"/>
              <w:rPr>
                <w:b/>
                <w:szCs w:val="20"/>
              </w:rPr>
            </w:pPr>
            <w:r w:rsidRPr="00C04BD1">
              <w:rPr>
                <w:b/>
                <w:szCs w:val="20"/>
              </w:rPr>
              <w:t>171,588</w:t>
            </w:r>
          </w:p>
        </w:tc>
      </w:tr>
      <w:tr w14:paraId="6B626BEE" w14:textId="77777777">
        <w:tblPrEx>
          <w:tblW w:w="7375" w:type="dxa"/>
          <w:jc w:val="center"/>
          <w:tblLayout w:type="fixed"/>
          <w:tblCellMar>
            <w:left w:w="0" w:type="dxa"/>
            <w:right w:w="0" w:type="dxa"/>
          </w:tblCellMar>
          <w:tblLook w:val="01E0"/>
        </w:tblPrEx>
        <w:trPr>
          <w:trHeight w:val="272"/>
          <w:jc w:val="center"/>
        </w:trPr>
        <w:tc>
          <w:tcPr>
            <w:tcW w:w="7375" w:type="dxa"/>
            <w:gridSpan w:val="6"/>
            <w:shd w:val="clear" w:color="auto" w:fill="F2F2F2" w:themeFill="background1" w:themeFillShade="F2"/>
          </w:tcPr>
          <w:p w:rsidR="000E33B8" w:rsidRPr="00835820" w14:paraId="0ADD6B1A" w14:textId="77777777">
            <w:pPr>
              <w:keepNext/>
              <w:keepLines/>
              <w:ind w:left="94" w:right="111"/>
              <w:jc w:val="center"/>
              <w:rPr>
                <w:szCs w:val="20"/>
              </w:rPr>
            </w:pPr>
            <w:r w:rsidRPr="008163BA">
              <w:rPr>
                <w:szCs w:val="20"/>
              </w:rPr>
              <w:t>Facility Burden to Collect, Summarize, Review and Disclose</w:t>
            </w:r>
          </w:p>
        </w:tc>
      </w:tr>
      <w:tr w14:paraId="33774651" w14:textId="77777777">
        <w:tblPrEx>
          <w:tblW w:w="7375" w:type="dxa"/>
          <w:jc w:val="center"/>
          <w:tblLayout w:type="fixed"/>
          <w:tblCellMar>
            <w:left w:w="0" w:type="dxa"/>
            <w:right w:w="0" w:type="dxa"/>
          </w:tblCellMar>
          <w:tblLook w:val="01E0"/>
        </w:tblPrEx>
        <w:trPr>
          <w:trHeight w:val="272"/>
          <w:jc w:val="center"/>
        </w:trPr>
        <w:tc>
          <w:tcPr>
            <w:tcW w:w="1518" w:type="dxa"/>
          </w:tcPr>
          <w:p w:rsidR="000E33B8" w:rsidRPr="00377F96" w14:paraId="39D37F19" w14:textId="77777777">
            <w:pPr>
              <w:keepNext/>
              <w:keepLines/>
              <w:ind w:left="107"/>
            </w:pPr>
            <w:r w:rsidRPr="00D42D2D">
              <w:t>Small Complex</w:t>
            </w:r>
          </w:p>
        </w:tc>
        <w:tc>
          <w:tcPr>
            <w:tcW w:w="1537" w:type="dxa"/>
            <w:vAlign w:val="center"/>
          </w:tcPr>
          <w:p w:rsidR="000E33B8" w:rsidRPr="00835820" w14:paraId="01BFC2D2" w14:textId="77777777">
            <w:pPr>
              <w:keepNext/>
              <w:keepLines/>
              <w:ind w:left="94" w:right="119"/>
              <w:jc w:val="center"/>
              <w:rPr>
                <w:szCs w:val="20"/>
              </w:rPr>
            </w:pPr>
            <w:r>
              <w:rPr>
                <w:szCs w:val="20"/>
              </w:rPr>
              <w:t>4</w:t>
            </w:r>
          </w:p>
        </w:tc>
        <w:tc>
          <w:tcPr>
            <w:tcW w:w="990" w:type="dxa"/>
          </w:tcPr>
          <w:p w:rsidR="000E33B8" w:rsidRPr="00835820" w14:paraId="34A19282" w14:textId="77777777">
            <w:pPr>
              <w:keepNext/>
              <w:keepLines/>
              <w:ind w:left="94" w:right="34"/>
              <w:jc w:val="center"/>
              <w:rPr>
                <w:szCs w:val="20"/>
              </w:rPr>
            </w:pPr>
            <w:r w:rsidRPr="00C71722">
              <w:t>1,050</w:t>
            </w:r>
          </w:p>
        </w:tc>
        <w:tc>
          <w:tcPr>
            <w:tcW w:w="919" w:type="dxa"/>
            <w:vAlign w:val="center"/>
          </w:tcPr>
          <w:p w:rsidR="000E33B8" w:rsidRPr="00835820" w14:paraId="357E631D" w14:textId="77777777">
            <w:pPr>
              <w:keepNext/>
              <w:keepLines/>
              <w:ind w:left="94" w:right="79"/>
              <w:jc w:val="center"/>
              <w:rPr>
                <w:szCs w:val="20"/>
              </w:rPr>
            </w:pPr>
            <w:r w:rsidRPr="006D03C5">
              <w:rPr>
                <w:szCs w:val="20"/>
              </w:rPr>
              <w:t>3</w:t>
            </w:r>
            <w:r>
              <w:rPr>
                <w:szCs w:val="20"/>
              </w:rPr>
              <w:t>,</w:t>
            </w:r>
            <w:r w:rsidRPr="006D03C5">
              <w:rPr>
                <w:szCs w:val="20"/>
              </w:rPr>
              <w:t>150</w:t>
            </w:r>
          </w:p>
        </w:tc>
        <w:tc>
          <w:tcPr>
            <w:tcW w:w="1157" w:type="dxa"/>
            <w:vAlign w:val="center"/>
          </w:tcPr>
          <w:p w:rsidR="000E33B8" w:rsidRPr="00835820" w14:paraId="4CAD30DE" w14:textId="77777777">
            <w:pPr>
              <w:keepNext/>
              <w:keepLines/>
              <w:ind w:left="94" w:right="111"/>
              <w:jc w:val="center"/>
              <w:rPr>
                <w:szCs w:val="20"/>
              </w:rPr>
            </w:pPr>
            <w:r w:rsidRPr="003C62BA">
              <w:rPr>
                <w:szCs w:val="20"/>
              </w:rPr>
              <w:t>4,200</w:t>
            </w:r>
          </w:p>
        </w:tc>
        <w:tc>
          <w:tcPr>
            <w:tcW w:w="1254" w:type="dxa"/>
            <w:vAlign w:val="center"/>
          </w:tcPr>
          <w:p w:rsidR="000E33B8" w:rsidRPr="00835820" w14:paraId="2B388C9E" w14:textId="77777777">
            <w:pPr>
              <w:keepNext/>
              <w:keepLines/>
              <w:ind w:left="94" w:right="111"/>
              <w:jc w:val="center"/>
              <w:rPr>
                <w:szCs w:val="20"/>
              </w:rPr>
            </w:pPr>
            <w:r w:rsidRPr="00552D13">
              <w:rPr>
                <w:szCs w:val="20"/>
              </w:rPr>
              <w:t>12</w:t>
            </w:r>
            <w:r>
              <w:rPr>
                <w:szCs w:val="20"/>
              </w:rPr>
              <w:t>,</w:t>
            </w:r>
            <w:r w:rsidRPr="00552D13">
              <w:rPr>
                <w:szCs w:val="20"/>
              </w:rPr>
              <w:t>600</w:t>
            </w:r>
          </w:p>
        </w:tc>
      </w:tr>
      <w:tr w14:paraId="14BF764A" w14:textId="77777777">
        <w:tblPrEx>
          <w:tblW w:w="7375" w:type="dxa"/>
          <w:jc w:val="center"/>
          <w:tblLayout w:type="fixed"/>
          <w:tblCellMar>
            <w:left w:w="0" w:type="dxa"/>
            <w:right w:w="0" w:type="dxa"/>
          </w:tblCellMar>
          <w:tblLook w:val="01E0"/>
        </w:tblPrEx>
        <w:trPr>
          <w:trHeight w:val="272"/>
          <w:jc w:val="center"/>
        </w:trPr>
        <w:tc>
          <w:tcPr>
            <w:tcW w:w="1518" w:type="dxa"/>
          </w:tcPr>
          <w:p w:rsidR="000E33B8" w:rsidRPr="00377F96" w14:paraId="01D15EC2" w14:textId="77777777">
            <w:pPr>
              <w:keepNext/>
              <w:keepLines/>
              <w:ind w:left="107"/>
            </w:pPr>
            <w:r w:rsidRPr="00D42D2D">
              <w:t>Large Complex</w:t>
            </w:r>
          </w:p>
        </w:tc>
        <w:tc>
          <w:tcPr>
            <w:tcW w:w="1537" w:type="dxa"/>
            <w:vAlign w:val="center"/>
          </w:tcPr>
          <w:p w:rsidR="000E33B8" w:rsidRPr="00835820" w14:paraId="582CD6F9" w14:textId="77777777">
            <w:pPr>
              <w:keepNext/>
              <w:keepLines/>
              <w:ind w:left="94" w:right="119"/>
              <w:jc w:val="center"/>
              <w:rPr>
                <w:szCs w:val="20"/>
              </w:rPr>
            </w:pPr>
            <w:r>
              <w:rPr>
                <w:szCs w:val="20"/>
              </w:rPr>
              <w:t>54</w:t>
            </w:r>
          </w:p>
        </w:tc>
        <w:tc>
          <w:tcPr>
            <w:tcW w:w="990" w:type="dxa"/>
          </w:tcPr>
          <w:p w:rsidR="000E33B8" w:rsidRPr="00835820" w14:paraId="4B3FE587" w14:textId="77777777">
            <w:pPr>
              <w:keepNext/>
              <w:keepLines/>
              <w:ind w:left="94" w:right="34"/>
              <w:jc w:val="center"/>
              <w:rPr>
                <w:szCs w:val="20"/>
              </w:rPr>
            </w:pPr>
            <w:r w:rsidRPr="00C71722">
              <w:t>608</w:t>
            </w:r>
          </w:p>
        </w:tc>
        <w:tc>
          <w:tcPr>
            <w:tcW w:w="919" w:type="dxa"/>
            <w:vAlign w:val="center"/>
          </w:tcPr>
          <w:p w:rsidR="000E33B8" w:rsidRPr="00835820" w14:paraId="6D553911" w14:textId="77777777">
            <w:pPr>
              <w:keepNext/>
              <w:keepLines/>
              <w:ind w:left="94" w:right="79"/>
              <w:jc w:val="center"/>
              <w:rPr>
                <w:szCs w:val="20"/>
              </w:rPr>
            </w:pPr>
            <w:r w:rsidRPr="00566143">
              <w:rPr>
                <w:szCs w:val="20"/>
              </w:rPr>
              <w:t>1</w:t>
            </w:r>
            <w:r>
              <w:rPr>
                <w:szCs w:val="20"/>
              </w:rPr>
              <w:t>,</w:t>
            </w:r>
            <w:r w:rsidRPr="00566143">
              <w:rPr>
                <w:szCs w:val="20"/>
              </w:rPr>
              <w:t>824</w:t>
            </w:r>
          </w:p>
        </w:tc>
        <w:tc>
          <w:tcPr>
            <w:tcW w:w="1157" w:type="dxa"/>
            <w:vAlign w:val="center"/>
          </w:tcPr>
          <w:p w:rsidR="000E33B8" w:rsidRPr="00835820" w14:paraId="797B36E3" w14:textId="77777777">
            <w:pPr>
              <w:keepNext/>
              <w:keepLines/>
              <w:ind w:left="94" w:right="111"/>
              <w:jc w:val="center"/>
              <w:rPr>
                <w:szCs w:val="20"/>
              </w:rPr>
            </w:pPr>
            <w:r w:rsidRPr="00FD770A">
              <w:rPr>
                <w:szCs w:val="20"/>
              </w:rPr>
              <w:t>32,832</w:t>
            </w:r>
          </w:p>
        </w:tc>
        <w:tc>
          <w:tcPr>
            <w:tcW w:w="1254" w:type="dxa"/>
            <w:vAlign w:val="center"/>
          </w:tcPr>
          <w:p w:rsidR="000E33B8" w:rsidRPr="00835820" w14:paraId="06F58A18" w14:textId="77777777">
            <w:pPr>
              <w:keepNext/>
              <w:keepLines/>
              <w:ind w:left="94" w:right="111"/>
              <w:jc w:val="center"/>
              <w:rPr>
                <w:szCs w:val="20"/>
              </w:rPr>
            </w:pPr>
            <w:r w:rsidRPr="00952A51">
              <w:rPr>
                <w:szCs w:val="20"/>
              </w:rPr>
              <w:t>98</w:t>
            </w:r>
            <w:r>
              <w:rPr>
                <w:szCs w:val="20"/>
              </w:rPr>
              <w:t>,</w:t>
            </w:r>
            <w:r w:rsidRPr="00952A51">
              <w:rPr>
                <w:szCs w:val="20"/>
              </w:rPr>
              <w:t>496</w:t>
            </w:r>
          </w:p>
        </w:tc>
      </w:tr>
      <w:tr w14:paraId="664858F1" w14:textId="77777777">
        <w:tblPrEx>
          <w:tblW w:w="7375" w:type="dxa"/>
          <w:jc w:val="center"/>
          <w:tblLayout w:type="fixed"/>
          <w:tblCellMar>
            <w:left w:w="0" w:type="dxa"/>
            <w:right w:w="0" w:type="dxa"/>
          </w:tblCellMar>
          <w:tblLook w:val="01E0"/>
        </w:tblPrEx>
        <w:trPr>
          <w:trHeight w:val="272"/>
          <w:jc w:val="center"/>
        </w:trPr>
        <w:tc>
          <w:tcPr>
            <w:tcW w:w="1518" w:type="dxa"/>
          </w:tcPr>
          <w:p w:rsidR="000E33B8" w:rsidRPr="00377F96" w14:paraId="1029B7DF" w14:textId="77777777">
            <w:pPr>
              <w:keepNext/>
              <w:keepLines/>
              <w:ind w:left="107"/>
            </w:pPr>
            <w:r w:rsidRPr="00D42D2D">
              <w:t>Simple</w:t>
            </w:r>
          </w:p>
        </w:tc>
        <w:tc>
          <w:tcPr>
            <w:tcW w:w="1537" w:type="dxa"/>
            <w:vAlign w:val="center"/>
          </w:tcPr>
          <w:p w:rsidR="000E33B8" w:rsidRPr="00835820" w14:paraId="2B7FA853" w14:textId="77777777">
            <w:pPr>
              <w:keepNext/>
              <w:keepLines/>
              <w:ind w:left="94" w:right="119"/>
              <w:jc w:val="center"/>
              <w:rPr>
                <w:szCs w:val="20"/>
              </w:rPr>
            </w:pPr>
            <w:r>
              <w:rPr>
                <w:szCs w:val="20"/>
              </w:rPr>
              <w:t>2</w:t>
            </w:r>
          </w:p>
        </w:tc>
        <w:tc>
          <w:tcPr>
            <w:tcW w:w="990" w:type="dxa"/>
          </w:tcPr>
          <w:p w:rsidR="000E33B8" w:rsidRPr="00835820" w14:paraId="5B694879" w14:textId="77777777">
            <w:pPr>
              <w:keepNext/>
              <w:keepLines/>
              <w:ind w:left="94" w:right="34"/>
              <w:jc w:val="center"/>
              <w:rPr>
                <w:szCs w:val="20"/>
              </w:rPr>
            </w:pPr>
            <w:r w:rsidRPr="00C71722">
              <w:t>10,082</w:t>
            </w:r>
          </w:p>
        </w:tc>
        <w:tc>
          <w:tcPr>
            <w:tcW w:w="919" w:type="dxa"/>
            <w:vAlign w:val="center"/>
          </w:tcPr>
          <w:p w:rsidR="000E33B8" w:rsidRPr="00835820" w14:paraId="710E3F5E" w14:textId="77777777">
            <w:pPr>
              <w:keepNext/>
              <w:keepLines/>
              <w:ind w:left="94" w:right="79"/>
              <w:jc w:val="center"/>
              <w:rPr>
                <w:szCs w:val="20"/>
              </w:rPr>
            </w:pPr>
            <w:r w:rsidRPr="00F411E0">
              <w:rPr>
                <w:szCs w:val="20"/>
              </w:rPr>
              <w:t>30</w:t>
            </w:r>
            <w:r>
              <w:rPr>
                <w:szCs w:val="20"/>
              </w:rPr>
              <w:t>,</w:t>
            </w:r>
            <w:r w:rsidRPr="00F411E0">
              <w:rPr>
                <w:szCs w:val="20"/>
              </w:rPr>
              <w:t>246</w:t>
            </w:r>
          </w:p>
        </w:tc>
        <w:tc>
          <w:tcPr>
            <w:tcW w:w="1157" w:type="dxa"/>
            <w:vAlign w:val="center"/>
          </w:tcPr>
          <w:p w:rsidR="000E33B8" w:rsidRPr="00835820" w14:paraId="4AA1EB30" w14:textId="77777777">
            <w:pPr>
              <w:keepNext/>
              <w:keepLines/>
              <w:ind w:left="94" w:right="111"/>
              <w:jc w:val="center"/>
              <w:rPr>
                <w:szCs w:val="20"/>
              </w:rPr>
            </w:pPr>
            <w:r w:rsidRPr="005860C3">
              <w:rPr>
                <w:szCs w:val="20"/>
              </w:rPr>
              <w:t>20,164</w:t>
            </w:r>
          </w:p>
        </w:tc>
        <w:tc>
          <w:tcPr>
            <w:tcW w:w="1254" w:type="dxa"/>
            <w:vAlign w:val="center"/>
          </w:tcPr>
          <w:p w:rsidR="000E33B8" w:rsidRPr="00835820" w14:paraId="40C87BF6" w14:textId="77777777">
            <w:pPr>
              <w:keepNext/>
              <w:keepLines/>
              <w:ind w:left="94" w:right="111"/>
              <w:jc w:val="center"/>
              <w:rPr>
                <w:szCs w:val="20"/>
              </w:rPr>
            </w:pPr>
            <w:r w:rsidRPr="00811D2A">
              <w:rPr>
                <w:szCs w:val="20"/>
              </w:rPr>
              <w:t>60</w:t>
            </w:r>
            <w:r>
              <w:rPr>
                <w:szCs w:val="20"/>
              </w:rPr>
              <w:t>,</w:t>
            </w:r>
            <w:r w:rsidRPr="00811D2A">
              <w:rPr>
                <w:szCs w:val="20"/>
              </w:rPr>
              <w:t>492</w:t>
            </w:r>
          </w:p>
        </w:tc>
      </w:tr>
    </w:tbl>
    <w:p w:rsidR="000E33B8" w:rsidP="000E33B8" w14:paraId="008907D2" w14:textId="77777777">
      <w:pPr>
        <w:ind w:left="900" w:right="540"/>
      </w:pPr>
      <w:r w:rsidRPr="005751A7">
        <w:t xml:space="preserve">* EPA assumed that the burden associated with this provision would be incurred by the same number of facilities in Years 1, 2, and 3.   </w:t>
      </w:r>
    </w:p>
    <w:p w:rsidR="000E33B8" w:rsidP="000E33B8" w14:paraId="23FDB6D7"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00880EE7" w:rsidP="001B0A98" w14:paraId="06250ADD" w14:textId="01CB1807">
      <w:pPr>
        <w:keepNext/>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Pr>
          <w:b/>
          <w:bCs/>
          <w:sz w:val="22"/>
          <w:szCs w:val="22"/>
        </w:rPr>
        <w:t>Cost for Respondent Burden by Rule Provision</w:t>
      </w:r>
    </w:p>
    <w:p w:rsidR="00A616A3" w:rsidP="001B0A98" w14:paraId="3147D8E7" w14:textId="77777777">
      <w:pPr>
        <w:keepNext/>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A616A3" w:rsidRPr="00CC5F96" w:rsidP="001B0A98" w14:paraId="7891C26D" w14:textId="1C99FAEB">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8"/>
        </w:rPr>
      </w:pPr>
      <w:r w:rsidRPr="00CC5F96">
        <w:rPr>
          <w:sz w:val="22"/>
          <w:szCs w:val="28"/>
        </w:rPr>
        <w:t>Exhibits 1</w:t>
      </w:r>
      <w:r w:rsidR="00C57820">
        <w:rPr>
          <w:sz w:val="22"/>
          <w:szCs w:val="28"/>
        </w:rPr>
        <w:t>3</w:t>
      </w:r>
      <w:r w:rsidRPr="00CC5F96">
        <w:rPr>
          <w:sz w:val="22"/>
          <w:szCs w:val="28"/>
        </w:rPr>
        <w:t xml:space="preserve"> through 20 present respondent labor costs based on the labor burden and labor rates presented previously.</w:t>
      </w:r>
    </w:p>
    <w:p w:rsidR="00A616A3" w:rsidRPr="00CC5F96" w:rsidP="00A616A3" w14:paraId="0ADCBB20"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8"/>
        </w:rPr>
      </w:pPr>
    </w:p>
    <w:p w:rsidR="00A616A3" w:rsidRPr="00D206B9" w:rsidP="00A616A3" w14:paraId="510360EA" w14:textId="3B451505">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u w:val="single"/>
        </w:rPr>
      </w:pPr>
      <w:r w:rsidRPr="00CC5F96">
        <w:rPr>
          <w:i/>
          <w:iCs/>
          <w:sz w:val="22"/>
          <w:szCs w:val="22"/>
        </w:rPr>
        <w:t>Familiarization</w:t>
      </w:r>
      <w:r w:rsidRPr="0023365A">
        <w:rPr>
          <w:i/>
          <w:iCs/>
          <w:sz w:val="22"/>
          <w:szCs w:val="22"/>
        </w:rPr>
        <w:t xml:space="preserve"> with the Regulations</w:t>
      </w:r>
      <w:r>
        <w:rPr>
          <w:b/>
          <w:sz w:val="22"/>
          <w:szCs w:val="22"/>
        </w:rPr>
        <w:t xml:space="preserve"> - </w:t>
      </w:r>
      <w:r w:rsidRPr="00B973D6">
        <w:rPr>
          <w:sz w:val="22"/>
          <w:szCs w:val="22"/>
        </w:rPr>
        <w:t>EPA</w:t>
      </w:r>
      <w:r w:rsidRPr="00DD1B9F">
        <w:rPr>
          <w:sz w:val="22"/>
          <w:szCs w:val="22"/>
        </w:rPr>
        <w:t xml:space="preserve"> analyzed the cost of rule familiarization, which</w:t>
      </w:r>
      <w:r>
        <w:rPr>
          <w:sz w:val="22"/>
          <w:szCs w:val="22"/>
        </w:rPr>
        <w:t>,</w:t>
      </w:r>
      <w:r w:rsidRPr="00DD1B9F">
        <w:rPr>
          <w:sz w:val="22"/>
          <w:szCs w:val="22"/>
        </w:rPr>
        <w:t xml:space="preserve"> while not a provision of the </w:t>
      </w:r>
      <w:r>
        <w:rPr>
          <w:sz w:val="22"/>
          <w:szCs w:val="22"/>
        </w:rPr>
        <w:t>final</w:t>
      </w:r>
      <w:r w:rsidRPr="00DD1B9F">
        <w:rPr>
          <w:sz w:val="22"/>
          <w:szCs w:val="22"/>
        </w:rPr>
        <w:t xml:space="preserve"> rule, is an activity that occurs under every rulemaking. </w:t>
      </w:r>
    </w:p>
    <w:p w:rsidR="00A616A3" w:rsidRPr="00BF4D0A" w:rsidP="00A616A3" w14:paraId="09A9C3E2" w14:textId="77777777">
      <w:pPr>
        <w:ind w:right="388"/>
      </w:pPr>
    </w:p>
    <w:p w:rsidR="00A616A3" w:rsidRPr="00576F93" w:rsidP="00A616A3" w14:paraId="50CC6488" w14:textId="4204D447">
      <w:pPr>
        <w:pStyle w:val="Caption"/>
        <w:spacing w:after="0"/>
        <w:jc w:val="center"/>
        <w:rPr>
          <w:b/>
          <w:bCs/>
          <w:i w:val="0"/>
          <w:iCs w:val="0"/>
          <w:color w:val="auto"/>
          <w:sz w:val="22"/>
          <w:szCs w:val="22"/>
        </w:rPr>
      </w:pPr>
      <w:r w:rsidRPr="00576F93">
        <w:rPr>
          <w:b/>
          <w:bCs/>
          <w:i w:val="0"/>
          <w:iCs w:val="0"/>
          <w:color w:val="auto"/>
          <w:sz w:val="22"/>
          <w:szCs w:val="22"/>
        </w:rPr>
        <w:t xml:space="preserve">Exhibit </w:t>
      </w:r>
      <w:r>
        <w:rPr>
          <w:b/>
          <w:bCs/>
          <w:i w:val="0"/>
          <w:iCs w:val="0"/>
          <w:color w:val="auto"/>
          <w:sz w:val="22"/>
          <w:szCs w:val="22"/>
        </w:rPr>
        <w:t>1</w:t>
      </w:r>
      <w:r w:rsidR="00CF3F54">
        <w:rPr>
          <w:b/>
          <w:bCs/>
          <w:i w:val="0"/>
          <w:iCs w:val="0"/>
          <w:color w:val="auto"/>
          <w:sz w:val="22"/>
          <w:szCs w:val="22"/>
        </w:rPr>
        <w:t>3</w:t>
      </w:r>
      <w:r w:rsidRPr="00576F93">
        <w:rPr>
          <w:b/>
          <w:bCs/>
          <w:i w:val="0"/>
          <w:iCs w:val="0"/>
          <w:color w:val="auto"/>
          <w:sz w:val="22"/>
          <w:szCs w:val="22"/>
        </w:rPr>
        <w:t xml:space="preserve">: </w:t>
      </w:r>
      <w:r w:rsidRPr="00D21E4B" w:rsidR="00DD534A">
        <w:rPr>
          <w:b/>
          <w:bCs/>
          <w:i w:val="0"/>
          <w:iCs w:val="0"/>
          <w:color w:val="auto"/>
          <w:sz w:val="22"/>
          <w:szCs w:val="22"/>
        </w:rPr>
        <w:t xml:space="preserve">Estimated </w:t>
      </w:r>
      <w:r w:rsidR="00DD534A">
        <w:rPr>
          <w:b/>
          <w:bCs/>
          <w:i w:val="0"/>
          <w:iCs w:val="0"/>
          <w:color w:val="auto"/>
          <w:sz w:val="22"/>
          <w:szCs w:val="22"/>
        </w:rPr>
        <w:t xml:space="preserve">Labor </w:t>
      </w:r>
      <w:r w:rsidRPr="00D21E4B" w:rsidR="00DD534A">
        <w:rPr>
          <w:b/>
          <w:bCs/>
          <w:i w:val="0"/>
          <w:iCs w:val="0"/>
          <w:color w:val="auto"/>
          <w:sz w:val="22"/>
          <w:szCs w:val="22"/>
        </w:rPr>
        <w:t xml:space="preserve">Costs for </w:t>
      </w:r>
      <w:r w:rsidRPr="00576F93">
        <w:rPr>
          <w:b/>
          <w:bCs/>
          <w:i w:val="0"/>
          <w:iCs w:val="0"/>
          <w:color w:val="auto"/>
          <w:sz w:val="22"/>
          <w:szCs w:val="22"/>
        </w:rPr>
        <w:t>Rule Familiarization (202</w:t>
      </w:r>
      <w:r>
        <w:rPr>
          <w:b/>
          <w:bCs/>
          <w:i w:val="0"/>
          <w:iCs w:val="0"/>
          <w:color w:val="auto"/>
          <w:sz w:val="22"/>
          <w:szCs w:val="22"/>
        </w:rPr>
        <w:t>2</w:t>
      </w:r>
      <w:r w:rsidRPr="00576F93">
        <w:rPr>
          <w:b/>
          <w:bCs/>
          <w:i w:val="0"/>
          <w:iCs w:val="0"/>
          <w:color w:val="auto"/>
          <w:sz w:val="22"/>
          <w:szCs w:val="22"/>
        </w:rPr>
        <w:t xml:space="preserve"> </w:t>
      </w:r>
      <w:r>
        <w:rPr>
          <w:b/>
          <w:bCs/>
          <w:i w:val="0"/>
          <w:iCs w:val="0"/>
          <w:color w:val="auto"/>
          <w:sz w:val="22"/>
          <w:szCs w:val="22"/>
        </w:rPr>
        <w:t>d</w:t>
      </w:r>
      <w:r w:rsidRPr="00576F93">
        <w:rPr>
          <w:b/>
          <w:bCs/>
          <w:i w:val="0"/>
          <w:iCs w:val="0"/>
          <w:color w:val="auto"/>
          <w:sz w:val="22"/>
          <w:szCs w:val="22"/>
        </w:rPr>
        <w:t>ollars)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730"/>
        <w:gridCol w:w="1156"/>
        <w:gridCol w:w="1096"/>
        <w:gridCol w:w="3368"/>
      </w:tblGrid>
      <w:tr w14:paraId="2A6B5913"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trHeight w:val="20"/>
        </w:trPr>
        <w:tc>
          <w:tcPr>
            <w:tcW w:w="1994" w:type="pct"/>
            <w:shd w:val="clear" w:color="auto" w:fill="DADADA"/>
            <w:vAlign w:val="center"/>
          </w:tcPr>
          <w:p w:rsidR="00A616A3" w:rsidRPr="00576F93" w14:paraId="4C398E6C" w14:textId="77777777">
            <w:pPr>
              <w:ind w:left="2516" w:hanging="2430"/>
              <w:jc w:val="center"/>
              <w:rPr>
                <w:b/>
                <w:szCs w:val="20"/>
              </w:rPr>
            </w:pPr>
            <w:r w:rsidRPr="00576F93">
              <w:rPr>
                <w:b/>
                <w:szCs w:val="20"/>
              </w:rPr>
              <w:t>Facility Type</w:t>
            </w:r>
          </w:p>
        </w:tc>
        <w:tc>
          <w:tcPr>
            <w:tcW w:w="618" w:type="pct"/>
            <w:shd w:val="clear" w:color="auto" w:fill="DADADA"/>
            <w:vAlign w:val="center"/>
          </w:tcPr>
          <w:p w:rsidR="00A616A3" w:rsidRPr="00576F93" w14:paraId="571996FB" w14:textId="77777777">
            <w:pPr>
              <w:ind w:left="94" w:right="37"/>
              <w:jc w:val="center"/>
              <w:rPr>
                <w:b/>
                <w:szCs w:val="20"/>
              </w:rPr>
            </w:pPr>
            <w:r w:rsidRPr="00576F93">
              <w:rPr>
                <w:b/>
                <w:szCs w:val="20"/>
              </w:rPr>
              <w:t>Unit Cost</w:t>
            </w:r>
          </w:p>
        </w:tc>
        <w:tc>
          <w:tcPr>
            <w:tcW w:w="586" w:type="pct"/>
            <w:shd w:val="clear" w:color="auto" w:fill="DADADA"/>
            <w:vAlign w:val="center"/>
          </w:tcPr>
          <w:p w:rsidR="00A616A3" w:rsidRPr="00576F93" w14:paraId="0BC1FB8B" w14:textId="77777777">
            <w:pPr>
              <w:ind w:left="77" w:right="51"/>
              <w:jc w:val="center"/>
              <w:rPr>
                <w:b/>
                <w:szCs w:val="20"/>
              </w:rPr>
            </w:pPr>
            <w:r w:rsidRPr="00576F93">
              <w:rPr>
                <w:b/>
                <w:szCs w:val="20"/>
              </w:rPr>
              <w:t>Facilities</w:t>
            </w:r>
          </w:p>
        </w:tc>
        <w:tc>
          <w:tcPr>
            <w:tcW w:w="1801" w:type="pct"/>
            <w:shd w:val="clear" w:color="auto" w:fill="DADADA"/>
            <w:vAlign w:val="center"/>
          </w:tcPr>
          <w:p w:rsidR="00A616A3" w:rsidRPr="00576F93" w14:paraId="2BDBCD9A" w14:textId="77777777">
            <w:pPr>
              <w:ind w:left="91" w:right="36"/>
              <w:jc w:val="center"/>
              <w:rPr>
                <w:b/>
                <w:szCs w:val="20"/>
              </w:rPr>
            </w:pPr>
            <w:r w:rsidRPr="00576F93">
              <w:rPr>
                <w:b/>
                <w:szCs w:val="20"/>
              </w:rPr>
              <w:t>Total Cost (incurred in Year 1)</w:t>
            </w:r>
          </w:p>
        </w:tc>
      </w:tr>
      <w:tr w14:paraId="0356B8FE" w14:textId="77777777">
        <w:tblPrEx>
          <w:tblW w:w="5000" w:type="pct"/>
          <w:tblCellMar>
            <w:left w:w="0" w:type="dxa"/>
            <w:right w:w="0" w:type="dxa"/>
          </w:tblCellMar>
          <w:tblLook w:val="01E0"/>
        </w:tblPrEx>
        <w:trPr>
          <w:trHeight w:val="20"/>
        </w:trPr>
        <w:tc>
          <w:tcPr>
            <w:tcW w:w="1994" w:type="pct"/>
            <w:vAlign w:val="center"/>
          </w:tcPr>
          <w:p w:rsidR="00A616A3" w:rsidRPr="00576F93" w14:paraId="7344F65B" w14:textId="77777777">
            <w:pPr>
              <w:ind w:left="125"/>
              <w:rPr>
                <w:szCs w:val="20"/>
              </w:rPr>
            </w:pPr>
            <w:r w:rsidRPr="00576F93">
              <w:rPr>
                <w:szCs w:val="20"/>
              </w:rPr>
              <w:t>Simple</w:t>
            </w:r>
          </w:p>
        </w:tc>
        <w:tc>
          <w:tcPr>
            <w:tcW w:w="618" w:type="pct"/>
            <w:vAlign w:val="center"/>
          </w:tcPr>
          <w:p w:rsidR="00A616A3" w:rsidRPr="00576F93" w14:paraId="37ABF3B3" w14:textId="77777777">
            <w:pPr>
              <w:ind w:left="94" w:right="34"/>
              <w:jc w:val="right"/>
              <w:rPr>
                <w:szCs w:val="20"/>
              </w:rPr>
            </w:pPr>
            <w:r w:rsidRPr="00576F93">
              <w:rPr>
                <w:color w:val="000000"/>
                <w:szCs w:val="20"/>
              </w:rPr>
              <w:t>$</w:t>
            </w:r>
            <w:r>
              <w:rPr>
                <w:color w:val="000000"/>
                <w:szCs w:val="20"/>
              </w:rPr>
              <w:t>553</w:t>
            </w:r>
          </w:p>
        </w:tc>
        <w:tc>
          <w:tcPr>
            <w:tcW w:w="586" w:type="pct"/>
            <w:vAlign w:val="center"/>
          </w:tcPr>
          <w:p w:rsidR="00A616A3" w:rsidRPr="00576F93" w14:paraId="5AB0F091" w14:textId="77777777">
            <w:pPr>
              <w:ind w:left="77" w:right="45"/>
              <w:jc w:val="right"/>
              <w:rPr>
                <w:szCs w:val="20"/>
              </w:rPr>
            </w:pPr>
            <w:r w:rsidRPr="00576F93">
              <w:rPr>
                <w:szCs w:val="20"/>
              </w:rPr>
              <w:t>10,082</w:t>
            </w:r>
          </w:p>
        </w:tc>
        <w:tc>
          <w:tcPr>
            <w:tcW w:w="1801" w:type="pct"/>
            <w:vAlign w:val="center"/>
          </w:tcPr>
          <w:p w:rsidR="00A616A3" w:rsidRPr="00576F93" w14:paraId="5109E303" w14:textId="79AD0806">
            <w:pPr>
              <w:ind w:left="91" w:right="49"/>
              <w:jc w:val="right"/>
              <w:rPr>
                <w:szCs w:val="20"/>
              </w:rPr>
            </w:pPr>
            <w:r w:rsidRPr="00E02539">
              <w:rPr>
                <w:color w:val="000000"/>
                <w:szCs w:val="20"/>
              </w:rPr>
              <w:t>$5,580,285</w:t>
            </w:r>
          </w:p>
        </w:tc>
      </w:tr>
      <w:tr w14:paraId="7C09B7D0" w14:textId="77777777">
        <w:tblPrEx>
          <w:tblW w:w="5000" w:type="pct"/>
          <w:tblCellMar>
            <w:left w:w="0" w:type="dxa"/>
            <w:right w:w="0" w:type="dxa"/>
          </w:tblCellMar>
          <w:tblLook w:val="01E0"/>
        </w:tblPrEx>
        <w:trPr>
          <w:trHeight w:val="20"/>
        </w:trPr>
        <w:tc>
          <w:tcPr>
            <w:tcW w:w="1994" w:type="pct"/>
            <w:vAlign w:val="center"/>
          </w:tcPr>
          <w:p w:rsidR="00A616A3" w:rsidRPr="00576F93" w14:paraId="3103A604" w14:textId="77777777">
            <w:pPr>
              <w:ind w:left="125"/>
              <w:rPr>
                <w:szCs w:val="20"/>
              </w:rPr>
            </w:pPr>
            <w:r w:rsidRPr="00576F93">
              <w:rPr>
                <w:szCs w:val="20"/>
              </w:rPr>
              <w:t>Program 1 and Program 2 Complex</w:t>
            </w:r>
          </w:p>
        </w:tc>
        <w:tc>
          <w:tcPr>
            <w:tcW w:w="618" w:type="pct"/>
            <w:vAlign w:val="center"/>
          </w:tcPr>
          <w:p w:rsidR="00A616A3" w:rsidRPr="00D206B9" w14:paraId="7404B4B4" w14:textId="77777777">
            <w:pPr>
              <w:ind w:left="94" w:right="34"/>
              <w:jc w:val="right"/>
              <w:rPr>
                <w:color w:val="000000"/>
                <w:szCs w:val="20"/>
              </w:rPr>
            </w:pPr>
            <w:r w:rsidRPr="00576F93">
              <w:rPr>
                <w:color w:val="000000"/>
                <w:szCs w:val="20"/>
              </w:rPr>
              <w:t>$</w:t>
            </w:r>
            <w:r>
              <w:rPr>
                <w:color w:val="000000"/>
                <w:szCs w:val="20"/>
              </w:rPr>
              <w:t>688</w:t>
            </w:r>
          </w:p>
        </w:tc>
        <w:tc>
          <w:tcPr>
            <w:tcW w:w="586" w:type="pct"/>
            <w:vAlign w:val="center"/>
          </w:tcPr>
          <w:p w:rsidR="00A616A3" w:rsidRPr="00576F93" w14:paraId="739541A4" w14:textId="77777777">
            <w:pPr>
              <w:ind w:left="77" w:right="45"/>
              <w:jc w:val="right"/>
              <w:rPr>
                <w:szCs w:val="20"/>
              </w:rPr>
            </w:pPr>
            <w:r w:rsidRPr="00576F93">
              <w:rPr>
                <w:szCs w:val="20"/>
              </w:rPr>
              <w:t>131</w:t>
            </w:r>
          </w:p>
        </w:tc>
        <w:tc>
          <w:tcPr>
            <w:tcW w:w="1801" w:type="pct"/>
            <w:vAlign w:val="center"/>
          </w:tcPr>
          <w:p w:rsidR="00A616A3" w:rsidRPr="00576F93" w14:paraId="40043248" w14:textId="024609B2">
            <w:pPr>
              <w:ind w:left="91" w:right="49"/>
              <w:jc w:val="right"/>
              <w:rPr>
                <w:szCs w:val="20"/>
              </w:rPr>
            </w:pPr>
            <w:r w:rsidRPr="00602E38">
              <w:rPr>
                <w:color w:val="000000"/>
                <w:szCs w:val="20"/>
              </w:rPr>
              <w:t>$90,076</w:t>
            </w:r>
          </w:p>
        </w:tc>
      </w:tr>
      <w:tr w14:paraId="7864322D" w14:textId="77777777">
        <w:tblPrEx>
          <w:tblW w:w="5000" w:type="pct"/>
          <w:tblCellMar>
            <w:left w:w="0" w:type="dxa"/>
            <w:right w:w="0" w:type="dxa"/>
          </w:tblCellMar>
          <w:tblLook w:val="01E0"/>
        </w:tblPrEx>
        <w:trPr>
          <w:trHeight w:val="20"/>
        </w:trPr>
        <w:tc>
          <w:tcPr>
            <w:tcW w:w="1994" w:type="pct"/>
            <w:vAlign w:val="center"/>
          </w:tcPr>
          <w:p w:rsidR="00A616A3" w:rsidRPr="00576F93" w14:paraId="1BDDA797" w14:textId="77777777">
            <w:pPr>
              <w:ind w:left="125"/>
              <w:rPr>
                <w:szCs w:val="20"/>
              </w:rPr>
            </w:pPr>
            <w:r w:rsidRPr="00576F93">
              <w:rPr>
                <w:szCs w:val="20"/>
              </w:rPr>
              <w:t>Program 3 Complex</w:t>
            </w:r>
          </w:p>
        </w:tc>
        <w:tc>
          <w:tcPr>
            <w:tcW w:w="618" w:type="pct"/>
            <w:vAlign w:val="center"/>
          </w:tcPr>
          <w:p w:rsidR="00A616A3" w:rsidRPr="00576F93" w14:paraId="21731D9B" w14:textId="77777777">
            <w:pPr>
              <w:ind w:left="94" w:right="34"/>
              <w:jc w:val="right"/>
              <w:rPr>
                <w:szCs w:val="20"/>
              </w:rPr>
            </w:pPr>
            <w:r w:rsidRPr="00576F93">
              <w:rPr>
                <w:color w:val="000000"/>
                <w:szCs w:val="20"/>
              </w:rPr>
              <w:t>$</w:t>
            </w:r>
            <w:r>
              <w:rPr>
                <w:color w:val="000000"/>
                <w:szCs w:val="20"/>
              </w:rPr>
              <w:t>28,744</w:t>
            </w:r>
          </w:p>
        </w:tc>
        <w:tc>
          <w:tcPr>
            <w:tcW w:w="586" w:type="pct"/>
            <w:vAlign w:val="center"/>
          </w:tcPr>
          <w:p w:rsidR="00A616A3" w:rsidRPr="00576F93" w14:paraId="58437D4D" w14:textId="77777777">
            <w:pPr>
              <w:ind w:left="77" w:right="30"/>
              <w:jc w:val="right"/>
              <w:rPr>
                <w:szCs w:val="20"/>
              </w:rPr>
            </w:pPr>
            <w:r w:rsidRPr="00576F93">
              <w:rPr>
                <w:szCs w:val="20"/>
              </w:rPr>
              <w:t>1,527</w:t>
            </w:r>
          </w:p>
        </w:tc>
        <w:tc>
          <w:tcPr>
            <w:tcW w:w="1801" w:type="pct"/>
            <w:vAlign w:val="center"/>
          </w:tcPr>
          <w:p w:rsidR="00A616A3" w:rsidRPr="00576F93" w14:paraId="302AE371" w14:textId="6FC91B64">
            <w:pPr>
              <w:ind w:left="91" w:right="34"/>
              <w:jc w:val="right"/>
              <w:rPr>
                <w:szCs w:val="20"/>
              </w:rPr>
            </w:pPr>
            <w:r w:rsidRPr="00A03E45">
              <w:rPr>
                <w:color w:val="000000"/>
                <w:szCs w:val="20"/>
              </w:rPr>
              <w:t>$43,892,73</w:t>
            </w:r>
            <w:r w:rsidR="00E430C9">
              <w:rPr>
                <w:color w:val="000000"/>
                <w:szCs w:val="20"/>
              </w:rPr>
              <w:t>5</w:t>
            </w:r>
          </w:p>
        </w:tc>
      </w:tr>
      <w:tr w14:paraId="0441077C" w14:textId="77777777">
        <w:tblPrEx>
          <w:tblW w:w="5000" w:type="pct"/>
          <w:tblCellMar>
            <w:left w:w="0" w:type="dxa"/>
            <w:right w:w="0" w:type="dxa"/>
          </w:tblCellMar>
          <w:tblLook w:val="01E0"/>
        </w:tblPrEx>
        <w:trPr>
          <w:trHeight w:val="20"/>
        </w:trPr>
        <w:tc>
          <w:tcPr>
            <w:tcW w:w="1994" w:type="pct"/>
            <w:vAlign w:val="center"/>
          </w:tcPr>
          <w:p w:rsidR="00A616A3" w:rsidRPr="00576F93" w14:paraId="36E5D72B" w14:textId="77777777">
            <w:pPr>
              <w:ind w:left="125"/>
              <w:rPr>
                <w:szCs w:val="20"/>
              </w:rPr>
            </w:pPr>
            <w:r w:rsidRPr="00576F93">
              <w:rPr>
                <w:szCs w:val="20"/>
              </w:rPr>
              <w:t>LEPCs</w:t>
            </w:r>
          </w:p>
        </w:tc>
        <w:tc>
          <w:tcPr>
            <w:tcW w:w="618" w:type="pct"/>
            <w:vAlign w:val="center"/>
          </w:tcPr>
          <w:p w:rsidR="00A616A3" w:rsidRPr="00576F93" w14:paraId="2A7C58FA" w14:textId="77777777">
            <w:pPr>
              <w:ind w:left="94" w:right="49"/>
              <w:jc w:val="right"/>
              <w:rPr>
                <w:szCs w:val="20"/>
              </w:rPr>
            </w:pPr>
            <w:r w:rsidRPr="00576F93">
              <w:rPr>
                <w:color w:val="000000"/>
                <w:szCs w:val="20"/>
              </w:rPr>
              <w:t>$</w:t>
            </w:r>
            <w:r>
              <w:rPr>
                <w:color w:val="000000"/>
                <w:szCs w:val="20"/>
              </w:rPr>
              <w:t>553</w:t>
            </w:r>
          </w:p>
        </w:tc>
        <w:tc>
          <w:tcPr>
            <w:tcW w:w="586" w:type="pct"/>
            <w:vAlign w:val="center"/>
          </w:tcPr>
          <w:p w:rsidR="00A616A3" w:rsidRPr="00576F93" w14:paraId="7F6E25D0" w14:textId="77777777">
            <w:pPr>
              <w:ind w:left="77" w:right="30"/>
              <w:jc w:val="right"/>
              <w:rPr>
                <w:szCs w:val="20"/>
              </w:rPr>
            </w:pPr>
            <w:r w:rsidRPr="00576F93">
              <w:rPr>
                <w:szCs w:val="20"/>
              </w:rPr>
              <w:t>2,473</w:t>
            </w:r>
          </w:p>
        </w:tc>
        <w:tc>
          <w:tcPr>
            <w:tcW w:w="1801" w:type="pct"/>
            <w:vAlign w:val="center"/>
          </w:tcPr>
          <w:p w:rsidR="00A616A3" w:rsidRPr="00576F93" w14:paraId="3FADA934" w14:textId="18DCB6E6">
            <w:pPr>
              <w:ind w:left="91" w:right="49"/>
              <w:jc w:val="right"/>
              <w:rPr>
                <w:szCs w:val="20"/>
              </w:rPr>
            </w:pPr>
            <w:r w:rsidRPr="00895A85">
              <w:rPr>
                <w:color w:val="000000"/>
                <w:szCs w:val="20"/>
              </w:rPr>
              <w:t>$1,368,78</w:t>
            </w:r>
            <w:r w:rsidR="00E430C9">
              <w:rPr>
                <w:color w:val="000000"/>
                <w:szCs w:val="20"/>
              </w:rPr>
              <w:t>1</w:t>
            </w:r>
          </w:p>
        </w:tc>
      </w:tr>
      <w:tr w14:paraId="2CD573EF" w14:textId="77777777">
        <w:tblPrEx>
          <w:tblW w:w="5000" w:type="pct"/>
          <w:tblCellMar>
            <w:left w:w="0" w:type="dxa"/>
            <w:right w:w="0" w:type="dxa"/>
          </w:tblCellMar>
          <w:tblLook w:val="01E0"/>
        </w:tblPrEx>
        <w:trPr>
          <w:trHeight w:val="20"/>
        </w:trPr>
        <w:tc>
          <w:tcPr>
            <w:tcW w:w="1994" w:type="pct"/>
            <w:vAlign w:val="center"/>
          </w:tcPr>
          <w:p w:rsidR="00A616A3" w:rsidRPr="00576F93" w14:paraId="4DC8E07C" w14:textId="77777777">
            <w:pPr>
              <w:ind w:left="125"/>
              <w:rPr>
                <w:szCs w:val="20"/>
              </w:rPr>
            </w:pPr>
            <w:r w:rsidRPr="00576F93">
              <w:rPr>
                <w:szCs w:val="20"/>
              </w:rPr>
              <w:t>Delegated Implementing Agencies</w:t>
            </w:r>
          </w:p>
        </w:tc>
        <w:tc>
          <w:tcPr>
            <w:tcW w:w="618" w:type="pct"/>
            <w:vAlign w:val="center"/>
          </w:tcPr>
          <w:p w:rsidR="00A616A3" w:rsidRPr="00576F93" w14:paraId="2E58D6FB" w14:textId="77777777">
            <w:pPr>
              <w:ind w:left="94" w:right="34"/>
              <w:jc w:val="right"/>
              <w:rPr>
                <w:szCs w:val="20"/>
              </w:rPr>
            </w:pPr>
            <w:r w:rsidRPr="00576F93">
              <w:rPr>
                <w:color w:val="000000"/>
                <w:szCs w:val="20"/>
              </w:rPr>
              <w:t>$</w:t>
            </w:r>
            <w:r>
              <w:rPr>
                <w:color w:val="000000"/>
                <w:szCs w:val="20"/>
              </w:rPr>
              <w:t>553</w:t>
            </w:r>
          </w:p>
        </w:tc>
        <w:tc>
          <w:tcPr>
            <w:tcW w:w="586" w:type="pct"/>
            <w:vAlign w:val="center"/>
          </w:tcPr>
          <w:p w:rsidR="00A616A3" w:rsidRPr="00576F93" w14:paraId="213C1E2C" w14:textId="77777777">
            <w:pPr>
              <w:ind w:left="77" w:right="30"/>
              <w:jc w:val="right"/>
              <w:rPr>
                <w:szCs w:val="20"/>
              </w:rPr>
            </w:pPr>
            <w:r w:rsidRPr="00576F93">
              <w:rPr>
                <w:szCs w:val="20"/>
              </w:rPr>
              <w:t>13</w:t>
            </w:r>
          </w:p>
        </w:tc>
        <w:tc>
          <w:tcPr>
            <w:tcW w:w="1801" w:type="pct"/>
            <w:vAlign w:val="center"/>
          </w:tcPr>
          <w:p w:rsidR="00A616A3" w:rsidRPr="00576F93" w14:paraId="1A5E404C" w14:textId="5EF650C1">
            <w:pPr>
              <w:ind w:left="91" w:right="34"/>
              <w:jc w:val="right"/>
              <w:rPr>
                <w:szCs w:val="20"/>
              </w:rPr>
            </w:pPr>
            <w:r w:rsidRPr="00576F93">
              <w:rPr>
                <w:color w:val="000000"/>
                <w:szCs w:val="20"/>
              </w:rPr>
              <w:t>$</w:t>
            </w:r>
            <w:r w:rsidRPr="004E17A0">
              <w:rPr>
                <w:color w:val="000000"/>
                <w:szCs w:val="20"/>
              </w:rPr>
              <w:t>7,195</w:t>
            </w:r>
          </w:p>
        </w:tc>
      </w:tr>
      <w:tr w14:paraId="33905B5A" w14:textId="77777777">
        <w:tblPrEx>
          <w:tblW w:w="5000" w:type="pct"/>
          <w:tblCellMar>
            <w:left w:w="0" w:type="dxa"/>
            <w:right w:w="0" w:type="dxa"/>
          </w:tblCellMar>
          <w:tblLook w:val="01E0"/>
        </w:tblPrEx>
        <w:trPr>
          <w:trHeight w:val="20"/>
        </w:trPr>
        <w:tc>
          <w:tcPr>
            <w:tcW w:w="1994" w:type="pct"/>
            <w:vAlign w:val="center"/>
          </w:tcPr>
          <w:p w:rsidR="00A616A3" w:rsidRPr="00576F93" w14:paraId="13CD66E0" w14:textId="77777777">
            <w:pPr>
              <w:ind w:left="1340" w:right="1292"/>
              <w:jc w:val="center"/>
              <w:rPr>
                <w:b/>
                <w:szCs w:val="20"/>
              </w:rPr>
            </w:pPr>
            <w:r w:rsidRPr="00576F93">
              <w:rPr>
                <w:b/>
                <w:szCs w:val="20"/>
              </w:rPr>
              <w:t>Total</w:t>
            </w:r>
          </w:p>
        </w:tc>
        <w:tc>
          <w:tcPr>
            <w:tcW w:w="618" w:type="pct"/>
            <w:vAlign w:val="center"/>
          </w:tcPr>
          <w:p w:rsidR="00A616A3" w:rsidRPr="00576F93" w14:paraId="49F06B0D" w14:textId="77777777">
            <w:pPr>
              <w:jc w:val="right"/>
              <w:rPr>
                <w:szCs w:val="20"/>
              </w:rPr>
            </w:pPr>
          </w:p>
        </w:tc>
        <w:tc>
          <w:tcPr>
            <w:tcW w:w="586" w:type="pct"/>
            <w:vAlign w:val="center"/>
          </w:tcPr>
          <w:p w:rsidR="00A616A3" w:rsidRPr="00576F93" w14:paraId="2747BD19" w14:textId="77777777">
            <w:pPr>
              <w:ind w:left="77" w:right="45"/>
              <w:jc w:val="right"/>
              <w:rPr>
                <w:b/>
                <w:szCs w:val="20"/>
              </w:rPr>
            </w:pPr>
            <w:r w:rsidRPr="00576F93">
              <w:rPr>
                <w:b/>
                <w:szCs w:val="20"/>
              </w:rPr>
              <w:t>14,226</w:t>
            </w:r>
          </w:p>
        </w:tc>
        <w:tc>
          <w:tcPr>
            <w:tcW w:w="1801" w:type="pct"/>
            <w:vAlign w:val="center"/>
          </w:tcPr>
          <w:p w:rsidR="00A616A3" w:rsidRPr="00576F93" w14:paraId="062E26BA" w14:textId="508F309B">
            <w:pPr>
              <w:ind w:left="91" w:right="49"/>
              <w:jc w:val="right"/>
              <w:rPr>
                <w:b/>
                <w:szCs w:val="20"/>
              </w:rPr>
            </w:pPr>
            <w:r w:rsidRPr="00576F93">
              <w:rPr>
                <w:b/>
                <w:color w:val="000000"/>
                <w:szCs w:val="20"/>
              </w:rPr>
              <w:t>$</w:t>
            </w:r>
            <w:r>
              <w:rPr>
                <w:b/>
                <w:color w:val="000000"/>
                <w:szCs w:val="20"/>
              </w:rPr>
              <w:t>50,939,07</w:t>
            </w:r>
            <w:r w:rsidR="00E430C9">
              <w:rPr>
                <w:b/>
                <w:color w:val="000000"/>
                <w:szCs w:val="20"/>
              </w:rPr>
              <w:t>3</w:t>
            </w:r>
          </w:p>
        </w:tc>
      </w:tr>
    </w:tbl>
    <w:p w:rsidR="00A616A3" w:rsidRPr="00586F1B" w:rsidP="00A616A3" w14:paraId="440D64DC"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highlight w:val="yellow"/>
        </w:rPr>
      </w:pPr>
    </w:p>
    <w:p w:rsidR="00A65A78" w:rsidRPr="00875E5E" w:rsidP="00680250" w14:paraId="382B64C1" w14:textId="6444449E">
      <w:pPr>
        <w:rPr>
          <w:sz w:val="22"/>
          <w:szCs w:val="28"/>
        </w:rPr>
      </w:pPr>
      <w:r w:rsidRPr="00875E5E">
        <w:rPr>
          <w:bCs/>
          <w:i/>
          <w:iCs/>
          <w:sz w:val="22"/>
          <w:szCs w:val="28"/>
        </w:rPr>
        <w:t>Safer Technology Alternatives Analysis (STAA)</w:t>
      </w:r>
      <w:r>
        <w:rPr>
          <w:bCs/>
          <w:i/>
          <w:iCs/>
          <w:sz w:val="22"/>
          <w:szCs w:val="28"/>
        </w:rPr>
        <w:t xml:space="preserve"> – </w:t>
      </w:r>
      <w:r w:rsidRPr="00680250" w:rsidR="00904068">
        <w:rPr>
          <w:sz w:val="22"/>
          <w:szCs w:val="28"/>
        </w:rPr>
        <w:t xml:space="preserve">EPA believes States and Contra Costa County, California, which have existing requirements similar to the STAA requirement, are likely already conducting activities that will satisfy EPA’s new requirement. EPA </w:t>
      </w:r>
      <w:r w:rsidRPr="00680250" w:rsidR="00904068">
        <w:rPr>
          <w:sz w:val="22"/>
          <w:szCs w:val="28"/>
        </w:rPr>
        <w:t>also</w:t>
      </w:r>
      <w:r w:rsidRPr="00680250" w:rsidR="00904068">
        <w:rPr>
          <w:sz w:val="22"/>
          <w:szCs w:val="28"/>
        </w:rPr>
        <w:t xml:space="preserve"> believes this cost will be reduced after the first five-year PHA cycle because after the initial PHA, EPA requires owners/operators to update and revalidate a PHA to ensure that the PHA is consistent with the current processes. Revalidation is a much less costly activity than conducting the initial PHA. EPA believes the cost of an initial STAA evaluation and practicability assessment will likewise be lower after the first submission; that is, in all subsequent 5-year submissions. However, EPA estimates this cost as identical in both the first and second five-year cycles in the period of analysis for affected facilities with accidents</w:t>
      </w:r>
      <w:r w:rsidRPr="00680250" w:rsidR="00904068">
        <w:rPr>
          <w:sz w:val="22"/>
          <w:szCs w:val="28"/>
        </w:rPr>
        <w:t>.</w:t>
      </w:r>
      <w:r w:rsidRPr="00680250" w:rsidR="00904068">
        <w:rPr>
          <w:sz w:val="22"/>
          <w:szCs w:val="28"/>
        </w:rPr>
        <w:t xml:space="preserve"> For the remaining facilities, EPA assumes the cost in the second five-year cycle will average 18% of the cost in the first five-year cycle.</w:t>
      </w:r>
      <w:r w:rsidRPr="00680250" w:rsidR="00904068">
        <w:rPr>
          <w:sz w:val="22"/>
          <w:szCs w:val="28"/>
          <w:vertAlign w:val="superscript"/>
        </w:rPr>
        <w:t xml:space="preserve"> </w:t>
      </w:r>
      <w:r w:rsidRPr="00875E5E">
        <w:rPr>
          <w:sz w:val="22"/>
          <w:szCs w:val="28"/>
        </w:rPr>
        <w:br/>
      </w:r>
    </w:p>
    <w:p w:rsidR="00094E46" w:rsidP="00094E46" w14:paraId="4C90C0DF" w14:textId="01021742">
      <w:pPr>
        <w:pStyle w:val="Caption"/>
        <w:spacing w:after="0"/>
        <w:jc w:val="center"/>
      </w:pPr>
      <w:r w:rsidRPr="00B87FD9">
        <w:rPr>
          <w:b/>
          <w:bCs/>
          <w:i w:val="0"/>
          <w:iCs w:val="0"/>
          <w:color w:val="auto"/>
          <w:sz w:val="22"/>
          <w:szCs w:val="22"/>
        </w:rPr>
        <w:t xml:space="preserve">Exhibit </w:t>
      </w:r>
      <w:r>
        <w:rPr>
          <w:b/>
          <w:bCs/>
          <w:i w:val="0"/>
          <w:iCs w:val="0"/>
          <w:color w:val="auto"/>
          <w:sz w:val="22"/>
          <w:szCs w:val="22"/>
        </w:rPr>
        <w:t>14</w:t>
      </w:r>
      <w:r w:rsidRPr="00D21E4B">
        <w:rPr>
          <w:b/>
          <w:bCs/>
          <w:i w:val="0"/>
          <w:iCs w:val="0"/>
          <w:color w:val="auto"/>
          <w:sz w:val="22"/>
          <w:szCs w:val="22"/>
        </w:rPr>
        <w:t>: Estimated Annualized Costs for STAA Provision (202</w:t>
      </w:r>
      <w:r>
        <w:rPr>
          <w:b/>
          <w:bCs/>
          <w:i w:val="0"/>
          <w:iCs w:val="0"/>
          <w:color w:val="auto"/>
          <w:sz w:val="22"/>
          <w:szCs w:val="22"/>
        </w:rPr>
        <w:t>2 d</w:t>
      </w:r>
      <w:r w:rsidRPr="00D21E4B">
        <w:rPr>
          <w:b/>
          <w:bCs/>
          <w:i w:val="0"/>
          <w:iCs w:val="0"/>
          <w:color w:val="auto"/>
          <w:sz w:val="22"/>
          <w:szCs w:val="22"/>
        </w:rPr>
        <w:t>ollars)</w:t>
      </w:r>
    </w:p>
    <w:tbl>
      <w:tblPr>
        <w:tblW w:w="423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tblPr>
      <w:tblGrid>
        <w:gridCol w:w="2958"/>
        <w:gridCol w:w="1284"/>
        <w:gridCol w:w="1284"/>
        <w:gridCol w:w="2388"/>
      </w:tblGrid>
      <w:tr w14:paraId="732CD46A" w14:textId="77777777" w:rsidTr="00F64609">
        <w:tblPrEx>
          <w:tblW w:w="423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tblPrEx>
        <w:trPr>
          <w:trHeight w:val="20"/>
          <w:tblHeader/>
          <w:jc w:val="center"/>
        </w:trPr>
        <w:tc>
          <w:tcPr>
            <w:tcW w:w="1869" w:type="pct"/>
            <w:tcBorders>
              <w:bottom w:val="single" w:sz="8" w:space="0" w:color="000000"/>
            </w:tcBorders>
            <w:shd w:val="clear" w:color="auto" w:fill="DADADA"/>
            <w:vAlign w:val="center"/>
          </w:tcPr>
          <w:p w:rsidR="00A65A78" w:rsidRPr="00D21E4B" w:rsidP="00E7053E" w14:paraId="679C0FA7" w14:textId="77777777">
            <w:pPr>
              <w:keepNext/>
              <w:ind w:left="183" w:right="171"/>
              <w:jc w:val="center"/>
              <w:rPr>
                <w:b/>
                <w:szCs w:val="20"/>
              </w:rPr>
            </w:pPr>
            <w:r w:rsidRPr="00D21E4B">
              <w:rPr>
                <w:b/>
                <w:szCs w:val="20"/>
              </w:rPr>
              <w:t>Facility Type</w:t>
            </w:r>
          </w:p>
        </w:tc>
        <w:tc>
          <w:tcPr>
            <w:tcW w:w="811" w:type="pct"/>
            <w:tcBorders>
              <w:bottom w:val="single" w:sz="8" w:space="0" w:color="000000"/>
            </w:tcBorders>
            <w:shd w:val="clear" w:color="auto" w:fill="DADADA"/>
            <w:vAlign w:val="center"/>
          </w:tcPr>
          <w:p w:rsidR="00A65A78" w:rsidRPr="00D21E4B" w:rsidP="00E7053E" w14:paraId="06C7ACE3" w14:textId="77777777">
            <w:pPr>
              <w:keepNext/>
              <w:ind w:left="93"/>
              <w:jc w:val="center"/>
              <w:rPr>
                <w:b/>
                <w:szCs w:val="20"/>
              </w:rPr>
            </w:pPr>
            <w:r w:rsidRPr="00D21E4B">
              <w:rPr>
                <w:b/>
                <w:szCs w:val="20"/>
              </w:rPr>
              <w:t>Unit Cost</w:t>
            </w:r>
          </w:p>
        </w:tc>
        <w:tc>
          <w:tcPr>
            <w:tcW w:w="811" w:type="pct"/>
            <w:tcBorders>
              <w:bottom w:val="single" w:sz="8" w:space="0" w:color="000000"/>
            </w:tcBorders>
            <w:shd w:val="clear" w:color="auto" w:fill="DADADA"/>
            <w:vAlign w:val="center"/>
          </w:tcPr>
          <w:p w:rsidR="00A65A78" w:rsidRPr="00D21E4B" w:rsidP="00E7053E" w14:paraId="354032D1" w14:textId="3EE42270">
            <w:pPr>
              <w:keepNext/>
              <w:ind w:left="98" w:right="76"/>
              <w:jc w:val="center"/>
              <w:rPr>
                <w:b/>
                <w:szCs w:val="20"/>
              </w:rPr>
            </w:pPr>
            <w:r>
              <w:rPr>
                <w:b/>
                <w:szCs w:val="20"/>
              </w:rPr>
              <w:t>Units</w:t>
            </w:r>
          </w:p>
        </w:tc>
        <w:tc>
          <w:tcPr>
            <w:tcW w:w="1509" w:type="pct"/>
            <w:tcBorders>
              <w:bottom w:val="single" w:sz="8" w:space="0" w:color="000000"/>
            </w:tcBorders>
            <w:shd w:val="clear" w:color="auto" w:fill="DADADA"/>
            <w:vAlign w:val="center"/>
          </w:tcPr>
          <w:p w:rsidR="00A65A78" w:rsidRPr="00D21E4B" w:rsidP="00E7053E" w14:paraId="7AEA5829" w14:textId="77777777">
            <w:pPr>
              <w:keepNext/>
              <w:ind w:left="91" w:right="55"/>
              <w:jc w:val="center"/>
              <w:rPr>
                <w:b/>
                <w:szCs w:val="20"/>
              </w:rPr>
            </w:pPr>
            <w:r w:rsidRPr="00D21E4B">
              <w:rPr>
                <w:b/>
                <w:szCs w:val="20"/>
              </w:rPr>
              <w:t>Total Annualized</w:t>
            </w:r>
          </w:p>
          <w:p w:rsidR="00A65A78" w:rsidRPr="00D21E4B" w:rsidP="00E7053E" w14:paraId="0B450DBD" w14:textId="77777777">
            <w:pPr>
              <w:keepNext/>
              <w:ind w:left="82" w:right="55"/>
              <w:jc w:val="center"/>
              <w:rPr>
                <w:b/>
                <w:szCs w:val="20"/>
              </w:rPr>
            </w:pPr>
            <w:r w:rsidRPr="00D21E4B">
              <w:rPr>
                <w:b/>
                <w:szCs w:val="20"/>
              </w:rPr>
              <w:t>Cost</w:t>
            </w:r>
          </w:p>
        </w:tc>
      </w:tr>
      <w:tr w14:paraId="6D4DEF73" w14:textId="77777777" w:rsidTr="00CB6E49">
        <w:tblPrEx>
          <w:tblW w:w="4235" w:type="pct"/>
          <w:jc w:val="center"/>
          <w:tblCellMar>
            <w:left w:w="0" w:type="dxa"/>
            <w:right w:w="0" w:type="dxa"/>
          </w:tblCellMar>
          <w:tblLook w:val="01E0"/>
        </w:tblPrEx>
        <w:trPr>
          <w:trHeight w:val="20"/>
          <w:jc w:val="center"/>
        </w:trPr>
        <w:tc>
          <w:tcPr>
            <w:tcW w:w="5000" w:type="pct"/>
            <w:gridSpan w:val="4"/>
            <w:tcBorders>
              <w:top w:val="single" w:sz="8" w:space="0" w:color="000000"/>
              <w:bottom w:val="single" w:sz="8" w:space="0" w:color="000000"/>
            </w:tcBorders>
            <w:shd w:val="clear" w:color="auto" w:fill="F2F2F2"/>
            <w:vAlign w:val="center"/>
          </w:tcPr>
          <w:p w:rsidR="00A65A78" w:rsidRPr="00D21E4B" w:rsidP="00E7053E" w14:paraId="19DDCEA9" w14:textId="77777777">
            <w:pPr>
              <w:keepNext/>
              <w:ind w:left="183" w:right="83"/>
              <w:rPr>
                <w:b/>
                <w:szCs w:val="20"/>
              </w:rPr>
            </w:pPr>
            <w:r w:rsidRPr="00D21E4B">
              <w:rPr>
                <w:b/>
                <w:szCs w:val="20"/>
              </w:rPr>
              <w:t>Initial Phase Analysis</w:t>
            </w:r>
          </w:p>
        </w:tc>
      </w:tr>
      <w:tr w14:paraId="591C7F03" w14:textId="77777777" w:rsidTr="00F64609">
        <w:tblPrEx>
          <w:tblW w:w="4235" w:type="pct"/>
          <w:jc w:val="center"/>
          <w:tblCellMar>
            <w:left w:w="0" w:type="dxa"/>
            <w:right w:w="0" w:type="dxa"/>
          </w:tblCellMar>
          <w:tblLook w:val="01E0"/>
        </w:tblPrEx>
        <w:trPr>
          <w:trHeight w:val="20"/>
          <w:jc w:val="center"/>
        </w:trPr>
        <w:tc>
          <w:tcPr>
            <w:tcW w:w="1869" w:type="pct"/>
            <w:tcBorders>
              <w:top w:val="single" w:sz="8" w:space="0" w:color="000000"/>
            </w:tcBorders>
            <w:vAlign w:val="center"/>
          </w:tcPr>
          <w:p w:rsidR="007E6DA9" w:rsidRPr="00D21E4B" w:rsidP="007E6DA9" w14:paraId="61E8089C" w14:textId="77777777">
            <w:pPr>
              <w:keepNext/>
              <w:ind w:left="183"/>
              <w:rPr>
                <w:szCs w:val="20"/>
              </w:rPr>
            </w:pPr>
            <w:r w:rsidRPr="00D21E4B">
              <w:rPr>
                <w:szCs w:val="20"/>
              </w:rPr>
              <w:t>Refineries</w:t>
            </w:r>
          </w:p>
        </w:tc>
        <w:tc>
          <w:tcPr>
            <w:tcW w:w="811" w:type="pct"/>
            <w:tcBorders>
              <w:top w:val="single" w:sz="8" w:space="0" w:color="000000"/>
            </w:tcBorders>
            <w:vAlign w:val="center"/>
          </w:tcPr>
          <w:p w:rsidR="007E6DA9" w:rsidRPr="00285709" w:rsidP="007E6DA9" w14:paraId="7F0135FB" w14:textId="45DFF4C9">
            <w:pPr>
              <w:keepNext/>
              <w:ind w:left="93"/>
              <w:jc w:val="center"/>
              <w:rPr>
                <w:szCs w:val="20"/>
              </w:rPr>
            </w:pPr>
            <w:r w:rsidRPr="00285709">
              <w:rPr>
                <w:color w:val="000000"/>
                <w:szCs w:val="20"/>
              </w:rPr>
              <w:t>$73,149</w:t>
            </w:r>
          </w:p>
        </w:tc>
        <w:tc>
          <w:tcPr>
            <w:tcW w:w="811" w:type="pct"/>
            <w:tcBorders>
              <w:top w:val="single" w:sz="8" w:space="0" w:color="000000"/>
            </w:tcBorders>
            <w:vAlign w:val="center"/>
          </w:tcPr>
          <w:p w:rsidR="007E6DA9" w:rsidRPr="00285709" w:rsidP="007E6DA9" w14:paraId="6C80D10C" w14:textId="0E9E7077">
            <w:pPr>
              <w:keepNext/>
              <w:ind w:left="98" w:right="69"/>
              <w:jc w:val="center"/>
              <w:rPr>
                <w:szCs w:val="20"/>
              </w:rPr>
            </w:pPr>
            <w:r>
              <w:rPr>
                <w:szCs w:val="20"/>
              </w:rPr>
              <w:t>307</w:t>
            </w:r>
          </w:p>
        </w:tc>
        <w:tc>
          <w:tcPr>
            <w:tcW w:w="1509" w:type="pct"/>
            <w:tcBorders>
              <w:top w:val="single" w:sz="8" w:space="0" w:color="000000"/>
            </w:tcBorders>
            <w:vAlign w:val="center"/>
          </w:tcPr>
          <w:p w:rsidR="007E6DA9" w:rsidRPr="00285709" w:rsidP="007E6DA9" w14:paraId="24E0A4BC" w14:textId="6F4D3196">
            <w:pPr>
              <w:keepNext/>
              <w:ind w:left="84" w:right="55"/>
              <w:jc w:val="center"/>
              <w:rPr>
                <w:szCs w:val="20"/>
              </w:rPr>
            </w:pPr>
            <w:r>
              <w:rPr>
                <w:color w:val="000000"/>
                <w:szCs w:val="20"/>
              </w:rPr>
              <w:t>$22,456,638</w:t>
            </w:r>
          </w:p>
        </w:tc>
      </w:tr>
      <w:tr w14:paraId="09B4ADA0" w14:textId="77777777" w:rsidTr="00F64609">
        <w:tblPrEx>
          <w:tblW w:w="4235" w:type="pct"/>
          <w:jc w:val="center"/>
          <w:tblCellMar>
            <w:left w:w="0" w:type="dxa"/>
            <w:right w:w="0" w:type="dxa"/>
          </w:tblCellMar>
          <w:tblLook w:val="01E0"/>
        </w:tblPrEx>
        <w:trPr>
          <w:trHeight w:val="20"/>
          <w:jc w:val="center"/>
        </w:trPr>
        <w:tc>
          <w:tcPr>
            <w:tcW w:w="1869" w:type="pct"/>
            <w:vAlign w:val="center"/>
          </w:tcPr>
          <w:p w:rsidR="007E6DA9" w:rsidRPr="00D21E4B" w:rsidP="007E6DA9" w14:paraId="35417134" w14:textId="77777777">
            <w:pPr>
              <w:ind w:left="183"/>
              <w:rPr>
                <w:szCs w:val="20"/>
              </w:rPr>
            </w:pPr>
            <w:r w:rsidRPr="00D21E4B">
              <w:rPr>
                <w:szCs w:val="20"/>
              </w:rPr>
              <w:t>Chemical Manufacturers</w:t>
            </w:r>
          </w:p>
        </w:tc>
        <w:tc>
          <w:tcPr>
            <w:tcW w:w="811" w:type="pct"/>
            <w:vAlign w:val="center"/>
          </w:tcPr>
          <w:p w:rsidR="007E6DA9" w:rsidRPr="00285709" w:rsidP="007E6DA9" w14:paraId="71172CE1" w14:textId="42AF967F">
            <w:pPr>
              <w:ind w:left="93"/>
              <w:jc w:val="center"/>
              <w:rPr>
                <w:szCs w:val="20"/>
              </w:rPr>
            </w:pPr>
            <w:r w:rsidRPr="00285709">
              <w:rPr>
                <w:color w:val="000000"/>
                <w:szCs w:val="20"/>
              </w:rPr>
              <w:t>$13,216</w:t>
            </w:r>
          </w:p>
        </w:tc>
        <w:tc>
          <w:tcPr>
            <w:tcW w:w="811" w:type="pct"/>
            <w:vAlign w:val="center"/>
          </w:tcPr>
          <w:p w:rsidR="007E6DA9" w:rsidRPr="00285709" w:rsidP="007E6DA9" w14:paraId="2121AEB3" w14:textId="0CD15573">
            <w:pPr>
              <w:ind w:left="98" w:right="69"/>
              <w:jc w:val="center"/>
              <w:rPr>
                <w:szCs w:val="20"/>
              </w:rPr>
            </w:pPr>
            <w:r w:rsidRPr="00680250">
              <w:rPr>
                <w:szCs w:val="20"/>
              </w:rPr>
              <w:t>5</w:t>
            </w:r>
            <w:r w:rsidR="005B1243">
              <w:rPr>
                <w:szCs w:val="20"/>
              </w:rPr>
              <w:t>60</w:t>
            </w:r>
          </w:p>
        </w:tc>
        <w:tc>
          <w:tcPr>
            <w:tcW w:w="1509" w:type="pct"/>
            <w:vAlign w:val="center"/>
          </w:tcPr>
          <w:p w:rsidR="007E6DA9" w:rsidRPr="00285709" w:rsidP="007E6DA9" w14:paraId="2437BF5A" w14:textId="55C7E59C">
            <w:pPr>
              <w:ind w:left="69" w:right="55"/>
              <w:jc w:val="center"/>
              <w:rPr>
                <w:szCs w:val="20"/>
              </w:rPr>
            </w:pPr>
            <w:r w:rsidRPr="00285709">
              <w:rPr>
                <w:color w:val="000000"/>
                <w:szCs w:val="20"/>
              </w:rPr>
              <w:t>$7,</w:t>
            </w:r>
            <w:r w:rsidR="00086D79">
              <w:rPr>
                <w:color w:val="000000"/>
                <w:szCs w:val="20"/>
              </w:rPr>
              <w:t>436,475</w:t>
            </w:r>
          </w:p>
        </w:tc>
      </w:tr>
      <w:tr w14:paraId="08613F72" w14:textId="77777777" w:rsidTr="00F64609">
        <w:tblPrEx>
          <w:tblW w:w="4235" w:type="pct"/>
          <w:jc w:val="center"/>
          <w:tblCellMar>
            <w:left w:w="0" w:type="dxa"/>
            <w:right w:w="0" w:type="dxa"/>
          </w:tblCellMar>
          <w:tblLook w:val="01E0"/>
        </w:tblPrEx>
        <w:trPr>
          <w:trHeight w:val="20"/>
          <w:jc w:val="center"/>
        </w:trPr>
        <w:tc>
          <w:tcPr>
            <w:tcW w:w="1869" w:type="pct"/>
            <w:vAlign w:val="center"/>
          </w:tcPr>
          <w:p w:rsidR="007E6DA9" w:rsidRPr="00D21E4B" w:rsidP="007E6DA9" w14:paraId="73758300" w14:textId="70C0716B">
            <w:pPr>
              <w:ind w:left="183"/>
              <w:rPr>
                <w:b/>
                <w:szCs w:val="20"/>
              </w:rPr>
            </w:pPr>
            <w:r>
              <w:rPr>
                <w:b/>
                <w:szCs w:val="20"/>
              </w:rPr>
              <w:t>T</w:t>
            </w:r>
            <w:r w:rsidRPr="00D21E4B">
              <w:rPr>
                <w:b/>
                <w:szCs w:val="20"/>
              </w:rPr>
              <w:t>otal</w:t>
            </w:r>
          </w:p>
        </w:tc>
        <w:tc>
          <w:tcPr>
            <w:tcW w:w="811" w:type="pct"/>
            <w:vAlign w:val="center"/>
          </w:tcPr>
          <w:p w:rsidR="007E6DA9" w:rsidRPr="00285709" w:rsidP="007E6DA9" w14:paraId="032D1331" w14:textId="77777777">
            <w:pPr>
              <w:ind w:left="93"/>
              <w:jc w:val="center"/>
              <w:rPr>
                <w:b/>
                <w:szCs w:val="20"/>
              </w:rPr>
            </w:pPr>
          </w:p>
        </w:tc>
        <w:tc>
          <w:tcPr>
            <w:tcW w:w="811" w:type="pct"/>
            <w:vAlign w:val="center"/>
          </w:tcPr>
          <w:p w:rsidR="007E6DA9" w:rsidRPr="00285709" w:rsidP="007E6DA9" w14:paraId="7345E2B0" w14:textId="283D6873">
            <w:pPr>
              <w:ind w:left="98" w:right="69"/>
              <w:jc w:val="center"/>
              <w:rPr>
                <w:b/>
                <w:szCs w:val="20"/>
              </w:rPr>
            </w:pPr>
            <w:r>
              <w:rPr>
                <w:b/>
                <w:szCs w:val="20"/>
              </w:rPr>
              <w:t>867</w:t>
            </w:r>
          </w:p>
        </w:tc>
        <w:tc>
          <w:tcPr>
            <w:tcW w:w="1509" w:type="pct"/>
            <w:vAlign w:val="center"/>
          </w:tcPr>
          <w:p w:rsidR="007E6DA9" w:rsidRPr="00285709" w:rsidP="007E6DA9" w14:paraId="5B167A5E" w14:textId="71E9CB2C">
            <w:pPr>
              <w:ind w:left="69" w:right="55"/>
              <w:jc w:val="center"/>
              <w:rPr>
                <w:b/>
                <w:szCs w:val="20"/>
              </w:rPr>
            </w:pPr>
            <w:r>
              <w:rPr>
                <w:b/>
                <w:color w:val="000000"/>
                <w:szCs w:val="20"/>
              </w:rPr>
              <w:t>$29,893,113</w:t>
            </w:r>
          </w:p>
        </w:tc>
      </w:tr>
      <w:tr w14:paraId="3F52153C" w14:textId="77777777" w:rsidTr="00CB6E49">
        <w:tblPrEx>
          <w:tblW w:w="4235" w:type="pct"/>
          <w:jc w:val="center"/>
          <w:tblCellMar>
            <w:left w:w="0" w:type="dxa"/>
            <w:right w:w="0" w:type="dxa"/>
          </w:tblCellMar>
          <w:tblLook w:val="01E0"/>
        </w:tblPrEx>
        <w:trPr>
          <w:trHeight w:val="20"/>
          <w:jc w:val="center"/>
        </w:trPr>
        <w:tc>
          <w:tcPr>
            <w:tcW w:w="5000" w:type="pct"/>
            <w:gridSpan w:val="4"/>
            <w:shd w:val="clear" w:color="auto" w:fill="F2F2F2"/>
            <w:vAlign w:val="center"/>
          </w:tcPr>
          <w:p w:rsidR="00A65A78" w:rsidRPr="00285709" w:rsidP="00E7053E" w14:paraId="15CB9CFB" w14:textId="77777777">
            <w:pPr>
              <w:ind w:left="183" w:right="83"/>
              <w:rPr>
                <w:b/>
                <w:szCs w:val="20"/>
              </w:rPr>
            </w:pPr>
            <w:r w:rsidRPr="00285709">
              <w:rPr>
                <w:b/>
                <w:szCs w:val="20"/>
              </w:rPr>
              <w:t>Practicability Analysis</w:t>
            </w:r>
          </w:p>
        </w:tc>
      </w:tr>
      <w:tr w14:paraId="1A81376A" w14:textId="77777777" w:rsidTr="00F64609">
        <w:tblPrEx>
          <w:tblW w:w="4235" w:type="pct"/>
          <w:jc w:val="center"/>
          <w:tblCellMar>
            <w:left w:w="0" w:type="dxa"/>
            <w:right w:w="0" w:type="dxa"/>
          </w:tblCellMar>
          <w:tblLook w:val="01E0"/>
        </w:tblPrEx>
        <w:trPr>
          <w:trHeight w:val="20"/>
          <w:jc w:val="center"/>
        </w:trPr>
        <w:tc>
          <w:tcPr>
            <w:tcW w:w="1869" w:type="pct"/>
            <w:vAlign w:val="center"/>
          </w:tcPr>
          <w:p w:rsidR="00F64609" w:rsidRPr="00D21E4B" w:rsidP="00F64609" w14:paraId="4B0586A6" w14:textId="6B3F4611">
            <w:pPr>
              <w:ind w:left="183"/>
              <w:rPr>
                <w:szCs w:val="20"/>
              </w:rPr>
            </w:pPr>
            <w:r w:rsidRPr="00D21E4B">
              <w:rPr>
                <w:szCs w:val="20"/>
              </w:rPr>
              <w:t>Refineries</w:t>
            </w:r>
            <w:r>
              <w:rPr>
                <w:szCs w:val="20"/>
              </w:rPr>
              <w:t xml:space="preserve"> – HF</w:t>
            </w:r>
          </w:p>
        </w:tc>
        <w:tc>
          <w:tcPr>
            <w:tcW w:w="811" w:type="pct"/>
            <w:vAlign w:val="center"/>
          </w:tcPr>
          <w:p w:rsidR="00F64609" w:rsidRPr="00285709" w:rsidP="00F64609" w14:paraId="053CF56A" w14:textId="41DEBD74">
            <w:pPr>
              <w:ind w:left="93"/>
              <w:jc w:val="center"/>
              <w:rPr>
                <w:szCs w:val="20"/>
              </w:rPr>
            </w:pPr>
            <w:r w:rsidRPr="00680250">
              <w:rPr>
                <w:szCs w:val="20"/>
              </w:rPr>
              <w:t>$4,390,674</w:t>
            </w:r>
          </w:p>
        </w:tc>
        <w:tc>
          <w:tcPr>
            <w:tcW w:w="811" w:type="pct"/>
            <w:vAlign w:val="center"/>
          </w:tcPr>
          <w:p w:rsidR="00F64609" w:rsidRPr="00285709" w:rsidP="00F64609" w14:paraId="0E9F84B4" w14:textId="29B25B51">
            <w:pPr>
              <w:ind w:left="98" w:right="69"/>
              <w:jc w:val="center"/>
              <w:rPr>
                <w:szCs w:val="20"/>
              </w:rPr>
            </w:pPr>
            <w:r w:rsidRPr="00285709">
              <w:rPr>
                <w:szCs w:val="20"/>
              </w:rPr>
              <w:t>8</w:t>
            </w:r>
          </w:p>
        </w:tc>
        <w:tc>
          <w:tcPr>
            <w:tcW w:w="1509" w:type="pct"/>
            <w:vAlign w:val="bottom"/>
          </w:tcPr>
          <w:p w:rsidR="00F64609" w:rsidRPr="00285709" w:rsidP="00F64609" w14:paraId="18B2B2C7" w14:textId="3A65F0B1">
            <w:pPr>
              <w:ind w:left="84" w:right="55"/>
              <w:jc w:val="center"/>
              <w:rPr>
                <w:szCs w:val="20"/>
              </w:rPr>
            </w:pPr>
            <w:r w:rsidRPr="00680250">
              <w:rPr>
                <w:color w:val="000000"/>
                <w:szCs w:val="20"/>
              </w:rPr>
              <w:t>$36,881,6</w:t>
            </w:r>
            <w:r w:rsidRPr="00285709">
              <w:rPr>
                <w:color w:val="000000"/>
                <w:szCs w:val="20"/>
              </w:rPr>
              <w:t>60</w:t>
            </w:r>
          </w:p>
        </w:tc>
      </w:tr>
      <w:tr w14:paraId="43BE3F94" w14:textId="77777777" w:rsidTr="00F64609">
        <w:tblPrEx>
          <w:tblW w:w="4235" w:type="pct"/>
          <w:jc w:val="center"/>
          <w:tblCellMar>
            <w:left w:w="0" w:type="dxa"/>
            <w:right w:w="0" w:type="dxa"/>
          </w:tblCellMar>
          <w:tblLook w:val="01E0"/>
        </w:tblPrEx>
        <w:trPr>
          <w:trHeight w:val="20"/>
          <w:jc w:val="center"/>
        </w:trPr>
        <w:tc>
          <w:tcPr>
            <w:tcW w:w="1869" w:type="pct"/>
            <w:vAlign w:val="center"/>
          </w:tcPr>
          <w:p w:rsidR="00F64609" w:rsidRPr="00D21E4B" w:rsidP="00F64609" w14:paraId="30A93CF7" w14:textId="7B75DAAC">
            <w:pPr>
              <w:ind w:left="183"/>
              <w:rPr>
                <w:szCs w:val="20"/>
              </w:rPr>
            </w:pPr>
            <w:r>
              <w:rPr>
                <w:szCs w:val="20"/>
              </w:rPr>
              <w:t>Refineries – Non-HF</w:t>
            </w:r>
          </w:p>
        </w:tc>
        <w:tc>
          <w:tcPr>
            <w:tcW w:w="811" w:type="pct"/>
            <w:vAlign w:val="center"/>
          </w:tcPr>
          <w:p w:rsidR="00F64609" w:rsidRPr="00285709" w:rsidP="00F64609" w14:paraId="4C2EC3BD" w14:textId="764B8C74">
            <w:pPr>
              <w:ind w:left="93"/>
              <w:jc w:val="center"/>
              <w:rPr>
                <w:szCs w:val="20"/>
              </w:rPr>
            </w:pPr>
            <w:r w:rsidRPr="00680250">
              <w:rPr>
                <w:szCs w:val="20"/>
              </w:rPr>
              <w:t>$306,326</w:t>
            </w:r>
          </w:p>
        </w:tc>
        <w:tc>
          <w:tcPr>
            <w:tcW w:w="811" w:type="pct"/>
            <w:vAlign w:val="center"/>
          </w:tcPr>
          <w:p w:rsidR="00F64609" w:rsidRPr="00285709" w:rsidP="00F64609" w14:paraId="391802AD" w14:textId="73CF8DF7">
            <w:pPr>
              <w:ind w:left="98" w:right="69"/>
              <w:jc w:val="center"/>
              <w:rPr>
                <w:szCs w:val="20"/>
              </w:rPr>
            </w:pPr>
            <w:r w:rsidRPr="00285709">
              <w:rPr>
                <w:szCs w:val="20"/>
              </w:rPr>
              <w:t>9</w:t>
            </w:r>
          </w:p>
        </w:tc>
        <w:tc>
          <w:tcPr>
            <w:tcW w:w="1509" w:type="pct"/>
            <w:vAlign w:val="bottom"/>
          </w:tcPr>
          <w:p w:rsidR="00F64609" w:rsidRPr="00285709" w:rsidP="00F64609" w14:paraId="692B7898" w14:textId="7C862A7F">
            <w:pPr>
              <w:ind w:left="84" w:right="55"/>
              <w:jc w:val="center"/>
              <w:rPr>
                <w:szCs w:val="20"/>
              </w:rPr>
            </w:pPr>
            <w:r w:rsidRPr="00680250">
              <w:rPr>
                <w:color w:val="000000"/>
                <w:szCs w:val="20"/>
              </w:rPr>
              <w:t>$2,879,465</w:t>
            </w:r>
          </w:p>
        </w:tc>
      </w:tr>
      <w:tr w14:paraId="6D6B2604" w14:textId="77777777" w:rsidTr="00F64609">
        <w:tblPrEx>
          <w:tblW w:w="4235" w:type="pct"/>
          <w:jc w:val="center"/>
          <w:tblCellMar>
            <w:left w:w="0" w:type="dxa"/>
            <w:right w:w="0" w:type="dxa"/>
          </w:tblCellMar>
          <w:tblLook w:val="01E0"/>
        </w:tblPrEx>
        <w:trPr>
          <w:trHeight w:val="20"/>
          <w:jc w:val="center"/>
        </w:trPr>
        <w:tc>
          <w:tcPr>
            <w:tcW w:w="1869" w:type="pct"/>
            <w:tcBorders>
              <w:bottom w:val="single" w:sz="8" w:space="0" w:color="000000"/>
            </w:tcBorders>
            <w:vAlign w:val="center"/>
          </w:tcPr>
          <w:p w:rsidR="00F64609" w:rsidRPr="00D21E4B" w:rsidP="00F64609" w14:paraId="6A379D0B" w14:textId="77777777">
            <w:pPr>
              <w:ind w:left="183"/>
              <w:rPr>
                <w:szCs w:val="20"/>
              </w:rPr>
            </w:pPr>
            <w:r w:rsidRPr="00D21E4B">
              <w:rPr>
                <w:szCs w:val="20"/>
              </w:rPr>
              <w:t>Chemical Manufacturers</w:t>
            </w:r>
          </w:p>
        </w:tc>
        <w:tc>
          <w:tcPr>
            <w:tcW w:w="811" w:type="pct"/>
            <w:tcBorders>
              <w:bottom w:val="single" w:sz="8" w:space="0" w:color="000000"/>
            </w:tcBorders>
            <w:vAlign w:val="center"/>
          </w:tcPr>
          <w:p w:rsidR="00F64609" w:rsidRPr="00285709" w:rsidP="00F64609" w14:paraId="33CC0722" w14:textId="05998E03">
            <w:pPr>
              <w:ind w:left="93"/>
              <w:jc w:val="center"/>
              <w:rPr>
                <w:szCs w:val="20"/>
              </w:rPr>
            </w:pPr>
            <w:r w:rsidRPr="00285709">
              <w:rPr>
                <w:szCs w:val="20"/>
              </w:rPr>
              <w:t>$33,550</w:t>
            </w:r>
          </w:p>
        </w:tc>
        <w:tc>
          <w:tcPr>
            <w:tcW w:w="811" w:type="pct"/>
            <w:tcBorders>
              <w:bottom w:val="single" w:sz="8" w:space="0" w:color="000000"/>
            </w:tcBorders>
            <w:vAlign w:val="center"/>
          </w:tcPr>
          <w:p w:rsidR="00F64609" w:rsidRPr="00285709" w:rsidP="00F64609" w14:paraId="353A6151" w14:textId="42194E63">
            <w:pPr>
              <w:ind w:left="98" w:right="69"/>
              <w:jc w:val="center"/>
              <w:rPr>
                <w:szCs w:val="20"/>
              </w:rPr>
            </w:pPr>
            <w:r w:rsidRPr="00285709">
              <w:rPr>
                <w:szCs w:val="20"/>
              </w:rPr>
              <w:t>102</w:t>
            </w:r>
          </w:p>
        </w:tc>
        <w:tc>
          <w:tcPr>
            <w:tcW w:w="1509" w:type="pct"/>
            <w:tcBorders>
              <w:bottom w:val="single" w:sz="8" w:space="0" w:color="000000"/>
            </w:tcBorders>
            <w:vAlign w:val="bottom"/>
          </w:tcPr>
          <w:p w:rsidR="00F64609" w:rsidRPr="00285709" w:rsidP="00F64609" w14:paraId="1BB44296" w14:textId="5FE0F65E">
            <w:pPr>
              <w:ind w:left="84" w:right="55"/>
              <w:jc w:val="center"/>
              <w:rPr>
                <w:szCs w:val="20"/>
              </w:rPr>
            </w:pPr>
            <w:r w:rsidRPr="00680250">
              <w:rPr>
                <w:color w:val="000000"/>
                <w:szCs w:val="20"/>
              </w:rPr>
              <w:t>$3,415,3</w:t>
            </w:r>
            <w:r w:rsidRPr="00285709" w:rsidR="00644DAC">
              <w:rPr>
                <w:color w:val="000000"/>
                <w:szCs w:val="20"/>
              </w:rPr>
              <w:t>90</w:t>
            </w:r>
          </w:p>
        </w:tc>
      </w:tr>
      <w:tr w14:paraId="4F82CB52" w14:textId="77777777" w:rsidTr="00F64609">
        <w:tblPrEx>
          <w:tblW w:w="4235" w:type="pct"/>
          <w:jc w:val="center"/>
          <w:tblCellMar>
            <w:left w:w="0" w:type="dxa"/>
            <w:right w:w="0" w:type="dxa"/>
          </w:tblCellMar>
          <w:tblLook w:val="01E0"/>
        </w:tblPrEx>
        <w:trPr>
          <w:trHeight w:val="20"/>
          <w:jc w:val="center"/>
        </w:trPr>
        <w:tc>
          <w:tcPr>
            <w:tcW w:w="1869" w:type="pct"/>
            <w:tcBorders>
              <w:bottom w:val="single" w:sz="8" w:space="0" w:color="000000"/>
            </w:tcBorders>
            <w:vAlign w:val="center"/>
          </w:tcPr>
          <w:p w:rsidR="00F64609" w:rsidRPr="00D21E4B" w:rsidP="00F64609" w14:paraId="429E6A21" w14:textId="1EEEBE81">
            <w:pPr>
              <w:ind w:left="183"/>
              <w:rPr>
                <w:b/>
                <w:szCs w:val="20"/>
              </w:rPr>
            </w:pPr>
            <w:r>
              <w:rPr>
                <w:b/>
                <w:szCs w:val="20"/>
              </w:rPr>
              <w:t>Total</w:t>
            </w:r>
          </w:p>
        </w:tc>
        <w:tc>
          <w:tcPr>
            <w:tcW w:w="811" w:type="pct"/>
            <w:tcBorders>
              <w:bottom w:val="single" w:sz="8" w:space="0" w:color="000000"/>
            </w:tcBorders>
            <w:vAlign w:val="center"/>
          </w:tcPr>
          <w:p w:rsidR="00F64609" w:rsidRPr="00285709" w:rsidP="00F64609" w14:paraId="6C269E2B" w14:textId="77777777">
            <w:pPr>
              <w:ind w:left="292"/>
              <w:jc w:val="center"/>
              <w:rPr>
                <w:b/>
                <w:szCs w:val="20"/>
              </w:rPr>
            </w:pPr>
          </w:p>
        </w:tc>
        <w:tc>
          <w:tcPr>
            <w:tcW w:w="811" w:type="pct"/>
            <w:tcBorders>
              <w:bottom w:val="single" w:sz="8" w:space="0" w:color="000000"/>
            </w:tcBorders>
            <w:vAlign w:val="center"/>
          </w:tcPr>
          <w:p w:rsidR="00F64609" w:rsidRPr="00285709" w:rsidP="00F64609" w14:paraId="208ED893" w14:textId="4B7CBEDA">
            <w:pPr>
              <w:ind w:left="98" w:right="69"/>
              <w:jc w:val="center"/>
              <w:rPr>
                <w:b/>
                <w:szCs w:val="20"/>
              </w:rPr>
            </w:pPr>
            <w:r w:rsidRPr="00285709">
              <w:rPr>
                <w:b/>
                <w:szCs w:val="20"/>
              </w:rPr>
              <w:t>120</w:t>
            </w:r>
          </w:p>
        </w:tc>
        <w:tc>
          <w:tcPr>
            <w:tcW w:w="1509" w:type="pct"/>
            <w:tcBorders>
              <w:bottom w:val="single" w:sz="8" w:space="0" w:color="000000"/>
            </w:tcBorders>
            <w:vAlign w:val="bottom"/>
          </w:tcPr>
          <w:p w:rsidR="00F64609" w:rsidRPr="00285709" w:rsidP="00F64609" w14:paraId="23174A1C" w14:textId="0BB29FDE">
            <w:pPr>
              <w:ind w:left="84" w:right="55"/>
              <w:jc w:val="center"/>
              <w:rPr>
                <w:b/>
                <w:szCs w:val="20"/>
              </w:rPr>
            </w:pPr>
            <w:r w:rsidRPr="00680250">
              <w:rPr>
                <w:b/>
                <w:bCs/>
                <w:color w:val="000000"/>
                <w:szCs w:val="20"/>
              </w:rPr>
              <w:t>$43,176,51</w:t>
            </w:r>
            <w:r w:rsidRPr="00285709" w:rsidR="009B719D">
              <w:rPr>
                <w:b/>
                <w:bCs/>
                <w:color w:val="000000"/>
                <w:szCs w:val="20"/>
              </w:rPr>
              <w:t>5</w:t>
            </w:r>
          </w:p>
        </w:tc>
      </w:tr>
      <w:tr w14:paraId="42062F06" w14:textId="77777777" w:rsidTr="00F64609">
        <w:tblPrEx>
          <w:tblW w:w="4235" w:type="pct"/>
          <w:jc w:val="center"/>
          <w:tblCellMar>
            <w:left w:w="0" w:type="dxa"/>
            <w:right w:w="0" w:type="dxa"/>
          </w:tblCellMar>
          <w:tblLook w:val="01E0"/>
        </w:tblPrEx>
        <w:trPr>
          <w:trHeight w:val="20"/>
          <w:jc w:val="center"/>
        </w:trPr>
        <w:tc>
          <w:tcPr>
            <w:tcW w:w="1869" w:type="pct"/>
            <w:tcBorders>
              <w:top w:val="single" w:sz="8" w:space="0" w:color="000000"/>
            </w:tcBorders>
            <w:vAlign w:val="center"/>
          </w:tcPr>
          <w:p w:rsidR="00A77285" w:rsidRPr="00D21E4B" w:rsidP="00A77285" w14:paraId="67BED6A3" w14:textId="5EABC5FD">
            <w:pPr>
              <w:keepNext/>
              <w:ind w:left="183" w:right="82"/>
              <w:rPr>
                <w:b/>
                <w:szCs w:val="20"/>
              </w:rPr>
            </w:pPr>
            <w:r>
              <w:rPr>
                <w:b/>
                <w:szCs w:val="20"/>
              </w:rPr>
              <w:t xml:space="preserve">Grand </w:t>
            </w:r>
            <w:r w:rsidRPr="00D21E4B">
              <w:rPr>
                <w:b/>
                <w:szCs w:val="20"/>
              </w:rPr>
              <w:t>Total</w:t>
            </w:r>
          </w:p>
        </w:tc>
        <w:tc>
          <w:tcPr>
            <w:tcW w:w="811" w:type="pct"/>
            <w:tcBorders>
              <w:top w:val="single" w:sz="8" w:space="0" w:color="000000"/>
            </w:tcBorders>
            <w:vAlign w:val="center"/>
          </w:tcPr>
          <w:p w:rsidR="00A77285" w:rsidRPr="00285709" w:rsidP="00A77285" w14:paraId="07222BC8" w14:textId="77777777">
            <w:pPr>
              <w:keepNext/>
              <w:jc w:val="center"/>
              <w:rPr>
                <w:szCs w:val="20"/>
              </w:rPr>
            </w:pPr>
          </w:p>
        </w:tc>
        <w:tc>
          <w:tcPr>
            <w:tcW w:w="811" w:type="pct"/>
            <w:tcBorders>
              <w:top w:val="single" w:sz="8" w:space="0" w:color="000000"/>
            </w:tcBorders>
            <w:vAlign w:val="center"/>
          </w:tcPr>
          <w:p w:rsidR="00A77285" w:rsidRPr="00285709" w:rsidP="00A77285" w14:paraId="44F6504D" w14:textId="77777777">
            <w:pPr>
              <w:keepNext/>
              <w:ind w:left="90" w:right="76"/>
              <w:jc w:val="center"/>
              <w:rPr>
                <w:b/>
                <w:szCs w:val="20"/>
              </w:rPr>
            </w:pPr>
          </w:p>
        </w:tc>
        <w:tc>
          <w:tcPr>
            <w:tcW w:w="1509" w:type="pct"/>
            <w:tcBorders>
              <w:top w:val="single" w:sz="8" w:space="0" w:color="000000"/>
            </w:tcBorders>
            <w:vAlign w:val="center"/>
          </w:tcPr>
          <w:p w:rsidR="00A77285" w:rsidRPr="00285709" w:rsidP="00A77285" w14:paraId="3873801A" w14:textId="1B7E7DB5">
            <w:pPr>
              <w:keepNext/>
              <w:ind w:left="77" w:right="55"/>
              <w:jc w:val="center"/>
              <w:rPr>
                <w:b/>
                <w:szCs w:val="20"/>
              </w:rPr>
            </w:pPr>
            <w:r>
              <w:rPr>
                <w:b/>
                <w:szCs w:val="20"/>
              </w:rPr>
              <w:t>$</w:t>
            </w:r>
            <w:r w:rsidR="000F53C9">
              <w:rPr>
                <w:b/>
                <w:szCs w:val="20"/>
              </w:rPr>
              <w:t>73,069,628</w:t>
            </w:r>
          </w:p>
        </w:tc>
      </w:tr>
    </w:tbl>
    <w:p w:rsidR="00A65A78" w:rsidRPr="00D21E4B" w:rsidP="00A65A78" w14:paraId="0246E142" w14:textId="77777777">
      <w:pPr>
        <w:keepNext/>
        <w:ind w:left="640"/>
        <w:rPr>
          <w:sz w:val="18"/>
          <w:szCs w:val="18"/>
        </w:rPr>
      </w:pPr>
      <w:r w:rsidRPr="00D21E4B">
        <w:rPr>
          <w:w w:val="105"/>
          <w:position w:val="6"/>
          <w:sz w:val="18"/>
          <w:szCs w:val="18"/>
        </w:rPr>
        <w:t>*</w:t>
      </w:r>
      <w:r w:rsidRPr="00D21E4B">
        <w:rPr>
          <w:w w:val="105"/>
          <w:sz w:val="18"/>
          <w:szCs w:val="18"/>
        </w:rPr>
        <w:t>Totals may not sum due to rounding</w:t>
      </w:r>
      <w:r>
        <w:rPr>
          <w:w w:val="105"/>
          <w:sz w:val="18"/>
          <w:szCs w:val="18"/>
        </w:rPr>
        <w:t>.</w:t>
      </w:r>
    </w:p>
    <w:p w:rsidR="00A616A3" w:rsidP="00A616A3" w14:paraId="74D936AD" w14:textId="26931326">
      <w:pPr>
        <w:rPr>
          <w:i/>
          <w:iCs/>
        </w:rPr>
      </w:pPr>
    </w:p>
    <w:p w:rsidR="00861EEF" w:rsidRPr="00861EEF" w:rsidP="00FA158B" w14:paraId="087F3116" w14:textId="6ED4B0A0">
      <w:pPr>
        <w:widowControl/>
        <w:rPr>
          <w:bCs/>
          <w:sz w:val="22"/>
          <w:szCs w:val="28"/>
        </w:rPr>
      </w:pPr>
      <w:r w:rsidRPr="00875E5E">
        <w:rPr>
          <w:bCs/>
          <w:i/>
          <w:iCs/>
          <w:sz w:val="22"/>
          <w:szCs w:val="28"/>
        </w:rPr>
        <w:t>Root Cause Analysis</w:t>
      </w:r>
      <w:r>
        <w:rPr>
          <w:bCs/>
          <w:i/>
          <w:iCs/>
          <w:sz w:val="22"/>
          <w:szCs w:val="28"/>
        </w:rPr>
        <w:t xml:space="preserve"> </w:t>
      </w:r>
      <w:r>
        <w:rPr>
          <w:bCs/>
          <w:i/>
          <w:iCs/>
          <w:sz w:val="22"/>
          <w:szCs w:val="28"/>
        </w:rPr>
        <w:t>–</w:t>
      </w:r>
      <w:r>
        <w:rPr>
          <w:bCs/>
          <w:i/>
          <w:iCs/>
          <w:sz w:val="22"/>
          <w:szCs w:val="28"/>
        </w:rPr>
        <w:t xml:space="preserve"> </w:t>
      </w:r>
      <w:r>
        <w:rPr>
          <w:bCs/>
          <w:sz w:val="22"/>
          <w:szCs w:val="28"/>
        </w:rPr>
        <w:t>Prior to the final rule, f</w:t>
      </w:r>
      <w:r w:rsidRPr="00861EEF">
        <w:rPr>
          <w:bCs/>
          <w:sz w:val="22"/>
          <w:szCs w:val="28"/>
        </w:rPr>
        <w:t xml:space="preserve">acilities </w:t>
      </w:r>
      <w:r>
        <w:rPr>
          <w:bCs/>
          <w:sz w:val="22"/>
          <w:szCs w:val="28"/>
        </w:rPr>
        <w:t xml:space="preserve">were </w:t>
      </w:r>
      <w:r w:rsidRPr="00861EEF">
        <w:rPr>
          <w:bCs/>
          <w:sz w:val="22"/>
          <w:szCs w:val="28"/>
        </w:rPr>
        <w:t xml:space="preserve">already required to conduct incident investigations; however, EPA expects additional time will be required for the more rigorous root cause analysis. Management time is expected to be devoted primarily to decisions concerning resolution of corrective actions arising from the investigation. For simple facilities, EPA assumed that labor for root cause analyses will require management time and additional time evenly distributed between production staff and engineers. For complex facilities, in addition to facility management, EPA estimated that due to the facility’s size and complexity, attorney hours will be required, along with an estimated 0.5 hours of </w:t>
      </w:r>
      <w:r w:rsidRPr="00861EEF">
        <w:rPr>
          <w:bCs/>
          <w:sz w:val="22"/>
          <w:szCs w:val="28"/>
        </w:rPr>
        <w:t>corporate management time. EPA also estimated that multiple hours of engineering and production staff will be required to conduct the analysis.</w:t>
      </w:r>
    </w:p>
    <w:p w:rsidR="00861EEF" w:rsidRPr="00861EEF" w:rsidP="00FA158B" w14:paraId="128ACF2B" w14:textId="77777777">
      <w:pPr>
        <w:widowControl/>
        <w:rPr>
          <w:bCs/>
          <w:sz w:val="22"/>
          <w:szCs w:val="28"/>
        </w:rPr>
      </w:pPr>
    </w:p>
    <w:p w:rsidR="00A616A3" w:rsidRPr="00D206B9" w:rsidP="00FA158B" w14:paraId="4C13813C" w14:textId="00FB2669">
      <w:pPr>
        <w:widowControl/>
        <w:rPr>
          <w:bCs/>
          <w:i/>
          <w:iCs/>
          <w:sz w:val="22"/>
          <w:szCs w:val="28"/>
        </w:rPr>
      </w:pPr>
      <w:r w:rsidRPr="00861EEF">
        <w:rPr>
          <w:bCs/>
          <w:sz w:val="22"/>
          <w:szCs w:val="28"/>
        </w:rPr>
        <w:t xml:space="preserve">Complex facilities are estimated to require 132.5 total hours (68 hours of management, 0.5 hours of corporate management, 6 hours of attorneys, 30 hours of engineers, and 28 hours of production staff) for a root cause analysis and simple facilities are estimated to require 14 total hours (6 hours of management, 4 hours of engineering, and 4 hours of production). These hour estimates apply to root cause analyses of RMP-reportable accidents and reflect the additional time required for root cause analyses over and above incident investigation. </w:t>
      </w:r>
      <w:r w:rsidRPr="00861EEF">
        <w:rPr>
          <w:sz w:val="22"/>
          <w:szCs w:val="28"/>
        </w:rPr>
        <w:t xml:space="preserve">The </w:t>
      </w:r>
      <w:r w:rsidRPr="00861EEF" w:rsidR="00C52E69">
        <w:rPr>
          <w:sz w:val="22"/>
          <w:szCs w:val="28"/>
        </w:rPr>
        <w:t xml:space="preserve">estimated </w:t>
      </w:r>
      <w:r w:rsidRPr="00861EEF">
        <w:rPr>
          <w:sz w:val="22"/>
          <w:szCs w:val="28"/>
        </w:rPr>
        <w:t>costs of this provision are provided in Exhibit 1</w:t>
      </w:r>
      <w:r w:rsidRPr="00861EEF" w:rsidR="00883EAC">
        <w:rPr>
          <w:sz w:val="22"/>
          <w:szCs w:val="28"/>
        </w:rPr>
        <w:t>5</w:t>
      </w:r>
      <w:r w:rsidRPr="00861EEF">
        <w:rPr>
          <w:sz w:val="22"/>
          <w:szCs w:val="28"/>
        </w:rPr>
        <w:t>.</w:t>
      </w:r>
      <w:r w:rsidRPr="00875E5E">
        <w:rPr>
          <w:sz w:val="22"/>
          <w:szCs w:val="28"/>
        </w:rPr>
        <w:br/>
      </w:r>
    </w:p>
    <w:p w:rsidR="007D2D2B" w:rsidP="00680250" w14:paraId="2FF1FB08" w14:textId="77777777">
      <w:pPr>
        <w:pStyle w:val="Caption"/>
        <w:keepNext/>
        <w:keepLines/>
        <w:widowControl/>
        <w:spacing w:after="0"/>
        <w:jc w:val="center"/>
        <w:rPr>
          <w:b/>
          <w:bCs/>
          <w:i w:val="0"/>
          <w:iCs w:val="0"/>
          <w:color w:val="auto"/>
          <w:sz w:val="22"/>
          <w:szCs w:val="22"/>
        </w:rPr>
      </w:pPr>
      <w:r w:rsidRPr="00D21E4B">
        <w:rPr>
          <w:b/>
          <w:bCs/>
          <w:i w:val="0"/>
          <w:iCs w:val="0"/>
          <w:color w:val="auto"/>
          <w:sz w:val="22"/>
          <w:szCs w:val="22"/>
        </w:rPr>
        <w:t xml:space="preserve">Exhibit </w:t>
      </w:r>
      <w:r>
        <w:rPr>
          <w:b/>
          <w:bCs/>
          <w:i w:val="0"/>
          <w:iCs w:val="0"/>
          <w:color w:val="auto"/>
          <w:sz w:val="22"/>
          <w:szCs w:val="22"/>
        </w:rPr>
        <w:t>1</w:t>
      </w:r>
      <w:r w:rsidR="00CF3F54">
        <w:rPr>
          <w:b/>
          <w:bCs/>
          <w:i w:val="0"/>
          <w:iCs w:val="0"/>
          <w:color w:val="auto"/>
          <w:sz w:val="22"/>
          <w:szCs w:val="22"/>
        </w:rPr>
        <w:t>5</w:t>
      </w:r>
      <w:r>
        <w:rPr>
          <w:b/>
          <w:bCs/>
          <w:i w:val="0"/>
          <w:iCs w:val="0"/>
          <w:color w:val="auto"/>
          <w:sz w:val="22"/>
          <w:szCs w:val="22"/>
        </w:rPr>
        <w:t>:</w:t>
      </w:r>
      <w:r w:rsidRPr="00D21E4B">
        <w:rPr>
          <w:b/>
          <w:bCs/>
          <w:i w:val="0"/>
          <w:iCs w:val="0"/>
          <w:color w:val="auto"/>
          <w:sz w:val="22"/>
          <w:szCs w:val="22"/>
        </w:rPr>
        <w:t xml:space="preserve"> </w:t>
      </w:r>
      <w:r w:rsidRPr="00D21E4B" w:rsidR="00384B19">
        <w:rPr>
          <w:b/>
          <w:bCs/>
          <w:i w:val="0"/>
          <w:iCs w:val="0"/>
          <w:color w:val="auto"/>
          <w:sz w:val="22"/>
          <w:szCs w:val="22"/>
        </w:rPr>
        <w:t xml:space="preserve">Estimated Annualized </w:t>
      </w:r>
      <w:r w:rsidR="00384B19">
        <w:rPr>
          <w:b/>
          <w:bCs/>
          <w:i w:val="0"/>
          <w:iCs w:val="0"/>
          <w:color w:val="auto"/>
          <w:sz w:val="22"/>
          <w:szCs w:val="22"/>
        </w:rPr>
        <w:t xml:space="preserve">Labor </w:t>
      </w:r>
      <w:r w:rsidRPr="00D21E4B" w:rsidR="00384B19">
        <w:rPr>
          <w:b/>
          <w:bCs/>
          <w:i w:val="0"/>
          <w:iCs w:val="0"/>
          <w:color w:val="auto"/>
          <w:sz w:val="22"/>
          <w:szCs w:val="22"/>
        </w:rPr>
        <w:t xml:space="preserve">Costs </w:t>
      </w:r>
      <w:r w:rsidRPr="00D21E4B">
        <w:rPr>
          <w:b/>
          <w:bCs/>
          <w:i w:val="0"/>
          <w:iCs w:val="0"/>
          <w:color w:val="auto"/>
          <w:sz w:val="22"/>
          <w:szCs w:val="22"/>
        </w:rPr>
        <w:t xml:space="preserve">for Root Cause Incident Investigation </w:t>
      </w:r>
    </w:p>
    <w:p w:rsidR="00A616A3" w:rsidRPr="00D21E4B" w:rsidP="00680250" w14:paraId="2351B457" w14:textId="03996CDD">
      <w:pPr>
        <w:pStyle w:val="Caption"/>
        <w:keepNext/>
        <w:keepLines/>
        <w:widowControl/>
        <w:spacing w:after="0"/>
        <w:jc w:val="center"/>
        <w:rPr>
          <w:rFonts w:eastAsiaTheme="majorEastAsia"/>
          <w:b/>
          <w:bCs/>
          <w:i w:val="0"/>
          <w:iCs w:val="0"/>
          <w:color w:val="auto"/>
          <w:sz w:val="22"/>
          <w:szCs w:val="22"/>
        </w:rPr>
      </w:pPr>
      <w:r w:rsidRPr="00D21E4B">
        <w:rPr>
          <w:b/>
          <w:bCs/>
          <w:i w:val="0"/>
          <w:iCs w:val="0"/>
          <w:color w:val="auto"/>
          <w:sz w:val="22"/>
          <w:szCs w:val="22"/>
        </w:rPr>
        <w:t>(202</w:t>
      </w:r>
      <w:r>
        <w:rPr>
          <w:b/>
          <w:bCs/>
          <w:i w:val="0"/>
          <w:iCs w:val="0"/>
          <w:color w:val="auto"/>
          <w:sz w:val="22"/>
          <w:szCs w:val="22"/>
        </w:rPr>
        <w:t>2</w:t>
      </w:r>
      <w:r w:rsidRPr="00D21E4B">
        <w:rPr>
          <w:b/>
          <w:bCs/>
          <w:i w:val="0"/>
          <w:iCs w:val="0"/>
          <w:color w:val="auto"/>
          <w:sz w:val="22"/>
          <w:szCs w:val="22"/>
        </w:rPr>
        <w:t xml:space="preserve"> </w:t>
      </w:r>
      <w:r>
        <w:rPr>
          <w:b/>
          <w:bCs/>
          <w:i w:val="0"/>
          <w:iCs w:val="0"/>
          <w:color w:val="auto"/>
          <w:sz w:val="22"/>
          <w:szCs w:val="22"/>
        </w:rPr>
        <w:t>d</w:t>
      </w:r>
      <w:r w:rsidRPr="00D21E4B">
        <w:rPr>
          <w:b/>
          <w:bCs/>
          <w:i w:val="0"/>
          <w:iCs w:val="0"/>
          <w:color w:val="auto"/>
          <w:sz w:val="22"/>
          <w:szCs w:val="22"/>
        </w:rPr>
        <w:t>ollars)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
      <w:tblGrid>
        <w:gridCol w:w="2153"/>
        <w:gridCol w:w="1259"/>
        <w:gridCol w:w="3329"/>
        <w:gridCol w:w="2601"/>
      </w:tblGrid>
      <w:tr w14:paraId="51EE1B8C" w14:textId="77777777">
        <w:tblPrEx>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Ex>
        <w:trPr>
          <w:trHeight w:val="20"/>
          <w:jc w:val="center"/>
        </w:trPr>
        <w:tc>
          <w:tcPr>
            <w:tcW w:w="1152" w:type="pct"/>
            <w:tcBorders>
              <w:left w:val="single" w:sz="6" w:space="0" w:color="000000"/>
              <w:bottom w:val="single" w:sz="6" w:space="0" w:color="000000"/>
              <w:right w:val="single" w:sz="6" w:space="0" w:color="000000"/>
            </w:tcBorders>
            <w:shd w:val="clear" w:color="auto" w:fill="DADADA"/>
            <w:vAlign w:val="center"/>
          </w:tcPr>
          <w:p w:rsidR="00A616A3" w:rsidRPr="00D21E4B" w:rsidP="00680250" w14:paraId="10802368" w14:textId="77777777">
            <w:pPr>
              <w:keepNext/>
              <w:keepLines/>
              <w:widowControl/>
              <w:ind w:left="176"/>
              <w:jc w:val="center"/>
              <w:rPr>
                <w:b/>
                <w:szCs w:val="20"/>
              </w:rPr>
            </w:pPr>
            <w:r w:rsidRPr="00D21E4B">
              <w:rPr>
                <w:b/>
                <w:szCs w:val="20"/>
              </w:rPr>
              <w:t>Facility Type</w:t>
            </w:r>
          </w:p>
        </w:tc>
        <w:tc>
          <w:tcPr>
            <w:tcW w:w="674" w:type="pct"/>
            <w:tcBorders>
              <w:left w:val="single" w:sz="6" w:space="0" w:color="000000"/>
              <w:bottom w:val="single" w:sz="6" w:space="0" w:color="000000"/>
            </w:tcBorders>
            <w:shd w:val="clear" w:color="auto" w:fill="DADADA"/>
            <w:vAlign w:val="center"/>
          </w:tcPr>
          <w:p w:rsidR="00A616A3" w:rsidRPr="00D21E4B" w:rsidP="00680250" w14:paraId="1EDB104B" w14:textId="77777777">
            <w:pPr>
              <w:keepNext/>
              <w:keepLines/>
              <w:widowControl/>
              <w:ind w:left="80" w:right="50"/>
              <w:jc w:val="center"/>
              <w:rPr>
                <w:b/>
                <w:szCs w:val="20"/>
              </w:rPr>
            </w:pPr>
            <w:r w:rsidRPr="00D21E4B">
              <w:rPr>
                <w:b/>
                <w:szCs w:val="20"/>
              </w:rPr>
              <w:t>Unit Cost</w:t>
            </w:r>
          </w:p>
        </w:tc>
        <w:tc>
          <w:tcPr>
            <w:tcW w:w="1782" w:type="pct"/>
            <w:tcBorders>
              <w:bottom w:val="single" w:sz="6" w:space="0" w:color="000000"/>
              <w:right w:val="single" w:sz="6" w:space="0" w:color="000000"/>
            </w:tcBorders>
            <w:shd w:val="clear" w:color="auto" w:fill="DADADA"/>
            <w:vAlign w:val="center"/>
          </w:tcPr>
          <w:p w:rsidR="00A616A3" w:rsidRPr="00D21E4B" w:rsidP="00680250" w14:paraId="550CD9F9" w14:textId="77777777">
            <w:pPr>
              <w:keepNext/>
              <w:keepLines/>
              <w:widowControl/>
              <w:ind w:left="61" w:right="67"/>
              <w:jc w:val="center"/>
              <w:rPr>
                <w:b/>
                <w:szCs w:val="20"/>
              </w:rPr>
            </w:pPr>
            <w:r w:rsidRPr="00D21E4B">
              <w:rPr>
                <w:b/>
                <w:szCs w:val="20"/>
              </w:rPr>
              <w:t>Avg. Annual Number of Accidents (2016-2020) per year</w:t>
            </w:r>
          </w:p>
        </w:tc>
        <w:tc>
          <w:tcPr>
            <w:tcW w:w="1392" w:type="pct"/>
            <w:tcBorders>
              <w:left w:val="single" w:sz="6" w:space="0" w:color="000000"/>
              <w:bottom w:val="single" w:sz="6" w:space="0" w:color="000000"/>
            </w:tcBorders>
            <w:shd w:val="clear" w:color="auto" w:fill="DADADA"/>
            <w:vAlign w:val="center"/>
          </w:tcPr>
          <w:p w:rsidR="00A616A3" w:rsidRPr="00D21E4B" w:rsidP="00680250" w14:paraId="6912FF4B" w14:textId="77777777">
            <w:pPr>
              <w:keepNext/>
              <w:keepLines/>
              <w:widowControl/>
              <w:ind w:left="81" w:right="51"/>
              <w:jc w:val="center"/>
              <w:rPr>
                <w:b/>
                <w:szCs w:val="20"/>
              </w:rPr>
            </w:pPr>
            <w:r w:rsidRPr="00D21E4B">
              <w:rPr>
                <w:b/>
                <w:szCs w:val="20"/>
              </w:rPr>
              <w:t>Total Annualized</w:t>
            </w:r>
          </w:p>
          <w:p w:rsidR="00A616A3" w:rsidRPr="00D21E4B" w:rsidP="00680250" w14:paraId="18D8D849" w14:textId="77777777">
            <w:pPr>
              <w:keepNext/>
              <w:keepLines/>
              <w:widowControl/>
              <w:ind w:left="81" w:right="51"/>
              <w:jc w:val="center"/>
              <w:rPr>
                <w:b/>
                <w:szCs w:val="20"/>
              </w:rPr>
            </w:pPr>
            <w:r w:rsidRPr="00D21E4B">
              <w:rPr>
                <w:b/>
                <w:szCs w:val="20"/>
              </w:rPr>
              <w:t>Cost</w:t>
            </w:r>
          </w:p>
        </w:tc>
      </w:tr>
      <w:tr w14:paraId="274792A4" w14:textId="77777777">
        <w:tblPrEx>
          <w:tblW w:w="5000" w:type="pct"/>
          <w:jc w:val="center"/>
          <w:tblCellMar>
            <w:left w:w="0" w:type="dxa"/>
            <w:right w:w="0" w:type="dxa"/>
          </w:tblCellMar>
          <w:tblLook w:val="01E0"/>
        </w:tblPrEx>
        <w:trPr>
          <w:trHeight w:val="20"/>
          <w:jc w:val="center"/>
        </w:trPr>
        <w:tc>
          <w:tcPr>
            <w:tcW w:w="1152" w:type="pct"/>
            <w:tcBorders>
              <w:top w:val="single" w:sz="6" w:space="0" w:color="000000"/>
              <w:left w:val="single" w:sz="6" w:space="0" w:color="000000"/>
              <w:bottom w:val="single" w:sz="6" w:space="0" w:color="000000"/>
              <w:right w:val="single" w:sz="6" w:space="0" w:color="000000"/>
            </w:tcBorders>
            <w:vAlign w:val="center"/>
          </w:tcPr>
          <w:p w:rsidR="00A616A3" w:rsidRPr="00D21E4B" w14:paraId="36A39816" w14:textId="77777777">
            <w:pPr>
              <w:keepNext/>
              <w:ind w:left="112"/>
              <w:rPr>
                <w:szCs w:val="20"/>
              </w:rPr>
            </w:pPr>
            <w:r w:rsidRPr="00D21E4B">
              <w:rPr>
                <w:szCs w:val="20"/>
              </w:rPr>
              <w:t>P2 Accident - Simple</w:t>
            </w:r>
          </w:p>
        </w:tc>
        <w:tc>
          <w:tcPr>
            <w:tcW w:w="674" w:type="pct"/>
            <w:tcBorders>
              <w:top w:val="single" w:sz="6" w:space="0" w:color="000000"/>
              <w:left w:val="single" w:sz="6" w:space="0" w:color="000000"/>
              <w:bottom w:val="single" w:sz="6" w:space="0" w:color="000000"/>
            </w:tcBorders>
            <w:vAlign w:val="center"/>
          </w:tcPr>
          <w:p w:rsidR="00A616A3" w:rsidRPr="00D21E4B" w14:paraId="3D0E4FBF" w14:textId="77777777">
            <w:pPr>
              <w:keepNext/>
              <w:ind w:left="67" w:right="50"/>
              <w:jc w:val="right"/>
              <w:rPr>
                <w:szCs w:val="20"/>
              </w:rPr>
            </w:pPr>
            <w:r w:rsidRPr="00D21E4B">
              <w:rPr>
                <w:color w:val="000000"/>
                <w:szCs w:val="20"/>
              </w:rPr>
              <w:t>$</w:t>
            </w:r>
            <w:r>
              <w:rPr>
                <w:color w:val="000000"/>
                <w:szCs w:val="20"/>
              </w:rPr>
              <w:t>1,134</w:t>
            </w:r>
          </w:p>
        </w:tc>
        <w:tc>
          <w:tcPr>
            <w:tcW w:w="1782" w:type="pct"/>
            <w:tcBorders>
              <w:top w:val="single" w:sz="6" w:space="0" w:color="000000"/>
              <w:bottom w:val="single" w:sz="6" w:space="0" w:color="000000"/>
              <w:right w:val="single" w:sz="6" w:space="0" w:color="000000"/>
            </w:tcBorders>
            <w:vAlign w:val="center"/>
          </w:tcPr>
          <w:p w:rsidR="00A616A3" w:rsidRPr="00D21E4B" w14:paraId="69161E5D" w14:textId="77777777">
            <w:pPr>
              <w:keepNext/>
              <w:ind w:left="93" w:right="77"/>
              <w:jc w:val="right"/>
              <w:rPr>
                <w:szCs w:val="20"/>
              </w:rPr>
            </w:pPr>
            <w:r w:rsidRPr="00D21E4B">
              <w:rPr>
                <w:szCs w:val="20"/>
              </w:rPr>
              <w:t>12.8</w:t>
            </w:r>
          </w:p>
        </w:tc>
        <w:tc>
          <w:tcPr>
            <w:tcW w:w="1392" w:type="pct"/>
            <w:tcBorders>
              <w:top w:val="single" w:sz="6" w:space="0" w:color="000000"/>
              <w:left w:val="single" w:sz="6" w:space="0" w:color="000000"/>
              <w:bottom w:val="single" w:sz="6" w:space="0" w:color="000000"/>
            </w:tcBorders>
            <w:vAlign w:val="center"/>
          </w:tcPr>
          <w:p w:rsidR="00A616A3" w:rsidRPr="00D21E4B" w14:paraId="1097B6AC" w14:textId="3AE728C6">
            <w:pPr>
              <w:keepNext/>
              <w:ind w:left="83" w:right="51"/>
              <w:jc w:val="right"/>
              <w:rPr>
                <w:szCs w:val="20"/>
              </w:rPr>
            </w:pPr>
            <w:r w:rsidRPr="000B51E0">
              <w:rPr>
                <w:color w:val="000000"/>
                <w:szCs w:val="20"/>
              </w:rPr>
              <w:t>$14,519</w:t>
            </w:r>
          </w:p>
        </w:tc>
      </w:tr>
      <w:tr w14:paraId="55A0912B" w14:textId="77777777" w:rsidTr="00680250">
        <w:tblPrEx>
          <w:tblW w:w="5000" w:type="pct"/>
          <w:jc w:val="center"/>
          <w:tblCellMar>
            <w:left w:w="0" w:type="dxa"/>
            <w:right w:w="0" w:type="dxa"/>
          </w:tblCellMar>
          <w:tblLook w:val="01E0"/>
        </w:tblPrEx>
        <w:trPr>
          <w:trHeight w:val="20"/>
          <w:jc w:val="center"/>
        </w:trPr>
        <w:tc>
          <w:tcPr>
            <w:tcW w:w="1152" w:type="pct"/>
            <w:tcBorders>
              <w:top w:val="single" w:sz="6" w:space="0" w:color="000000"/>
              <w:left w:val="single" w:sz="6" w:space="0" w:color="000000"/>
              <w:bottom w:val="single" w:sz="6" w:space="0" w:color="000000"/>
              <w:right w:val="single" w:sz="6" w:space="0" w:color="000000"/>
            </w:tcBorders>
            <w:vAlign w:val="center"/>
          </w:tcPr>
          <w:p w:rsidR="00A616A3" w:rsidRPr="00D21E4B" w14:paraId="7FD17338" w14:textId="77777777">
            <w:pPr>
              <w:keepNext/>
              <w:ind w:left="112"/>
              <w:rPr>
                <w:szCs w:val="20"/>
              </w:rPr>
            </w:pPr>
            <w:r w:rsidRPr="00D21E4B">
              <w:rPr>
                <w:szCs w:val="20"/>
              </w:rPr>
              <w:t>P2 Accident - Complex</w:t>
            </w:r>
          </w:p>
        </w:tc>
        <w:tc>
          <w:tcPr>
            <w:tcW w:w="674" w:type="pct"/>
            <w:tcBorders>
              <w:top w:val="single" w:sz="6" w:space="0" w:color="000000"/>
              <w:left w:val="single" w:sz="6" w:space="0" w:color="000000"/>
              <w:bottom w:val="single" w:sz="6" w:space="0" w:color="000000"/>
            </w:tcBorders>
            <w:vAlign w:val="center"/>
          </w:tcPr>
          <w:p w:rsidR="00A616A3" w:rsidRPr="00D21E4B" w14:paraId="213E1CCA" w14:textId="77777777">
            <w:pPr>
              <w:keepNext/>
              <w:ind w:left="67" w:right="50"/>
              <w:jc w:val="right"/>
              <w:rPr>
                <w:szCs w:val="20"/>
              </w:rPr>
            </w:pPr>
            <w:r w:rsidRPr="00D21E4B">
              <w:rPr>
                <w:color w:val="000000"/>
                <w:szCs w:val="20"/>
              </w:rPr>
              <w:t>$</w:t>
            </w:r>
            <w:r>
              <w:rPr>
                <w:color w:val="000000"/>
                <w:szCs w:val="20"/>
              </w:rPr>
              <w:t>15,496</w:t>
            </w:r>
          </w:p>
        </w:tc>
        <w:tc>
          <w:tcPr>
            <w:tcW w:w="1782" w:type="pct"/>
            <w:tcBorders>
              <w:top w:val="single" w:sz="6" w:space="0" w:color="000000"/>
              <w:bottom w:val="single" w:sz="6" w:space="0" w:color="000000"/>
              <w:right w:val="single" w:sz="6" w:space="0" w:color="000000"/>
            </w:tcBorders>
            <w:vAlign w:val="center"/>
          </w:tcPr>
          <w:p w:rsidR="00A616A3" w:rsidRPr="00D21E4B" w14:paraId="66E32528" w14:textId="77777777">
            <w:pPr>
              <w:keepNext/>
              <w:ind w:left="93" w:right="77"/>
              <w:jc w:val="right"/>
              <w:rPr>
                <w:szCs w:val="20"/>
              </w:rPr>
            </w:pPr>
            <w:r w:rsidRPr="00D21E4B">
              <w:rPr>
                <w:szCs w:val="20"/>
              </w:rPr>
              <w:t>0.2</w:t>
            </w:r>
          </w:p>
        </w:tc>
        <w:tc>
          <w:tcPr>
            <w:tcW w:w="1392" w:type="pct"/>
            <w:tcBorders>
              <w:top w:val="single" w:sz="6" w:space="0" w:color="000000"/>
              <w:left w:val="single" w:sz="6" w:space="0" w:color="000000"/>
              <w:bottom w:val="single" w:sz="6" w:space="0" w:color="000000"/>
            </w:tcBorders>
            <w:vAlign w:val="center"/>
          </w:tcPr>
          <w:p w:rsidR="00A616A3" w:rsidRPr="00D21E4B" w14:paraId="33155D14" w14:textId="5A5C8EC2">
            <w:pPr>
              <w:keepNext/>
              <w:ind w:left="83" w:right="51"/>
              <w:jc w:val="right"/>
              <w:rPr>
                <w:szCs w:val="20"/>
              </w:rPr>
            </w:pPr>
            <w:r w:rsidRPr="00D21E4B">
              <w:rPr>
                <w:color w:val="000000"/>
                <w:szCs w:val="20"/>
              </w:rPr>
              <w:t>$</w:t>
            </w:r>
            <w:r w:rsidRPr="00011B60">
              <w:rPr>
                <w:color w:val="000000"/>
                <w:szCs w:val="20"/>
              </w:rPr>
              <w:t>3,099</w:t>
            </w:r>
          </w:p>
        </w:tc>
      </w:tr>
      <w:tr w14:paraId="3930CB39" w14:textId="77777777" w:rsidTr="00680250">
        <w:tblPrEx>
          <w:tblW w:w="5000" w:type="pct"/>
          <w:jc w:val="center"/>
          <w:tblCellMar>
            <w:left w:w="0" w:type="dxa"/>
            <w:right w:w="0" w:type="dxa"/>
          </w:tblCellMar>
          <w:tblLook w:val="01E0"/>
        </w:tblPrEx>
        <w:trPr>
          <w:trHeight w:val="20"/>
          <w:jc w:val="center"/>
        </w:trPr>
        <w:tc>
          <w:tcPr>
            <w:tcW w:w="1152" w:type="pct"/>
            <w:tcBorders>
              <w:top w:val="single" w:sz="6" w:space="0" w:color="000000"/>
              <w:left w:val="single" w:sz="6" w:space="0" w:color="000000"/>
              <w:bottom w:val="single" w:sz="6" w:space="0" w:color="000000"/>
              <w:right w:val="single" w:sz="6" w:space="0" w:color="000000"/>
            </w:tcBorders>
            <w:vAlign w:val="center"/>
          </w:tcPr>
          <w:p w:rsidR="00A616A3" w:rsidRPr="00D21E4B" w14:paraId="0BEE14B6" w14:textId="77777777">
            <w:pPr>
              <w:keepNext/>
              <w:ind w:left="112"/>
              <w:rPr>
                <w:szCs w:val="20"/>
              </w:rPr>
            </w:pPr>
            <w:r w:rsidRPr="00D21E4B">
              <w:rPr>
                <w:szCs w:val="20"/>
              </w:rPr>
              <w:t>P3 Accident - Simple</w:t>
            </w:r>
          </w:p>
        </w:tc>
        <w:tc>
          <w:tcPr>
            <w:tcW w:w="674" w:type="pct"/>
            <w:tcBorders>
              <w:top w:val="single" w:sz="6" w:space="0" w:color="000000"/>
              <w:left w:val="single" w:sz="6" w:space="0" w:color="000000"/>
              <w:bottom w:val="single" w:sz="6" w:space="0" w:color="000000"/>
            </w:tcBorders>
            <w:vAlign w:val="center"/>
          </w:tcPr>
          <w:p w:rsidR="00A616A3" w:rsidRPr="00D21E4B" w14:paraId="479D47C8" w14:textId="77777777">
            <w:pPr>
              <w:keepNext/>
              <w:ind w:left="67" w:right="50"/>
              <w:jc w:val="right"/>
              <w:rPr>
                <w:szCs w:val="20"/>
              </w:rPr>
            </w:pPr>
            <w:r w:rsidRPr="00680250">
              <w:rPr>
                <w:szCs w:val="20"/>
              </w:rPr>
              <w:t>$1,134</w:t>
            </w:r>
          </w:p>
        </w:tc>
        <w:tc>
          <w:tcPr>
            <w:tcW w:w="1782" w:type="pct"/>
            <w:tcBorders>
              <w:top w:val="single" w:sz="6" w:space="0" w:color="000000"/>
              <w:bottom w:val="single" w:sz="6" w:space="0" w:color="000000"/>
              <w:right w:val="single" w:sz="6" w:space="0" w:color="000000"/>
            </w:tcBorders>
            <w:vAlign w:val="center"/>
          </w:tcPr>
          <w:p w:rsidR="00A616A3" w:rsidRPr="00D21E4B" w14:paraId="77D7B04D" w14:textId="77777777">
            <w:pPr>
              <w:keepNext/>
              <w:ind w:left="93" w:right="65"/>
              <w:jc w:val="right"/>
              <w:rPr>
                <w:szCs w:val="20"/>
              </w:rPr>
            </w:pPr>
            <w:r w:rsidRPr="00D21E4B">
              <w:rPr>
                <w:szCs w:val="20"/>
              </w:rPr>
              <w:t>40.2</w:t>
            </w:r>
          </w:p>
        </w:tc>
        <w:tc>
          <w:tcPr>
            <w:tcW w:w="1392" w:type="pct"/>
            <w:tcBorders>
              <w:top w:val="single" w:sz="6" w:space="0" w:color="000000"/>
              <w:left w:val="single" w:sz="6" w:space="0" w:color="000000"/>
              <w:bottom w:val="single" w:sz="6" w:space="0" w:color="000000"/>
            </w:tcBorders>
            <w:vAlign w:val="center"/>
          </w:tcPr>
          <w:p w:rsidR="00A616A3" w:rsidRPr="00D21E4B" w14:paraId="28936259" w14:textId="249C0046">
            <w:pPr>
              <w:keepNext/>
              <w:ind w:left="83" w:right="51"/>
              <w:jc w:val="right"/>
              <w:rPr>
                <w:szCs w:val="20"/>
              </w:rPr>
            </w:pPr>
            <w:r w:rsidRPr="00680250">
              <w:rPr>
                <w:szCs w:val="20"/>
              </w:rPr>
              <w:t>$45,</w:t>
            </w:r>
            <w:r w:rsidR="006C73E4">
              <w:rPr>
                <w:szCs w:val="20"/>
              </w:rPr>
              <w:t>600</w:t>
            </w:r>
          </w:p>
        </w:tc>
      </w:tr>
      <w:tr w14:paraId="2F84D83F" w14:textId="77777777" w:rsidTr="00680250">
        <w:tblPrEx>
          <w:tblW w:w="5000" w:type="pct"/>
          <w:jc w:val="center"/>
          <w:tblCellMar>
            <w:left w:w="0" w:type="dxa"/>
            <w:right w:w="0" w:type="dxa"/>
          </w:tblCellMar>
          <w:tblLook w:val="01E0"/>
        </w:tblPrEx>
        <w:trPr>
          <w:trHeight w:val="20"/>
          <w:jc w:val="center"/>
        </w:trPr>
        <w:tc>
          <w:tcPr>
            <w:tcW w:w="1152" w:type="pct"/>
            <w:tcBorders>
              <w:top w:val="single" w:sz="6" w:space="0" w:color="000000"/>
              <w:left w:val="single" w:sz="6" w:space="0" w:color="000000"/>
              <w:right w:val="single" w:sz="6" w:space="0" w:color="000000"/>
            </w:tcBorders>
            <w:vAlign w:val="center"/>
          </w:tcPr>
          <w:p w:rsidR="00A616A3" w:rsidRPr="00D21E4B" w14:paraId="1FF109D9" w14:textId="77777777">
            <w:pPr>
              <w:keepNext/>
              <w:ind w:left="112"/>
              <w:rPr>
                <w:szCs w:val="20"/>
              </w:rPr>
            </w:pPr>
            <w:r w:rsidRPr="00D21E4B">
              <w:rPr>
                <w:szCs w:val="20"/>
              </w:rPr>
              <w:t>P3 Accident - Complex</w:t>
            </w:r>
          </w:p>
        </w:tc>
        <w:tc>
          <w:tcPr>
            <w:tcW w:w="674" w:type="pct"/>
            <w:tcBorders>
              <w:top w:val="single" w:sz="6" w:space="0" w:color="000000"/>
              <w:left w:val="single" w:sz="6" w:space="0" w:color="000000"/>
            </w:tcBorders>
            <w:vAlign w:val="center"/>
          </w:tcPr>
          <w:p w:rsidR="00A616A3" w:rsidRPr="00D21E4B" w14:paraId="7D138FE3" w14:textId="77777777">
            <w:pPr>
              <w:keepNext/>
              <w:ind w:left="67" w:right="50"/>
              <w:jc w:val="right"/>
              <w:rPr>
                <w:szCs w:val="20"/>
              </w:rPr>
            </w:pPr>
            <w:r w:rsidRPr="00680250">
              <w:rPr>
                <w:szCs w:val="20"/>
              </w:rPr>
              <w:t>$15,496</w:t>
            </w:r>
          </w:p>
        </w:tc>
        <w:tc>
          <w:tcPr>
            <w:tcW w:w="1782" w:type="pct"/>
            <w:tcBorders>
              <w:top w:val="single" w:sz="6" w:space="0" w:color="000000"/>
              <w:right w:val="single" w:sz="6" w:space="0" w:color="000000"/>
            </w:tcBorders>
            <w:vAlign w:val="center"/>
          </w:tcPr>
          <w:p w:rsidR="00A616A3" w:rsidRPr="00D21E4B" w14:paraId="7283F14C" w14:textId="77777777">
            <w:pPr>
              <w:keepNext/>
              <w:ind w:left="93" w:right="65"/>
              <w:jc w:val="right"/>
              <w:rPr>
                <w:szCs w:val="20"/>
              </w:rPr>
            </w:pPr>
            <w:r w:rsidRPr="00D21E4B">
              <w:rPr>
                <w:szCs w:val="20"/>
              </w:rPr>
              <w:t>41.2</w:t>
            </w:r>
          </w:p>
        </w:tc>
        <w:tc>
          <w:tcPr>
            <w:tcW w:w="1392" w:type="pct"/>
            <w:tcBorders>
              <w:top w:val="single" w:sz="6" w:space="0" w:color="000000"/>
              <w:left w:val="single" w:sz="6" w:space="0" w:color="000000"/>
            </w:tcBorders>
            <w:vAlign w:val="center"/>
          </w:tcPr>
          <w:p w:rsidR="00A616A3" w:rsidRPr="00D21E4B" w14:paraId="4ACCD7EF" w14:textId="459CBD3D">
            <w:pPr>
              <w:keepNext/>
              <w:ind w:left="83" w:right="51"/>
              <w:jc w:val="right"/>
              <w:rPr>
                <w:szCs w:val="20"/>
              </w:rPr>
            </w:pPr>
            <w:r w:rsidRPr="00676EAC">
              <w:rPr>
                <w:szCs w:val="20"/>
              </w:rPr>
              <w:t>$638,448</w:t>
            </w:r>
          </w:p>
        </w:tc>
      </w:tr>
      <w:tr w14:paraId="030C9C30" w14:textId="77777777">
        <w:tblPrEx>
          <w:tblW w:w="5000" w:type="pct"/>
          <w:jc w:val="center"/>
          <w:tblCellMar>
            <w:left w:w="0" w:type="dxa"/>
            <w:right w:w="0" w:type="dxa"/>
          </w:tblCellMar>
          <w:tblLook w:val="01E0"/>
        </w:tblPrEx>
        <w:trPr>
          <w:trHeight w:val="20"/>
          <w:jc w:val="center"/>
        </w:trPr>
        <w:tc>
          <w:tcPr>
            <w:tcW w:w="1152" w:type="pct"/>
            <w:tcBorders>
              <w:left w:val="single" w:sz="6" w:space="0" w:color="000000"/>
              <w:bottom w:val="single" w:sz="6" w:space="0" w:color="000000"/>
              <w:right w:val="single" w:sz="6" w:space="0" w:color="000000"/>
            </w:tcBorders>
            <w:vAlign w:val="center"/>
          </w:tcPr>
          <w:p w:rsidR="00A616A3" w:rsidRPr="00D21E4B" w14:paraId="1668BC5C" w14:textId="77777777">
            <w:pPr>
              <w:keepNext/>
              <w:ind w:right="887"/>
              <w:jc w:val="center"/>
              <w:rPr>
                <w:b/>
                <w:szCs w:val="20"/>
              </w:rPr>
            </w:pPr>
            <w:r w:rsidRPr="00D21E4B">
              <w:rPr>
                <w:b/>
                <w:szCs w:val="20"/>
              </w:rPr>
              <w:t>Total</w:t>
            </w:r>
          </w:p>
        </w:tc>
        <w:tc>
          <w:tcPr>
            <w:tcW w:w="674" w:type="pct"/>
            <w:tcBorders>
              <w:left w:val="single" w:sz="6" w:space="0" w:color="000000"/>
              <w:bottom w:val="single" w:sz="6" w:space="0" w:color="000000"/>
            </w:tcBorders>
            <w:vAlign w:val="center"/>
          </w:tcPr>
          <w:p w:rsidR="00A616A3" w:rsidRPr="00D21E4B" w14:paraId="4B0ED63C" w14:textId="77777777">
            <w:pPr>
              <w:keepNext/>
              <w:jc w:val="right"/>
              <w:rPr>
                <w:szCs w:val="20"/>
              </w:rPr>
            </w:pPr>
          </w:p>
        </w:tc>
        <w:tc>
          <w:tcPr>
            <w:tcW w:w="1782" w:type="pct"/>
            <w:tcBorders>
              <w:bottom w:val="single" w:sz="6" w:space="0" w:color="000000"/>
              <w:right w:val="single" w:sz="6" w:space="0" w:color="000000"/>
            </w:tcBorders>
            <w:vAlign w:val="center"/>
          </w:tcPr>
          <w:p w:rsidR="00A616A3" w:rsidRPr="00D21E4B" w14:paraId="133D9A36" w14:textId="77777777">
            <w:pPr>
              <w:keepNext/>
              <w:ind w:left="67" w:right="67"/>
              <w:jc w:val="right"/>
              <w:rPr>
                <w:b/>
                <w:szCs w:val="20"/>
              </w:rPr>
            </w:pPr>
            <w:r w:rsidRPr="00D21E4B">
              <w:rPr>
                <w:b/>
                <w:szCs w:val="20"/>
              </w:rPr>
              <w:t>94.4</w:t>
            </w:r>
          </w:p>
        </w:tc>
        <w:tc>
          <w:tcPr>
            <w:tcW w:w="1392" w:type="pct"/>
            <w:tcBorders>
              <w:left w:val="single" w:sz="6" w:space="0" w:color="000000"/>
              <w:bottom w:val="single" w:sz="6" w:space="0" w:color="000000"/>
            </w:tcBorders>
            <w:vAlign w:val="center"/>
          </w:tcPr>
          <w:p w:rsidR="00A616A3" w:rsidRPr="00D21E4B" w14:paraId="3D51B800" w14:textId="77777777">
            <w:pPr>
              <w:keepNext/>
              <w:ind w:left="83" w:right="51"/>
              <w:jc w:val="right"/>
              <w:rPr>
                <w:b/>
                <w:szCs w:val="20"/>
              </w:rPr>
            </w:pPr>
            <w:r w:rsidRPr="00D21E4B">
              <w:rPr>
                <w:b/>
                <w:color w:val="000000"/>
                <w:szCs w:val="20"/>
              </w:rPr>
              <w:t>$727,651</w:t>
            </w:r>
          </w:p>
        </w:tc>
      </w:tr>
    </w:tbl>
    <w:p w:rsidR="00A616A3" w:rsidP="00A616A3" w14:paraId="15D09C28" w14:textId="77777777">
      <w:pPr>
        <w:rPr>
          <w:b/>
          <w:bCs/>
        </w:rPr>
      </w:pPr>
    </w:p>
    <w:p w:rsidR="00A616A3" w:rsidRPr="00875E5E" w:rsidP="00A616A3" w14:paraId="7F035F48" w14:textId="5A0E4D89">
      <w:pPr>
        <w:rPr>
          <w:sz w:val="22"/>
          <w:szCs w:val="28"/>
        </w:rPr>
      </w:pPr>
      <w:r w:rsidRPr="00875E5E">
        <w:rPr>
          <w:i/>
          <w:iCs/>
          <w:sz w:val="22"/>
          <w:szCs w:val="28"/>
        </w:rPr>
        <w:t>T</w:t>
      </w:r>
      <w:r w:rsidRPr="00875E5E">
        <w:rPr>
          <w:i/>
          <w:sz w:val="22"/>
          <w:szCs w:val="28"/>
        </w:rPr>
        <w:t>hird-party Audits</w:t>
      </w:r>
      <w:r>
        <w:rPr>
          <w:i/>
          <w:sz w:val="22"/>
          <w:szCs w:val="28"/>
        </w:rPr>
        <w:t xml:space="preserve"> - </w:t>
      </w:r>
      <w:r w:rsidRPr="00875E5E">
        <w:rPr>
          <w:sz w:val="22"/>
          <w:szCs w:val="28"/>
        </w:rPr>
        <w:t>The analysis projects that the annual number and distribution of accidents among types of facilities will remain the same and that in any one year, the number of facilities conducting a third-party audit will be equal to the number of active facilities with two or more accidents, or one accident at a facility with a NAICS 324 or 325 Program 3 process within 1 mile of another facility with a 324 or 325 process within a five-year period.</w:t>
      </w:r>
      <w:r>
        <w:rPr>
          <w:sz w:val="22"/>
          <w:szCs w:val="28"/>
          <w:vertAlign w:val="superscript"/>
        </w:rPr>
        <w:footnoteReference w:id="11"/>
      </w:r>
      <w:r w:rsidRPr="00875E5E">
        <w:rPr>
          <w:sz w:val="22"/>
          <w:szCs w:val="28"/>
        </w:rPr>
        <w:t xml:space="preserve"> That is, although the approximately </w:t>
      </w:r>
      <w:r w:rsidRPr="00632D6B">
        <w:rPr>
          <w:sz w:val="22"/>
          <w:szCs w:val="28"/>
        </w:rPr>
        <w:t>94 third-party audits</w:t>
      </w:r>
      <w:r w:rsidRPr="00875E5E">
        <w:rPr>
          <w:sz w:val="22"/>
          <w:szCs w:val="28"/>
        </w:rPr>
        <w:t xml:space="preserve"> for the Program 2 and </w:t>
      </w:r>
      <w:r w:rsidRPr="00875E5E">
        <w:rPr>
          <w:color w:val="000000"/>
          <w:sz w:val="22"/>
          <w:szCs w:val="28"/>
        </w:rPr>
        <w:t xml:space="preserve">Program </w:t>
      </w:r>
      <w:r w:rsidRPr="00875E5E">
        <w:rPr>
          <w:sz w:val="22"/>
          <w:szCs w:val="28"/>
        </w:rPr>
        <w:t xml:space="preserve">3 facilities that had two or more reportable accidents (and facilities with a Program 3 NAICS 324 or 325 process that had one reportable accident) from 2016 to 2020 may occur up to three years after the five-year period of releases, depending on when the previous audit occurred, the analysis projects over time that </w:t>
      </w:r>
      <w:r w:rsidRPr="00632D6B">
        <w:rPr>
          <w:sz w:val="22"/>
          <w:szCs w:val="28"/>
        </w:rPr>
        <w:t>94 facilities</w:t>
      </w:r>
      <w:r w:rsidRPr="00875E5E">
        <w:rPr>
          <w:sz w:val="22"/>
          <w:szCs w:val="28"/>
        </w:rPr>
        <w:t xml:space="preserve"> would conduct such an audit each year.</w:t>
      </w:r>
      <w:r>
        <w:rPr>
          <w:sz w:val="22"/>
          <w:szCs w:val="28"/>
          <w:vertAlign w:val="superscript"/>
        </w:rPr>
        <w:footnoteReference w:id="12"/>
      </w:r>
      <w:r w:rsidRPr="00875E5E">
        <w:rPr>
          <w:sz w:val="22"/>
          <w:szCs w:val="28"/>
          <w:vertAlign w:val="superscript"/>
        </w:rPr>
        <w:t xml:space="preserve"> </w:t>
      </w:r>
      <w:r w:rsidRPr="00875E5E">
        <w:rPr>
          <w:sz w:val="22"/>
          <w:szCs w:val="28"/>
        </w:rPr>
        <w:t xml:space="preserve">The breakout for costs is shown in Exhibit </w:t>
      </w:r>
      <w:r>
        <w:rPr>
          <w:sz w:val="22"/>
          <w:szCs w:val="28"/>
        </w:rPr>
        <w:t>1</w:t>
      </w:r>
      <w:r w:rsidR="00883EAC">
        <w:rPr>
          <w:sz w:val="22"/>
          <w:szCs w:val="28"/>
        </w:rPr>
        <w:t>6</w:t>
      </w:r>
      <w:r>
        <w:rPr>
          <w:sz w:val="22"/>
          <w:szCs w:val="28"/>
        </w:rPr>
        <w:t>.</w:t>
      </w:r>
      <w:r w:rsidRPr="00875E5E">
        <w:rPr>
          <w:sz w:val="22"/>
          <w:szCs w:val="28"/>
        </w:rPr>
        <w:br/>
      </w:r>
    </w:p>
    <w:p w:rsidR="00A616A3" w:rsidRPr="0074445B" w:rsidP="00A616A3" w14:paraId="3F6B3934" w14:textId="5D539A34">
      <w:pPr>
        <w:jc w:val="center"/>
        <w:rPr>
          <w:b/>
          <w:sz w:val="22"/>
          <w:szCs w:val="28"/>
        </w:rPr>
      </w:pPr>
      <w:r w:rsidRPr="0074445B">
        <w:rPr>
          <w:b/>
          <w:bCs/>
          <w:sz w:val="22"/>
          <w:szCs w:val="28"/>
        </w:rPr>
        <w:t xml:space="preserve">Exhibit </w:t>
      </w:r>
      <w:r w:rsidRPr="0074445B">
        <w:rPr>
          <w:b/>
          <w:sz w:val="22"/>
          <w:szCs w:val="28"/>
        </w:rPr>
        <w:t>1</w:t>
      </w:r>
      <w:r w:rsidR="00CF3F54">
        <w:rPr>
          <w:b/>
          <w:sz w:val="22"/>
          <w:szCs w:val="28"/>
        </w:rPr>
        <w:t>6</w:t>
      </w:r>
      <w:r w:rsidRPr="0074445B">
        <w:rPr>
          <w:b/>
          <w:sz w:val="22"/>
          <w:szCs w:val="28"/>
        </w:rPr>
        <w:t xml:space="preserve">: </w:t>
      </w:r>
      <w:r w:rsidRPr="00680250" w:rsidR="00DF40D6">
        <w:rPr>
          <w:b/>
          <w:bCs/>
          <w:sz w:val="22"/>
          <w:szCs w:val="22"/>
        </w:rPr>
        <w:t xml:space="preserve"> Estimated Annualized Labor Costs for</w:t>
      </w:r>
      <w:r w:rsidRPr="0074445B">
        <w:rPr>
          <w:b/>
          <w:sz w:val="22"/>
          <w:szCs w:val="28"/>
        </w:rPr>
        <w:t xml:space="preserve"> Third-party Audits (202</w:t>
      </w:r>
      <w:r>
        <w:rPr>
          <w:b/>
          <w:sz w:val="22"/>
          <w:szCs w:val="28"/>
        </w:rPr>
        <w:t>2</w:t>
      </w:r>
      <w:r w:rsidRPr="0074445B">
        <w:rPr>
          <w:b/>
          <w:sz w:val="22"/>
          <w:szCs w:val="28"/>
        </w:rPr>
        <w:t xml:space="preserve"> dollars)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
      <w:tblGrid>
        <w:gridCol w:w="2152"/>
        <w:gridCol w:w="1259"/>
        <w:gridCol w:w="3412"/>
        <w:gridCol w:w="2519"/>
      </w:tblGrid>
      <w:tr w14:paraId="37395C63" w14:textId="77777777" w:rsidTr="008B4C48">
        <w:tblPrEx>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Ex>
        <w:trPr>
          <w:trHeight w:val="20"/>
          <w:tblHeader/>
          <w:jc w:val="center"/>
        </w:trPr>
        <w:tc>
          <w:tcPr>
            <w:tcW w:w="1152" w:type="pct"/>
            <w:tcBorders>
              <w:left w:val="single" w:sz="6" w:space="0" w:color="000000"/>
              <w:bottom w:val="single" w:sz="8" w:space="0" w:color="000000"/>
              <w:right w:val="single" w:sz="6" w:space="0" w:color="000000"/>
            </w:tcBorders>
            <w:shd w:val="clear" w:color="auto" w:fill="DADADA"/>
            <w:vAlign w:val="center"/>
          </w:tcPr>
          <w:p w:rsidR="00A616A3" w:rsidRPr="00D21E4B" w14:paraId="0F7E5709" w14:textId="77777777">
            <w:pPr>
              <w:ind w:left="121"/>
              <w:rPr>
                <w:b/>
                <w:szCs w:val="20"/>
              </w:rPr>
            </w:pPr>
            <w:r w:rsidRPr="00D21E4B">
              <w:rPr>
                <w:b/>
                <w:szCs w:val="20"/>
              </w:rPr>
              <w:t>Facility Type</w:t>
            </w:r>
          </w:p>
        </w:tc>
        <w:tc>
          <w:tcPr>
            <w:tcW w:w="674" w:type="pct"/>
            <w:tcBorders>
              <w:left w:val="single" w:sz="6" w:space="0" w:color="000000"/>
              <w:bottom w:val="single" w:sz="8" w:space="0" w:color="000000"/>
            </w:tcBorders>
            <w:shd w:val="clear" w:color="auto" w:fill="DADADA"/>
            <w:vAlign w:val="center"/>
          </w:tcPr>
          <w:p w:rsidR="00A616A3" w:rsidRPr="00D21E4B" w14:paraId="5FE62BA2" w14:textId="77777777">
            <w:pPr>
              <w:ind w:left="92" w:right="32"/>
              <w:jc w:val="center"/>
              <w:rPr>
                <w:b/>
                <w:szCs w:val="20"/>
              </w:rPr>
            </w:pPr>
            <w:r w:rsidRPr="00D21E4B">
              <w:rPr>
                <w:b/>
                <w:szCs w:val="20"/>
              </w:rPr>
              <w:t>Unit Cost</w:t>
            </w:r>
          </w:p>
        </w:tc>
        <w:tc>
          <w:tcPr>
            <w:tcW w:w="1826" w:type="pct"/>
            <w:tcBorders>
              <w:bottom w:val="single" w:sz="8" w:space="0" w:color="000000"/>
              <w:right w:val="single" w:sz="6" w:space="0" w:color="000000"/>
            </w:tcBorders>
            <w:shd w:val="clear" w:color="auto" w:fill="DADADA"/>
            <w:vAlign w:val="center"/>
          </w:tcPr>
          <w:p w:rsidR="00A616A3" w:rsidRPr="00D21E4B" w14:paraId="1C24CD08" w14:textId="208F82DD">
            <w:pPr>
              <w:ind w:left="61" w:right="67"/>
              <w:jc w:val="center"/>
              <w:rPr>
                <w:b/>
                <w:szCs w:val="20"/>
              </w:rPr>
            </w:pPr>
            <w:r w:rsidRPr="00D21E4B">
              <w:rPr>
                <w:b/>
                <w:szCs w:val="20"/>
              </w:rPr>
              <w:t>Avg. Annual Number of Accidents (2016-2020) per year</w:t>
            </w:r>
          </w:p>
        </w:tc>
        <w:tc>
          <w:tcPr>
            <w:tcW w:w="1348" w:type="pct"/>
            <w:tcBorders>
              <w:left w:val="single" w:sz="6" w:space="0" w:color="000000"/>
              <w:bottom w:val="single" w:sz="8" w:space="0" w:color="000000"/>
            </w:tcBorders>
            <w:shd w:val="clear" w:color="auto" w:fill="DADADA"/>
            <w:vAlign w:val="center"/>
          </w:tcPr>
          <w:p w:rsidR="00A616A3" w:rsidRPr="00D21E4B" w14:paraId="4ADA63F4" w14:textId="6B4F9454">
            <w:pPr>
              <w:ind w:left="81" w:right="51"/>
              <w:jc w:val="center"/>
              <w:rPr>
                <w:b/>
                <w:szCs w:val="20"/>
              </w:rPr>
            </w:pPr>
            <w:r w:rsidRPr="00D21E4B">
              <w:rPr>
                <w:b/>
                <w:szCs w:val="20"/>
              </w:rPr>
              <w:t xml:space="preserve">Total </w:t>
            </w:r>
            <w:r w:rsidR="002D48FE">
              <w:rPr>
                <w:b/>
                <w:szCs w:val="20"/>
              </w:rPr>
              <w:t>Annualized</w:t>
            </w:r>
            <w:r w:rsidRPr="00D21E4B">
              <w:rPr>
                <w:b/>
                <w:szCs w:val="20"/>
              </w:rPr>
              <w:t xml:space="preserve"> Cost</w:t>
            </w:r>
          </w:p>
        </w:tc>
      </w:tr>
      <w:tr w14:paraId="270852B4" w14:textId="77777777" w:rsidTr="008B4C48">
        <w:tblPrEx>
          <w:tblW w:w="5000" w:type="pct"/>
          <w:jc w:val="center"/>
          <w:tblCellMar>
            <w:left w:w="0" w:type="dxa"/>
            <w:right w:w="0" w:type="dxa"/>
          </w:tblCellMar>
          <w:tblLook w:val="01E0"/>
        </w:tblPrEx>
        <w:trPr>
          <w:trHeight w:val="20"/>
          <w:jc w:val="center"/>
        </w:trPr>
        <w:tc>
          <w:tcPr>
            <w:tcW w:w="1152" w:type="pct"/>
            <w:tcBorders>
              <w:left w:val="single" w:sz="6" w:space="0" w:color="000000"/>
              <w:bottom w:val="single" w:sz="6" w:space="0" w:color="000000"/>
              <w:right w:val="single" w:sz="6" w:space="0" w:color="000000"/>
            </w:tcBorders>
            <w:vAlign w:val="center"/>
          </w:tcPr>
          <w:p w:rsidR="00A616A3" w:rsidRPr="00D21E4B" w14:paraId="2E9A0627" w14:textId="77777777">
            <w:pPr>
              <w:ind w:left="127"/>
              <w:rPr>
                <w:szCs w:val="20"/>
              </w:rPr>
            </w:pPr>
            <w:r w:rsidRPr="00D21E4B">
              <w:rPr>
                <w:szCs w:val="20"/>
              </w:rPr>
              <w:t>Simple w/ 0-19 FTEs</w:t>
            </w:r>
          </w:p>
        </w:tc>
        <w:tc>
          <w:tcPr>
            <w:tcW w:w="674" w:type="pct"/>
            <w:tcBorders>
              <w:left w:val="single" w:sz="6" w:space="0" w:color="000000"/>
              <w:bottom w:val="single" w:sz="6" w:space="0" w:color="000000"/>
            </w:tcBorders>
            <w:vAlign w:val="center"/>
          </w:tcPr>
          <w:p w:rsidR="00A616A3" w:rsidRPr="00D21E4B" w14:paraId="7A8FED36" w14:textId="77777777">
            <w:pPr>
              <w:ind w:left="92" w:right="73"/>
              <w:jc w:val="right"/>
              <w:rPr>
                <w:szCs w:val="20"/>
              </w:rPr>
            </w:pPr>
            <w:r w:rsidRPr="00D21E4B">
              <w:rPr>
                <w:color w:val="000000"/>
                <w:szCs w:val="20"/>
              </w:rPr>
              <w:t>$</w:t>
            </w:r>
            <w:r>
              <w:rPr>
                <w:color w:val="000000"/>
                <w:szCs w:val="20"/>
              </w:rPr>
              <w:t>8,291</w:t>
            </w:r>
          </w:p>
        </w:tc>
        <w:tc>
          <w:tcPr>
            <w:tcW w:w="1826" w:type="pct"/>
            <w:tcBorders>
              <w:bottom w:val="single" w:sz="6" w:space="0" w:color="000000"/>
              <w:right w:val="single" w:sz="6" w:space="0" w:color="000000"/>
            </w:tcBorders>
            <w:vAlign w:val="center"/>
          </w:tcPr>
          <w:p w:rsidR="00A616A3" w:rsidRPr="00632D6B" w14:paraId="7E8C2C05" w14:textId="77777777">
            <w:pPr>
              <w:ind w:left="77" w:right="73"/>
              <w:jc w:val="right"/>
              <w:rPr>
                <w:szCs w:val="20"/>
              </w:rPr>
            </w:pPr>
            <w:r w:rsidRPr="00632D6B">
              <w:rPr>
                <w:szCs w:val="20"/>
              </w:rPr>
              <w:t>15.4</w:t>
            </w:r>
          </w:p>
        </w:tc>
        <w:tc>
          <w:tcPr>
            <w:tcW w:w="1348" w:type="pct"/>
            <w:tcBorders>
              <w:left w:val="single" w:sz="6" w:space="0" w:color="000000"/>
              <w:bottom w:val="single" w:sz="6" w:space="0" w:color="000000"/>
            </w:tcBorders>
            <w:vAlign w:val="center"/>
          </w:tcPr>
          <w:p w:rsidR="00A616A3" w:rsidRPr="00D21E4B" w14:paraId="6281C250" w14:textId="6FCF4674">
            <w:pPr>
              <w:ind w:left="83" w:right="73"/>
              <w:jc w:val="right"/>
              <w:rPr>
                <w:szCs w:val="20"/>
              </w:rPr>
            </w:pPr>
            <w:r w:rsidRPr="008E67F2">
              <w:rPr>
                <w:color w:val="000000"/>
                <w:szCs w:val="20"/>
              </w:rPr>
              <w:t>$127,681</w:t>
            </w:r>
          </w:p>
        </w:tc>
      </w:tr>
      <w:tr w14:paraId="6353A282" w14:textId="77777777" w:rsidTr="008B4C48">
        <w:tblPrEx>
          <w:tblW w:w="5000" w:type="pct"/>
          <w:jc w:val="center"/>
          <w:tblCellMar>
            <w:left w:w="0" w:type="dxa"/>
            <w:right w:w="0" w:type="dxa"/>
          </w:tblCellMar>
          <w:tblLook w:val="01E0"/>
        </w:tblPrEx>
        <w:trPr>
          <w:trHeight w:val="20"/>
          <w:jc w:val="center"/>
        </w:trPr>
        <w:tc>
          <w:tcPr>
            <w:tcW w:w="1152" w:type="pct"/>
            <w:tcBorders>
              <w:top w:val="single" w:sz="6" w:space="0" w:color="000000"/>
              <w:left w:val="single" w:sz="6" w:space="0" w:color="000000"/>
              <w:bottom w:val="single" w:sz="6" w:space="0" w:color="000000"/>
              <w:right w:val="single" w:sz="6" w:space="0" w:color="000000"/>
            </w:tcBorders>
            <w:vAlign w:val="center"/>
          </w:tcPr>
          <w:p w:rsidR="00A616A3" w:rsidRPr="00D21E4B" w14:paraId="05597C7D" w14:textId="77777777">
            <w:pPr>
              <w:ind w:left="127"/>
              <w:rPr>
                <w:szCs w:val="20"/>
              </w:rPr>
            </w:pPr>
            <w:r w:rsidRPr="00D21E4B">
              <w:rPr>
                <w:szCs w:val="20"/>
              </w:rPr>
              <w:t>Simple w/ 20-99 FTEs</w:t>
            </w:r>
          </w:p>
        </w:tc>
        <w:tc>
          <w:tcPr>
            <w:tcW w:w="674" w:type="pct"/>
            <w:tcBorders>
              <w:top w:val="single" w:sz="6" w:space="0" w:color="000000"/>
              <w:left w:val="single" w:sz="6" w:space="0" w:color="000000"/>
              <w:bottom w:val="single" w:sz="6" w:space="0" w:color="000000"/>
            </w:tcBorders>
            <w:vAlign w:val="center"/>
          </w:tcPr>
          <w:p w:rsidR="00A616A3" w:rsidRPr="00D21E4B" w14:paraId="6A17CCFA" w14:textId="77777777">
            <w:pPr>
              <w:ind w:left="92" w:right="73"/>
              <w:jc w:val="right"/>
              <w:rPr>
                <w:szCs w:val="20"/>
              </w:rPr>
            </w:pPr>
            <w:r w:rsidRPr="00D21E4B">
              <w:rPr>
                <w:color w:val="000000"/>
                <w:szCs w:val="20"/>
              </w:rPr>
              <w:t>$</w:t>
            </w:r>
            <w:r>
              <w:rPr>
                <w:color w:val="000000"/>
                <w:szCs w:val="20"/>
              </w:rPr>
              <w:t>13,624</w:t>
            </w:r>
          </w:p>
        </w:tc>
        <w:tc>
          <w:tcPr>
            <w:tcW w:w="1826" w:type="pct"/>
            <w:tcBorders>
              <w:top w:val="single" w:sz="6" w:space="0" w:color="000000"/>
              <w:bottom w:val="single" w:sz="6" w:space="0" w:color="000000"/>
              <w:right w:val="single" w:sz="6" w:space="0" w:color="000000"/>
            </w:tcBorders>
            <w:vAlign w:val="center"/>
          </w:tcPr>
          <w:p w:rsidR="00A616A3" w:rsidRPr="00632D6B" w14:paraId="2E1F7D25" w14:textId="77777777">
            <w:pPr>
              <w:ind w:left="77" w:right="73"/>
              <w:jc w:val="right"/>
              <w:rPr>
                <w:szCs w:val="20"/>
              </w:rPr>
            </w:pPr>
            <w:r w:rsidRPr="00632D6B">
              <w:rPr>
                <w:szCs w:val="20"/>
              </w:rPr>
              <w:t>8</w:t>
            </w:r>
          </w:p>
        </w:tc>
        <w:tc>
          <w:tcPr>
            <w:tcW w:w="1348" w:type="pct"/>
            <w:tcBorders>
              <w:top w:val="single" w:sz="6" w:space="0" w:color="000000"/>
              <w:left w:val="single" w:sz="6" w:space="0" w:color="000000"/>
              <w:bottom w:val="single" w:sz="6" w:space="0" w:color="000000"/>
            </w:tcBorders>
            <w:vAlign w:val="center"/>
          </w:tcPr>
          <w:p w:rsidR="00A616A3" w:rsidRPr="00D21E4B" w14:paraId="0910C49E" w14:textId="58EE937A">
            <w:pPr>
              <w:ind w:left="83" w:right="73"/>
              <w:jc w:val="right"/>
              <w:rPr>
                <w:szCs w:val="20"/>
              </w:rPr>
            </w:pPr>
            <w:r w:rsidRPr="008E67F2">
              <w:rPr>
                <w:color w:val="000000"/>
                <w:szCs w:val="20"/>
              </w:rPr>
              <w:t>$108,988</w:t>
            </w:r>
          </w:p>
        </w:tc>
      </w:tr>
      <w:tr w14:paraId="21132E3C" w14:textId="77777777" w:rsidTr="00807413">
        <w:tblPrEx>
          <w:tblW w:w="5000" w:type="pct"/>
          <w:jc w:val="center"/>
          <w:tblCellMar>
            <w:left w:w="0" w:type="dxa"/>
            <w:right w:w="0" w:type="dxa"/>
          </w:tblCellMar>
          <w:tblLook w:val="01E0"/>
        </w:tblPrEx>
        <w:trPr>
          <w:trHeight w:val="20"/>
          <w:jc w:val="center"/>
        </w:trPr>
        <w:tc>
          <w:tcPr>
            <w:tcW w:w="1152" w:type="pct"/>
            <w:tcBorders>
              <w:top w:val="single" w:sz="6" w:space="0" w:color="000000"/>
              <w:left w:val="single" w:sz="6" w:space="0" w:color="000000"/>
              <w:bottom w:val="single" w:sz="6" w:space="0" w:color="000000"/>
              <w:right w:val="single" w:sz="6" w:space="0" w:color="000000"/>
            </w:tcBorders>
            <w:vAlign w:val="center"/>
          </w:tcPr>
          <w:p w:rsidR="00A616A3" w:rsidRPr="00D21E4B" w14:paraId="1A8E4F83" w14:textId="77777777">
            <w:pPr>
              <w:ind w:left="127"/>
              <w:rPr>
                <w:szCs w:val="20"/>
              </w:rPr>
            </w:pPr>
            <w:r w:rsidRPr="00D21E4B">
              <w:rPr>
                <w:szCs w:val="20"/>
              </w:rPr>
              <w:t>Simple w/ 100+ FTEs</w:t>
            </w:r>
          </w:p>
        </w:tc>
        <w:tc>
          <w:tcPr>
            <w:tcW w:w="674" w:type="pct"/>
            <w:tcBorders>
              <w:top w:val="single" w:sz="6" w:space="0" w:color="000000"/>
              <w:left w:val="single" w:sz="6" w:space="0" w:color="000000"/>
              <w:bottom w:val="single" w:sz="6" w:space="0" w:color="000000"/>
            </w:tcBorders>
            <w:vAlign w:val="center"/>
          </w:tcPr>
          <w:p w:rsidR="00A616A3" w:rsidRPr="00D21E4B" w14:paraId="1FFF28E2" w14:textId="77777777">
            <w:pPr>
              <w:ind w:left="92" w:right="73"/>
              <w:jc w:val="right"/>
              <w:rPr>
                <w:szCs w:val="20"/>
              </w:rPr>
            </w:pPr>
            <w:r w:rsidRPr="00D21E4B">
              <w:rPr>
                <w:color w:val="000000"/>
                <w:szCs w:val="20"/>
              </w:rPr>
              <w:t>$</w:t>
            </w:r>
            <w:r>
              <w:rPr>
                <w:color w:val="000000"/>
                <w:szCs w:val="20"/>
              </w:rPr>
              <w:t>16,173</w:t>
            </w:r>
          </w:p>
        </w:tc>
        <w:tc>
          <w:tcPr>
            <w:tcW w:w="1826" w:type="pct"/>
            <w:tcBorders>
              <w:top w:val="single" w:sz="6" w:space="0" w:color="000000"/>
              <w:bottom w:val="single" w:sz="6" w:space="0" w:color="000000"/>
              <w:right w:val="single" w:sz="6" w:space="0" w:color="000000"/>
            </w:tcBorders>
            <w:vAlign w:val="center"/>
          </w:tcPr>
          <w:p w:rsidR="00A616A3" w:rsidRPr="00632D6B" w14:paraId="1AD016BC" w14:textId="77777777">
            <w:pPr>
              <w:ind w:left="77" w:right="73"/>
              <w:jc w:val="right"/>
              <w:rPr>
                <w:szCs w:val="20"/>
              </w:rPr>
            </w:pPr>
            <w:r w:rsidRPr="00632D6B">
              <w:rPr>
                <w:szCs w:val="20"/>
              </w:rPr>
              <w:t>26</w:t>
            </w:r>
          </w:p>
        </w:tc>
        <w:tc>
          <w:tcPr>
            <w:tcW w:w="1348" w:type="pct"/>
            <w:tcBorders>
              <w:top w:val="single" w:sz="6" w:space="0" w:color="000000"/>
              <w:left w:val="single" w:sz="6" w:space="0" w:color="000000"/>
              <w:bottom w:val="single" w:sz="6" w:space="0" w:color="000000"/>
            </w:tcBorders>
            <w:vAlign w:val="center"/>
          </w:tcPr>
          <w:p w:rsidR="00A616A3" w:rsidRPr="00D21E4B" w14:paraId="3C04D95A" w14:textId="3C714C94">
            <w:pPr>
              <w:ind w:left="83" w:right="73"/>
              <w:jc w:val="right"/>
              <w:rPr>
                <w:szCs w:val="20"/>
              </w:rPr>
            </w:pPr>
            <w:r w:rsidRPr="008E67F2">
              <w:rPr>
                <w:color w:val="000000"/>
                <w:szCs w:val="20"/>
              </w:rPr>
              <w:t>$420,494</w:t>
            </w:r>
          </w:p>
        </w:tc>
      </w:tr>
      <w:tr w14:paraId="1675EE64" w14:textId="77777777" w:rsidTr="00807413">
        <w:tblPrEx>
          <w:tblW w:w="5000" w:type="pct"/>
          <w:jc w:val="center"/>
          <w:tblCellMar>
            <w:left w:w="0" w:type="dxa"/>
            <w:right w:w="0" w:type="dxa"/>
          </w:tblCellMar>
          <w:tblLook w:val="01E0"/>
        </w:tblPrEx>
        <w:trPr>
          <w:trHeight w:val="20"/>
          <w:jc w:val="center"/>
        </w:trPr>
        <w:tc>
          <w:tcPr>
            <w:tcW w:w="1152" w:type="pct"/>
            <w:tcBorders>
              <w:top w:val="single" w:sz="6" w:space="0" w:color="000000"/>
              <w:left w:val="single" w:sz="6" w:space="0" w:color="000000"/>
              <w:bottom w:val="single" w:sz="6" w:space="0" w:color="000000"/>
              <w:right w:val="single" w:sz="6" w:space="0" w:color="000000"/>
            </w:tcBorders>
            <w:vAlign w:val="center"/>
          </w:tcPr>
          <w:p w:rsidR="00A616A3" w:rsidRPr="00D21E4B" w14:paraId="77E173C8" w14:textId="77777777">
            <w:pPr>
              <w:ind w:left="127"/>
              <w:rPr>
                <w:szCs w:val="20"/>
              </w:rPr>
            </w:pPr>
            <w:r w:rsidRPr="00D21E4B">
              <w:rPr>
                <w:szCs w:val="20"/>
              </w:rPr>
              <w:t>Complex w/ 0-19 FTEs</w:t>
            </w:r>
          </w:p>
        </w:tc>
        <w:tc>
          <w:tcPr>
            <w:tcW w:w="674" w:type="pct"/>
            <w:tcBorders>
              <w:top w:val="single" w:sz="6" w:space="0" w:color="000000"/>
              <w:left w:val="single" w:sz="6" w:space="0" w:color="000000"/>
              <w:bottom w:val="single" w:sz="6" w:space="0" w:color="000000"/>
            </w:tcBorders>
            <w:vAlign w:val="center"/>
          </w:tcPr>
          <w:p w:rsidR="00A616A3" w:rsidRPr="00D21E4B" w14:paraId="3A3664A7" w14:textId="77777777">
            <w:pPr>
              <w:ind w:left="92" w:right="73"/>
              <w:jc w:val="right"/>
              <w:rPr>
                <w:szCs w:val="20"/>
              </w:rPr>
            </w:pPr>
            <w:r w:rsidRPr="00D21E4B">
              <w:rPr>
                <w:color w:val="000000"/>
                <w:szCs w:val="20"/>
              </w:rPr>
              <w:t>$</w:t>
            </w:r>
            <w:r>
              <w:rPr>
                <w:color w:val="000000"/>
                <w:szCs w:val="20"/>
              </w:rPr>
              <w:t>10,448</w:t>
            </w:r>
          </w:p>
        </w:tc>
        <w:tc>
          <w:tcPr>
            <w:tcW w:w="1826" w:type="pct"/>
            <w:tcBorders>
              <w:top w:val="single" w:sz="6" w:space="0" w:color="000000"/>
              <w:bottom w:val="single" w:sz="6" w:space="0" w:color="000000"/>
              <w:right w:val="single" w:sz="6" w:space="0" w:color="000000"/>
            </w:tcBorders>
            <w:vAlign w:val="center"/>
          </w:tcPr>
          <w:p w:rsidR="00A616A3" w:rsidRPr="00632D6B" w14:paraId="53C021B3" w14:textId="77777777">
            <w:pPr>
              <w:ind w:right="73"/>
              <w:jc w:val="right"/>
              <w:rPr>
                <w:szCs w:val="20"/>
              </w:rPr>
            </w:pPr>
            <w:r w:rsidRPr="00632D6B">
              <w:rPr>
                <w:szCs w:val="20"/>
              </w:rPr>
              <w:t>1.6</w:t>
            </w:r>
          </w:p>
        </w:tc>
        <w:tc>
          <w:tcPr>
            <w:tcW w:w="1348" w:type="pct"/>
            <w:tcBorders>
              <w:top w:val="single" w:sz="6" w:space="0" w:color="000000"/>
              <w:left w:val="single" w:sz="6" w:space="0" w:color="000000"/>
              <w:bottom w:val="single" w:sz="6" w:space="0" w:color="000000"/>
            </w:tcBorders>
            <w:vAlign w:val="center"/>
          </w:tcPr>
          <w:p w:rsidR="00A616A3" w:rsidRPr="00D21E4B" w14:paraId="0CD9B15D" w14:textId="6BFE7E5D">
            <w:pPr>
              <w:ind w:left="83" w:right="73"/>
              <w:jc w:val="right"/>
              <w:rPr>
                <w:szCs w:val="20"/>
              </w:rPr>
            </w:pPr>
            <w:r w:rsidRPr="008E67F2">
              <w:rPr>
                <w:color w:val="000000"/>
                <w:szCs w:val="20"/>
              </w:rPr>
              <w:t>$16,71</w:t>
            </w:r>
            <w:r w:rsidR="006C73E4">
              <w:rPr>
                <w:color w:val="000000"/>
                <w:szCs w:val="20"/>
              </w:rPr>
              <w:t>7</w:t>
            </w:r>
          </w:p>
        </w:tc>
      </w:tr>
      <w:tr w14:paraId="62562AED" w14:textId="77777777" w:rsidTr="00807413">
        <w:tblPrEx>
          <w:tblW w:w="5000" w:type="pct"/>
          <w:jc w:val="center"/>
          <w:tblCellMar>
            <w:left w:w="0" w:type="dxa"/>
            <w:right w:w="0" w:type="dxa"/>
          </w:tblCellMar>
          <w:tblLook w:val="01E0"/>
        </w:tblPrEx>
        <w:trPr>
          <w:trHeight w:val="20"/>
          <w:jc w:val="center"/>
        </w:trPr>
        <w:tc>
          <w:tcPr>
            <w:tcW w:w="1152" w:type="pct"/>
            <w:tcBorders>
              <w:top w:val="single" w:sz="6" w:space="0" w:color="000000"/>
              <w:left w:val="single" w:sz="6" w:space="0" w:color="000000"/>
              <w:bottom w:val="single" w:sz="6" w:space="0" w:color="000000"/>
              <w:right w:val="single" w:sz="6" w:space="0" w:color="000000"/>
            </w:tcBorders>
            <w:vAlign w:val="center"/>
          </w:tcPr>
          <w:p w:rsidR="00A616A3" w:rsidRPr="00D21E4B" w14:paraId="45472F3F" w14:textId="77777777">
            <w:pPr>
              <w:ind w:left="127"/>
              <w:rPr>
                <w:szCs w:val="20"/>
              </w:rPr>
            </w:pPr>
            <w:r w:rsidRPr="00D21E4B">
              <w:rPr>
                <w:szCs w:val="20"/>
              </w:rPr>
              <w:t>Complex w/ 20-99 FTEs</w:t>
            </w:r>
          </w:p>
        </w:tc>
        <w:tc>
          <w:tcPr>
            <w:tcW w:w="674" w:type="pct"/>
            <w:tcBorders>
              <w:top w:val="single" w:sz="6" w:space="0" w:color="000000"/>
              <w:left w:val="single" w:sz="6" w:space="0" w:color="000000"/>
              <w:bottom w:val="single" w:sz="6" w:space="0" w:color="000000"/>
            </w:tcBorders>
            <w:vAlign w:val="center"/>
          </w:tcPr>
          <w:p w:rsidR="00A616A3" w:rsidRPr="00D21E4B" w14:paraId="42F46FD7" w14:textId="77777777">
            <w:pPr>
              <w:ind w:left="92" w:right="73"/>
              <w:jc w:val="right"/>
              <w:rPr>
                <w:szCs w:val="20"/>
              </w:rPr>
            </w:pPr>
            <w:r w:rsidRPr="00D21E4B">
              <w:rPr>
                <w:color w:val="000000"/>
                <w:szCs w:val="20"/>
              </w:rPr>
              <w:t>$</w:t>
            </w:r>
            <w:r>
              <w:rPr>
                <w:color w:val="000000"/>
                <w:szCs w:val="20"/>
              </w:rPr>
              <w:t>17,316.8</w:t>
            </w:r>
          </w:p>
        </w:tc>
        <w:tc>
          <w:tcPr>
            <w:tcW w:w="1826" w:type="pct"/>
            <w:tcBorders>
              <w:top w:val="single" w:sz="6" w:space="0" w:color="000000"/>
              <w:bottom w:val="single" w:sz="6" w:space="0" w:color="000000"/>
              <w:right w:val="single" w:sz="6" w:space="0" w:color="000000"/>
            </w:tcBorders>
            <w:vAlign w:val="center"/>
          </w:tcPr>
          <w:p w:rsidR="00A616A3" w:rsidRPr="00632D6B" w14:paraId="3673622C" w14:textId="77777777">
            <w:pPr>
              <w:ind w:left="77" w:right="73"/>
              <w:jc w:val="right"/>
              <w:rPr>
                <w:szCs w:val="20"/>
              </w:rPr>
            </w:pPr>
            <w:r w:rsidRPr="00632D6B">
              <w:rPr>
                <w:szCs w:val="20"/>
              </w:rPr>
              <w:t>7.6</w:t>
            </w:r>
          </w:p>
        </w:tc>
        <w:tc>
          <w:tcPr>
            <w:tcW w:w="1348" w:type="pct"/>
            <w:tcBorders>
              <w:top w:val="single" w:sz="6" w:space="0" w:color="000000"/>
              <w:left w:val="single" w:sz="6" w:space="0" w:color="000000"/>
              <w:bottom w:val="single" w:sz="6" w:space="0" w:color="000000"/>
            </w:tcBorders>
            <w:vAlign w:val="center"/>
          </w:tcPr>
          <w:p w:rsidR="00A616A3" w:rsidRPr="00D21E4B" w14:paraId="038A0E60" w14:textId="2C49931B">
            <w:pPr>
              <w:ind w:left="83" w:right="73"/>
              <w:jc w:val="right"/>
              <w:rPr>
                <w:szCs w:val="20"/>
              </w:rPr>
            </w:pPr>
            <w:r w:rsidRPr="008E67F2">
              <w:rPr>
                <w:color w:val="000000"/>
                <w:szCs w:val="20"/>
              </w:rPr>
              <w:t>$131,60</w:t>
            </w:r>
            <w:r w:rsidR="006C73E4">
              <w:rPr>
                <w:color w:val="000000"/>
                <w:szCs w:val="20"/>
              </w:rPr>
              <w:t>8</w:t>
            </w:r>
          </w:p>
        </w:tc>
      </w:tr>
      <w:tr w14:paraId="6A7E3A19" w14:textId="77777777" w:rsidTr="00807413">
        <w:tblPrEx>
          <w:tblW w:w="5000" w:type="pct"/>
          <w:jc w:val="center"/>
          <w:tblCellMar>
            <w:left w:w="0" w:type="dxa"/>
            <w:right w:w="0" w:type="dxa"/>
          </w:tblCellMar>
          <w:tblLook w:val="01E0"/>
        </w:tblPrEx>
        <w:trPr>
          <w:trHeight w:val="20"/>
          <w:jc w:val="center"/>
        </w:trPr>
        <w:tc>
          <w:tcPr>
            <w:tcW w:w="1152" w:type="pct"/>
            <w:tcBorders>
              <w:top w:val="single" w:sz="6" w:space="0" w:color="000000"/>
              <w:left w:val="single" w:sz="6" w:space="0" w:color="000000"/>
              <w:bottom w:val="single" w:sz="6" w:space="0" w:color="000000"/>
              <w:right w:val="single" w:sz="6" w:space="0" w:color="000000"/>
            </w:tcBorders>
            <w:vAlign w:val="center"/>
          </w:tcPr>
          <w:p w:rsidR="00A616A3" w:rsidRPr="00D21E4B" w14:paraId="1EB9ACD4" w14:textId="77777777">
            <w:pPr>
              <w:ind w:left="127"/>
              <w:rPr>
                <w:szCs w:val="20"/>
              </w:rPr>
            </w:pPr>
            <w:r w:rsidRPr="00D21E4B">
              <w:rPr>
                <w:szCs w:val="20"/>
              </w:rPr>
              <w:t>Complex w/ 100+ FTEs</w:t>
            </w:r>
          </w:p>
        </w:tc>
        <w:tc>
          <w:tcPr>
            <w:tcW w:w="674" w:type="pct"/>
            <w:tcBorders>
              <w:top w:val="single" w:sz="6" w:space="0" w:color="000000"/>
              <w:left w:val="single" w:sz="6" w:space="0" w:color="000000"/>
              <w:bottom w:val="single" w:sz="6" w:space="0" w:color="000000"/>
            </w:tcBorders>
            <w:vAlign w:val="center"/>
          </w:tcPr>
          <w:p w:rsidR="00A616A3" w:rsidRPr="00D21E4B" w14:paraId="1C067582" w14:textId="77777777">
            <w:pPr>
              <w:ind w:left="92" w:right="73"/>
              <w:jc w:val="right"/>
              <w:rPr>
                <w:szCs w:val="20"/>
              </w:rPr>
            </w:pPr>
            <w:r w:rsidRPr="00D21E4B">
              <w:rPr>
                <w:color w:val="000000"/>
                <w:szCs w:val="20"/>
              </w:rPr>
              <w:t>$</w:t>
            </w:r>
            <w:r>
              <w:rPr>
                <w:color w:val="000000"/>
                <w:szCs w:val="20"/>
              </w:rPr>
              <w:t>20,999</w:t>
            </w:r>
          </w:p>
        </w:tc>
        <w:tc>
          <w:tcPr>
            <w:tcW w:w="1826" w:type="pct"/>
            <w:tcBorders>
              <w:top w:val="single" w:sz="6" w:space="0" w:color="000000"/>
              <w:bottom w:val="single" w:sz="6" w:space="0" w:color="000000"/>
              <w:right w:val="single" w:sz="6" w:space="0" w:color="000000"/>
            </w:tcBorders>
            <w:vAlign w:val="center"/>
          </w:tcPr>
          <w:p w:rsidR="00A616A3" w:rsidRPr="00632D6B" w14:paraId="3ED6BE2A" w14:textId="77777777">
            <w:pPr>
              <w:ind w:left="77" w:right="73"/>
              <w:jc w:val="right"/>
              <w:rPr>
                <w:szCs w:val="20"/>
              </w:rPr>
            </w:pPr>
            <w:r w:rsidRPr="00632D6B">
              <w:rPr>
                <w:szCs w:val="20"/>
              </w:rPr>
              <w:t>32.2</w:t>
            </w:r>
          </w:p>
        </w:tc>
        <w:tc>
          <w:tcPr>
            <w:tcW w:w="1348" w:type="pct"/>
            <w:tcBorders>
              <w:top w:val="single" w:sz="6" w:space="0" w:color="000000"/>
              <w:left w:val="single" w:sz="6" w:space="0" w:color="000000"/>
              <w:bottom w:val="single" w:sz="6" w:space="0" w:color="000000"/>
            </w:tcBorders>
            <w:vAlign w:val="center"/>
          </w:tcPr>
          <w:p w:rsidR="00A616A3" w:rsidRPr="00D21E4B" w14:paraId="4F4A251A" w14:textId="573DD814">
            <w:pPr>
              <w:ind w:left="68" w:right="73"/>
              <w:jc w:val="right"/>
              <w:rPr>
                <w:szCs w:val="20"/>
              </w:rPr>
            </w:pPr>
            <w:r w:rsidRPr="00146232">
              <w:rPr>
                <w:color w:val="000000"/>
                <w:szCs w:val="20"/>
              </w:rPr>
              <w:t>$676,172</w:t>
            </w:r>
          </w:p>
        </w:tc>
      </w:tr>
      <w:tr w14:paraId="4532CD80" w14:textId="77777777" w:rsidTr="00807413">
        <w:tblPrEx>
          <w:tblW w:w="5000" w:type="pct"/>
          <w:jc w:val="center"/>
          <w:tblCellMar>
            <w:left w:w="0" w:type="dxa"/>
            <w:right w:w="0" w:type="dxa"/>
          </w:tblCellMar>
          <w:tblLook w:val="01E0"/>
        </w:tblPrEx>
        <w:trPr>
          <w:trHeight w:val="20"/>
          <w:jc w:val="center"/>
        </w:trPr>
        <w:tc>
          <w:tcPr>
            <w:tcW w:w="1152" w:type="pct"/>
            <w:tcBorders>
              <w:top w:val="single" w:sz="6" w:space="0" w:color="000000"/>
              <w:left w:val="single" w:sz="6" w:space="0" w:color="000000"/>
              <w:right w:val="single" w:sz="6" w:space="0" w:color="000000"/>
            </w:tcBorders>
            <w:vAlign w:val="center"/>
          </w:tcPr>
          <w:p w:rsidR="00A616A3" w:rsidRPr="00D21E4B" w14:paraId="0787C141" w14:textId="77777777">
            <w:pPr>
              <w:ind w:left="127"/>
              <w:rPr>
                <w:szCs w:val="20"/>
              </w:rPr>
            </w:pPr>
            <w:r w:rsidRPr="00D21E4B">
              <w:rPr>
                <w:szCs w:val="20"/>
              </w:rPr>
              <w:t>Small Government</w:t>
            </w:r>
          </w:p>
        </w:tc>
        <w:tc>
          <w:tcPr>
            <w:tcW w:w="674" w:type="pct"/>
            <w:tcBorders>
              <w:top w:val="single" w:sz="6" w:space="0" w:color="000000"/>
              <w:left w:val="single" w:sz="6" w:space="0" w:color="000000"/>
            </w:tcBorders>
            <w:vAlign w:val="center"/>
          </w:tcPr>
          <w:p w:rsidR="00A616A3" w:rsidRPr="00D21E4B" w14:paraId="68953F96" w14:textId="77777777">
            <w:pPr>
              <w:ind w:left="92" w:right="73"/>
              <w:jc w:val="right"/>
              <w:rPr>
                <w:szCs w:val="20"/>
              </w:rPr>
            </w:pPr>
            <w:r w:rsidRPr="00D21E4B">
              <w:rPr>
                <w:color w:val="000000"/>
                <w:szCs w:val="20"/>
              </w:rPr>
              <w:t>$</w:t>
            </w:r>
            <w:r>
              <w:rPr>
                <w:color w:val="000000"/>
                <w:szCs w:val="20"/>
              </w:rPr>
              <w:t>10,358</w:t>
            </w:r>
          </w:p>
        </w:tc>
        <w:tc>
          <w:tcPr>
            <w:tcW w:w="1826" w:type="pct"/>
            <w:tcBorders>
              <w:top w:val="single" w:sz="6" w:space="0" w:color="000000"/>
              <w:right w:val="single" w:sz="6" w:space="0" w:color="000000"/>
            </w:tcBorders>
            <w:vAlign w:val="center"/>
          </w:tcPr>
          <w:p w:rsidR="00A616A3" w:rsidRPr="00632D6B" w14:paraId="40B54EB6" w14:textId="77777777">
            <w:pPr>
              <w:ind w:right="73"/>
              <w:jc w:val="right"/>
              <w:rPr>
                <w:szCs w:val="20"/>
              </w:rPr>
            </w:pPr>
            <w:r w:rsidRPr="00632D6B">
              <w:rPr>
                <w:szCs w:val="20"/>
              </w:rPr>
              <w:t>3</w:t>
            </w:r>
          </w:p>
        </w:tc>
        <w:tc>
          <w:tcPr>
            <w:tcW w:w="1348" w:type="pct"/>
            <w:tcBorders>
              <w:top w:val="single" w:sz="6" w:space="0" w:color="000000"/>
              <w:left w:val="single" w:sz="6" w:space="0" w:color="000000"/>
            </w:tcBorders>
            <w:vAlign w:val="center"/>
          </w:tcPr>
          <w:p w:rsidR="00A616A3" w:rsidRPr="00D21E4B" w14:paraId="06996134" w14:textId="7313C1C0">
            <w:pPr>
              <w:ind w:left="68" w:right="73"/>
              <w:jc w:val="right"/>
              <w:rPr>
                <w:szCs w:val="20"/>
              </w:rPr>
            </w:pPr>
            <w:r w:rsidRPr="00146232">
              <w:rPr>
                <w:color w:val="000000"/>
                <w:szCs w:val="20"/>
              </w:rPr>
              <w:t>$31,07</w:t>
            </w:r>
            <w:r w:rsidR="006C73E4">
              <w:rPr>
                <w:color w:val="000000"/>
                <w:szCs w:val="20"/>
              </w:rPr>
              <w:t>5</w:t>
            </w:r>
          </w:p>
        </w:tc>
      </w:tr>
      <w:tr w14:paraId="1C042D96" w14:textId="77777777" w:rsidTr="00807413">
        <w:tblPrEx>
          <w:tblW w:w="5000" w:type="pct"/>
          <w:jc w:val="center"/>
          <w:tblCellMar>
            <w:left w:w="0" w:type="dxa"/>
            <w:right w:w="0" w:type="dxa"/>
          </w:tblCellMar>
          <w:tblLook w:val="01E0"/>
        </w:tblPrEx>
        <w:trPr>
          <w:trHeight w:val="20"/>
          <w:jc w:val="center"/>
        </w:trPr>
        <w:tc>
          <w:tcPr>
            <w:tcW w:w="1152" w:type="pct"/>
            <w:tcBorders>
              <w:left w:val="single" w:sz="6" w:space="0" w:color="000000"/>
              <w:right w:val="single" w:sz="6" w:space="0" w:color="000000"/>
            </w:tcBorders>
            <w:vAlign w:val="center"/>
          </w:tcPr>
          <w:p w:rsidR="00A616A3" w:rsidRPr="00D21E4B" w14:paraId="49027786" w14:textId="77777777">
            <w:pPr>
              <w:ind w:left="127"/>
              <w:rPr>
                <w:szCs w:val="20"/>
              </w:rPr>
            </w:pPr>
            <w:r w:rsidRPr="00D21E4B">
              <w:rPr>
                <w:szCs w:val="20"/>
              </w:rPr>
              <w:t>Large Government</w:t>
            </w:r>
          </w:p>
        </w:tc>
        <w:tc>
          <w:tcPr>
            <w:tcW w:w="674" w:type="pct"/>
            <w:tcBorders>
              <w:left w:val="single" w:sz="6" w:space="0" w:color="000000"/>
            </w:tcBorders>
            <w:vAlign w:val="center"/>
          </w:tcPr>
          <w:p w:rsidR="00A616A3" w:rsidRPr="00D21E4B" w14:paraId="472A2581" w14:textId="77777777">
            <w:pPr>
              <w:ind w:left="92" w:right="73"/>
              <w:jc w:val="right"/>
              <w:rPr>
                <w:szCs w:val="20"/>
              </w:rPr>
            </w:pPr>
            <w:r w:rsidRPr="00D21E4B">
              <w:rPr>
                <w:color w:val="000000"/>
                <w:szCs w:val="20"/>
              </w:rPr>
              <w:t>$</w:t>
            </w:r>
            <w:r>
              <w:rPr>
                <w:color w:val="000000"/>
                <w:szCs w:val="20"/>
              </w:rPr>
              <w:t>24,234</w:t>
            </w:r>
          </w:p>
        </w:tc>
        <w:tc>
          <w:tcPr>
            <w:tcW w:w="1826" w:type="pct"/>
            <w:tcBorders>
              <w:right w:val="single" w:sz="6" w:space="0" w:color="000000"/>
            </w:tcBorders>
            <w:vAlign w:val="center"/>
          </w:tcPr>
          <w:p w:rsidR="00A616A3" w:rsidRPr="00632D6B" w14:paraId="36EDAFE3" w14:textId="77777777">
            <w:pPr>
              <w:ind w:right="73"/>
              <w:jc w:val="right"/>
              <w:rPr>
                <w:szCs w:val="20"/>
              </w:rPr>
            </w:pPr>
            <w:r w:rsidRPr="00632D6B">
              <w:rPr>
                <w:szCs w:val="20"/>
              </w:rPr>
              <w:t>0.6</w:t>
            </w:r>
          </w:p>
        </w:tc>
        <w:tc>
          <w:tcPr>
            <w:tcW w:w="1348" w:type="pct"/>
            <w:tcBorders>
              <w:left w:val="single" w:sz="6" w:space="0" w:color="000000"/>
            </w:tcBorders>
            <w:vAlign w:val="center"/>
          </w:tcPr>
          <w:p w:rsidR="00A616A3" w:rsidRPr="00D21E4B" w14:paraId="57817221" w14:textId="7441EADC">
            <w:pPr>
              <w:ind w:left="83" w:right="73"/>
              <w:jc w:val="right"/>
              <w:rPr>
                <w:szCs w:val="20"/>
              </w:rPr>
            </w:pPr>
            <w:r w:rsidRPr="00146232">
              <w:rPr>
                <w:color w:val="000000"/>
                <w:szCs w:val="20"/>
              </w:rPr>
              <w:t>$14,540</w:t>
            </w:r>
          </w:p>
        </w:tc>
      </w:tr>
      <w:tr w14:paraId="5831F8F5" w14:textId="77777777" w:rsidTr="00807413">
        <w:tblPrEx>
          <w:tblW w:w="5000" w:type="pct"/>
          <w:jc w:val="center"/>
          <w:tblCellMar>
            <w:left w:w="0" w:type="dxa"/>
            <w:right w:w="0" w:type="dxa"/>
          </w:tblCellMar>
          <w:tblLook w:val="01E0"/>
        </w:tblPrEx>
        <w:trPr>
          <w:trHeight w:val="20"/>
          <w:jc w:val="center"/>
        </w:trPr>
        <w:tc>
          <w:tcPr>
            <w:tcW w:w="1152" w:type="pct"/>
            <w:tcBorders>
              <w:left w:val="single" w:sz="6" w:space="0" w:color="000000"/>
              <w:right w:val="single" w:sz="6" w:space="0" w:color="000000"/>
            </w:tcBorders>
            <w:vAlign w:val="center"/>
          </w:tcPr>
          <w:p w:rsidR="00A616A3" w:rsidRPr="00D21E4B" w14:paraId="6755A5E9" w14:textId="77777777">
            <w:pPr>
              <w:ind w:left="127"/>
              <w:rPr>
                <w:b/>
                <w:szCs w:val="20"/>
              </w:rPr>
            </w:pPr>
            <w:r w:rsidRPr="00D21E4B">
              <w:rPr>
                <w:b/>
                <w:szCs w:val="20"/>
              </w:rPr>
              <w:t>Total</w:t>
            </w:r>
          </w:p>
        </w:tc>
        <w:tc>
          <w:tcPr>
            <w:tcW w:w="674" w:type="pct"/>
            <w:tcBorders>
              <w:left w:val="single" w:sz="6" w:space="0" w:color="000000"/>
            </w:tcBorders>
            <w:vAlign w:val="center"/>
          </w:tcPr>
          <w:p w:rsidR="00A616A3" w:rsidRPr="00D21E4B" w14:paraId="0F417271" w14:textId="77777777">
            <w:pPr>
              <w:ind w:left="92" w:right="73"/>
              <w:jc w:val="right"/>
              <w:rPr>
                <w:b/>
                <w:szCs w:val="20"/>
              </w:rPr>
            </w:pPr>
          </w:p>
        </w:tc>
        <w:tc>
          <w:tcPr>
            <w:tcW w:w="1826" w:type="pct"/>
            <w:tcBorders>
              <w:right w:val="single" w:sz="6" w:space="0" w:color="000000"/>
            </w:tcBorders>
            <w:vAlign w:val="center"/>
          </w:tcPr>
          <w:p w:rsidR="00A616A3" w:rsidRPr="00632D6B" w14:paraId="5CD0022F" w14:textId="77777777">
            <w:pPr>
              <w:ind w:right="73"/>
              <w:jc w:val="right"/>
              <w:rPr>
                <w:b/>
                <w:szCs w:val="20"/>
              </w:rPr>
            </w:pPr>
            <w:r w:rsidRPr="00632D6B">
              <w:rPr>
                <w:b/>
                <w:szCs w:val="20"/>
              </w:rPr>
              <w:t>94.4</w:t>
            </w:r>
          </w:p>
        </w:tc>
        <w:tc>
          <w:tcPr>
            <w:tcW w:w="1348" w:type="pct"/>
            <w:tcBorders>
              <w:left w:val="single" w:sz="6" w:space="0" w:color="000000"/>
            </w:tcBorders>
            <w:vAlign w:val="center"/>
          </w:tcPr>
          <w:p w:rsidR="00A616A3" w:rsidRPr="00D21E4B" w14:paraId="32F0BA90" w14:textId="173331C2">
            <w:pPr>
              <w:ind w:left="83" w:right="73"/>
              <w:jc w:val="right"/>
              <w:rPr>
                <w:b/>
                <w:szCs w:val="20"/>
              </w:rPr>
            </w:pPr>
            <w:r w:rsidRPr="00146232">
              <w:rPr>
                <w:b/>
                <w:color w:val="000000"/>
                <w:szCs w:val="20"/>
              </w:rPr>
              <w:t>$1,527,275</w:t>
            </w:r>
          </w:p>
        </w:tc>
      </w:tr>
    </w:tbl>
    <w:p w:rsidR="00A616A3" w:rsidP="00A616A3" w14:paraId="1028B642" w14:textId="77777777">
      <w:pPr>
        <w:keepNext/>
        <w:keepLines/>
        <w:rPr>
          <w:b/>
          <w:bCs/>
        </w:rPr>
      </w:pPr>
    </w:p>
    <w:p w:rsidR="00A616A3" w:rsidRPr="00875E5E" w:rsidP="00A616A3" w14:paraId="04E4C0FF" w14:textId="66FA59BE">
      <w:pPr>
        <w:rPr>
          <w:sz w:val="22"/>
          <w:szCs w:val="28"/>
        </w:rPr>
      </w:pPr>
      <w:r w:rsidRPr="00875E5E">
        <w:rPr>
          <w:bCs/>
          <w:i/>
          <w:iCs/>
          <w:sz w:val="22"/>
          <w:szCs w:val="28"/>
        </w:rPr>
        <w:t>Employee Participation Plan</w:t>
      </w:r>
      <w:r>
        <w:rPr>
          <w:bCs/>
          <w:i/>
          <w:iCs/>
          <w:sz w:val="22"/>
          <w:szCs w:val="28"/>
        </w:rPr>
        <w:t xml:space="preserve"> - </w:t>
      </w:r>
      <w:r w:rsidRPr="00875E5E">
        <w:rPr>
          <w:sz w:val="22"/>
          <w:szCs w:val="28"/>
        </w:rPr>
        <w:t xml:space="preserve">The RMP rule currently requires only facilities with Program 3 processes to develop an employee participation plan. The </w:t>
      </w:r>
      <w:r>
        <w:rPr>
          <w:sz w:val="22"/>
          <w:szCs w:val="28"/>
        </w:rPr>
        <w:t>final</w:t>
      </w:r>
      <w:r w:rsidRPr="00875E5E">
        <w:rPr>
          <w:sz w:val="22"/>
          <w:szCs w:val="28"/>
        </w:rPr>
        <w:t xml:space="preserve"> rule would require all facilities with a Program 2 process to newly develop an employee participation plan, in addition to facilities with Program 3 processes. These newly developed employee participation plans, as well as all facilities with Program 3 </w:t>
      </w:r>
      <w:r w:rsidRPr="00875E5E">
        <w:rPr>
          <w:sz w:val="22"/>
          <w:szCs w:val="28"/>
        </w:rPr>
        <w:t xml:space="preserve">processes which already have an employee participation plan, would need to include newly explicit language for reporting RMP-reportable accidents or other related RMP non-compliance issues. Exhibit </w:t>
      </w:r>
      <w:r>
        <w:rPr>
          <w:sz w:val="22"/>
          <w:szCs w:val="28"/>
        </w:rPr>
        <w:t>1</w:t>
      </w:r>
      <w:r w:rsidR="00883EAC">
        <w:rPr>
          <w:sz w:val="22"/>
          <w:szCs w:val="28"/>
        </w:rPr>
        <w:t>7</w:t>
      </w:r>
      <w:r w:rsidRPr="00875E5E">
        <w:rPr>
          <w:sz w:val="22"/>
          <w:szCs w:val="28"/>
        </w:rPr>
        <w:t xml:space="preserve"> presents the costs for the provision.</w:t>
      </w:r>
    </w:p>
    <w:p w:rsidR="00A616A3" w:rsidRPr="00875E5E" w:rsidP="00A616A3" w14:paraId="56CCA0E5" w14:textId="77777777">
      <w:pPr>
        <w:ind w:firstLine="720"/>
        <w:rPr>
          <w:sz w:val="22"/>
          <w:szCs w:val="28"/>
        </w:rPr>
      </w:pPr>
    </w:p>
    <w:p w:rsidR="007D2D2B" w:rsidP="00680250" w14:paraId="13865225" w14:textId="77777777">
      <w:pPr>
        <w:pStyle w:val="Caption"/>
        <w:keepNext/>
        <w:widowControl/>
        <w:spacing w:after="0"/>
        <w:jc w:val="center"/>
        <w:rPr>
          <w:b/>
          <w:bCs/>
          <w:i w:val="0"/>
          <w:iCs w:val="0"/>
          <w:color w:val="auto"/>
          <w:sz w:val="22"/>
          <w:szCs w:val="22"/>
        </w:rPr>
      </w:pPr>
      <w:r w:rsidRPr="00B87FD9">
        <w:rPr>
          <w:b/>
          <w:bCs/>
          <w:i w:val="0"/>
          <w:iCs w:val="0"/>
          <w:color w:val="auto"/>
          <w:sz w:val="22"/>
          <w:szCs w:val="22"/>
        </w:rPr>
        <w:t xml:space="preserve">Exhibit </w:t>
      </w:r>
      <w:r>
        <w:rPr>
          <w:b/>
          <w:bCs/>
          <w:i w:val="0"/>
          <w:iCs w:val="0"/>
          <w:color w:val="auto"/>
          <w:sz w:val="22"/>
          <w:szCs w:val="22"/>
        </w:rPr>
        <w:t>1</w:t>
      </w:r>
      <w:r w:rsidR="00CF3F54">
        <w:rPr>
          <w:b/>
          <w:bCs/>
          <w:i w:val="0"/>
          <w:iCs w:val="0"/>
          <w:color w:val="auto"/>
          <w:sz w:val="22"/>
          <w:szCs w:val="22"/>
        </w:rPr>
        <w:t>7</w:t>
      </w:r>
      <w:r w:rsidRPr="00B87FD9">
        <w:rPr>
          <w:b/>
          <w:bCs/>
          <w:i w:val="0"/>
          <w:iCs w:val="0"/>
          <w:color w:val="auto"/>
          <w:sz w:val="22"/>
          <w:szCs w:val="22"/>
        </w:rPr>
        <w:t xml:space="preserve">: </w:t>
      </w:r>
      <w:r w:rsidRPr="00C12853" w:rsidR="00C12853">
        <w:rPr>
          <w:b/>
          <w:bCs/>
          <w:i w:val="0"/>
          <w:iCs w:val="0"/>
          <w:color w:val="auto"/>
          <w:sz w:val="22"/>
          <w:szCs w:val="22"/>
        </w:rPr>
        <w:t xml:space="preserve">Estimated Annualized Labor Costs </w:t>
      </w:r>
      <w:r w:rsidRPr="00B87FD9">
        <w:rPr>
          <w:b/>
          <w:bCs/>
          <w:i w:val="0"/>
          <w:iCs w:val="0"/>
          <w:color w:val="auto"/>
          <w:sz w:val="22"/>
          <w:szCs w:val="22"/>
        </w:rPr>
        <w:t>for Employee Participation Plan Provision</w:t>
      </w:r>
    </w:p>
    <w:p w:rsidR="00A616A3" w:rsidRPr="00B87FD9" w:rsidP="00680250" w14:paraId="03455C1E" w14:textId="32A58905">
      <w:pPr>
        <w:pStyle w:val="Caption"/>
        <w:keepNext/>
        <w:widowControl/>
        <w:spacing w:after="0"/>
        <w:jc w:val="center"/>
        <w:rPr>
          <w:b/>
          <w:bCs/>
          <w:i w:val="0"/>
          <w:iCs w:val="0"/>
          <w:color w:val="auto"/>
          <w:sz w:val="22"/>
          <w:szCs w:val="22"/>
        </w:rPr>
      </w:pPr>
      <w:r w:rsidRPr="00B87FD9">
        <w:rPr>
          <w:b/>
          <w:bCs/>
          <w:i w:val="0"/>
          <w:iCs w:val="0"/>
          <w:color w:val="auto"/>
          <w:sz w:val="22"/>
          <w:szCs w:val="22"/>
        </w:rPr>
        <w:t xml:space="preserve"> (202</w:t>
      </w:r>
      <w:r>
        <w:rPr>
          <w:b/>
          <w:bCs/>
          <w:i w:val="0"/>
          <w:iCs w:val="0"/>
          <w:color w:val="auto"/>
          <w:sz w:val="22"/>
          <w:szCs w:val="22"/>
        </w:rPr>
        <w:t>2</w:t>
      </w:r>
      <w:r w:rsidRPr="00B87FD9">
        <w:rPr>
          <w:b/>
          <w:bCs/>
          <w:i w:val="0"/>
          <w:iCs w:val="0"/>
          <w:color w:val="auto"/>
          <w:sz w:val="22"/>
          <w:szCs w:val="22"/>
        </w:rPr>
        <w:t xml:space="preserve"> </w:t>
      </w:r>
      <w:r>
        <w:rPr>
          <w:b/>
          <w:bCs/>
          <w:i w:val="0"/>
          <w:iCs w:val="0"/>
          <w:color w:val="auto"/>
          <w:sz w:val="22"/>
          <w:szCs w:val="22"/>
        </w:rPr>
        <w:t>d</w:t>
      </w:r>
      <w:r w:rsidRPr="00B87FD9">
        <w:rPr>
          <w:b/>
          <w:bCs/>
          <w:i w:val="0"/>
          <w:iCs w:val="0"/>
          <w:color w:val="auto"/>
          <w:sz w:val="22"/>
          <w:szCs w:val="22"/>
        </w:rPr>
        <w:t>ollars)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tblPr>
      <w:tblGrid>
        <w:gridCol w:w="3887"/>
        <w:gridCol w:w="1785"/>
        <w:gridCol w:w="1889"/>
        <w:gridCol w:w="1783"/>
      </w:tblGrid>
      <w:tr w14:paraId="07149AA4" w14:textId="77777777" w:rsidTr="005711EA">
        <w:tblPrEx>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tblPrEx>
        <w:trPr>
          <w:trHeight w:val="20"/>
          <w:tblHeader/>
          <w:jc w:val="center"/>
        </w:trPr>
        <w:tc>
          <w:tcPr>
            <w:tcW w:w="2080" w:type="pct"/>
            <w:tcBorders>
              <w:bottom w:val="single" w:sz="8" w:space="0" w:color="000000"/>
            </w:tcBorders>
            <w:shd w:val="clear" w:color="auto" w:fill="DADADA"/>
            <w:vAlign w:val="center"/>
          </w:tcPr>
          <w:p w:rsidR="00A616A3" w:rsidRPr="00BF4D0A" w:rsidP="00680250" w14:paraId="16EBA618" w14:textId="77777777">
            <w:pPr>
              <w:keepNext/>
              <w:widowControl/>
              <w:ind w:left="1335" w:right="87" w:hanging="1162"/>
              <w:jc w:val="center"/>
              <w:rPr>
                <w:b/>
              </w:rPr>
            </w:pPr>
            <w:r w:rsidRPr="00BF4D0A">
              <w:rPr>
                <w:b/>
              </w:rPr>
              <w:t>Facility Type</w:t>
            </w:r>
          </w:p>
        </w:tc>
        <w:tc>
          <w:tcPr>
            <w:tcW w:w="955" w:type="pct"/>
            <w:tcBorders>
              <w:bottom w:val="single" w:sz="8" w:space="0" w:color="000000"/>
            </w:tcBorders>
            <w:shd w:val="clear" w:color="auto" w:fill="DADADA"/>
            <w:vAlign w:val="center"/>
          </w:tcPr>
          <w:p w:rsidR="00A616A3" w:rsidRPr="00BF4D0A" w:rsidP="00680250" w14:paraId="3CC910A8" w14:textId="77777777">
            <w:pPr>
              <w:keepNext/>
              <w:widowControl/>
              <w:ind w:left="72"/>
              <w:jc w:val="center"/>
              <w:rPr>
                <w:b/>
              </w:rPr>
            </w:pPr>
            <w:r w:rsidRPr="00BF4D0A">
              <w:rPr>
                <w:b/>
              </w:rPr>
              <w:t>Unit Cost</w:t>
            </w:r>
          </w:p>
        </w:tc>
        <w:tc>
          <w:tcPr>
            <w:tcW w:w="1011" w:type="pct"/>
            <w:tcBorders>
              <w:bottom w:val="single" w:sz="8" w:space="0" w:color="000000"/>
            </w:tcBorders>
            <w:shd w:val="clear" w:color="auto" w:fill="DADADA"/>
            <w:vAlign w:val="center"/>
          </w:tcPr>
          <w:p w:rsidR="00A616A3" w:rsidRPr="00BF4D0A" w:rsidP="00680250" w14:paraId="0890DE84" w14:textId="77777777">
            <w:pPr>
              <w:keepNext/>
              <w:widowControl/>
              <w:ind w:left="98" w:right="76"/>
              <w:jc w:val="center"/>
              <w:rPr>
                <w:b/>
              </w:rPr>
            </w:pPr>
            <w:r w:rsidRPr="00BF4D0A">
              <w:rPr>
                <w:b/>
              </w:rPr>
              <w:t>Facilities</w:t>
            </w:r>
          </w:p>
        </w:tc>
        <w:tc>
          <w:tcPr>
            <w:tcW w:w="954" w:type="pct"/>
            <w:tcBorders>
              <w:bottom w:val="single" w:sz="8" w:space="0" w:color="000000"/>
            </w:tcBorders>
            <w:shd w:val="clear" w:color="auto" w:fill="DADADA"/>
            <w:vAlign w:val="center"/>
          </w:tcPr>
          <w:p w:rsidR="00A616A3" w:rsidRPr="00BF4D0A" w:rsidP="00680250" w14:paraId="38B52D7E" w14:textId="7D6C405B">
            <w:pPr>
              <w:keepNext/>
              <w:widowControl/>
              <w:ind w:left="91" w:right="55"/>
              <w:jc w:val="center"/>
              <w:rPr>
                <w:b/>
              </w:rPr>
            </w:pPr>
            <w:r w:rsidRPr="00BF4D0A">
              <w:rPr>
                <w:b/>
              </w:rPr>
              <w:t>Total</w:t>
            </w:r>
            <w:r w:rsidR="00B55E83">
              <w:rPr>
                <w:b/>
              </w:rPr>
              <w:t xml:space="preserve"> Annualized</w:t>
            </w:r>
          </w:p>
          <w:p w:rsidR="00A616A3" w:rsidRPr="00BF4D0A" w:rsidP="00680250" w14:paraId="199F15D0" w14:textId="77777777">
            <w:pPr>
              <w:keepNext/>
              <w:widowControl/>
              <w:ind w:left="82" w:right="55"/>
              <w:jc w:val="center"/>
              <w:rPr>
                <w:b/>
              </w:rPr>
            </w:pPr>
            <w:r w:rsidRPr="00BF4D0A">
              <w:rPr>
                <w:b/>
              </w:rPr>
              <w:t>Cost</w:t>
            </w:r>
          </w:p>
        </w:tc>
      </w:tr>
      <w:tr w14:paraId="2C8F4DEA" w14:textId="77777777" w:rsidTr="00CB6E49">
        <w:tblPrEx>
          <w:tblW w:w="5000" w:type="pct"/>
          <w:jc w:val="center"/>
          <w:tblCellMar>
            <w:left w:w="0" w:type="dxa"/>
            <w:right w:w="0" w:type="dxa"/>
          </w:tblCellMar>
          <w:tblLook w:val="01E0"/>
        </w:tblPrEx>
        <w:trPr>
          <w:trHeight w:val="20"/>
          <w:jc w:val="center"/>
        </w:trPr>
        <w:tc>
          <w:tcPr>
            <w:tcW w:w="5000" w:type="pct"/>
            <w:gridSpan w:val="4"/>
            <w:tcBorders>
              <w:top w:val="single" w:sz="8" w:space="0" w:color="000000"/>
              <w:bottom w:val="single" w:sz="8" w:space="0" w:color="000000"/>
            </w:tcBorders>
            <w:shd w:val="clear" w:color="auto" w:fill="F2F2F2"/>
            <w:vAlign w:val="center"/>
          </w:tcPr>
          <w:p w:rsidR="00A616A3" w:rsidRPr="00BF4D0A" w14:paraId="3C7D4365" w14:textId="1710A326">
            <w:pPr>
              <w:keepNext/>
              <w:ind w:left="165" w:right="79" w:hanging="90"/>
              <w:rPr>
                <w:b/>
              </w:rPr>
            </w:pPr>
            <w:r w:rsidRPr="00BF4D0A">
              <w:rPr>
                <w:b/>
              </w:rPr>
              <w:t xml:space="preserve">Program 2 </w:t>
            </w:r>
            <w:r>
              <w:rPr>
                <w:b/>
              </w:rPr>
              <w:t>r</w:t>
            </w:r>
            <w:r w:rsidRPr="00BF4D0A">
              <w:rPr>
                <w:b/>
              </w:rPr>
              <w:t xml:space="preserve">equirement to </w:t>
            </w:r>
            <w:r>
              <w:rPr>
                <w:b/>
              </w:rPr>
              <w:t>d</w:t>
            </w:r>
            <w:r w:rsidRPr="00BF4D0A">
              <w:rPr>
                <w:b/>
              </w:rPr>
              <w:t xml:space="preserve">evelop </w:t>
            </w:r>
            <w:r>
              <w:rPr>
                <w:b/>
              </w:rPr>
              <w:t>n</w:t>
            </w:r>
            <w:r w:rsidRPr="00BF4D0A">
              <w:rPr>
                <w:b/>
              </w:rPr>
              <w:t>ew employee participation plan</w:t>
            </w:r>
          </w:p>
        </w:tc>
      </w:tr>
      <w:tr w14:paraId="304464F2" w14:textId="77777777" w:rsidTr="005711EA">
        <w:tblPrEx>
          <w:tblW w:w="5000" w:type="pct"/>
          <w:jc w:val="center"/>
          <w:tblCellMar>
            <w:left w:w="0" w:type="dxa"/>
            <w:right w:w="0" w:type="dxa"/>
          </w:tblCellMar>
          <w:tblLook w:val="01E0"/>
        </w:tblPrEx>
        <w:trPr>
          <w:trHeight w:val="20"/>
          <w:jc w:val="center"/>
        </w:trPr>
        <w:tc>
          <w:tcPr>
            <w:tcW w:w="2080" w:type="pct"/>
            <w:tcBorders>
              <w:top w:val="single" w:sz="8" w:space="0" w:color="000000"/>
            </w:tcBorders>
            <w:vAlign w:val="center"/>
          </w:tcPr>
          <w:p w:rsidR="00A616A3" w:rsidRPr="00BF4D0A" w14:paraId="10ACC3C8" w14:textId="77777777">
            <w:pPr>
              <w:keepNext/>
              <w:ind w:left="112"/>
            </w:pPr>
            <w:r w:rsidRPr="00BF4D0A">
              <w:t>Simple 0-19 FTEs</w:t>
            </w:r>
          </w:p>
        </w:tc>
        <w:tc>
          <w:tcPr>
            <w:tcW w:w="955" w:type="pct"/>
            <w:tcBorders>
              <w:top w:val="single" w:sz="8" w:space="0" w:color="000000"/>
            </w:tcBorders>
            <w:vAlign w:val="center"/>
          </w:tcPr>
          <w:p w:rsidR="00A616A3" w:rsidRPr="00BF4D0A" w14:paraId="6FF89E0C" w14:textId="77777777">
            <w:pPr>
              <w:keepNext/>
              <w:ind w:left="72" w:right="49"/>
              <w:jc w:val="right"/>
            </w:pPr>
            <w:r w:rsidRPr="00BF4D0A">
              <w:rPr>
                <w:color w:val="000000"/>
              </w:rPr>
              <w:t>$</w:t>
            </w:r>
            <w:r>
              <w:rPr>
                <w:color w:val="000000"/>
              </w:rPr>
              <w:t>96</w:t>
            </w:r>
          </w:p>
        </w:tc>
        <w:tc>
          <w:tcPr>
            <w:tcW w:w="1011" w:type="pct"/>
            <w:tcBorders>
              <w:top w:val="single" w:sz="8" w:space="0" w:color="000000"/>
            </w:tcBorders>
            <w:vAlign w:val="center"/>
          </w:tcPr>
          <w:p w:rsidR="00A616A3" w:rsidRPr="00BF4D0A" w14:paraId="2FD4200E" w14:textId="77777777">
            <w:pPr>
              <w:keepNext/>
              <w:ind w:left="98" w:right="69"/>
              <w:jc w:val="right"/>
            </w:pPr>
            <w:r w:rsidRPr="00BF4D0A">
              <w:t>3,415</w:t>
            </w:r>
          </w:p>
        </w:tc>
        <w:tc>
          <w:tcPr>
            <w:tcW w:w="954" w:type="pct"/>
            <w:tcBorders>
              <w:top w:val="single" w:sz="8" w:space="0" w:color="000000"/>
            </w:tcBorders>
            <w:vAlign w:val="center"/>
          </w:tcPr>
          <w:p w:rsidR="00A616A3" w:rsidRPr="00BF4D0A" w14:paraId="77DE8FED" w14:textId="3FD9ADDD">
            <w:pPr>
              <w:keepNext/>
              <w:ind w:left="84" w:right="55"/>
              <w:jc w:val="right"/>
            </w:pPr>
            <w:r w:rsidRPr="004A1619">
              <w:rPr>
                <w:color w:val="000000"/>
              </w:rPr>
              <w:t>$327,602</w:t>
            </w:r>
          </w:p>
        </w:tc>
      </w:tr>
      <w:tr w14:paraId="2062DEBD" w14:textId="77777777" w:rsidTr="005711EA">
        <w:tblPrEx>
          <w:tblW w:w="5000" w:type="pct"/>
          <w:jc w:val="center"/>
          <w:tblCellMar>
            <w:left w:w="0" w:type="dxa"/>
            <w:right w:w="0" w:type="dxa"/>
          </w:tblCellMar>
          <w:tblLook w:val="01E0"/>
        </w:tblPrEx>
        <w:trPr>
          <w:trHeight w:val="20"/>
          <w:jc w:val="center"/>
        </w:trPr>
        <w:tc>
          <w:tcPr>
            <w:tcW w:w="2080" w:type="pct"/>
            <w:vAlign w:val="center"/>
          </w:tcPr>
          <w:p w:rsidR="00A616A3" w:rsidRPr="00BF4D0A" w14:paraId="4AE1567B" w14:textId="77777777">
            <w:pPr>
              <w:ind w:left="112"/>
            </w:pPr>
            <w:r w:rsidRPr="00BF4D0A">
              <w:t>Simple 20+ FTEs</w:t>
            </w:r>
          </w:p>
        </w:tc>
        <w:tc>
          <w:tcPr>
            <w:tcW w:w="955" w:type="pct"/>
            <w:vAlign w:val="center"/>
          </w:tcPr>
          <w:p w:rsidR="00A616A3" w:rsidRPr="00BF4D0A" w14:paraId="69B2CA35" w14:textId="77777777">
            <w:pPr>
              <w:ind w:left="72" w:right="49"/>
              <w:jc w:val="right"/>
            </w:pPr>
            <w:r w:rsidRPr="00BF4D0A">
              <w:rPr>
                <w:color w:val="000000"/>
              </w:rPr>
              <w:t>$</w:t>
            </w:r>
            <w:r>
              <w:rPr>
                <w:color w:val="000000"/>
              </w:rPr>
              <w:t>245</w:t>
            </w:r>
          </w:p>
        </w:tc>
        <w:tc>
          <w:tcPr>
            <w:tcW w:w="1011" w:type="pct"/>
            <w:vAlign w:val="center"/>
          </w:tcPr>
          <w:p w:rsidR="00A616A3" w:rsidRPr="00BF4D0A" w14:paraId="0B043291" w14:textId="77777777">
            <w:pPr>
              <w:ind w:left="98" w:right="69"/>
              <w:jc w:val="right"/>
            </w:pPr>
            <w:r w:rsidRPr="00BF4D0A">
              <w:t>496</w:t>
            </w:r>
          </w:p>
        </w:tc>
        <w:tc>
          <w:tcPr>
            <w:tcW w:w="954" w:type="pct"/>
            <w:vAlign w:val="center"/>
          </w:tcPr>
          <w:p w:rsidR="00A616A3" w:rsidRPr="00BF4D0A" w14:paraId="3B1499F3" w14:textId="16FB1419">
            <w:pPr>
              <w:ind w:left="69" w:right="55"/>
              <w:jc w:val="right"/>
            </w:pPr>
            <w:r w:rsidRPr="00A32BC6">
              <w:rPr>
                <w:color w:val="000000"/>
              </w:rPr>
              <w:t>$121,314</w:t>
            </w:r>
          </w:p>
        </w:tc>
      </w:tr>
      <w:tr w14:paraId="698CE7C2" w14:textId="77777777" w:rsidTr="005711EA">
        <w:tblPrEx>
          <w:tblW w:w="5000" w:type="pct"/>
          <w:jc w:val="center"/>
          <w:tblCellMar>
            <w:left w:w="0" w:type="dxa"/>
            <w:right w:w="0" w:type="dxa"/>
          </w:tblCellMar>
          <w:tblLook w:val="01E0"/>
        </w:tblPrEx>
        <w:trPr>
          <w:trHeight w:val="20"/>
          <w:jc w:val="center"/>
        </w:trPr>
        <w:tc>
          <w:tcPr>
            <w:tcW w:w="2080" w:type="pct"/>
            <w:vAlign w:val="center"/>
          </w:tcPr>
          <w:p w:rsidR="00A616A3" w:rsidRPr="00BF4D0A" w14:paraId="0C07BBE0" w14:textId="77777777">
            <w:pPr>
              <w:ind w:left="112"/>
            </w:pPr>
            <w:r w:rsidRPr="00BF4D0A">
              <w:t>Complex 0-19 FTEs</w:t>
            </w:r>
          </w:p>
        </w:tc>
        <w:tc>
          <w:tcPr>
            <w:tcW w:w="955" w:type="pct"/>
            <w:vAlign w:val="center"/>
          </w:tcPr>
          <w:p w:rsidR="00A616A3" w:rsidRPr="00BF4D0A" w14:paraId="04D06866" w14:textId="77777777">
            <w:pPr>
              <w:ind w:left="72" w:right="49"/>
              <w:jc w:val="right"/>
            </w:pPr>
            <w:r w:rsidRPr="00BF4D0A">
              <w:rPr>
                <w:color w:val="000000"/>
              </w:rPr>
              <w:t>$</w:t>
            </w:r>
            <w:r>
              <w:rPr>
                <w:color w:val="000000"/>
              </w:rPr>
              <w:t>132</w:t>
            </w:r>
          </w:p>
        </w:tc>
        <w:tc>
          <w:tcPr>
            <w:tcW w:w="1011" w:type="pct"/>
            <w:vAlign w:val="center"/>
          </w:tcPr>
          <w:p w:rsidR="00A616A3" w:rsidRPr="00BF4D0A" w14:paraId="4A41BADD" w14:textId="77777777">
            <w:pPr>
              <w:ind w:left="98" w:right="69"/>
              <w:jc w:val="right"/>
            </w:pPr>
            <w:r w:rsidRPr="00BF4D0A">
              <w:t>29</w:t>
            </w:r>
          </w:p>
        </w:tc>
        <w:tc>
          <w:tcPr>
            <w:tcW w:w="954" w:type="pct"/>
            <w:vAlign w:val="center"/>
          </w:tcPr>
          <w:p w:rsidR="00A616A3" w:rsidRPr="00BF4D0A" w14:paraId="56AA97C3" w14:textId="54B59E62">
            <w:pPr>
              <w:ind w:left="69" w:right="55"/>
              <w:jc w:val="right"/>
            </w:pPr>
            <w:r w:rsidRPr="00BF4D0A">
              <w:rPr>
                <w:color w:val="000000"/>
              </w:rPr>
              <w:t>$3,</w:t>
            </w:r>
            <w:r w:rsidRPr="007A7945">
              <w:rPr>
                <w:color w:val="000000"/>
              </w:rPr>
              <w:t>84</w:t>
            </w:r>
            <w:r w:rsidR="006C73E4">
              <w:rPr>
                <w:color w:val="000000"/>
              </w:rPr>
              <w:t>2</w:t>
            </w:r>
          </w:p>
        </w:tc>
      </w:tr>
      <w:tr w14:paraId="11F8BBEE" w14:textId="77777777" w:rsidTr="005711EA">
        <w:tblPrEx>
          <w:tblW w:w="5000" w:type="pct"/>
          <w:jc w:val="center"/>
          <w:tblCellMar>
            <w:left w:w="0" w:type="dxa"/>
            <w:right w:w="0" w:type="dxa"/>
          </w:tblCellMar>
          <w:tblLook w:val="01E0"/>
        </w:tblPrEx>
        <w:trPr>
          <w:trHeight w:val="20"/>
          <w:jc w:val="center"/>
        </w:trPr>
        <w:tc>
          <w:tcPr>
            <w:tcW w:w="2080" w:type="pct"/>
            <w:vAlign w:val="center"/>
          </w:tcPr>
          <w:p w:rsidR="00A616A3" w:rsidRPr="00BF4D0A" w14:paraId="5DA3E819" w14:textId="77777777">
            <w:pPr>
              <w:ind w:left="112"/>
            </w:pPr>
            <w:r w:rsidRPr="00BF4D0A">
              <w:t>Complex 20+ FTEs</w:t>
            </w:r>
          </w:p>
        </w:tc>
        <w:tc>
          <w:tcPr>
            <w:tcW w:w="955" w:type="pct"/>
            <w:vAlign w:val="center"/>
          </w:tcPr>
          <w:p w:rsidR="00A616A3" w:rsidRPr="00BF4D0A" w14:paraId="097B0FFC" w14:textId="77777777">
            <w:pPr>
              <w:ind w:left="72" w:right="49"/>
              <w:jc w:val="right"/>
            </w:pPr>
            <w:r w:rsidRPr="00BF4D0A">
              <w:rPr>
                <w:color w:val="000000"/>
              </w:rPr>
              <w:t>$33</w:t>
            </w:r>
            <w:r>
              <w:rPr>
                <w:color w:val="000000"/>
              </w:rPr>
              <w:t>1</w:t>
            </w:r>
          </w:p>
        </w:tc>
        <w:tc>
          <w:tcPr>
            <w:tcW w:w="1011" w:type="pct"/>
            <w:vAlign w:val="center"/>
          </w:tcPr>
          <w:p w:rsidR="00A616A3" w:rsidRPr="00BF4D0A" w14:paraId="5120E5AD" w14:textId="77777777">
            <w:pPr>
              <w:ind w:left="98" w:right="69"/>
              <w:jc w:val="right"/>
            </w:pPr>
            <w:r w:rsidRPr="00BF4D0A">
              <w:t>35</w:t>
            </w:r>
          </w:p>
        </w:tc>
        <w:tc>
          <w:tcPr>
            <w:tcW w:w="954" w:type="pct"/>
            <w:vAlign w:val="center"/>
          </w:tcPr>
          <w:p w:rsidR="00A616A3" w:rsidRPr="00BF4D0A" w14:paraId="76180159" w14:textId="6A63E379">
            <w:pPr>
              <w:ind w:left="69" w:right="55"/>
              <w:jc w:val="right"/>
            </w:pPr>
            <w:r w:rsidRPr="00BF4D0A">
              <w:rPr>
                <w:color w:val="000000"/>
              </w:rPr>
              <w:t>$11,</w:t>
            </w:r>
            <w:r w:rsidRPr="00A32BC6">
              <w:rPr>
                <w:color w:val="000000"/>
              </w:rPr>
              <w:t>57</w:t>
            </w:r>
            <w:r w:rsidR="006C73E4">
              <w:rPr>
                <w:color w:val="000000"/>
              </w:rPr>
              <w:t>5</w:t>
            </w:r>
          </w:p>
        </w:tc>
      </w:tr>
      <w:tr w14:paraId="00E99EBA" w14:textId="77777777" w:rsidTr="005711EA">
        <w:tblPrEx>
          <w:tblW w:w="5000" w:type="pct"/>
          <w:jc w:val="center"/>
          <w:tblCellMar>
            <w:left w:w="0" w:type="dxa"/>
            <w:right w:w="0" w:type="dxa"/>
          </w:tblCellMar>
          <w:tblLook w:val="01E0"/>
        </w:tblPrEx>
        <w:trPr>
          <w:trHeight w:val="20"/>
          <w:jc w:val="center"/>
        </w:trPr>
        <w:tc>
          <w:tcPr>
            <w:tcW w:w="2080" w:type="pct"/>
            <w:vAlign w:val="center"/>
          </w:tcPr>
          <w:p w:rsidR="00A616A3" w:rsidRPr="00BF4D0A" w14:paraId="0E4E5209" w14:textId="77777777">
            <w:pPr>
              <w:ind w:left="112"/>
              <w:rPr>
                <w:b/>
              </w:rPr>
            </w:pPr>
            <w:r w:rsidRPr="00BF4D0A">
              <w:rPr>
                <w:b/>
              </w:rPr>
              <w:t>Total</w:t>
            </w:r>
          </w:p>
        </w:tc>
        <w:tc>
          <w:tcPr>
            <w:tcW w:w="955" w:type="pct"/>
            <w:vAlign w:val="center"/>
          </w:tcPr>
          <w:p w:rsidR="00A616A3" w:rsidRPr="00BF4D0A" w14:paraId="41E045E0" w14:textId="77777777">
            <w:pPr>
              <w:ind w:left="247" w:right="49"/>
              <w:jc w:val="right"/>
              <w:rPr>
                <w:b/>
              </w:rPr>
            </w:pPr>
          </w:p>
        </w:tc>
        <w:tc>
          <w:tcPr>
            <w:tcW w:w="1011" w:type="pct"/>
            <w:vAlign w:val="center"/>
          </w:tcPr>
          <w:p w:rsidR="00A616A3" w:rsidRPr="00BF4D0A" w14:paraId="53E58A26" w14:textId="77777777">
            <w:pPr>
              <w:ind w:left="98" w:right="69"/>
              <w:jc w:val="right"/>
              <w:rPr>
                <w:b/>
              </w:rPr>
            </w:pPr>
            <w:r w:rsidRPr="00BF4D0A">
              <w:rPr>
                <w:b/>
              </w:rPr>
              <w:t>3,975</w:t>
            </w:r>
          </w:p>
        </w:tc>
        <w:tc>
          <w:tcPr>
            <w:tcW w:w="954" w:type="pct"/>
            <w:vAlign w:val="center"/>
          </w:tcPr>
          <w:p w:rsidR="00A616A3" w:rsidRPr="00BF4D0A" w14:paraId="27F1C399" w14:textId="4DCF24F3">
            <w:pPr>
              <w:ind w:left="69" w:right="55"/>
              <w:jc w:val="right"/>
              <w:rPr>
                <w:b/>
              </w:rPr>
            </w:pPr>
            <w:r w:rsidRPr="00A32BC6">
              <w:rPr>
                <w:b/>
                <w:color w:val="000000"/>
              </w:rPr>
              <w:t>$464,33</w:t>
            </w:r>
            <w:r w:rsidR="006C73E4">
              <w:rPr>
                <w:b/>
                <w:color w:val="000000"/>
              </w:rPr>
              <w:t>3</w:t>
            </w:r>
          </w:p>
        </w:tc>
      </w:tr>
      <w:tr w14:paraId="0EE5533D" w14:textId="77777777" w:rsidTr="005711EA">
        <w:tblPrEx>
          <w:tblW w:w="5000" w:type="pct"/>
          <w:jc w:val="center"/>
          <w:tblCellMar>
            <w:left w:w="0" w:type="dxa"/>
            <w:right w:w="0" w:type="dxa"/>
          </w:tblCellMar>
          <w:tblLook w:val="01E0"/>
        </w:tblPrEx>
        <w:trPr>
          <w:trHeight w:val="20"/>
          <w:jc w:val="center"/>
        </w:trPr>
        <w:tc>
          <w:tcPr>
            <w:tcW w:w="5000" w:type="pct"/>
            <w:gridSpan w:val="4"/>
            <w:shd w:val="clear" w:color="auto" w:fill="F2F2F2"/>
            <w:vAlign w:val="center"/>
          </w:tcPr>
          <w:p w:rsidR="00A616A3" w:rsidRPr="00BF4D0A" w14:paraId="1D7AE664" w14:textId="5E8D7899">
            <w:pPr>
              <w:ind w:right="49" w:firstLine="75"/>
              <w:rPr>
                <w:b/>
              </w:rPr>
            </w:pPr>
            <w:r w:rsidRPr="00BF4D0A">
              <w:rPr>
                <w:b/>
              </w:rPr>
              <w:t xml:space="preserve">Program 3 </w:t>
            </w:r>
            <w:r>
              <w:rPr>
                <w:b/>
              </w:rPr>
              <w:t>r</w:t>
            </w:r>
            <w:r w:rsidRPr="00BF4D0A">
              <w:rPr>
                <w:b/>
              </w:rPr>
              <w:t xml:space="preserve">equirement to </w:t>
            </w:r>
            <w:r>
              <w:rPr>
                <w:b/>
              </w:rPr>
              <w:t>u</w:t>
            </w:r>
            <w:r w:rsidRPr="00BF4D0A">
              <w:rPr>
                <w:b/>
              </w:rPr>
              <w:t xml:space="preserve">pdate </w:t>
            </w:r>
            <w:r>
              <w:rPr>
                <w:b/>
              </w:rPr>
              <w:t>current</w:t>
            </w:r>
            <w:r w:rsidRPr="00BF4D0A">
              <w:rPr>
                <w:b/>
              </w:rPr>
              <w:t xml:space="preserve"> employee participation plan</w:t>
            </w:r>
          </w:p>
        </w:tc>
      </w:tr>
      <w:tr w14:paraId="10F33BAE" w14:textId="77777777" w:rsidTr="005711EA">
        <w:tblPrEx>
          <w:tblW w:w="5000" w:type="pct"/>
          <w:jc w:val="center"/>
          <w:tblCellMar>
            <w:left w:w="0" w:type="dxa"/>
            <w:right w:w="0" w:type="dxa"/>
          </w:tblCellMar>
          <w:tblLook w:val="01E0"/>
        </w:tblPrEx>
        <w:trPr>
          <w:trHeight w:val="20"/>
          <w:jc w:val="center"/>
        </w:trPr>
        <w:tc>
          <w:tcPr>
            <w:tcW w:w="2080" w:type="pct"/>
            <w:vAlign w:val="center"/>
          </w:tcPr>
          <w:p w:rsidR="00A616A3" w:rsidRPr="00BF4D0A" w14:paraId="0EB70007" w14:textId="77777777">
            <w:pPr>
              <w:ind w:left="112"/>
            </w:pPr>
            <w:r w:rsidRPr="00BF4D0A">
              <w:t>Simple</w:t>
            </w:r>
          </w:p>
        </w:tc>
        <w:tc>
          <w:tcPr>
            <w:tcW w:w="955" w:type="pct"/>
            <w:vAlign w:val="center"/>
          </w:tcPr>
          <w:p w:rsidR="00A616A3" w:rsidRPr="00BF4D0A" w14:paraId="203478D5" w14:textId="77777777">
            <w:pPr>
              <w:ind w:left="247" w:right="49"/>
              <w:jc w:val="right"/>
            </w:pPr>
            <w:r w:rsidRPr="00BF4D0A">
              <w:rPr>
                <w:color w:val="000000"/>
              </w:rPr>
              <w:t>$5</w:t>
            </w:r>
            <w:r>
              <w:rPr>
                <w:color w:val="000000"/>
              </w:rPr>
              <w:t>9</w:t>
            </w:r>
          </w:p>
        </w:tc>
        <w:tc>
          <w:tcPr>
            <w:tcW w:w="1011" w:type="pct"/>
            <w:vAlign w:val="center"/>
          </w:tcPr>
          <w:p w:rsidR="00A616A3" w:rsidRPr="00BF4D0A" w14:paraId="180C588A" w14:textId="77777777">
            <w:pPr>
              <w:ind w:left="98" w:right="69"/>
              <w:jc w:val="right"/>
            </w:pPr>
            <w:r w:rsidRPr="00BF4D0A">
              <w:t>5,578</w:t>
            </w:r>
          </w:p>
        </w:tc>
        <w:tc>
          <w:tcPr>
            <w:tcW w:w="954" w:type="pct"/>
            <w:vAlign w:val="center"/>
          </w:tcPr>
          <w:p w:rsidR="00A616A3" w:rsidRPr="00BF4D0A" w14:paraId="2CAD571A" w14:textId="16F86607">
            <w:pPr>
              <w:ind w:left="84" w:right="55"/>
              <w:jc w:val="right"/>
            </w:pPr>
            <w:r w:rsidRPr="00A32BC6">
              <w:rPr>
                <w:color w:val="000000"/>
              </w:rPr>
              <w:t>$327,80</w:t>
            </w:r>
            <w:r w:rsidR="006C73E4">
              <w:rPr>
                <w:color w:val="000000"/>
              </w:rPr>
              <w:t>1</w:t>
            </w:r>
          </w:p>
        </w:tc>
      </w:tr>
      <w:tr w14:paraId="7BE8B260" w14:textId="77777777" w:rsidTr="005711EA">
        <w:tblPrEx>
          <w:tblW w:w="5000" w:type="pct"/>
          <w:jc w:val="center"/>
          <w:tblCellMar>
            <w:left w:w="0" w:type="dxa"/>
            <w:right w:w="0" w:type="dxa"/>
          </w:tblCellMar>
          <w:tblLook w:val="01E0"/>
        </w:tblPrEx>
        <w:trPr>
          <w:trHeight w:val="20"/>
          <w:jc w:val="center"/>
        </w:trPr>
        <w:tc>
          <w:tcPr>
            <w:tcW w:w="2080" w:type="pct"/>
            <w:tcBorders>
              <w:bottom w:val="single" w:sz="8" w:space="0" w:color="000000"/>
            </w:tcBorders>
            <w:vAlign w:val="center"/>
          </w:tcPr>
          <w:p w:rsidR="00A616A3" w:rsidRPr="00BF4D0A" w14:paraId="5E453905" w14:textId="77777777">
            <w:pPr>
              <w:ind w:left="112"/>
            </w:pPr>
            <w:r w:rsidRPr="00BF4D0A">
              <w:t>Complex</w:t>
            </w:r>
          </w:p>
        </w:tc>
        <w:tc>
          <w:tcPr>
            <w:tcW w:w="955" w:type="pct"/>
            <w:tcBorders>
              <w:bottom w:val="single" w:sz="8" w:space="0" w:color="000000"/>
            </w:tcBorders>
            <w:vAlign w:val="center"/>
          </w:tcPr>
          <w:p w:rsidR="00A616A3" w:rsidRPr="00BF4D0A" w14:paraId="1C5C0C3C" w14:textId="77777777">
            <w:pPr>
              <w:ind w:left="292" w:right="49"/>
              <w:jc w:val="right"/>
            </w:pPr>
            <w:r w:rsidRPr="00BF4D0A">
              <w:rPr>
                <w:color w:val="000000"/>
              </w:rPr>
              <w:t>$</w:t>
            </w:r>
            <w:r>
              <w:rPr>
                <w:color w:val="000000"/>
              </w:rPr>
              <w:t>83</w:t>
            </w:r>
          </w:p>
        </w:tc>
        <w:tc>
          <w:tcPr>
            <w:tcW w:w="1011" w:type="pct"/>
            <w:tcBorders>
              <w:bottom w:val="single" w:sz="8" w:space="0" w:color="000000"/>
            </w:tcBorders>
            <w:vAlign w:val="center"/>
          </w:tcPr>
          <w:p w:rsidR="00A616A3" w:rsidRPr="00BF4D0A" w14:paraId="124E2900" w14:textId="77777777">
            <w:pPr>
              <w:ind w:left="98" w:right="69"/>
              <w:jc w:val="right"/>
            </w:pPr>
            <w:r w:rsidRPr="00BF4D0A">
              <w:t>1,527</w:t>
            </w:r>
          </w:p>
        </w:tc>
        <w:tc>
          <w:tcPr>
            <w:tcW w:w="954" w:type="pct"/>
            <w:tcBorders>
              <w:bottom w:val="single" w:sz="8" w:space="0" w:color="000000"/>
            </w:tcBorders>
            <w:vAlign w:val="center"/>
          </w:tcPr>
          <w:p w:rsidR="00A616A3" w:rsidRPr="00BF4D0A" w14:paraId="5B879840" w14:textId="12ACB433">
            <w:pPr>
              <w:ind w:left="84" w:right="55"/>
              <w:jc w:val="right"/>
            </w:pPr>
            <w:r w:rsidRPr="00A32BC6">
              <w:rPr>
                <w:color w:val="000000"/>
              </w:rPr>
              <w:t>$126,61</w:t>
            </w:r>
            <w:r w:rsidR="006C73E4">
              <w:rPr>
                <w:color w:val="000000"/>
              </w:rPr>
              <w:t>2</w:t>
            </w:r>
          </w:p>
        </w:tc>
      </w:tr>
      <w:tr w14:paraId="272FFD62" w14:textId="77777777" w:rsidTr="005711EA">
        <w:tblPrEx>
          <w:tblW w:w="5000" w:type="pct"/>
          <w:jc w:val="center"/>
          <w:tblCellMar>
            <w:left w:w="0" w:type="dxa"/>
            <w:right w:w="0" w:type="dxa"/>
          </w:tblCellMar>
          <w:tblLook w:val="01E0"/>
        </w:tblPrEx>
        <w:trPr>
          <w:trHeight w:val="20"/>
          <w:jc w:val="center"/>
        </w:trPr>
        <w:tc>
          <w:tcPr>
            <w:tcW w:w="2080" w:type="pct"/>
            <w:tcBorders>
              <w:bottom w:val="single" w:sz="8" w:space="0" w:color="000000"/>
            </w:tcBorders>
            <w:vAlign w:val="center"/>
          </w:tcPr>
          <w:p w:rsidR="00A616A3" w:rsidRPr="00BF4D0A" w14:paraId="291018FE" w14:textId="77777777">
            <w:pPr>
              <w:ind w:left="112"/>
              <w:rPr>
                <w:b/>
              </w:rPr>
            </w:pPr>
            <w:r w:rsidRPr="00BF4D0A">
              <w:rPr>
                <w:b/>
              </w:rPr>
              <w:t>Total</w:t>
            </w:r>
          </w:p>
        </w:tc>
        <w:tc>
          <w:tcPr>
            <w:tcW w:w="955" w:type="pct"/>
            <w:tcBorders>
              <w:bottom w:val="single" w:sz="8" w:space="0" w:color="000000"/>
            </w:tcBorders>
            <w:vAlign w:val="center"/>
          </w:tcPr>
          <w:p w:rsidR="00A616A3" w:rsidRPr="00BF4D0A" w14:paraId="10C419F0" w14:textId="77777777">
            <w:pPr>
              <w:ind w:left="292"/>
              <w:jc w:val="right"/>
              <w:rPr>
                <w:b/>
              </w:rPr>
            </w:pPr>
          </w:p>
        </w:tc>
        <w:tc>
          <w:tcPr>
            <w:tcW w:w="1011" w:type="pct"/>
            <w:tcBorders>
              <w:bottom w:val="single" w:sz="8" w:space="0" w:color="000000"/>
            </w:tcBorders>
            <w:vAlign w:val="center"/>
          </w:tcPr>
          <w:p w:rsidR="00A616A3" w:rsidRPr="00BF4D0A" w14:paraId="4E23C103" w14:textId="77777777">
            <w:pPr>
              <w:ind w:left="98" w:right="69"/>
              <w:jc w:val="right"/>
              <w:rPr>
                <w:b/>
              </w:rPr>
            </w:pPr>
            <w:r w:rsidRPr="00BF4D0A">
              <w:rPr>
                <w:b/>
              </w:rPr>
              <w:t>7,105</w:t>
            </w:r>
          </w:p>
        </w:tc>
        <w:tc>
          <w:tcPr>
            <w:tcW w:w="954" w:type="pct"/>
            <w:tcBorders>
              <w:bottom w:val="single" w:sz="8" w:space="0" w:color="000000"/>
            </w:tcBorders>
            <w:vAlign w:val="center"/>
          </w:tcPr>
          <w:p w:rsidR="00A616A3" w:rsidRPr="00BF4D0A" w14:paraId="4CB06C1A" w14:textId="0E148D84">
            <w:pPr>
              <w:ind w:left="84" w:right="55"/>
              <w:jc w:val="right"/>
              <w:rPr>
                <w:b/>
              </w:rPr>
            </w:pPr>
            <w:r w:rsidRPr="001070AB">
              <w:rPr>
                <w:b/>
                <w:bCs/>
                <w:color w:val="000000"/>
              </w:rPr>
              <w:t>$454,41</w:t>
            </w:r>
            <w:r w:rsidR="006C73E4">
              <w:rPr>
                <w:b/>
                <w:bCs/>
                <w:color w:val="000000"/>
              </w:rPr>
              <w:t>3</w:t>
            </w:r>
          </w:p>
        </w:tc>
      </w:tr>
      <w:tr w14:paraId="74685AAE" w14:textId="77777777" w:rsidTr="0073450B">
        <w:tblPrEx>
          <w:tblW w:w="5000" w:type="pct"/>
          <w:jc w:val="center"/>
          <w:tblCellMar>
            <w:left w:w="0" w:type="dxa"/>
            <w:right w:w="0" w:type="dxa"/>
          </w:tblCellMar>
          <w:tblLook w:val="01E0"/>
        </w:tblPrEx>
        <w:trPr>
          <w:trHeight w:val="20"/>
          <w:jc w:val="center"/>
        </w:trPr>
        <w:tc>
          <w:tcPr>
            <w:tcW w:w="5000" w:type="pct"/>
            <w:gridSpan w:val="4"/>
            <w:tcBorders>
              <w:bottom w:val="single" w:sz="8" w:space="0" w:color="000000"/>
            </w:tcBorders>
            <w:shd w:val="clear" w:color="auto" w:fill="F2F2F2" w:themeFill="background1" w:themeFillShade="F2"/>
            <w:vAlign w:val="center"/>
          </w:tcPr>
          <w:p w:rsidR="0073450B" w:rsidRPr="001070AB" w:rsidP="0073450B" w14:paraId="56ED9B36" w14:textId="226AA44B">
            <w:pPr>
              <w:keepNext/>
              <w:ind w:left="165" w:right="79" w:hanging="90"/>
              <w:rPr>
                <w:b/>
                <w:bCs/>
                <w:color w:val="000000"/>
              </w:rPr>
            </w:pPr>
            <w:r>
              <w:rPr>
                <w:b/>
              </w:rPr>
              <w:t>Program 2 requirement to train employees on employee participation plan</w:t>
            </w:r>
          </w:p>
        </w:tc>
      </w:tr>
      <w:tr w14:paraId="48205A12" w14:textId="77777777" w:rsidTr="005711EA">
        <w:tblPrEx>
          <w:tblW w:w="5000" w:type="pct"/>
          <w:jc w:val="center"/>
          <w:tblCellMar>
            <w:left w:w="0" w:type="dxa"/>
            <w:right w:w="0" w:type="dxa"/>
          </w:tblCellMar>
          <w:tblLook w:val="01E0"/>
        </w:tblPrEx>
        <w:trPr>
          <w:trHeight w:val="20"/>
          <w:jc w:val="center"/>
        </w:trPr>
        <w:tc>
          <w:tcPr>
            <w:tcW w:w="2080" w:type="pct"/>
            <w:tcBorders>
              <w:top w:val="single" w:sz="8" w:space="0" w:color="000000"/>
            </w:tcBorders>
            <w:vAlign w:val="center"/>
          </w:tcPr>
          <w:p w:rsidR="00262D68" w:rsidRPr="00BF4D0A" w:rsidP="00262D68" w14:paraId="32291BE6" w14:textId="2A16E4E2">
            <w:pPr>
              <w:keepNext/>
              <w:ind w:left="1318" w:right="177" w:hanging="1243"/>
              <w:rPr>
                <w:b/>
              </w:rPr>
            </w:pPr>
            <w:r>
              <w:t>Trained Employees</w:t>
            </w:r>
          </w:p>
        </w:tc>
        <w:tc>
          <w:tcPr>
            <w:tcW w:w="955" w:type="pct"/>
            <w:tcBorders>
              <w:top w:val="single" w:sz="8" w:space="0" w:color="000000"/>
            </w:tcBorders>
            <w:vAlign w:val="center"/>
          </w:tcPr>
          <w:p w:rsidR="00262D68" w:rsidRPr="00BF4D0A" w:rsidP="00262D68" w14:paraId="6E201647" w14:textId="035BDE81">
            <w:pPr>
              <w:keepNext/>
              <w:jc w:val="right"/>
            </w:pPr>
            <w:r>
              <w:rPr>
                <w:color w:val="000000"/>
              </w:rPr>
              <w:t>$33</w:t>
            </w:r>
          </w:p>
        </w:tc>
        <w:tc>
          <w:tcPr>
            <w:tcW w:w="1011" w:type="pct"/>
            <w:tcBorders>
              <w:top w:val="single" w:sz="8" w:space="0" w:color="000000"/>
            </w:tcBorders>
            <w:vAlign w:val="center"/>
          </w:tcPr>
          <w:p w:rsidR="00262D68" w:rsidRPr="00BF4D0A" w:rsidP="00262D68" w14:paraId="600385D2" w14:textId="36509C00">
            <w:pPr>
              <w:keepNext/>
              <w:ind w:left="90" w:right="76"/>
              <w:jc w:val="right"/>
              <w:rPr>
                <w:b/>
              </w:rPr>
            </w:pPr>
            <w:r>
              <w:t>60,793</w:t>
            </w:r>
          </w:p>
        </w:tc>
        <w:tc>
          <w:tcPr>
            <w:tcW w:w="954" w:type="pct"/>
            <w:tcBorders>
              <w:top w:val="single" w:sz="8" w:space="0" w:color="000000"/>
            </w:tcBorders>
            <w:vAlign w:val="center"/>
          </w:tcPr>
          <w:p w:rsidR="00262D68" w:rsidRPr="00BF4D0A" w:rsidP="00262D68" w14:paraId="0231B604" w14:textId="64C36C6C">
            <w:pPr>
              <w:keepNext/>
              <w:ind w:right="55"/>
              <w:jc w:val="right"/>
              <w:rPr>
                <w:b/>
                <w:color w:val="000000"/>
              </w:rPr>
            </w:pPr>
            <w:r w:rsidRPr="00BF4D0A">
              <w:rPr>
                <w:color w:val="000000"/>
              </w:rPr>
              <w:t>$</w:t>
            </w:r>
            <w:r>
              <w:rPr>
                <w:color w:val="000000"/>
              </w:rPr>
              <w:t>405,571</w:t>
            </w:r>
          </w:p>
        </w:tc>
      </w:tr>
      <w:tr w14:paraId="7DAD4DCD" w14:textId="77777777" w:rsidTr="005711EA">
        <w:tblPrEx>
          <w:tblW w:w="5000" w:type="pct"/>
          <w:jc w:val="center"/>
          <w:tblCellMar>
            <w:left w:w="0" w:type="dxa"/>
            <w:right w:w="0" w:type="dxa"/>
          </w:tblCellMar>
          <w:tblLook w:val="01E0"/>
        </w:tblPrEx>
        <w:trPr>
          <w:trHeight w:val="20"/>
          <w:jc w:val="center"/>
        </w:trPr>
        <w:tc>
          <w:tcPr>
            <w:tcW w:w="2080" w:type="pct"/>
            <w:tcBorders>
              <w:top w:val="single" w:sz="8" w:space="0" w:color="000000"/>
            </w:tcBorders>
            <w:vAlign w:val="center"/>
          </w:tcPr>
          <w:p w:rsidR="00262D68" w:rsidRPr="00DC4077" w:rsidP="00262D68" w14:paraId="771F3F70" w14:textId="392558F0">
            <w:pPr>
              <w:keepNext/>
              <w:ind w:left="1318" w:right="177" w:hanging="1243"/>
              <w:rPr>
                <w:bCs/>
              </w:rPr>
            </w:pPr>
            <w:r w:rsidRPr="00DC4077">
              <w:rPr>
                <w:bCs/>
              </w:rPr>
              <w:t>Facilities</w:t>
            </w:r>
          </w:p>
        </w:tc>
        <w:tc>
          <w:tcPr>
            <w:tcW w:w="955" w:type="pct"/>
            <w:tcBorders>
              <w:top w:val="single" w:sz="8" w:space="0" w:color="000000"/>
            </w:tcBorders>
            <w:vAlign w:val="center"/>
          </w:tcPr>
          <w:p w:rsidR="00262D68" w:rsidRPr="00BF4D0A" w:rsidP="00262D68" w14:paraId="04D1B556" w14:textId="4DA09A46">
            <w:pPr>
              <w:keepNext/>
              <w:jc w:val="right"/>
            </w:pPr>
            <w:r w:rsidRPr="00BF4D0A">
              <w:rPr>
                <w:color w:val="000000"/>
              </w:rPr>
              <w:t>$</w:t>
            </w:r>
            <w:r>
              <w:rPr>
                <w:color w:val="000000"/>
              </w:rPr>
              <w:t>138</w:t>
            </w:r>
          </w:p>
        </w:tc>
        <w:tc>
          <w:tcPr>
            <w:tcW w:w="1011" w:type="pct"/>
            <w:tcBorders>
              <w:top w:val="single" w:sz="8" w:space="0" w:color="000000"/>
            </w:tcBorders>
            <w:vAlign w:val="center"/>
          </w:tcPr>
          <w:p w:rsidR="00262D68" w:rsidRPr="00BF4D0A" w:rsidP="00262D68" w14:paraId="7C2656D1" w14:textId="3C7C974F">
            <w:pPr>
              <w:keepNext/>
              <w:ind w:left="90" w:right="76"/>
              <w:jc w:val="right"/>
              <w:rPr>
                <w:b/>
              </w:rPr>
            </w:pPr>
            <w:r>
              <w:t>3,975</w:t>
            </w:r>
          </w:p>
        </w:tc>
        <w:tc>
          <w:tcPr>
            <w:tcW w:w="954" w:type="pct"/>
            <w:tcBorders>
              <w:top w:val="single" w:sz="8" w:space="0" w:color="000000"/>
            </w:tcBorders>
            <w:vAlign w:val="center"/>
          </w:tcPr>
          <w:p w:rsidR="00262D68" w:rsidRPr="00BF4D0A" w:rsidP="00262D68" w14:paraId="65DD8111" w14:textId="3C53C3AA">
            <w:pPr>
              <w:keepNext/>
              <w:ind w:right="55"/>
              <w:jc w:val="right"/>
              <w:rPr>
                <w:b/>
                <w:color w:val="000000"/>
              </w:rPr>
            </w:pPr>
            <w:r w:rsidRPr="00BF4D0A">
              <w:rPr>
                <w:color w:val="000000"/>
              </w:rPr>
              <w:t>$1</w:t>
            </w:r>
            <w:r>
              <w:rPr>
                <w:color w:val="000000"/>
              </w:rPr>
              <w:t>09,329</w:t>
            </w:r>
          </w:p>
        </w:tc>
      </w:tr>
      <w:tr w14:paraId="35F4C5F3" w14:textId="77777777" w:rsidTr="005711EA">
        <w:tblPrEx>
          <w:tblW w:w="5000" w:type="pct"/>
          <w:jc w:val="center"/>
          <w:tblCellMar>
            <w:left w:w="0" w:type="dxa"/>
            <w:right w:w="0" w:type="dxa"/>
          </w:tblCellMar>
          <w:tblLook w:val="01E0"/>
        </w:tblPrEx>
        <w:trPr>
          <w:trHeight w:val="20"/>
          <w:jc w:val="center"/>
        </w:trPr>
        <w:tc>
          <w:tcPr>
            <w:tcW w:w="2080" w:type="pct"/>
            <w:tcBorders>
              <w:top w:val="single" w:sz="8" w:space="0" w:color="000000"/>
            </w:tcBorders>
            <w:vAlign w:val="center"/>
          </w:tcPr>
          <w:p w:rsidR="00262D68" w:rsidRPr="00BF4D0A" w:rsidP="00E94A25" w14:paraId="4C6AA964" w14:textId="43E57BB5">
            <w:pPr>
              <w:keepNext/>
              <w:ind w:left="1318" w:right="177" w:hanging="1243"/>
              <w:rPr>
                <w:b/>
              </w:rPr>
            </w:pPr>
            <w:r w:rsidRPr="00BF4D0A">
              <w:rPr>
                <w:b/>
              </w:rPr>
              <w:t>Total</w:t>
            </w:r>
          </w:p>
        </w:tc>
        <w:tc>
          <w:tcPr>
            <w:tcW w:w="955" w:type="pct"/>
            <w:tcBorders>
              <w:top w:val="single" w:sz="8" w:space="0" w:color="000000"/>
            </w:tcBorders>
            <w:vAlign w:val="center"/>
          </w:tcPr>
          <w:p w:rsidR="00262D68" w:rsidRPr="00BF4D0A" w:rsidP="00262D68" w14:paraId="32F1333A" w14:textId="77777777">
            <w:pPr>
              <w:keepNext/>
              <w:jc w:val="right"/>
            </w:pPr>
          </w:p>
        </w:tc>
        <w:tc>
          <w:tcPr>
            <w:tcW w:w="1011" w:type="pct"/>
            <w:tcBorders>
              <w:top w:val="single" w:sz="8" w:space="0" w:color="000000"/>
            </w:tcBorders>
            <w:vAlign w:val="center"/>
          </w:tcPr>
          <w:p w:rsidR="00262D68" w:rsidRPr="00BF4D0A" w:rsidP="00262D68" w14:paraId="6A470000" w14:textId="57D57B82">
            <w:pPr>
              <w:keepNext/>
              <w:ind w:left="90" w:right="76"/>
              <w:jc w:val="right"/>
              <w:rPr>
                <w:b/>
              </w:rPr>
            </w:pPr>
            <w:r>
              <w:rPr>
                <w:b/>
              </w:rPr>
              <w:t>3,975</w:t>
            </w:r>
          </w:p>
        </w:tc>
        <w:tc>
          <w:tcPr>
            <w:tcW w:w="954" w:type="pct"/>
            <w:tcBorders>
              <w:top w:val="single" w:sz="8" w:space="0" w:color="000000"/>
            </w:tcBorders>
            <w:vAlign w:val="center"/>
          </w:tcPr>
          <w:p w:rsidR="00262D68" w:rsidRPr="00BF4D0A" w:rsidP="00262D68" w14:paraId="40D7E83A" w14:textId="18ADDF4D">
            <w:pPr>
              <w:keepNext/>
              <w:ind w:right="55"/>
              <w:jc w:val="right"/>
              <w:rPr>
                <w:b/>
                <w:color w:val="000000"/>
              </w:rPr>
            </w:pPr>
            <w:r w:rsidRPr="0051583D">
              <w:rPr>
                <w:b/>
                <w:bCs/>
                <w:color w:val="000000"/>
              </w:rPr>
              <w:t>$</w:t>
            </w:r>
            <w:r>
              <w:rPr>
                <w:b/>
                <w:bCs/>
                <w:color w:val="000000"/>
              </w:rPr>
              <w:t>514,900</w:t>
            </w:r>
          </w:p>
        </w:tc>
      </w:tr>
      <w:tr w14:paraId="4D152835" w14:textId="77777777" w:rsidTr="0073450B">
        <w:tblPrEx>
          <w:tblW w:w="5000" w:type="pct"/>
          <w:jc w:val="center"/>
          <w:tblCellMar>
            <w:left w:w="0" w:type="dxa"/>
            <w:right w:w="0" w:type="dxa"/>
          </w:tblCellMar>
          <w:tblLook w:val="01E0"/>
        </w:tblPrEx>
        <w:trPr>
          <w:trHeight w:val="20"/>
          <w:jc w:val="center"/>
        </w:trPr>
        <w:tc>
          <w:tcPr>
            <w:tcW w:w="5000" w:type="pct"/>
            <w:gridSpan w:val="4"/>
            <w:tcBorders>
              <w:top w:val="single" w:sz="8" w:space="0" w:color="000000"/>
            </w:tcBorders>
            <w:shd w:val="clear" w:color="auto" w:fill="F2F2F2" w:themeFill="background1" w:themeFillShade="F2"/>
            <w:vAlign w:val="center"/>
          </w:tcPr>
          <w:p w:rsidR="0073450B" w:rsidRPr="00BF4D0A" w:rsidP="0073450B" w14:paraId="5E17AB58" w14:textId="46168302">
            <w:pPr>
              <w:keepNext/>
              <w:ind w:right="55"/>
              <w:rPr>
                <w:b/>
                <w:color w:val="000000"/>
              </w:rPr>
            </w:pPr>
            <w:r w:rsidRPr="00BF4D0A">
              <w:rPr>
                <w:b/>
              </w:rPr>
              <w:t xml:space="preserve">Program 3 </w:t>
            </w:r>
            <w:r>
              <w:rPr>
                <w:b/>
              </w:rPr>
              <w:t>r</w:t>
            </w:r>
            <w:r w:rsidRPr="00BF4D0A">
              <w:rPr>
                <w:b/>
              </w:rPr>
              <w:t xml:space="preserve">equirement to </w:t>
            </w:r>
            <w:r w:rsidR="00DC4077">
              <w:rPr>
                <w:b/>
              </w:rPr>
              <w:t>train employees on employee participation plan</w:t>
            </w:r>
          </w:p>
        </w:tc>
      </w:tr>
      <w:tr w14:paraId="1C7580AA" w14:textId="77777777" w:rsidTr="005711EA">
        <w:tblPrEx>
          <w:tblW w:w="5000" w:type="pct"/>
          <w:jc w:val="center"/>
          <w:tblCellMar>
            <w:left w:w="0" w:type="dxa"/>
            <w:right w:w="0" w:type="dxa"/>
          </w:tblCellMar>
          <w:tblLook w:val="01E0"/>
        </w:tblPrEx>
        <w:trPr>
          <w:trHeight w:val="20"/>
          <w:jc w:val="center"/>
        </w:trPr>
        <w:tc>
          <w:tcPr>
            <w:tcW w:w="2080" w:type="pct"/>
            <w:tcBorders>
              <w:top w:val="single" w:sz="8" w:space="0" w:color="000000"/>
            </w:tcBorders>
            <w:vAlign w:val="center"/>
          </w:tcPr>
          <w:p w:rsidR="00477EEC" w:rsidRPr="0047003E" w:rsidP="00477EEC" w14:paraId="77186D91" w14:textId="0E323DCE">
            <w:pPr>
              <w:keepNext/>
              <w:ind w:left="1318" w:right="177" w:hanging="1243"/>
              <w:rPr>
                <w:bCs/>
              </w:rPr>
            </w:pPr>
            <w:r w:rsidRPr="0047003E">
              <w:rPr>
                <w:bCs/>
              </w:rPr>
              <w:t>Trained Employees</w:t>
            </w:r>
          </w:p>
        </w:tc>
        <w:tc>
          <w:tcPr>
            <w:tcW w:w="955" w:type="pct"/>
            <w:tcBorders>
              <w:top w:val="single" w:sz="8" w:space="0" w:color="000000"/>
            </w:tcBorders>
            <w:vAlign w:val="center"/>
          </w:tcPr>
          <w:p w:rsidR="00477EEC" w:rsidRPr="00BF4D0A" w:rsidP="00477EEC" w14:paraId="7BF1F1C6" w14:textId="124022F7">
            <w:pPr>
              <w:keepNext/>
              <w:jc w:val="right"/>
            </w:pPr>
            <w:r w:rsidRPr="00BF4D0A">
              <w:rPr>
                <w:color w:val="000000"/>
              </w:rPr>
              <w:t>$</w:t>
            </w:r>
            <w:r>
              <w:rPr>
                <w:color w:val="000000"/>
              </w:rPr>
              <w:t>33</w:t>
            </w:r>
          </w:p>
        </w:tc>
        <w:tc>
          <w:tcPr>
            <w:tcW w:w="1011" w:type="pct"/>
            <w:tcBorders>
              <w:top w:val="single" w:sz="8" w:space="0" w:color="000000"/>
            </w:tcBorders>
            <w:vAlign w:val="center"/>
          </w:tcPr>
          <w:p w:rsidR="00477EEC" w:rsidRPr="00BF4D0A" w:rsidP="00477EEC" w14:paraId="0BD54294" w14:textId="12DF485C">
            <w:pPr>
              <w:keepNext/>
              <w:ind w:left="90" w:right="76"/>
              <w:jc w:val="right"/>
              <w:rPr>
                <w:b/>
              </w:rPr>
            </w:pPr>
            <w:r>
              <w:t>1,475,579</w:t>
            </w:r>
          </w:p>
        </w:tc>
        <w:tc>
          <w:tcPr>
            <w:tcW w:w="954" w:type="pct"/>
            <w:tcBorders>
              <w:top w:val="single" w:sz="8" w:space="0" w:color="000000"/>
            </w:tcBorders>
            <w:vAlign w:val="center"/>
          </w:tcPr>
          <w:p w:rsidR="00477EEC" w:rsidRPr="00BF4D0A" w:rsidP="00477EEC" w14:paraId="0F67CECE" w14:textId="4446365F">
            <w:pPr>
              <w:keepNext/>
              <w:ind w:right="55"/>
              <w:jc w:val="right"/>
              <w:rPr>
                <w:b/>
              </w:rPr>
            </w:pPr>
            <w:r>
              <w:rPr>
                <w:color w:val="000000"/>
              </w:rPr>
              <w:t>$9,844,095</w:t>
            </w:r>
          </w:p>
        </w:tc>
      </w:tr>
      <w:tr w14:paraId="0F1AA163" w14:textId="77777777" w:rsidTr="005711EA">
        <w:tblPrEx>
          <w:tblW w:w="5000" w:type="pct"/>
          <w:jc w:val="center"/>
          <w:tblCellMar>
            <w:left w:w="0" w:type="dxa"/>
            <w:right w:w="0" w:type="dxa"/>
          </w:tblCellMar>
          <w:tblLook w:val="01E0"/>
        </w:tblPrEx>
        <w:trPr>
          <w:trHeight w:val="20"/>
          <w:jc w:val="center"/>
        </w:trPr>
        <w:tc>
          <w:tcPr>
            <w:tcW w:w="2080" w:type="pct"/>
            <w:tcBorders>
              <w:top w:val="single" w:sz="8" w:space="0" w:color="000000"/>
            </w:tcBorders>
            <w:vAlign w:val="center"/>
          </w:tcPr>
          <w:p w:rsidR="00477EEC" w:rsidRPr="0047003E" w:rsidP="00477EEC" w14:paraId="4BDE7A50" w14:textId="4492E5D2">
            <w:pPr>
              <w:keepNext/>
              <w:ind w:left="1318" w:right="177" w:hanging="1243"/>
              <w:rPr>
                <w:bCs/>
              </w:rPr>
            </w:pPr>
            <w:r w:rsidRPr="0047003E">
              <w:rPr>
                <w:bCs/>
              </w:rPr>
              <w:t>Facilities</w:t>
            </w:r>
          </w:p>
        </w:tc>
        <w:tc>
          <w:tcPr>
            <w:tcW w:w="955" w:type="pct"/>
            <w:tcBorders>
              <w:top w:val="single" w:sz="8" w:space="0" w:color="000000"/>
            </w:tcBorders>
            <w:vAlign w:val="center"/>
          </w:tcPr>
          <w:p w:rsidR="00477EEC" w:rsidRPr="00BF4D0A" w:rsidP="00477EEC" w14:paraId="31073B1C" w14:textId="36038DE2">
            <w:pPr>
              <w:keepNext/>
              <w:jc w:val="right"/>
              <w:rPr>
                <w:color w:val="000000"/>
              </w:rPr>
            </w:pPr>
            <w:r w:rsidRPr="00BF4D0A">
              <w:rPr>
                <w:color w:val="000000"/>
              </w:rPr>
              <w:t>$</w:t>
            </w:r>
            <w:r>
              <w:rPr>
                <w:color w:val="000000"/>
              </w:rPr>
              <w:t>138</w:t>
            </w:r>
          </w:p>
        </w:tc>
        <w:tc>
          <w:tcPr>
            <w:tcW w:w="1011" w:type="pct"/>
            <w:tcBorders>
              <w:top w:val="single" w:sz="8" w:space="0" w:color="000000"/>
            </w:tcBorders>
            <w:vAlign w:val="center"/>
          </w:tcPr>
          <w:p w:rsidR="00477EEC" w:rsidRPr="00BF4D0A" w:rsidP="00477EEC" w14:paraId="7D737829" w14:textId="35E5BED7">
            <w:pPr>
              <w:keepNext/>
              <w:ind w:left="90" w:right="76"/>
              <w:jc w:val="right"/>
            </w:pPr>
            <w:r>
              <w:t>7,105</w:t>
            </w:r>
          </w:p>
        </w:tc>
        <w:tc>
          <w:tcPr>
            <w:tcW w:w="954" w:type="pct"/>
            <w:tcBorders>
              <w:top w:val="single" w:sz="8" w:space="0" w:color="000000"/>
            </w:tcBorders>
            <w:vAlign w:val="center"/>
          </w:tcPr>
          <w:p w:rsidR="00477EEC" w:rsidRPr="00A32BC6" w:rsidP="00477EEC" w14:paraId="51D5B8AD" w14:textId="5A685FF9">
            <w:pPr>
              <w:keepNext/>
              <w:ind w:right="55"/>
              <w:jc w:val="right"/>
              <w:rPr>
                <w:color w:val="000000"/>
              </w:rPr>
            </w:pPr>
            <w:r w:rsidRPr="00BF4D0A">
              <w:rPr>
                <w:color w:val="000000"/>
              </w:rPr>
              <w:t>$</w:t>
            </w:r>
            <w:r>
              <w:rPr>
                <w:color w:val="000000"/>
              </w:rPr>
              <w:t>195,417</w:t>
            </w:r>
          </w:p>
        </w:tc>
      </w:tr>
      <w:tr w14:paraId="33318587" w14:textId="77777777" w:rsidTr="00477EEC">
        <w:tblPrEx>
          <w:tblW w:w="5000" w:type="pct"/>
          <w:jc w:val="center"/>
          <w:tblCellMar>
            <w:left w:w="0" w:type="dxa"/>
            <w:right w:w="0" w:type="dxa"/>
          </w:tblCellMar>
          <w:tblLook w:val="01E0"/>
        </w:tblPrEx>
        <w:trPr>
          <w:trHeight w:val="20"/>
          <w:jc w:val="center"/>
        </w:trPr>
        <w:tc>
          <w:tcPr>
            <w:tcW w:w="2080" w:type="pct"/>
            <w:tcBorders>
              <w:top w:val="single" w:sz="8" w:space="0" w:color="000000"/>
              <w:bottom w:val="single" w:sz="8" w:space="0" w:color="000000"/>
            </w:tcBorders>
            <w:vAlign w:val="center"/>
          </w:tcPr>
          <w:p w:rsidR="00477EEC" w:rsidRPr="00BF4D0A" w:rsidP="00E94A25" w14:paraId="736FE918" w14:textId="0DDC691B">
            <w:pPr>
              <w:keepNext/>
              <w:ind w:left="1318" w:right="177" w:hanging="1243"/>
            </w:pPr>
            <w:r w:rsidRPr="00BF4D0A">
              <w:rPr>
                <w:b/>
              </w:rPr>
              <w:t>Total</w:t>
            </w:r>
          </w:p>
        </w:tc>
        <w:tc>
          <w:tcPr>
            <w:tcW w:w="955" w:type="pct"/>
            <w:tcBorders>
              <w:top w:val="single" w:sz="8" w:space="0" w:color="000000"/>
              <w:bottom w:val="single" w:sz="8" w:space="0" w:color="000000"/>
            </w:tcBorders>
            <w:vAlign w:val="center"/>
          </w:tcPr>
          <w:p w:rsidR="00477EEC" w:rsidRPr="00BF4D0A" w:rsidP="00477EEC" w14:paraId="274E3827" w14:textId="77777777">
            <w:pPr>
              <w:keepNext/>
              <w:jc w:val="right"/>
              <w:rPr>
                <w:color w:val="000000"/>
              </w:rPr>
            </w:pPr>
          </w:p>
        </w:tc>
        <w:tc>
          <w:tcPr>
            <w:tcW w:w="1011" w:type="pct"/>
            <w:tcBorders>
              <w:top w:val="single" w:sz="8" w:space="0" w:color="000000"/>
              <w:bottom w:val="single" w:sz="8" w:space="0" w:color="000000"/>
            </w:tcBorders>
            <w:vAlign w:val="center"/>
          </w:tcPr>
          <w:p w:rsidR="00477EEC" w:rsidRPr="00BF4D0A" w:rsidP="00477EEC" w14:paraId="7ECD0283" w14:textId="5E127B32">
            <w:pPr>
              <w:keepNext/>
              <w:ind w:left="90" w:right="76"/>
              <w:jc w:val="right"/>
            </w:pPr>
            <w:r w:rsidRPr="00BF4D0A">
              <w:rPr>
                <w:b/>
              </w:rPr>
              <w:t>7,105</w:t>
            </w:r>
          </w:p>
        </w:tc>
        <w:tc>
          <w:tcPr>
            <w:tcW w:w="954" w:type="pct"/>
            <w:tcBorders>
              <w:top w:val="single" w:sz="8" w:space="0" w:color="000000"/>
              <w:bottom w:val="single" w:sz="8" w:space="0" w:color="000000"/>
            </w:tcBorders>
            <w:vAlign w:val="center"/>
          </w:tcPr>
          <w:p w:rsidR="00477EEC" w:rsidRPr="00A32BC6" w:rsidP="00477EEC" w14:paraId="19E64D55" w14:textId="40089E0C">
            <w:pPr>
              <w:keepNext/>
              <w:ind w:right="55"/>
              <w:jc w:val="right"/>
              <w:rPr>
                <w:color w:val="000000"/>
              </w:rPr>
            </w:pPr>
            <w:r w:rsidRPr="00BF4D0A">
              <w:rPr>
                <w:color w:val="000000"/>
              </w:rPr>
              <w:t>$</w:t>
            </w:r>
            <w:r>
              <w:rPr>
                <w:color w:val="000000"/>
              </w:rPr>
              <w:t>10,039,512</w:t>
            </w:r>
          </w:p>
        </w:tc>
      </w:tr>
      <w:tr w14:paraId="03010144" w14:textId="77777777" w:rsidTr="005711EA">
        <w:tblPrEx>
          <w:tblW w:w="5000" w:type="pct"/>
          <w:jc w:val="center"/>
          <w:tblCellMar>
            <w:left w:w="0" w:type="dxa"/>
            <w:right w:w="0" w:type="dxa"/>
          </w:tblCellMar>
          <w:tblLook w:val="01E0"/>
        </w:tblPrEx>
        <w:trPr>
          <w:trHeight w:val="20"/>
          <w:jc w:val="center"/>
        </w:trPr>
        <w:tc>
          <w:tcPr>
            <w:tcW w:w="2080" w:type="pct"/>
            <w:tcBorders>
              <w:top w:val="single" w:sz="8" w:space="0" w:color="000000"/>
            </w:tcBorders>
            <w:vAlign w:val="center"/>
          </w:tcPr>
          <w:p w:rsidR="006D3E95" w:rsidRPr="00BF4D0A" w:rsidP="006D3E95" w14:paraId="54ECFB6E" w14:textId="332BC266">
            <w:pPr>
              <w:keepNext/>
              <w:ind w:left="1318" w:right="177" w:hanging="1243"/>
              <w:jc w:val="right"/>
              <w:rPr>
                <w:b/>
              </w:rPr>
            </w:pPr>
            <w:r>
              <w:rPr>
                <w:b/>
              </w:rPr>
              <w:t>Grand Total</w:t>
            </w:r>
          </w:p>
        </w:tc>
        <w:tc>
          <w:tcPr>
            <w:tcW w:w="955" w:type="pct"/>
            <w:tcBorders>
              <w:top w:val="single" w:sz="8" w:space="0" w:color="000000"/>
            </w:tcBorders>
            <w:vAlign w:val="center"/>
          </w:tcPr>
          <w:p w:rsidR="006D3E95" w:rsidRPr="00BF4D0A" w:rsidP="006D3E95" w14:paraId="227680FB" w14:textId="77777777">
            <w:pPr>
              <w:keepNext/>
              <w:jc w:val="right"/>
              <w:rPr>
                <w:color w:val="000000"/>
              </w:rPr>
            </w:pPr>
          </w:p>
        </w:tc>
        <w:tc>
          <w:tcPr>
            <w:tcW w:w="1011" w:type="pct"/>
            <w:tcBorders>
              <w:top w:val="single" w:sz="8" w:space="0" w:color="000000"/>
            </w:tcBorders>
            <w:vAlign w:val="center"/>
          </w:tcPr>
          <w:p w:rsidR="006D3E95" w:rsidRPr="00BF4D0A" w:rsidP="006D3E95" w14:paraId="373EE4BE" w14:textId="37E1A207">
            <w:pPr>
              <w:keepNext/>
              <w:ind w:left="90" w:right="76"/>
              <w:jc w:val="right"/>
              <w:rPr>
                <w:b/>
              </w:rPr>
            </w:pPr>
            <w:r w:rsidRPr="00BF4D0A">
              <w:rPr>
                <w:b/>
              </w:rPr>
              <w:t>11,080</w:t>
            </w:r>
          </w:p>
        </w:tc>
        <w:tc>
          <w:tcPr>
            <w:tcW w:w="954" w:type="pct"/>
            <w:tcBorders>
              <w:top w:val="single" w:sz="8" w:space="0" w:color="000000"/>
            </w:tcBorders>
            <w:vAlign w:val="center"/>
          </w:tcPr>
          <w:p w:rsidR="006D3E95" w:rsidRPr="00BF4D0A" w:rsidP="006D3E95" w14:paraId="02DA1269" w14:textId="6611BA03">
            <w:pPr>
              <w:keepNext/>
              <w:ind w:right="55"/>
              <w:jc w:val="right"/>
              <w:rPr>
                <w:color w:val="000000"/>
              </w:rPr>
            </w:pPr>
            <w:r w:rsidRPr="00BF4D0A">
              <w:rPr>
                <w:b/>
                <w:color w:val="000000"/>
              </w:rPr>
              <w:t>$</w:t>
            </w:r>
            <w:r>
              <w:rPr>
                <w:b/>
                <w:color w:val="000000"/>
              </w:rPr>
              <w:t>11,473,158</w:t>
            </w:r>
          </w:p>
        </w:tc>
      </w:tr>
    </w:tbl>
    <w:p w:rsidR="00A616A3" w:rsidRPr="00BF4D0A" w:rsidP="00A616A3" w14:paraId="62D5CCB4" w14:textId="77777777">
      <w:pPr>
        <w:keepNext/>
        <w:ind w:left="640"/>
      </w:pPr>
      <w:r w:rsidRPr="00BF4D0A">
        <w:rPr>
          <w:w w:val="105"/>
          <w:position w:val="6"/>
        </w:rPr>
        <w:t>*</w:t>
      </w:r>
      <w:r w:rsidRPr="00BF4D0A">
        <w:rPr>
          <w:w w:val="105"/>
        </w:rPr>
        <w:t>Totals may not sum due to rounding.</w:t>
      </w:r>
    </w:p>
    <w:p w:rsidR="00A616A3" w:rsidP="00A616A3" w14:paraId="3F1AF227" w14:textId="77777777">
      <w:pPr>
        <w:ind w:firstLine="360"/>
      </w:pPr>
    </w:p>
    <w:p w:rsidR="00A616A3" w:rsidRPr="00227CD5" w:rsidP="00A616A3" w14:paraId="07C89711" w14:textId="5D66D537">
      <w:pPr>
        <w:rPr>
          <w:sz w:val="22"/>
          <w:szCs w:val="22"/>
          <w:highlight w:val="green"/>
        </w:rPr>
      </w:pPr>
      <w:r w:rsidRPr="00227CD5">
        <w:rPr>
          <w:rStyle w:val="Strong"/>
          <w:rFonts w:asciiTheme="majorBidi" w:hAnsiTheme="majorBidi" w:cstheme="majorBidi"/>
          <w:b w:val="0"/>
          <w:i/>
          <w:sz w:val="22"/>
          <w:szCs w:val="22"/>
        </w:rPr>
        <w:t xml:space="preserve">Emergency Backup Power for Perimeter Monitors, </w:t>
      </w:r>
      <w:r w:rsidRPr="00227CD5">
        <w:rPr>
          <w:rFonts w:asciiTheme="majorBidi" w:hAnsiTheme="majorBidi" w:cstheme="majorBidi"/>
          <w:i/>
          <w:sz w:val="22"/>
          <w:szCs w:val="22"/>
        </w:rPr>
        <w:t>Hazard Evaluation Amplifications, and RAGAGEP Gap Analysis</w:t>
      </w:r>
      <w:r w:rsidRPr="00227CD5">
        <w:rPr>
          <w:rStyle w:val="Strong"/>
          <w:rFonts w:asciiTheme="majorBidi" w:hAnsiTheme="majorBidi" w:cstheme="majorBidi"/>
          <w:b w:val="0"/>
          <w:i/>
          <w:sz w:val="22"/>
          <w:szCs w:val="22"/>
        </w:rPr>
        <w:t xml:space="preserve"> - </w:t>
      </w:r>
      <w:r w:rsidRPr="00680250" w:rsidR="002A51EB">
        <w:rPr>
          <w:sz w:val="22"/>
          <w:szCs w:val="22"/>
        </w:rPr>
        <w:t>The final rule will require Program 2 and 3 facilities to include in their RMP a justification for why the facility has not installed emergency backup power for each process without emergency backup power, and justifications for each declined natural hazards recommendation and stationary source siting recommendation. The final rule will also require Program 3 facilities to include in their RMP a justification for each declined PHA recommendation associated with the most recent version of RAGAGEP. EPA assumes the number of justifications for not implementing backup power will equal the number of Program 2 and 3 processes without backup power as of December 31, 2020. EPA assumes each Program 2 and Program 3 facility will, on average, provide two natural hazards justifications and two siting justifications, and each Program 3 facility will additionally average two RAGAGEP justifications.</w:t>
      </w:r>
      <w:r w:rsidRPr="00E657BD" w:rsidR="00E657BD">
        <w:t xml:space="preserve"> </w:t>
      </w:r>
      <w:r w:rsidRPr="00E657BD" w:rsidR="00E657BD">
        <w:rPr>
          <w:sz w:val="22"/>
          <w:szCs w:val="22"/>
        </w:rPr>
        <w:t>Exhibit 1</w:t>
      </w:r>
      <w:r w:rsidR="00E657BD">
        <w:rPr>
          <w:sz w:val="22"/>
          <w:szCs w:val="22"/>
        </w:rPr>
        <w:t>8</w:t>
      </w:r>
      <w:r w:rsidRPr="00E657BD" w:rsidR="00E657BD">
        <w:rPr>
          <w:sz w:val="22"/>
          <w:szCs w:val="22"/>
        </w:rPr>
        <w:t xml:space="preserve"> presents the costs for the provision.</w:t>
      </w:r>
    </w:p>
    <w:p w:rsidR="00A616A3" w:rsidP="00A616A3" w14:paraId="355812EF" w14:textId="77777777">
      <w:pPr>
        <w:rPr>
          <w:sz w:val="22"/>
          <w:szCs w:val="22"/>
          <w:highlight w:val="yellow"/>
        </w:rPr>
      </w:pPr>
    </w:p>
    <w:p w:rsidR="00A616A3" w:rsidRPr="00B87FD9" w:rsidP="00A616A3" w14:paraId="0EDB37AA" w14:textId="10A61787">
      <w:pPr>
        <w:pStyle w:val="Caption"/>
        <w:spacing w:after="0"/>
        <w:jc w:val="center"/>
        <w:rPr>
          <w:b/>
          <w:bCs/>
          <w:i w:val="0"/>
          <w:iCs w:val="0"/>
          <w:color w:val="auto"/>
          <w:sz w:val="22"/>
          <w:szCs w:val="22"/>
        </w:rPr>
      </w:pPr>
      <w:r w:rsidRPr="00B87FD9">
        <w:rPr>
          <w:b/>
          <w:bCs/>
          <w:i w:val="0"/>
          <w:iCs w:val="0"/>
          <w:color w:val="auto"/>
          <w:sz w:val="22"/>
          <w:szCs w:val="22"/>
        </w:rPr>
        <w:t xml:space="preserve">Exhibit </w:t>
      </w:r>
      <w:r>
        <w:rPr>
          <w:b/>
          <w:bCs/>
          <w:i w:val="0"/>
          <w:iCs w:val="0"/>
          <w:color w:val="auto"/>
          <w:sz w:val="22"/>
          <w:szCs w:val="22"/>
        </w:rPr>
        <w:t>18</w:t>
      </w:r>
      <w:r w:rsidRPr="00B87FD9">
        <w:rPr>
          <w:b/>
          <w:bCs/>
          <w:i w:val="0"/>
          <w:iCs w:val="0"/>
          <w:color w:val="auto"/>
          <w:sz w:val="22"/>
          <w:szCs w:val="22"/>
        </w:rPr>
        <w:t xml:space="preserve">: </w:t>
      </w:r>
      <w:r w:rsidRPr="00D21E4B" w:rsidR="009107C9">
        <w:rPr>
          <w:b/>
          <w:bCs/>
          <w:i w:val="0"/>
          <w:iCs w:val="0"/>
          <w:color w:val="auto"/>
          <w:sz w:val="22"/>
          <w:szCs w:val="22"/>
        </w:rPr>
        <w:t xml:space="preserve">Estimated Annualized </w:t>
      </w:r>
      <w:r w:rsidR="009107C9">
        <w:rPr>
          <w:b/>
          <w:bCs/>
          <w:i w:val="0"/>
          <w:iCs w:val="0"/>
          <w:color w:val="auto"/>
          <w:sz w:val="22"/>
          <w:szCs w:val="22"/>
        </w:rPr>
        <w:t xml:space="preserve">Labor </w:t>
      </w:r>
      <w:r w:rsidRPr="00D21E4B" w:rsidR="009107C9">
        <w:rPr>
          <w:b/>
          <w:bCs/>
          <w:i w:val="0"/>
          <w:iCs w:val="0"/>
          <w:color w:val="auto"/>
          <w:sz w:val="22"/>
          <w:szCs w:val="22"/>
        </w:rPr>
        <w:t xml:space="preserve">Costs for </w:t>
      </w:r>
      <w:r>
        <w:rPr>
          <w:b/>
          <w:bCs/>
          <w:i w:val="0"/>
          <w:iCs w:val="0"/>
          <w:color w:val="auto"/>
          <w:sz w:val="22"/>
          <w:szCs w:val="22"/>
        </w:rPr>
        <w:t>RMP Justifications</w:t>
      </w:r>
      <w:r w:rsidRPr="00B87FD9">
        <w:rPr>
          <w:b/>
          <w:bCs/>
          <w:i w:val="0"/>
          <w:iCs w:val="0"/>
          <w:color w:val="auto"/>
          <w:sz w:val="22"/>
          <w:szCs w:val="22"/>
        </w:rPr>
        <w:t xml:space="preserve"> (202</w:t>
      </w:r>
      <w:r>
        <w:rPr>
          <w:b/>
          <w:bCs/>
          <w:i w:val="0"/>
          <w:iCs w:val="0"/>
          <w:color w:val="auto"/>
          <w:sz w:val="22"/>
          <w:szCs w:val="22"/>
        </w:rPr>
        <w:t>2</w:t>
      </w:r>
      <w:r w:rsidRPr="00B87FD9">
        <w:rPr>
          <w:b/>
          <w:bCs/>
          <w:i w:val="0"/>
          <w:iCs w:val="0"/>
          <w:color w:val="auto"/>
          <w:sz w:val="22"/>
          <w:szCs w:val="22"/>
        </w:rPr>
        <w:t xml:space="preserve"> </w:t>
      </w:r>
      <w:r>
        <w:rPr>
          <w:b/>
          <w:bCs/>
          <w:i w:val="0"/>
          <w:iCs w:val="0"/>
          <w:color w:val="auto"/>
          <w:sz w:val="22"/>
          <w:szCs w:val="22"/>
        </w:rPr>
        <w:t>d</w:t>
      </w:r>
      <w:r w:rsidRPr="00B87FD9">
        <w:rPr>
          <w:b/>
          <w:bCs/>
          <w:i w:val="0"/>
          <w:iCs w:val="0"/>
          <w:color w:val="auto"/>
          <w:sz w:val="22"/>
          <w:szCs w:val="22"/>
        </w:rPr>
        <w:t>ollars)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tblPr>
      <w:tblGrid>
        <w:gridCol w:w="3635"/>
        <w:gridCol w:w="1639"/>
        <w:gridCol w:w="1725"/>
        <w:gridCol w:w="2345"/>
      </w:tblGrid>
      <w:tr w14:paraId="6DF43B40" w14:textId="77777777" w:rsidTr="005711EA">
        <w:tblPrEx>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tblPrEx>
        <w:trPr>
          <w:trHeight w:val="20"/>
          <w:tblHeader/>
          <w:jc w:val="center"/>
        </w:trPr>
        <w:tc>
          <w:tcPr>
            <w:tcW w:w="1945" w:type="pct"/>
            <w:tcBorders>
              <w:bottom w:val="single" w:sz="8" w:space="0" w:color="000000"/>
            </w:tcBorders>
            <w:shd w:val="clear" w:color="auto" w:fill="DADADA"/>
            <w:vAlign w:val="center"/>
          </w:tcPr>
          <w:p w:rsidR="00A616A3" w:rsidRPr="00BF4D0A" w14:paraId="0AF32A43" w14:textId="77777777">
            <w:pPr>
              <w:keepNext/>
              <w:ind w:left="1335" w:right="87" w:hanging="1162"/>
              <w:jc w:val="center"/>
              <w:rPr>
                <w:b/>
              </w:rPr>
            </w:pPr>
            <w:r w:rsidRPr="00BF4D0A">
              <w:rPr>
                <w:b/>
              </w:rPr>
              <w:t>Facility Type</w:t>
            </w:r>
          </w:p>
        </w:tc>
        <w:tc>
          <w:tcPr>
            <w:tcW w:w="877" w:type="pct"/>
            <w:tcBorders>
              <w:bottom w:val="single" w:sz="8" w:space="0" w:color="000000"/>
            </w:tcBorders>
            <w:shd w:val="clear" w:color="auto" w:fill="DADADA"/>
            <w:vAlign w:val="center"/>
          </w:tcPr>
          <w:p w:rsidR="00A616A3" w:rsidRPr="00BF4D0A" w14:paraId="56DC5A3F" w14:textId="77777777">
            <w:pPr>
              <w:keepNext/>
              <w:ind w:left="72"/>
              <w:jc w:val="center"/>
              <w:rPr>
                <w:b/>
              </w:rPr>
            </w:pPr>
            <w:r w:rsidRPr="00BF4D0A">
              <w:rPr>
                <w:b/>
              </w:rPr>
              <w:t>Unit Cost</w:t>
            </w:r>
          </w:p>
        </w:tc>
        <w:tc>
          <w:tcPr>
            <w:tcW w:w="923" w:type="pct"/>
            <w:tcBorders>
              <w:bottom w:val="single" w:sz="8" w:space="0" w:color="000000"/>
            </w:tcBorders>
            <w:shd w:val="clear" w:color="auto" w:fill="DADADA"/>
            <w:vAlign w:val="center"/>
          </w:tcPr>
          <w:p w:rsidR="00A616A3" w:rsidRPr="00BF4D0A" w14:paraId="5E7F02A5" w14:textId="77777777">
            <w:pPr>
              <w:keepNext/>
              <w:ind w:left="98" w:right="76"/>
              <w:jc w:val="center"/>
              <w:rPr>
                <w:b/>
              </w:rPr>
            </w:pPr>
            <w:r w:rsidRPr="00BF4D0A">
              <w:rPr>
                <w:b/>
              </w:rPr>
              <w:t>Facilities</w:t>
            </w:r>
          </w:p>
        </w:tc>
        <w:tc>
          <w:tcPr>
            <w:tcW w:w="1255" w:type="pct"/>
            <w:tcBorders>
              <w:bottom w:val="single" w:sz="8" w:space="0" w:color="000000"/>
            </w:tcBorders>
            <w:shd w:val="clear" w:color="auto" w:fill="DADADA"/>
            <w:vAlign w:val="center"/>
          </w:tcPr>
          <w:p w:rsidR="00A616A3" w:rsidRPr="00BF4D0A" w14:paraId="49955306" w14:textId="7E799926">
            <w:pPr>
              <w:keepNext/>
              <w:ind w:left="91" w:right="55"/>
              <w:jc w:val="center"/>
              <w:rPr>
                <w:b/>
              </w:rPr>
            </w:pPr>
            <w:r w:rsidRPr="00BF4D0A">
              <w:rPr>
                <w:b/>
              </w:rPr>
              <w:t>Total</w:t>
            </w:r>
            <w:r w:rsidR="00B55E83">
              <w:rPr>
                <w:b/>
              </w:rPr>
              <w:t xml:space="preserve"> Annualized</w:t>
            </w:r>
          </w:p>
          <w:p w:rsidR="00A616A3" w:rsidRPr="00BF4D0A" w14:paraId="009EFA48" w14:textId="77777777">
            <w:pPr>
              <w:keepNext/>
              <w:ind w:left="82" w:right="55"/>
              <w:jc w:val="center"/>
              <w:rPr>
                <w:b/>
              </w:rPr>
            </w:pPr>
            <w:r w:rsidRPr="00BF4D0A">
              <w:rPr>
                <w:b/>
              </w:rPr>
              <w:t>Cost</w:t>
            </w:r>
          </w:p>
        </w:tc>
      </w:tr>
      <w:tr w14:paraId="727F3658" w14:textId="77777777" w:rsidTr="00680250">
        <w:tblPrEx>
          <w:tblW w:w="5000" w:type="pct"/>
          <w:jc w:val="center"/>
          <w:tblCellMar>
            <w:left w:w="0" w:type="dxa"/>
            <w:right w:w="0" w:type="dxa"/>
          </w:tblCellMar>
          <w:tblLook w:val="01E0"/>
        </w:tblPrEx>
        <w:trPr>
          <w:trHeight w:val="20"/>
          <w:jc w:val="center"/>
        </w:trPr>
        <w:tc>
          <w:tcPr>
            <w:tcW w:w="5000" w:type="pct"/>
            <w:gridSpan w:val="4"/>
            <w:tcBorders>
              <w:top w:val="single" w:sz="8" w:space="0" w:color="000000"/>
              <w:bottom w:val="single" w:sz="4" w:space="0" w:color="auto"/>
            </w:tcBorders>
            <w:shd w:val="clear" w:color="auto" w:fill="F2F2F2" w:themeFill="background1" w:themeFillShade="F2"/>
            <w:vAlign w:val="center"/>
          </w:tcPr>
          <w:p w:rsidR="00A616A3" w:rsidRPr="00D20F30" w14:paraId="4D91EEB3" w14:textId="77777777">
            <w:pPr>
              <w:keepNext/>
              <w:ind w:left="165" w:right="79" w:hanging="90"/>
              <w:rPr>
                <w:b/>
              </w:rPr>
            </w:pPr>
            <w:r w:rsidRPr="00632D6B">
              <w:rPr>
                <w:b/>
              </w:rPr>
              <w:t>Emergency Backup Power for Perimeter Monitors Justification for No Backup Power</w:t>
            </w:r>
          </w:p>
        </w:tc>
      </w:tr>
      <w:tr w14:paraId="16C97AC2" w14:textId="77777777" w:rsidTr="005711EA">
        <w:tblPrEx>
          <w:tblW w:w="5000" w:type="pct"/>
          <w:jc w:val="center"/>
          <w:tblCellMar>
            <w:left w:w="0" w:type="dxa"/>
            <w:right w:w="0" w:type="dxa"/>
          </w:tblCellMar>
          <w:tblLook w:val="01E0"/>
        </w:tblPrEx>
        <w:trPr>
          <w:trHeight w:val="20"/>
          <w:jc w:val="center"/>
        </w:trPr>
        <w:tc>
          <w:tcPr>
            <w:tcW w:w="1945" w:type="pct"/>
            <w:tcBorders>
              <w:top w:val="single" w:sz="8" w:space="0" w:color="000000"/>
              <w:bottom w:val="single" w:sz="4" w:space="0" w:color="auto"/>
            </w:tcBorders>
            <w:shd w:val="clear" w:color="auto" w:fill="auto"/>
            <w:vAlign w:val="center"/>
          </w:tcPr>
          <w:p w:rsidR="00A616A3" w:rsidRPr="00680250" w14:paraId="1554CEB3" w14:textId="77777777">
            <w:pPr>
              <w:keepNext/>
              <w:ind w:left="165" w:right="79" w:hanging="90"/>
              <w:rPr>
                <w:bCs/>
              </w:rPr>
            </w:pPr>
            <w:r w:rsidRPr="00680250">
              <w:rPr>
                <w:bCs/>
                <w:szCs w:val="20"/>
              </w:rPr>
              <w:t>Simple</w:t>
            </w:r>
          </w:p>
        </w:tc>
        <w:tc>
          <w:tcPr>
            <w:tcW w:w="877" w:type="pct"/>
            <w:tcBorders>
              <w:top w:val="single" w:sz="8" w:space="0" w:color="000000"/>
              <w:bottom w:val="single" w:sz="4" w:space="0" w:color="auto"/>
            </w:tcBorders>
            <w:shd w:val="clear" w:color="auto" w:fill="auto"/>
            <w:vAlign w:val="center"/>
          </w:tcPr>
          <w:p w:rsidR="00A616A3" w14:paraId="64678E65" w14:textId="77777777">
            <w:pPr>
              <w:keepNext/>
              <w:ind w:left="165" w:right="79" w:hanging="90"/>
              <w:jc w:val="right"/>
              <w:rPr>
                <w:b/>
              </w:rPr>
            </w:pPr>
            <w:r>
              <w:rPr>
                <w:szCs w:val="20"/>
              </w:rPr>
              <w:t>$9.22</w:t>
            </w:r>
          </w:p>
        </w:tc>
        <w:tc>
          <w:tcPr>
            <w:tcW w:w="923" w:type="pct"/>
            <w:tcBorders>
              <w:top w:val="single" w:sz="8" w:space="0" w:color="000000"/>
              <w:bottom w:val="single" w:sz="4" w:space="0" w:color="auto"/>
            </w:tcBorders>
            <w:shd w:val="clear" w:color="auto" w:fill="auto"/>
            <w:vAlign w:val="center"/>
          </w:tcPr>
          <w:p w:rsidR="00A616A3" w14:paraId="73CEA7CF" w14:textId="77777777">
            <w:pPr>
              <w:keepNext/>
              <w:ind w:left="165" w:right="79" w:hanging="90"/>
              <w:jc w:val="right"/>
              <w:rPr>
                <w:b/>
              </w:rPr>
            </w:pPr>
            <w:r w:rsidRPr="00431428">
              <w:rPr>
                <w:szCs w:val="20"/>
              </w:rPr>
              <w:t>1,494.20</w:t>
            </w:r>
          </w:p>
        </w:tc>
        <w:tc>
          <w:tcPr>
            <w:tcW w:w="1255" w:type="pct"/>
            <w:tcBorders>
              <w:top w:val="single" w:sz="8" w:space="0" w:color="000000"/>
              <w:bottom w:val="single" w:sz="4" w:space="0" w:color="auto"/>
            </w:tcBorders>
            <w:shd w:val="clear" w:color="auto" w:fill="auto"/>
            <w:vAlign w:val="center"/>
          </w:tcPr>
          <w:p w:rsidR="00A616A3" w14:paraId="5A089859" w14:textId="04EC0971">
            <w:pPr>
              <w:keepNext/>
              <w:ind w:left="165" w:right="79" w:hanging="90"/>
              <w:jc w:val="right"/>
              <w:rPr>
                <w:b/>
              </w:rPr>
            </w:pPr>
            <w:r w:rsidRPr="00CF67B0">
              <w:rPr>
                <w:szCs w:val="20"/>
              </w:rPr>
              <w:t>$13,78</w:t>
            </w:r>
            <w:r w:rsidR="006C73E4">
              <w:rPr>
                <w:szCs w:val="20"/>
              </w:rPr>
              <w:t>4</w:t>
            </w:r>
          </w:p>
        </w:tc>
      </w:tr>
      <w:tr w14:paraId="75181AFF" w14:textId="77777777" w:rsidTr="005711EA">
        <w:tblPrEx>
          <w:tblW w:w="5000" w:type="pct"/>
          <w:jc w:val="center"/>
          <w:tblCellMar>
            <w:left w:w="0" w:type="dxa"/>
            <w:right w:w="0" w:type="dxa"/>
          </w:tblCellMar>
          <w:tblLook w:val="01E0"/>
        </w:tblPrEx>
        <w:trPr>
          <w:trHeight w:val="20"/>
          <w:jc w:val="center"/>
        </w:trPr>
        <w:tc>
          <w:tcPr>
            <w:tcW w:w="1945" w:type="pct"/>
            <w:tcBorders>
              <w:top w:val="single" w:sz="8" w:space="0" w:color="000000"/>
              <w:bottom w:val="single" w:sz="4" w:space="0" w:color="auto"/>
            </w:tcBorders>
            <w:shd w:val="clear" w:color="auto" w:fill="auto"/>
            <w:vAlign w:val="center"/>
          </w:tcPr>
          <w:p w:rsidR="00A616A3" w:rsidRPr="00680250" w14:paraId="4A771195" w14:textId="77777777">
            <w:pPr>
              <w:keepNext/>
              <w:ind w:left="165" w:right="79" w:hanging="90"/>
              <w:rPr>
                <w:bCs/>
              </w:rPr>
            </w:pPr>
            <w:r w:rsidRPr="00680250">
              <w:rPr>
                <w:bCs/>
                <w:szCs w:val="20"/>
              </w:rPr>
              <w:t>Complex</w:t>
            </w:r>
          </w:p>
        </w:tc>
        <w:tc>
          <w:tcPr>
            <w:tcW w:w="877" w:type="pct"/>
            <w:tcBorders>
              <w:top w:val="single" w:sz="8" w:space="0" w:color="000000"/>
              <w:bottom w:val="single" w:sz="4" w:space="0" w:color="auto"/>
            </w:tcBorders>
            <w:shd w:val="clear" w:color="auto" w:fill="auto"/>
            <w:vAlign w:val="center"/>
          </w:tcPr>
          <w:p w:rsidR="00A616A3" w14:paraId="3FB056BF" w14:textId="77777777">
            <w:pPr>
              <w:keepNext/>
              <w:ind w:left="165" w:right="79" w:hanging="90"/>
              <w:jc w:val="right"/>
              <w:rPr>
                <w:b/>
              </w:rPr>
            </w:pPr>
            <w:r>
              <w:rPr>
                <w:szCs w:val="20"/>
              </w:rPr>
              <w:t>$11.46</w:t>
            </w:r>
          </w:p>
        </w:tc>
        <w:tc>
          <w:tcPr>
            <w:tcW w:w="923" w:type="pct"/>
            <w:tcBorders>
              <w:top w:val="single" w:sz="8" w:space="0" w:color="000000"/>
              <w:bottom w:val="single" w:sz="4" w:space="0" w:color="auto"/>
            </w:tcBorders>
            <w:shd w:val="clear" w:color="auto" w:fill="auto"/>
            <w:vAlign w:val="center"/>
          </w:tcPr>
          <w:p w:rsidR="00A616A3" w:rsidRPr="00F3547C" w14:paraId="6AFCB221" w14:textId="77777777">
            <w:pPr>
              <w:keepNext/>
              <w:ind w:left="165" w:right="79" w:hanging="90"/>
              <w:jc w:val="right"/>
              <w:rPr>
                <w:b/>
                <w:bCs/>
                <w:szCs w:val="20"/>
              </w:rPr>
            </w:pPr>
            <w:r w:rsidRPr="0042205B">
              <w:rPr>
                <w:szCs w:val="20"/>
              </w:rPr>
              <w:t>175.80</w:t>
            </w:r>
          </w:p>
        </w:tc>
        <w:tc>
          <w:tcPr>
            <w:tcW w:w="1255" w:type="pct"/>
            <w:tcBorders>
              <w:top w:val="single" w:sz="8" w:space="0" w:color="000000"/>
              <w:bottom w:val="single" w:sz="4" w:space="0" w:color="auto"/>
            </w:tcBorders>
            <w:shd w:val="clear" w:color="auto" w:fill="auto"/>
            <w:vAlign w:val="center"/>
          </w:tcPr>
          <w:p w:rsidR="00A616A3" w:rsidRPr="00F3547C" w14:paraId="7B4A8688" w14:textId="7BCABCD8">
            <w:pPr>
              <w:keepNext/>
              <w:ind w:left="165" w:right="79" w:hanging="90"/>
              <w:jc w:val="right"/>
              <w:rPr>
                <w:b/>
                <w:bCs/>
                <w:szCs w:val="20"/>
              </w:rPr>
            </w:pPr>
            <w:r w:rsidRPr="00237FCF">
              <w:rPr>
                <w:szCs w:val="20"/>
              </w:rPr>
              <w:t>$2,01</w:t>
            </w:r>
            <w:r w:rsidR="006C73E4">
              <w:rPr>
                <w:szCs w:val="20"/>
              </w:rPr>
              <w:t>5</w:t>
            </w:r>
          </w:p>
        </w:tc>
      </w:tr>
      <w:tr w14:paraId="7743601A" w14:textId="77777777" w:rsidTr="005711EA">
        <w:tblPrEx>
          <w:tblW w:w="5000" w:type="pct"/>
          <w:jc w:val="center"/>
          <w:tblCellMar>
            <w:left w:w="0" w:type="dxa"/>
            <w:right w:w="0" w:type="dxa"/>
          </w:tblCellMar>
          <w:tblLook w:val="01E0"/>
        </w:tblPrEx>
        <w:trPr>
          <w:trHeight w:val="20"/>
          <w:jc w:val="center"/>
        </w:trPr>
        <w:tc>
          <w:tcPr>
            <w:tcW w:w="1945" w:type="pct"/>
            <w:tcBorders>
              <w:top w:val="single" w:sz="8" w:space="0" w:color="000000"/>
              <w:bottom w:val="single" w:sz="4" w:space="0" w:color="auto"/>
            </w:tcBorders>
            <w:shd w:val="clear" w:color="auto" w:fill="auto"/>
            <w:vAlign w:val="center"/>
          </w:tcPr>
          <w:p w:rsidR="00A616A3" w14:paraId="38D091C3" w14:textId="77777777">
            <w:pPr>
              <w:keepNext/>
              <w:ind w:left="165" w:right="79" w:hanging="90"/>
              <w:rPr>
                <w:b/>
              </w:rPr>
            </w:pPr>
            <w:r w:rsidRPr="00D20F30">
              <w:rPr>
                <w:b/>
              </w:rPr>
              <w:t>Total</w:t>
            </w:r>
          </w:p>
        </w:tc>
        <w:tc>
          <w:tcPr>
            <w:tcW w:w="877" w:type="pct"/>
            <w:tcBorders>
              <w:top w:val="single" w:sz="8" w:space="0" w:color="000000"/>
              <w:bottom w:val="single" w:sz="4" w:space="0" w:color="auto"/>
            </w:tcBorders>
            <w:shd w:val="clear" w:color="auto" w:fill="auto"/>
            <w:vAlign w:val="center"/>
          </w:tcPr>
          <w:p w:rsidR="00A616A3" w14:paraId="7D04523A" w14:textId="77777777">
            <w:pPr>
              <w:keepNext/>
              <w:ind w:left="165" w:right="79" w:hanging="90"/>
              <w:rPr>
                <w:b/>
              </w:rPr>
            </w:pPr>
          </w:p>
        </w:tc>
        <w:tc>
          <w:tcPr>
            <w:tcW w:w="923" w:type="pct"/>
            <w:tcBorders>
              <w:top w:val="single" w:sz="8" w:space="0" w:color="000000"/>
              <w:bottom w:val="single" w:sz="4" w:space="0" w:color="auto"/>
            </w:tcBorders>
            <w:shd w:val="clear" w:color="auto" w:fill="auto"/>
            <w:vAlign w:val="center"/>
          </w:tcPr>
          <w:p w:rsidR="00A616A3" w14:paraId="29D36B3D" w14:textId="77777777">
            <w:pPr>
              <w:keepNext/>
              <w:ind w:left="165" w:right="79" w:hanging="90"/>
              <w:jc w:val="right"/>
              <w:rPr>
                <w:b/>
              </w:rPr>
            </w:pPr>
            <w:r w:rsidRPr="00F3547C">
              <w:rPr>
                <w:b/>
                <w:bCs/>
                <w:szCs w:val="20"/>
              </w:rPr>
              <w:t>1,670</w:t>
            </w:r>
          </w:p>
        </w:tc>
        <w:tc>
          <w:tcPr>
            <w:tcW w:w="1255" w:type="pct"/>
            <w:tcBorders>
              <w:top w:val="single" w:sz="8" w:space="0" w:color="000000"/>
              <w:bottom w:val="single" w:sz="4" w:space="0" w:color="auto"/>
            </w:tcBorders>
            <w:shd w:val="clear" w:color="auto" w:fill="auto"/>
            <w:vAlign w:val="center"/>
          </w:tcPr>
          <w:p w:rsidR="00A616A3" w14:paraId="2EC5D9DB" w14:textId="7D5E1D01">
            <w:pPr>
              <w:keepNext/>
              <w:ind w:left="165" w:right="79" w:hanging="90"/>
              <w:jc w:val="right"/>
              <w:rPr>
                <w:b/>
              </w:rPr>
            </w:pPr>
            <w:r w:rsidRPr="00F3547C">
              <w:rPr>
                <w:b/>
                <w:bCs/>
                <w:szCs w:val="20"/>
              </w:rPr>
              <w:t>$15,798</w:t>
            </w:r>
          </w:p>
        </w:tc>
      </w:tr>
      <w:tr w14:paraId="712D6428" w14:textId="77777777" w:rsidTr="00680250">
        <w:tblPrEx>
          <w:tblW w:w="5000" w:type="pct"/>
          <w:jc w:val="center"/>
          <w:tblCellMar>
            <w:left w:w="0" w:type="dxa"/>
            <w:right w:w="0" w:type="dxa"/>
          </w:tblCellMar>
          <w:tblLook w:val="01E0"/>
        </w:tblPrEx>
        <w:trPr>
          <w:trHeight w:val="20"/>
          <w:jc w:val="center"/>
        </w:trPr>
        <w:tc>
          <w:tcPr>
            <w:tcW w:w="5000" w:type="pct"/>
            <w:gridSpan w:val="4"/>
            <w:tcBorders>
              <w:top w:val="single" w:sz="8" w:space="0" w:color="000000"/>
              <w:bottom w:val="single" w:sz="4" w:space="0" w:color="auto"/>
            </w:tcBorders>
            <w:shd w:val="clear" w:color="auto" w:fill="F2F2F2"/>
            <w:vAlign w:val="center"/>
          </w:tcPr>
          <w:p w:rsidR="00A616A3" w:rsidRPr="00BF4D0A" w14:paraId="6ECAB277" w14:textId="77777777">
            <w:pPr>
              <w:keepNext/>
              <w:ind w:left="165" w:right="79" w:hanging="90"/>
              <w:rPr>
                <w:b/>
              </w:rPr>
            </w:pPr>
            <w:r>
              <w:rPr>
                <w:b/>
              </w:rPr>
              <w:t>Facility Siting</w:t>
            </w:r>
          </w:p>
        </w:tc>
      </w:tr>
      <w:tr w14:paraId="2A4BDC58" w14:textId="77777777" w:rsidTr="005711EA">
        <w:tblPrEx>
          <w:tblW w:w="5000" w:type="pct"/>
          <w:jc w:val="center"/>
          <w:tblCellMar>
            <w:left w:w="0" w:type="dxa"/>
            <w:right w:w="0" w:type="dxa"/>
          </w:tblCellMar>
          <w:tblLook w:val="01E0"/>
        </w:tblPrEx>
        <w:trPr>
          <w:trHeight w:val="20"/>
          <w:jc w:val="center"/>
        </w:trPr>
        <w:tc>
          <w:tcPr>
            <w:tcW w:w="1945" w:type="pct"/>
            <w:tcBorders>
              <w:top w:val="single" w:sz="4" w:space="0" w:color="auto"/>
            </w:tcBorders>
            <w:vAlign w:val="center"/>
          </w:tcPr>
          <w:p w:rsidR="00A616A3" w:rsidRPr="00BF4D0A" w14:paraId="75684625" w14:textId="77777777">
            <w:pPr>
              <w:keepNext/>
              <w:ind w:left="112"/>
            </w:pPr>
            <w:r w:rsidRPr="00BF4D0A">
              <w:t>Simple</w:t>
            </w:r>
          </w:p>
        </w:tc>
        <w:tc>
          <w:tcPr>
            <w:tcW w:w="877" w:type="pct"/>
            <w:tcBorders>
              <w:top w:val="single" w:sz="4" w:space="0" w:color="auto"/>
            </w:tcBorders>
            <w:vAlign w:val="center"/>
          </w:tcPr>
          <w:p w:rsidR="00A616A3" w:rsidRPr="00BF4D0A" w14:paraId="11E3B0CD" w14:textId="77777777">
            <w:pPr>
              <w:keepNext/>
              <w:ind w:left="72" w:right="49"/>
              <w:jc w:val="right"/>
            </w:pPr>
            <w:r>
              <w:t>$9.22</w:t>
            </w:r>
          </w:p>
        </w:tc>
        <w:tc>
          <w:tcPr>
            <w:tcW w:w="923" w:type="pct"/>
            <w:tcBorders>
              <w:top w:val="single" w:sz="4" w:space="0" w:color="auto"/>
            </w:tcBorders>
            <w:vAlign w:val="center"/>
          </w:tcPr>
          <w:p w:rsidR="00A616A3" w:rsidRPr="00BF4D0A" w14:paraId="670260F7" w14:textId="77777777">
            <w:pPr>
              <w:keepNext/>
              <w:ind w:left="98" w:right="69"/>
              <w:jc w:val="right"/>
            </w:pPr>
            <w:r w:rsidRPr="004D1A7A">
              <w:t>3,795.60</w:t>
            </w:r>
          </w:p>
        </w:tc>
        <w:tc>
          <w:tcPr>
            <w:tcW w:w="1255" w:type="pct"/>
            <w:tcBorders>
              <w:top w:val="single" w:sz="4" w:space="0" w:color="auto"/>
            </w:tcBorders>
            <w:vAlign w:val="center"/>
          </w:tcPr>
          <w:p w:rsidR="00A616A3" w:rsidRPr="00BF4D0A" w14:paraId="614EE248" w14:textId="605C7CB0">
            <w:pPr>
              <w:keepNext/>
              <w:ind w:left="84" w:right="55"/>
              <w:jc w:val="right"/>
            </w:pPr>
            <w:r w:rsidRPr="00943ACB">
              <w:t>$35,01</w:t>
            </w:r>
            <w:r w:rsidR="006C73E4">
              <w:t>5</w:t>
            </w:r>
          </w:p>
        </w:tc>
      </w:tr>
      <w:tr w14:paraId="78E6C4B3" w14:textId="77777777" w:rsidTr="005711EA">
        <w:tblPrEx>
          <w:tblW w:w="5000" w:type="pct"/>
          <w:jc w:val="center"/>
          <w:tblCellMar>
            <w:left w:w="0" w:type="dxa"/>
            <w:right w:w="0" w:type="dxa"/>
          </w:tblCellMar>
          <w:tblLook w:val="01E0"/>
        </w:tblPrEx>
        <w:trPr>
          <w:trHeight w:val="20"/>
          <w:jc w:val="center"/>
        </w:trPr>
        <w:tc>
          <w:tcPr>
            <w:tcW w:w="1945" w:type="pct"/>
            <w:vAlign w:val="center"/>
          </w:tcPr>
          <w:p w:rsidR="00A616A3" w:rsidRPr="00BF4D0A" w14:paraId="3B50DCEF" w14:textId="77777777">
            <w:pPr>
              <w:ind w:left="112"/>
            </w:pPr>
            <w:r>
              <w:t>Complex</w:t>
            </w:r>
          </w:p>
        </w:tc>
        <w:tc>
          <w:tcPr>
            <w:tcW w:w="877" w:type="pct"/>
            <w:vAlign w:val="center"/>
          </w:tcPr>
          <w:p w:rsidR="00A616A3" w:rsidRPr="00BF4D0A" w14:paraId="1AFF0BB4" w14:textId="77777777">
            <w:pPr>
              <w:ind w:left="72" w:right="49"/>
              <w:jc w:val="right"/>
            </w:pPr>
            <w:r>
              <w:t>$11.46</w:t>
            </w:r>
          </w:p>
        </w:tc>
        <w:tc>
          <w:tcPr>
            <w:tcW w:w="923" w:type="pct"/>
            <w:vAlign w:val="center"/>
          </w:tcPr>
          <w:p w:rsidR="00A616A3" w:rsidRPr="00BF4D0A" w14:paraId="4570BD53" w14:textId="77777777">
            <w:pPr>
              <w:ind w:left="98" w:right="69"/>
              <w:jc w:val="right"/>
            </w:pPr>
            <w:r w:rsidRPr="004D1A7A">
              <w:t>636.40</w:t>
            </w:r>
          </w:p>
        </w:tc>
        <w:tc>
          <w:tcPr>
            <w:tcW w:w="1255" w:type="pct"/>
            <w:vAlign w:val="center"/>
          </w:tcPr>
          <w:p w:rsidR="00A616A3" w:rsidRPr="00BF4D0A" w14:paraId="111BF731" w14:textId="4AB2D858">
            <w:pPr>
              <w:ind w:left="69" w:right="55"/>
              <w:jc w:val="right"/>
            </w:pPr>
            <w:r w:rsidRPr="0062532D">
              <w:t>$7,293</w:t>
            </w:r>
          </w:p>
        </w:tc>
      </w:tr>
      <w:tr w14:paraId="0049092E" w14:textId="77777777" w:rsidTr="005711EA">
        <w:tblPrEx>
          <w:tblW w:w="5000" w:type="pct"/>
          <w:jc w:val="center"/>
          <w:tblCellMar>
            <w:left w:w="0" w:type="dxa"/>
            <w:right w:w="0" w:type="dxa"/>
          </w:tblCellMar>
          <w:tblLook w:val="01E0"/>
        </w:tblPrEx>
        <w:trPr>
          <w:trHeight w:val="20"/>
          <w:jc w:val="center"/>
        </w:trPr>
        <w:tc>
          <w:tcPr>
            <w:tcW w:w="1945" w:type="pct"/>
            <w:tcBorders>
              <w:bottom w:val="single" w:sz="4" w:space="0" w:color="auto"/>
            </w:tcBorders>
            <w:vAlign w:val="center"/>
          </w:tcPr>
          <w:p w:rsidR="00A616A3" w:rsidRPr="00BF4D0A" w14:paraId="4815062E" w14:textId="77777777">
            <w:pPr>
              <w:ind w:left="112"/>
              <w:rPr>
                <w:b/>
              </w:rPr>
            </w:pPr>
            <w:r w:rsidRPr="00BF4D0A">
              <w:rPr>
                <w:b/>
              </w:rPr>
              <w:t>Total</w:t>
            </w:r>
          </w:p>
        </w:tc>
        <w:tc>
          <w:tcPr>
            <w:tcW w:w="877" w:type="pct"/>
            <w:tcBorders>
              <w:bottom w:val="single" w:sz="4" w:space="0" w:color="auto"/>
            </w:tcBorders>
            <w:vAlign w:val="center"/>
          </w:tcPr>
          <w:p w:rsidR="00A616A3" w:rsidRPr="00BF4D0A" w14:paraId="78DBDE99" w14:textId="77777777">
            <w:pPr>
              <w:ind w:left="247" w:right="49"/>
              <w:jc w:val="right"/>
              <w:rPr>
                <w:b/>
              </w:rPr>
            </w:pPr>
          </w:p>
        </w:tc>
        <w:tc>
          <w:tcPr>
            <w:tcW w:w="923" w:type="pct"/>
            <w:tcBorders>
              <w:bottom w:val="single" w:sz="4" w:space="0" w:color="auto"/>
            </w:tcBorders>
            <w:vAlign w:val="center"/>
          </w:tcPr>
          <w:p w:rsidR="00A616A3" w:rsidRPr="00BF4D0A" w14:paraId="25F77ECE" w14:textId="77777777">
            <w:pPr>
              <w:ind w:left="98" w:right="69"/>
              <w:jc w:val="right"/>
              <w:rPr>
                <w:b/>
              </w:rPr>
            </w:pPr>
            <w:r w:rsidRPr="00EE1493">
              <w:rPr>
                <w:b/>
              </w:rPr>
              <w:t>4,432</w:t>
            </w:r>
          </w:p>
        </w:tc>
        <w:tc>
          <w:tcPr>
            <w:tcW w:w="1255" w:type="pct"/>
            <w:tcBorders>
              <w:bottom w:val="single" w:sz="4" w:space="0" w:color="auto"/>
            </w:tcBorders>
            <w:vAlign w:val="center"/>
          </w:tcPr>
          <w:p w:rsidR="00A616A3" w:rsidRPr="00BF4D0A" w14:paraId="22C87BFB" w14:textId="65E8A71E">
            <w:pPr>
              <w:ind w:left="69" w:right="55"/>
              <w:jc w:val="right"/>
              <w:rPr>
                <w:b/>
              </w:rPr>
            </w:pPr>
            <w:r w:rsidRPr="00943ACB">
              <w:rPr>
                <w:b/>
              </w:rPr>
              <w:t>$42,30</w:t>
            </w:r>
            <w:r w:rsidR="006C73E4">
              <w:rPr>
                <w:b/>
              </w:rPr>
              <w:t>7</w:t>
            </w:r>
          </w:p>
        </w:tc>
      </w:tr>
      <w:tr w14:paraId="34EA95AF" w14:textId="77777777" w:rsidTr="00680250">
        <w:tblPrEx>
          <w:tblW w:w="5000" w:type="pct"/>
          <w:jc w:val="center"/>
          <w:tblCellMar>
            <w:left w:w="0" w:type="dxa"/>
            <w:right w:w="0" w:type="dxa"/>
          </w:tblCellMar>
          <w:tblLook w:val="01E0"/>
        </w:tblPrEx>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A616A3" w:rsidRPr="00BF4D0A" w14:paraId="0CF1D7A5" w14:textId="77777777">
            <w:pPr>
              <w:ind w:right="49" w:firstLine="75"/>
              <w:rPr>
                <w:b/>
              </w:rPr>
            </w:pPr>
            <w:r>
              <w:rPr>
                <w:b/>
              </w:rPr>
              <w:t>Natural Hazards</w:t>
            </w:r>
          </w:p>
        </w:tc>
      </w:tr>
      <w:tr w14:paraId="26FEF670" w14:textId="77777777" w:rsidTr="005711EA">
        <w:tblPrEx>
          <w:tblW w:w="5000" w:type="pct"/>
          <w:jc w:val="center"/>
          <w:tblCellMar>
            <w:left w:w="0" w:type="dxa"/>
            <w:right w:w="0" w:type="dxa"/>
          </w:tblCellMar>
          <w:tblLook w:val="01E0"/>
        </w:tblPrEx>
        <w:trPr>
          <w:trHeight w:val="20"/>
          <w:jc w:val="center"/>
        </w:trPr>
        <w:tc>
          <w:tcPr>
            <w:tcW w:w="1945" w:type="pct"/>
            <w:tcBorders>
              <w:top w:val="single" w:sz="4" w:space="0" w:color="auto"/>
            </w:tcBorders>
            <w:vAlign w:val="center"/>
          </w:tcPr>
          <w:p w:rsidR="00A616A3" w:rsidRPr="00BF4D0A" w14:paraId="267D1A08" w14:textId="77777777">
            <w:pPr>
              <w:ind w:left="112"/>
            </w:pPr>
            <w:r w:rsidRPr="00BF4D0A">
              <w:t>Simple</w:t>
            </w:r>
          </w:p>
        </w:tc>
        <w:tc>
          <w:tcPr>
            <w:tcW w:w="877" w:type="pct"/>
            <w:tcBorders>
              <w:top w:val="single" w:sz="4" w:space="0" w:color="auto"/>
            </w:tcBorders>
            <w:vAlign w:val="center"/>
          </w:tcPr>
          <w:p w:rsidR="00A616A3" w:rsidRPr="00BF4D0A" w14:paraId="7C50EB55" w14:textId="77777777">
            <w:pPr>
              <w:ind w:left="247" w:right="49"/>
              <w:jc w:val="right"/>
            </w:pPr>
            <w:r>
              <w:t>$9.22</w:t>
            </w:r>
          </w:p>
        </w:tc>
        <w:tc>
          <w:tcPr>
            <w:tcW w:w="923" w:type="pct"/>
            <w:tcBorders>
              <w:top w:val="single" w:sz="4" w:space="0" w:color="auto"/>
            </w:tcBorders>
            <w:vAlign w:val="center"/>
          </w:tcPr>
          <w:p w:rsidR="00A616A3" w:rsidRPr="00BF4D0A" w14:paraId="47610D82" w14:textId="77777777">
            <w:pPr>
              <w:ind w:left="98" w:right="69"/>
              <w:jc w:val="right"/>
            </w:pPr>
            <w:r w:rsidRPr="004D1A7A">
              <w:t>3,795.60</w:t>
            </w:r>
          </w:p>
        </w:tc>
        <w:tc>
          <w:tcPr>
            <w:tcW w:w="1255" w:type="pct"/>
            <w:tcBorders>
              <w:top w:val="single" w:sz="4" w:space="0" w:color="auto"/>
            </w:tcBorders>
            <w:vAlign w:val="center"/>
          </w:tcPr>
          <w:p w:rsidR="00A616A3" w:rsidRPr="00BF4D0A" w14:paraId="71500C90" w14:textId="082AA94B">
            <w:pPr>
              <w:ind w:left="84" w:right="55"/>
              <w:jc w:val="right"/>
            </w:pPr>
            <w:r w:rsidRPr="00943ACB">
              <w:t>$35,01</w:t>
            </w:r>
            <w:r w:rsidR="006C73E4">
              <w:t>4</w:t>
            </w:r>
          </w:p>
        </w:tc>
      </w:tr>
      <w:tr w14:paraId="4EEB9727" w14:textId="77777777" w:rsidTr="005711EA">
        <w:tblPrEx>
          <w:tblW w:w="5000" w:type="pct"/>
          <w:jc w:val="center"/>
          <w:tblCellMar>
            <w:left w:w="0" w:type="dxa"/>
            <w:right w:w="0" w:type="dxa"/>
          </w:tblCellMar>
          <w:tblLook w:val="01E0"/>
        </w:tblPrEx>
        <w:trPr>
          <w:trHeight w:val="20"/>
          <w:jc w:val="center"/>
        </w:trPr>
        <w:tc>
          <w:tcPr>
            <w:tcW w:w="1945" w:type="pct"/>
            <w:tcBorders>
              <w:bottom w:val="single" w:sz="4" w:space="0" w:color="auto"/>
            </w:tcBorders>
            <w:vAlign w:val="center"/>
          </w:tcPr>
          <w:p w:rsidR="00A616A3" w:rsidRPr="00BF4D0A" w14:paraId="1E40DF8F" w14:textId="77777777">
            <w:pPr>
              <w:ind w:left="112"/>
            </w:pPr>
            <w:r w:rsidRPr="00BF4D0A">
              <w:t>Complex</w:t>
            </w:r>
          </w:p>
        </w:tc>
        <w:tc>
          <w:tcPr>
            <w:tcW w:w="877" w:type="pct"/>
            <w:tcBorders>
              <w:bottom w:val="single" w:sz="4" w:space="0" w:color="auto"/>
            </w:tcBorders>
            <w:vAlign w:val="center"/>
          </w:tcPr>
          <w:p w:rsidR="00A616A3" w:rsidRPr="00BF4D0A" w14:paraId="12F4A1FB" w14:textId="77777777">
            <w:pPr>
              <w:ind w:left="292" w:right="49"/>
              <w:jc w:val="right"/>
            </w:pPr>
            <w:r>
              <w:t>$11.46</w:t>
            </w:r>
          </w:p>
        </w:tc>
        <w:tc>
          <w:tcPr>
            <w:tcW w:w="923" w:type="pct"/>
            <w:tcBorders>
              <w:bottom w:val="single" w:sz="4" w:space="0" w:color="auto"/>
            </w:tcBorders>
            <w:vAlign w:val="center"/>
          </w:tcPr>
          <w:p w:rsidR="00A616A3" w:rsidRPr="00BF4D0A" w14:paraId="4DF6DD05" w14:textId="77777777">
            <w:pPr>
              <w:ind w:left="98" w:right="69"/>
              <w:jc w:val="right"/>
            </w:pPr>
            <w:r w:rsidRPr="004D1A7A">
              <w:t>636.40</w:t>
            </w:r>
          </w:p>
        </w:tc>
        <w:tc>
          <w:tcPr>
            <w:tcW w:w="1255" w:type="pct"/>
            <w:tcBorders>
              <w:bottom w:val="single" w:sz="4" w:space="0" w:color="auto"/>
            </w:tcBorders>
            <w:vAlign w:val="center"/>
          </w:tcPr>
          <w:p w:rsidR="00A616A3" w:rsidRPr="00BF4D0A" w14:paraId="1289E38F" w14:textId="196E03D8">
            <w:pPr>
              <w:ind w:left="84" w:right="55"/>
              <w:jc w:val="right"/>
            </w:pPr>
            <w:r w:rsidRPr="0062532D">
              <w:t>$7,293</w:t>
            </w:r>
          </w:p>
        </w:tc>
      </w:tr>
      <w:tr w14:paraId="2CF37802" w14:textId="77777777" w:rsidTr="005711EA">
        <w:tblPrEx>
          <w:tblW w:w="5000" w:type="pct"/>
          <w:jc w:val="center"/>
          <w:tblCellMar>
            <w:left w:w="0" w:type="dxa"/>
            <w:right w:w="0" w:type="dxa"/>
          </w:tblCellMar>
          <w:tblLook w:val="01E0"/>
        </w:tblPrEx>
        <w:trPr>
          <w:trHeight w:val="20"/>
          <w:jc w:val="center"/>
        </w:trPr>
        <w:tc>
          <w:tcPr>
            <w:tcW w:w="1945" w:type="pct"/>
            <w:tcBorders>
              <w:top w:val="single" w:sz="4" w:space="0" w:color="auto"/>
              <w:left w:val="single" w:sz="4" w:space="0" w:color="auto"/>
              <w:bottom w:val="single" w:sz="4" w:space="0" w:color="auto"/>
              <w:right w:val="single" w:sz="4" w:space="0" w:color="auto"/>
            </w:tcBorders>
            <w:vAlign w:val="center"/>
          </w:tcPr>
          <w:p w:rsidR="00A616A3" w:rsidRPr="00BF4D0A" w14:paraId="3F128178" w14:textId="77777777">
            <w:pPr>
              <w:ind w:left="112"/>
              <w:rPr>
                <w:b/>
              </w:rPr>
            </w:pPr>
            <w:r w:rsidRPr="00BF4D0A">
              <w:rPr>
                <w:b/>
              </w:rPr>
              <w:t>Total</w:t>
            </w:r>
          </w:p>
        </w:tc>
        <w:tc>
          <w:tcPr>
            <w:tcW w:w="877" w:type="pct"/>
            <w:tcBorders>
              <w:top w:val="single" w:sz="4" w:space="0" w:color="auto"/>
              <w:left w:val="single" w:sz="4" w:space="0" w:color="auto"/>
              <w:bottom w:val="single" w:sz="4" w:space="0" w:color="auto"/>
              <w:right w:val="single" w:sz="4" w:space="0" w:color="auto"/>
            </w:tcBorders>
            <w:vAlign w:val="center"/>
          </w:tcPr>
          <w:p w:rsidR="00A616A3" w:rsidRPr="00BF4D0A" w14:paraId="75A20A47" w14:textId="77777777">
            <w:pPr>
              <w:ind w:left="292"/>
              <w:jc w:val="right"/>
              <w:rPr>
                <w:b/>
              </w:rPr>
            </w:pPr>
          </w:p>
        </w:tc>
        <w:tc>
          <w:tcPr>
            <w:tcW w:w="923" w:type="pct"/>
            <w:tcBorders>
              <w:top w:val="single" w:sz="4" w:space="0" w:color="auto"/>
              <w:left w:val="single" w:sz="4" w:space="0" w:color="auto"/>
              <w:bottom w:val="single" w:sz="4" w:space="0" w:color="auto"/>
              <w:right w:val="single" w:sz="4" w:space="0" w:color="auto"/>
            </w:tcBorders>
            <w:vAlign w:val="center"/>
          </w:tcPr>
          <w:p w:rsidR="00A616A3" w:rsidRPr="00BF4D0A" w14:paraId="64714D69" w14:textId="77777777">
            <w:pPr>
              <w:ind w:left="98" w:right="69"/>
              <w:jc w:val="right"/>
              <w:rPr>
                <w:b/>
              </w:rPr>
            </w:pPr>
            <w:r w:rsidRPr="00EE1493">
              <w:rPr>
                <w:b/>
              </w:rPr>
              <w:t>4,432</w:t>
            </w:r>
          </w:p>
        </w:tc>
        <w:tc>
          <w:tcPr>
            <w:tcW w:w="1255" w:type="pct"/>
            <w:tcBorders>
              <w:top w:val="single" w:sz="4" w:space="0" w:color="auto"/>
              <w:left w:val="single" w:sz="4" w:space="0" w:color="auto"/>
              <w:bottom w:val="single" w:sz="4" w:space="0" w:color="auto"/>
              <w:right w:val="single" w:sz="4" w:space="0" w:color="auto"/>
            </w:tcBorders>
            <w:vAlign w:val="center"/>
          </w:tcPr>
          <w:p w:rsidR="00A616A3" w:rsidRPr="00BF4D0A" w14:paraId="69B3ACA7" w14:textId="02969689">
            <w:pPr>
              <w:ind w:left="84" w:right="55"/>
              <w:jc w:val="right"/>
              <w:rPr>
                <w:b/>
              </w:rPr>
            </w:pPr>
            <w:r w:rsidRPr="00943ACB">
              <w:rPr>
                <w:b/>
              </w:rPr>
              <w:t>$42,30</w:t>
            </w:r>
            <w:r w:rsidR="006C73E4">
              <w:rPr>
                <w:b/>
              </w:rPr>
              <w:t>7</w:t>
            </w:r>
          </w:p>
        </w:tc>
      </w:tr>
      <w:tr w14:paraId="7223F6D1" w14:textId="77777777" w:rsidTr="00680250">
        <w:tblPrEx>
          <w:tblW w:w="5000" w:type="pct"/>
          <w:jc w:val="center"/>
          <w:tblCellMar>
            <w:left w:w="0" w:type="dxa"/>
            <w:right w:w="0" w:type="dxa"/>
          </w:tblCellMar>
          <w:tblLook w:val="01E0"/>
        </w:tblPrEx>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A616A3" w:rsidRPr="00BF4D0A" w14:paraId="134FA970" w14:textId="77777777">
            <w:pPr>
              <w:ind w:right="49" w:firstLine="75"/>
              <w:rPr>
                <w:b/>
              </w:rPr>
            </w:pPr>
            <w:r>
              <w:rPr>
                <w:b/>
              </w:rPr>
              <w:t>RAGAGEP</w:t>
            </w:r>
          </w:p>
        </w:tc>
      </w:tr>
      <w:tr w14:paraId="6425E95A" w14:textId="77777777" w:rsidTr="005711EA">
        <w:tblPrEx>
          <w:tblW w:w="5000" w:type="pct"/>
          <w:jc w:val="center"/>
          <w:tblCellMar>
            <w:left w:w="0" w:type="dxa"/>
            <w:right w:w="0" w:type="dxa"/>
          </w:tblCellMar>
          <w:tblLook w:val="01E0"/>
        </w:tblPrEx>
        <w:trPr>
          <w:trHeight w:val="20"/>
          <w:jc w:val="center"/>
        </w:trPr>
        <w:tc>
          <w:tcPr>
            <w:tcW w:w="1945" w:type="pct"/>
            <w:tcBorders>
              <w:top w:val="single" w:sz="4" w:space="0" w:color="auto"/>
            </w:tcBorders>
            <w:vAlign w:val="center"/>
          </w:tcPr>
          <w:p w:rsidR="00A616A3" w:rsidRPr="00BF4D0A" w14:paraId="68C0948D" w14:textId="77777777">
            <w:pPr>
              <w:ind w:left="112"/>
            </w:pPr>
            <w:r w:rsidRPr="00BF4D0A">
              <w:t>Simple</w:t>
            </w:r>
          </w:p>
        </w:tc>
        <w:tc>
          <w:tcPr>
            <w:tcW w:w="877" w:type="pct"/>
            <w:tcBorders>
              <w:top w:val="single" w:sz="4" w:space="0" w:color="auto"/>
            </w:tcBorders>
            <w:vAlign w:val="center"/>
          </w:tcPr>
          <w:p w:rsidR="00A616A3" w:rsidRPr="00BF4D0A" w14:paraId="5F90DBE4" w14:textId="77777777">
            <w:pPr>
              <w:ind w:left="247" w:right="49"/>
              <w:jc w:val="right"/>
            </w:pPr>
            <w:r>
              <w:t>$9.22</w:t>
            </w:r>
          </w:p>
        </w:tc>
        <w:tc>
          <w:tcPr>
            <w:tcW w:w="923" w:type="pct"/>
            <w:tcBorders>
              <w:top w:val="single" w:sz="4" w:space="0" w:color="auto"/>
            </w:tcBorders>
            <w:vAlign w:val="center"/>
          </w:tcPr>
          <w:p w:rsidR="00A616A3" w:rsidRPr="00BF4D0A" w14:paraId="53509384" w14:textId="77777777">
            <w:pPr>
              <w:ind w:left="98" w:right="69"/>
              <w:jc w:val="right"/>
            </w:pPr>
            <w:r w:rsidRPr="004D1A7A">
              <w:t>2231.2</w:t>
            </w:r>
          </w:p>
        </w:tc>
        <w:tc>
          <w:tcPr>
            <w:tcW w:w="1255" w:type="pct"/>
            <w:tcBorders>
              <w:top w:val="single" w:sz="4" w:space="0" w:color="auto"/>
            </w:tcBorders>
            <w:vAlign w:val="center"/>
          </w:tcPr>
          <w:p w:rsidR="00A616A3" w:rsidRPr="00BF4D0A" w14:paraId="5538190D" w14:textId="17D61721">
            <w:pPr>
              <w:ind w:left="84" w:right="55"/>
              <w:jc w:val="right"/>
            </w:pPr>
            <w:r w:rsidRPr="0041156C">
              <w:t>$20,582</w:t>
            </w:r>
          </w:p>
        </w:tc>
      </w:tr>
      <w:tr w14:paraId="2B091F60" w14:textId="77777777" w:rsidTr="005711EA">
        <w:tblPrEx>
          <w:tblW w:w="5000" w:type="pct"/>
          <w:jc w:val="center"/>
          <w:tblCellMar>
            <w:left w:w="0" w:type="dxa"/>
            <w:right w:w="0" w:type="dxa"/>
          </w:tblCellMar>
          <w:tblLook w:val="01E0"/>
        </w:tblPrEx>
        <w:trPr>
          <w:trHeight w:val="20"/>
          <w:jc w:val="center"/>
        </w:trPr>
        <w:tc>
          <w:tcPr>
            <w:tcW w:w="1945" w:type="pct"/>
            <w:tcBorders>
              <w:bottom w:val="single" w:sz="4" w:space="0" w:color="auto"/>
            </w:tcBorders>
            <w:vAlign w:val="center"/>
          </w:tcPr>
          <w:p w:rsidR="00A616A3" w:rsidRPr="00BF4D0A" w14:paraId="1D761589" w14:textId="77777777">
            <w:pPr>
              <w:ind w:left="112"/>
            </w:pPr>
            <w:r w:rsidRPr="00BF4D0A">
              <w:t>Complex</w:t>
            </w:r>
          </w:p>
        </w:tc>
        <w:tc>
          <w:tcPr>
            <w:tcW w:w="877" w:type="pct"/>
            <w:tcBorders>
              <w:bottom w:val="single" w:sz="4" w:space="0" w:color="auto"/>
            </w:tcBorders>
            <w:vAlign w:val="center"/>
          </w:tcPr>
          <w:p w:rsidR="00A616A3" w:rsidRPr="00BF4D0A" w14:paraId="63D3B880" w14:textId="77777777">
            <w:pPr>
              <w:ind w:left="292" w:right="49"/>
              <w:jc w:val="right"/>
            </w:pPr>
            <w:r>
              <w:t>$11.46</w:t>
            </w:r>
          </w:p>
        </w:tc>
        <w:tc>
          <w:tcPr>
            <w:tcW w:w="923" w:type="pct"/>
            <w:tcBorders>
              <w:bottom w:val="single" w:sz="4" w:space="0" w:color="auto"/>
            </w:tcBorders>
            <w:vAlign w:val="center"/>
          </w:tcPr>
          <w:p w:rsidR="00A616A3" w:rsidRPr="00BF4D0A" w14:paraId="4C59E3A3" w14:textId="77777777">
            <w:pPr>
              <w:ind w:left="98" w:right="69"/>
              <w:jc w:val="right"/>
            </w:pPr>
            <w:r w:rsidRPr="004D1A7A">
              <w:t>610.8</w:t>
            </w:r>
          </w:p>
        </w:tc>
        <w:tc>
          <w:tcPr>
            <w:tcW w:w="1255" w:type="pct"/>
            <w:tcBorders>
              <w:bottom w:val="single" w:sz="4" w:space="0" w:color="auto"/>
            </w:tcBorders>
            <w:vAlign w:val="center"/>
          </w:tcPr>
          <w:p w:rsidR="00A616A3" w:rsidRPr="00BF4D0A" w14:paraId="2F7EB597" w14:textId="0A960052">
            <w:pPr>
              <w:ind w:left="84" w:right="55"/>
              <w:jc w:val="right"/>
            </w:pPr>
            <w:r w:rsidRPr="0041156C">
              <w:t>$</w:t>
            </w:r>
            <w:r w:rsidR="006C73E4">
              <w:t>7,000</w:t>
            </w:r>
          </w:p>
        </w:tc>
      </w:tr>
      <w:tr w14:paraId="7F10C23D" w14:textId="77777777" w:rsidTr="005711EA">
        <w:tblPrEx>
          <w:tblW w:w="5000" w:type="pct"/>
          <w:jc w:val="center"/>
          <w:tblCellMar>
            <w:left w:w="0" w:type="dxa"/>
            <w:right w:w="0" w:type="dxa"/>
          </w:tblCellMar>
          <w:tblLook w:val="01E0"/>
        </w:tblPrEx>
        <w:trPr>
          <w:trHeight w:val="20"/>
          <w:jc w:val="center"/>
        </w:trPr>
        <w:tc>
          <w:tcPr>
            <w:tcW w:w="1945" w:type="pct"/>
            <w:tcBorders>
              <w:top w:val="single" w:sz="4" w:space="0" w:color="auto"/>
              <w:bottom w:val="single" w:sz="8" w:space="0" w:color="000000"/>
            </w:tcBorders>
            <w:vAlign w:val="center"/>
          </w:tcPr>
          <w:p w:rsidR="00A616A3" w:rsidRPr="00BF4D0A" w14:paraId="18055E39" w14:textId="77777777">
            <w:pPr>
              <w:ind w:left="112"/>
              <w:rPr>
                <w:b/>
              </w:rPr>
            </w:pPr>
            <w:r w:rsidRPr="00BF4D0A">
              <w:rPr>
                <w:b/>
              </w:rPr>
              <w:t>Total</w:t>
            </w:r>
          </w:p>
        </w:tc>
        <w:tc>
          <w:tcPr>
            <w:tcW w:w="877" w:type="pct"/>
            <w:tcBorders>
              <w:top w:val="single" w:sz="4" w:space="0" w:color="auto"/>
              <w:bottom w:val="single" w:sz="8" w:space="0" w:color="000000"/>
            </w:tcBorders>
            <w:vAlign w:val="center"/>
          </w:tcPr>
          <w:p w:rsidR="00A616A3" w:rsidRPr="00BF4D0A" w14:paraId="1106096F" w14:textId="77777777">
            <w:pPr>
              <w:ind w:left="292"/>
              <w:jc w:val="right"/>
              <w:rPr>
                <w:b/>
              </w:rPr>
            </w:pPr>
          </w:p>
        </w:tc>
        <w:tc>
          <w:tcPr>
            <w:tcW w:w="923" w:type="pct"/>
            <w:tcBorders>
              <w:top w:val="single" w:sz="4" w:space="0" w:color="auto"/>
              <w:bottom w:val="single" w:sz="8" w:space="0" w:color="000000"/>
            </w:tcBorders>
            <w:vAlign w:val="center"/>
          </w:tcPr>
          <w:p w:rsidR="00A616A3" w:rsidRPr="00BF4D0A" w14:paraId="2FA4A78A" w14:textId="77777777">
            <w:pPr>
              <w:ind w:left="98" w:right="69"/>
              <w:jc w:val="right"/>
              <w:rPr>
                <w:b/>
              </w:rPr>
            </w:pPr>
            <w:r w:rsidRPr="00A77D13">
              <w:rPr>
                <w:b/>
              </w:rPr>
              <w:t>2,842</w:t>
            </w:r>
          </w:p>
        </w:tc>
        <w:tc>
          <w:tcPr>
            <w:tcW w:w="1255" w:type="pct"/>
            <w:tcBorders>
              <w:top w:val="single" w:sz="4" w:space="0" w:color="auto"/>
              <w:bottom w:val="single" w:sz="8" w:space="0" w:color="000000"/>
            </w:tcBorders>
            <w:vAlign w:val="center"/>
          </w:tcPr>
          <w:p w:rsidR="00A616A3" w:rsidRPr="00BF4D0A" w14:paraId="5ABC2628" w14:textId="51B91570">
            <w:pPr>
              <w:ind w:left="84" w:right="55"/>
              <w:jc w:val="right"/>
              <w:rPr>
                <w:b/>
              </w:rPr>
            </w:pPr>
            <w:r w:rsidRPr="005A7CD8">
              <w:rPr>
                <w:b/>
              </w:rPr>
              <w:t>$27,582</w:t>
            </w:r>
          </w:p>
        </w:tc>
      </w:tr>
      <w:tr w14:paraId="26645FB9" w14:textId="77777777" w:rsidTr="005711EA">
        <w:tblPrEx>
          <w:tblW w:w="5000" w:type="pct"/>
          <w:jc w:val="center"/>
          <w:tblCellMar>
            <w:left w:w="0" w:type="dxa"/>
            <w:right w:w="0" w:type="dxa"/>
          </w:tblCellMar>
          <w:tblLook w:val="01E0"/>
        </w:tblPrEx>
        <w:trPr>
          <w:trHeight w:val="20"/>
          <w:jc w:val="center"/>
        </w:trPr>
        <w:tc>
          <w:tcPr>
            <w:tcW w:w="1945" w:type="pct"/>
            <w:tcBorders>
              <w:top w:val="single" w:sz="8" w:space="0" w:color="000000"/>
            </w:tcBorders>
            <w:vAlign w:val="center"/>
          </w:tcPr>
          <w:p w:rsidR="00A616A3" w:rsidRPr="00BF4D0A" w14:paraId="40F8AC13" w14:textId="77777777">
            <w:pPr>
              <w:keepNext/>
              <w:ind w:left="1318" w:right="177" w:hanging="1243"/>
              <w:jc w:val="center"/>
              <w:rPr>
                <w:b/>
              </w:rPr>
            </w:pPr>
            <w:r w:rsidRPr="00BF4D0A">
              <w:rPr>
                <w:b/>
              </w:rPr>
              <w:t>Grand Total</w:t>
            </w:r>
          </w:p>
        </w:tc>
        <w:tc>
          <w:tcPr>
            <w:tcW w:w="877" w:type="pct"/>
            <w:tcBorders>
              <w:top w:val="single" w:sz="8" w:space="0" w:color="000000"/>
            </w:tcBorders>
            <w:vAlign w:val="center"/>
          </w:tcPr>
          <w:p w:rsidR="00A616A3" w:rsidRPr="00BF4D0A" w14:paraId="32B1FEA1" w14:textId="77777777">
            <w:pPr>
              <w:keepNext/>
              <w:jc w:val="right"/>
            </w:pPr>
          </w:p>
        </w:tc>
        <w:tc>
          <w:tcPr>
            <w:tcW w:w="923" w:type="pct"/>
            <w:tcBorders>
              <w:top w:val="single" w:sz="8" w:space="0" w:color="000000"/>
            </w:tcBorders>
            <w:vAlign w:val="center"/>
          </w:tcPr>
          <w:p w:rsidR="00A616A3" w:rsidRPr="00BF4D0A" w14:paraId="7182244D" w14:textId="77777777">
            <w:pPr>
              <w:keepNext/>
              <w:ind w:left="90" w:right="76"/>
              <w:jc w:val="right"/>
              <w:rPr>
                <w:b/>
              </w:rPr>
            </w:pPr>
            <w:r w:rsidRPr="00FE34C0">
              <w:rPr>
                <w:b/>
              </w:rPr>
              <w:t>1</w:t>
            </w:r>
            <w:r>
              <w:rPr>
                <w:b/>
              </w:rPr>
              <w:t>3,3</w:t>
            </w:r>
            <w:r w:rsidRPr="00FE34C0">
              <w:rPr>
                <w:b/>
              </w:rPr>
              <w:t>76</w:t>
            </w:r>
          </w:p>
        </w:tc>
        <w:tc>
          <w:tcPr>
            <w:tcW w:w="1255" w:type="pct"/>
            <w:tcBorders>
              <w:top w:val="single" w:sz="8" w:space="0" w:color="000000"/>
            </w:tcBorders>
            <w:vAlign w:val="center"/>
          </w:tcPr>
          <w:p w:rsidR="00A616A3" w:rsidRPr="00BF4D0A" w14:paraId="28B7988F" w14:textId="4A9F944B">
            <w:pPr>
              <w:keepNext/>
              <w:ind w:right="55"/>
              <w:jc w:val="right"/>
              <w:rPr>
                <w:b/>
              </w:rPr>
            </w:pPr>
            <w:r w:rsidRPr="005A7CD8">
              <w:rPr>
                <w:b/>
              </w:rPr>
              <w:t>$</w:t>
            </w:r>
            <w:r>
              <w:rPr>
                <w:b/>
              </w:rPr>
              <w:t>127</w:t>
            </w:r>
            <w:r w:rsidRPr="005A7CD8">
              <w:rPr>
                <w:b/>
              </w:rPr>
              <w:t>,</w:t>
            </w:r>
            <w:r>
              <w:rPr>
                <w:b/>
              </w:rPr>
              <w:t>99</w:t>
            </w:r>
            <w:r w:rsidR="006C73E4">
              <w:rPr>
                <w:b/>
              </w:rPr>
              <w:t>5</w:t>
            </w:r>
          </w:p>
        </w:tc>
      </w:tr>
    </w:tbl>
    <w:p w:rsidR="00A616A3" w:rsidP="00A616A3" w14:paraId="73B8F167"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highlight w:val="yellow"/>
        </w:rPr>
      </w:pPr>
    </w:p>
    <w:p w:rsidR="00A616A3" w:rsidRPr="00DF7A6C" w:rsidP="00A616A3" w14:paraId="1911FB46" w14:textId="77777777">
      <w:pPr>
        <w:rPr>
          <w:sz w:val="22"/>
          <w:szCs w:val="28"/>
        </w:rPr>
      </w:pPr>
      <w:r w:rsidRPr="00DF7A6C">
        <w:rPr>
          <w:bCs/>
          <w:i/>
          <w:iCs/>
          <w:sz w:val="22"/>
          <w:szCs w:val="28"/>
          <w:lang w:bidi="en-US"/>
        </w:rPr>
        <w:t>Community Notification of RMP Accidents</w:t>
      </w:r>
      <w:r>
        <w:rPr>
          <w:bCs/>
          <w:i/>
          <w:iCs/>
          <w:sz w:val="22"/>
          <w:szCs w:val="28"/>
          <w:lang w:bidi="en-US"/>
        </w:rPr>
        <w:t xml:space="preserve"> - </w:t>
      </w:r>
      <w:r w:rsidRPr="00DF7A6C">
        <w:rPr>
          <w:sz w:val="22"/>
          <w:szCs w:val="28"/>
        </w:rPr>
        <w:t xml:space="preserve">The RMP rule </w:t>
      </w:r>
      <w:r>
        <w:rPr>
          <w:sz w:val="22"/>
          <w:szCs w:val="28"/>
        </w:rPr>
        <w:t>previously required</w:t>
      </w:r>
      <w:r w:rsidRPr="00DF7A6C">
        <w:rPr>
          <w:sz w:val="22"/>
          <w:szCs w:val="28"/>
        </w:rPr>
        <w:t xml:space="preserve"> only responding Program 2 and 3 facilities to have procedures in place for informing the public and the appropriate Federal, State, and local emergency response agencies about accidental releases. The </w:t>
      </w:r>
      <w:r>
        <w:rPr>
          <w:sz w:val="22"/>
          <w:szCs w:val="28"/>
        </w:rPr>
        <w:t>final</w:t>
      </w:r>
      <w:r w:rsidRPr="00DF7A6C">
        <w:rPr>
          <w:sz w:val="22"/>
          <w:szCs w:val="28"/>
        </w:rPr>
        <w:t xml:space="preserve"> rule require</w:t>
      </w:r>
      <w:r>
        <w:rPr>
          <w:sz w:val="22"/>
          <w:szCs w:val="28"/>
        </w:rPr>
        <w:t>s</w:t>
      </w:r>
      <w:r w:rsidRPr="00DF7A6C">
        <w:rPr>
          <w:sz w:val="22"/>
          <w:szCs w:val="28"/>
        </w:rPr>
        <w:t xml:space="preserve"> both responding and non-responding Program 2 and 3 facilities to ensure a community notification system is in place. This analysis assumes that facilities are coordinating annually with LEPCs to ensure a community notification system is used to communicate information about RMP-reportable accidents. Exhibit </w:t>
      </w:r>
      <w:r>
        <w:rPr>
          <w:sz w:val="22"/>
          <w:szCs w:val="28"/>
        </w:rPr>
        <w:t>19</w:t>
      </w:r>
      <w:r w:rsidRPr="00DF7A6C">
        <w:rPr>
          <w:sz w:val="22"/>
          <w:szCs w:val="28"/>
        </w:rPr>
        <w:t xml:space="preserve"> presents the cost for this provision.</w:t>
      </w:r>
    </w:p>
    <w:p w:rsidR="00A616A3" w:rsidRPr="00BF4D0A" w:rsidP="00A616A3" w14:paraId="61E173D6" w14:textId="77777777">
      <w:pPr>
        <w:ind w:firstLine="720"/>
      </w:pPr>
    </w:p>
    <w:p w:rsidR="007D2D2B" w:rsidP="00A616A3" w14:paraId="01C29E9A" w14:textId="77777777">
      <w:pPr>
        <w:keepNext/>
        <w:jc w:val="center"/>
        <w:rPr>
          <w:b/>
          <w:sz w:val="22"/>
          <w:szCs w:val="28"/>
        </w:rPr>
      </w:pPr>
      <w:r w:rsidRPr="009C6838">
        <w:rPr>
          <w:b/>
          <w:bCs/>
          <w:sz w:val="22"/>
          <w:szCs w:val="28"/>
        </w:rPr>
        <w:t>Exhibit</w:t>
      </w:r>
      <w:r w:rsidRPr="009C6838">
        <w:rPr>
          <w:sz w:val="22"/>
          <w:szCs w:val="28"/>
        </w:rPr>
        <w:t xml:space="preserve"> </w:t>
      </w:r>
      <w:r w:rsidRPr="009C6838">
        <w:rPr>
          <w:b/>
          <w:sz w:val="22"/>
          <w:szCs w:val="28"/>
        </w:rPr>
        <w:t>1</w:t>
      </w:r>
      <w:r>
        <w:rPr>
          <w:b/>
          <w:sz w:val="22"/>
          <w:szCs w:val="28"/>
        </w:rPr>
        <w:t>9</w:t>
      </w:r>
      <w:r w:rsidRPr="009C6838">
        <w:rPr>
          <w:b/>
          <w:sz w:val="22"/>
          <w:szCs w:val="28"/>
        </w:rPr>
        <w:t xml:space="preserve">: </w:t>
      </w:r>
      <w:r w:rsidRPr="00680250" w:rsidR="009107C9">
        <w:rPr>
          <w:b/>
          <w:bCs/>
          <w:sz w:val="22"/>
          <w:szCs w:val="22"/>
        </w:rPr>
        <w:t xml:space="preserve">Estimated Annualized Labor Costs for </w:t>
      </w:r>
      <w:r w:rsidRPr="009107C9">
        <w:rPr>
          <w:b/>
          <w:sz w:val="22"/>
          <w:szCs w:val="28"/>
        </w:rPr>
        <w:t>C</w:t>
      </w:r>
      <w:r w:rsidRPr="009C6838">
        <w:rPr>
          <w:b/>
          <w:sz w:val="22"/>
          <w:szCs w:val="28"/>
        </w:rPr>
        <w:t xml:space="preserve">oordinating Community Notification </w:t>
      </w:r>
    </w:p>
    <w:p w:rsidR="00A616A3" w:rsidRPr="009C6838" w:rsidP="00A616A3" w14:paraId="2125B68E" w14:textId="68117BAE">
      <w:pPr>
        <w:keepNext/>
        <w:jc w:val="center"/>
        <w:rPr>
          <w:b/>
          <w:sz w:val="22"/>
          <w:szCs w:val="28"/>
        </w:rPr>
      </w:pPr>
      <w:r w:rsidRPr="009C6838">
        <w:rPr>
          <w:b/>
          <w:sz w:val="22"/>
          <w:szCs w:val="28"/>
        </w:rPr>
        <w:t>(202</w:t>
      </w:r>
      <w:r>
        <w:rPr>
          <w:b/>
          <w:sz w:val="22"/>
          <w:szCs w:val="28"/>
        </w:rPr>
        <w:t>2</w:t>
      </w:r>
      <w:r w:rsidRPr="009C6838">
        <w:rPr>
          <w:b/>
          <w:sz w:val="22"/>
          <w:szCs w:val="28"/>
        </w:rPr>
        <w:t xml:space="preserve"> dollars)</w:t>
      </w:r>
    </w:p>
    <w:tbl>
      <w:tblPr>
        <w:tblW w:w="2740" w:type="pct"/>
        <w:tblInd w:w="2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tblPr>
      <w:tblGrid>
        <w:gridCol w:w="1588"/>
        <w:gridCol w:w="1151"/>
        <w:gridCol w:w="1099"/>
        <w:gridCol w:w="1283"/>
      </w:tblGrid>
      <w:tr w14:paraId="65E29BB3" w14:textId="77777777" w:rsidTr="008D1031">
        <w:tblPrEx>
          <w:tblW w:w="2740" w:type="pct"/>
          <w:tblInd w:w="2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tblPrEx>
        <w:trPr>
          <w:trHeight w:val="20"/>
          <w:tblHeader/>
        </w:trPr>
        <w:tc>
          <w:tcPr>
            <w:tcW w:w="1550" w:type="pct"/>
            <w:shd w:val="clear" w:color="auto" w:fill="DADADA"/>
            <w:vAlign w:val="bottom"/>
          </w:tcPr>
          <w:p w:rsidR="00A616A3" w:rsidRPr="00BF4D0A" w14:paraId="3ED928F2" w14:textId="77777777">
            <w:pPr>
              <w:keepNext/>
              <w:ind w:hanging="17"/>
              <w:rPr>
                <w:b/>
              </w:rPr>
            </w:pPr>
            <w:r>
              <w:rPr>
                <w:b/>
              </w:rPr>
              <w:t xml:space="preserve">  </w:t>
            </w:r>
            <w:r w:rsidRPr="00BF4D0A">
              <w:rPr>
                <w:b/>
              </w:rPr>
              <w:t>Facility Type</w:t>
            </w:r>
          </w:p>
        </w:tc>
        <w:tc>
          <w:tcPr>
            <w:tcW w:w="1124" w:type="pct"/>
            <w:shd w:val="clear" w:color="auto" w:fill="DADADA"/>
            <w:vAlign w:val="bottom"/>
          </w:tcPr>
          <w:p w:rsidR="00A616A3" w:rsidRPr="00BF4D0A" w14:paraId="4F61A3E6" w14:textId="77777777">
            <w:pPr>
              <w:keepNext/>
              <w:ind w:left="79" w:right="52"/>
              <w:jc w:val="center"/>
              <w:rPr>
                <w:b/>
              </w:rPr>
            </w:pPr>
            <w:r w:rsidRPr="00BF4D0A">
              <w:rPr>
                <w:b/>
              </w:rPr>
              <w:t>Unit Cost</w:t>
            </w:r>
          </w:p>
        </w:tc>
        <w:tc>
          <w:tcPr>
            <w:tcW w:w="1073" w:type="pct"/>
            <w:tcBorders>
              <w:right w:val="single" w:sz="8" w:space="0" w:color="000000"/>
            </w:tcBorders>
            <w:shd w:val="clear" w:color="auto" w:fill="DADADA"/>
            <w:vAlign w:val="bottom"/>
          </w:tcPr>
          <w:p w:rsidR="00A616A3" w:rsidRPr="00BF4D0A" w14:paraId="6FD98EFC" w14:textId="77777777">
            <w:pPr>
              <w:keepNext/>
              <w:ind w:left="66" w:right="67"/>
              <w:jc w:val="center"/>
              <w:rPr>
                <w:b/>
              </w:rPr>
            </w:pPr>
            <w:r w:rsidRPr="00BF4D0A">
              <w:rPr>
                <w:b/>
              </w:rPr>
              <w:t>Facilities</w:t>
            </w:r>
          </w:p>
        </w:tc>
        <w:tc>
          <w:tcPr>
            <w:tcW w:w="1253" w:type="pct"/>
            <w:tcBorders>
              <w:left w:val="single" w:sz="8" w:space="0" w:color="000000"/>
            </w:tcBorders>
            <w:shd w:val="clear" w:color="auto" w:fill="DADADA"/>
            <w:vAlign w:val="bottom"/>
          </w:tcPr>
          <w:p w:rsidR="00A616A3" w:rsidRPr="00BF4D0A" w14:paraId="084F50FC" w14:textId="7D49CB3C">
            <w:pPr>
              <w:keepNext/>
              <w:ind w:left="76" w:right="51"/>
              <w:jc w:val="center"/>
              <w:rPr>
                <w:b/>
              </w:rPr>
            </w:pPr>
            <w:r w:rsidRPr="00BF4D0A">
              <w:rPr>
                <w:b/>
              </w:rPr>
              <w:t xml:space="preserve">Total </w:t>
            </w:r>
            <w:r w:rsidR="00B55E83">
              <w:rPr>
                <w:b/>
              </w:rPr>
              <w:t xml:space="preserve">Annualized </w:t>
            </w:r>
            <w:r w:rsidRPr="00BF4D0A">
              <w:rPr>
                <w:b/>
              </w:rPr>
              <w:t>Cost</w:t>
            </w:r>
          </w:p>
        </w:tc>
      </w:tr>
      <w:tr w14:paraId="6D4F06AE" w14:textId="77777777" w:rsidTr="00680250">
        <w:tblPrEx>
          <w:tblW w:w="2740" w:type="pct"/>
          <w:tblInd w:w="2110" w:type="dxa"/>
          <w:tblCellMar>
            <w:left w:w="0" w:type="dxa"/>
            <w:right w:w="0" w:type="dxa"/>
          </w:tblCellMar>
          <w:tblLook w:val="01E0"/>
        </w:tblPrEx>
        <w:trPr>
          <w:trHeight w:val="20"/>
        </w:trPr>
        <w:tc>
          <w:tcPr>
            <w:tcW w:w="5000" w:type="pct"/>
            <w:gridSpan w:val="4"/>
            <w:shd w:val="clear" w:color="auto" w:fill="F2F2F2" w:themeFill="background1" w:themeFillShade="F2"/>
          </w:tcPr>
          <w:p w:rsidR="00A616A3" w:rsidRPr="00BF4D0A" w14:paraId="51C42868" w14:textId="387C4659">
            <w:pPr>
              <w:ind w:left="63" w:right="51" w:firstLine="10"/>
              <w:rPr>
                <w:b/>
              </w:rPr>
            </w:pPr>
            <w:r w:rsidRPr="00BF4D0A">
              <w:rPr>
                <w:b/>
              </w:rPr>
              <w:t>Facility Burden</w:t>
            </w:r>
          </w:p>
        </w:tc>
      </w:tr>
      <w:tr w14:paraId="2E0996E7" w14:textId="77777777" w:rsidTr="00680250">
        <w:tblPrEx>
          <w:tblW w:w="2740" w:type="pct"/>
          <w:tblInd w:w="2110" w:type="dxa"/>
          <w:tblCellMar>
            <w:left w:w="0" w:type="dxa"/>
            <w:right w:w="0" w:type="dxa"/>
          </w:tblCellMar>
          <w:tblLook w:val="01E0"/>
        </w:tblPrEx>
        <w:trPr>
          <w:trHeight w:val="20"/>
        </w:trPr>
        <w:tc>
          <w:tcPr>
            <w:tcW w:w="1550" w:type="pct"/>
            <w:vAlign w:val="bottom"/>
          </w:tcPr>
          <w:p w:rsidR="00A616A3" w:rsidRPr="00BF4D0A" w14:paraId="0BC02671" w14:textId="77777777">
            <w:pPr>
              <w:ind w:left="73"/>
            </w:pPr>
            <w:r w:rsidRPr="00BF4D0A">
              <w:t>Simple P2/3</w:t>
            </w:r>
          </w:p>
        </w:tc>
        <w:tc>
          <w:tcPr>
            <w:tcW w:w="1124" w:type="pct"/>
            <w:vAlign w:val="bottom"/>
          </w:tcPr>
          <w:p w:rsidR="00A616A3" w:rsidRPr="00BF4D0A" w14:paraId="715CF390" w14:textId="77777777">
            <w:pPr>
              <w:ind w:left="82" w:right="52"/>
              <w:jc w:val="center"/>
            </w:pPr>
            <w:r w:rsidRPr="00BF4D0A">
              <w:t>$2</w:t>
            </w:r>
            <w:r>
              <w:t>21</w:t>
            </w:r>
          </w:p>
        </w:tc>
        <w:tc>
          <w:tcPr>
            <w:tcW w:w="1073" w:type="pct"/>
            <w:tcBorders>
              <w:right w:val="single" w:sz="8" w:space="0" w:color="000000"/>
            </w:tcBorders>
            <w:vAlign w:val="bottom"/>
          </w:tcPr>
          <w:p w:rsidR="00A616A3" w:rsidRPr="00BF4D0A" w14:paraId="15F8CF9B" w14:textId="77777777">
            <w:pPr>
              <w:ind w:left="69" w:right="67"/>
              <w:jc w:val="center"/>
            </w:pPr>
            <w:r w:rsidRPr="00BF4D0A">
              <w:t>9,288</w:t>
            </w:r>
          </w:p>
        </w:tc>
        <w:tc>
          <w:tcPr>
            <w:tcW w:w="1253" w:type="pct"/>
            <w:tcBorders>
              <w:left w:val="single" w:sz="8" w:space="0" w:color="000000"/>
            </w:tcBorders>
            <w:vAlign w:val="bottom"/>
          </w:tcPr>
          <w:p w:rsidR="00A616A3" w:rsidRPr="00BF4D0A" w14:paraId="05411D31" w14:textId="6D286F19">
            <w:pPr>
              <w:ind w:left="63" w:right="51"/>
              <w:jc w:val="center"/>
            </w:pPr>
            <w:r w:rsidRPr="009F25B6">
              <w:t>$2,056,32</w:t>
            </w:r>
            <w:r w:rsidR="006C73E4">
              <w:t>6</w:t>
            </w:r>
          </w:p>
        </w:tc>
      </w:tr>
      <w:tr w14:paraId="5B1FE48A" w14:textId="77777777" w:rsidTr="00680250">
        <w:tblPrEx>
          <w:tblW w:w="2740" w:type="pct"/>
          <w:tblInd w:w="2110" w:type="dxa"/>
          <w:tblCellMar>
            <w:left w:w="0" w:type="dxa"/>
            <w:right w:w="0" w:type="dxa"/>
          </w:tblCellMar>
          <w:tblLook w:val="01E0"/>
        </w:tblPrEx>
        <w:trPr>
          <w:trHeight w:val="20"/>
        </w:trPr>
        <w:tc>
          <w:tcPr>
            <w:tcW w:w="1550" w:type="pct"/>
            <w:vAlign w:val="bottom"/>
          </w:tcPr>
          <w:p w:rsidR="00A616A3" w:rsidRPr="00BF4D0A" w14:paraId="40EED4F0" w14:textId="77777777">
            <w:pPr>
              <w:ind w:left="73"/>
            </w:pPr>
            <w:r w:rsidRPr="00BF4D0A">
              <w:t>Complex P2/3</w:t>
            </w:r>
          </w:p>
        </w:tc>
        <w:tc>
          <w:tcPr>
            <w:tcW w:w="1124" w:type="pct"/>
            <w:vAlign w:val="bottom"/>
          </w:tcPr>
          <w:p w:rsidR="00A616A3" w:rsidRPr="00BF4D0A" w14:paraId="4D2C5F94" w14:textId="77777777">
            <w:pPr>
              <w:ind w:left="82" w:right="52"/>
              <w:jc w:val="center"/>
            </w:pPr>
            <w:r w:rsidRPr="00BF4D0A">
              <w:t>$5</w:t>
            </w:r>
            <w:r>
              <w:t>50</w:t>
            </w:r>
          </w:p>
        </w:tc>
        <w:tc>
          <w:tcPr>
            <w:tcW w:w="1073" w:type="pct"/>
            <w:tcBorders>
              <w:right w:val="single" w:sz="8" w:space="0" w:color="000000"/>
            </w:tcBorders>
            <w:vAlign w:val="bottom"/>
          </w:tcPr>
          <w:p w:rsidR="00A616A3" w:rsidRPr="00BF4D0A" w14:paraId="3A5B8476" w14:textId="77777777">
            <w:pPr>
              <w:ind w:left="77" w:right="60"/>
              <w:jc w:val="center"/>
            </w:pPr>
            <w:r w:rsidRPr="00BF4D0A">
              <w:t>1,792</w:t>
            </w:r>
          </w:p>
        </w:tc>
        <w:tc>
          <w:tcPr>
            <w:tcW w:w="1253" w:type="pct"/>
            <w:tcBorders>
              <w:left w:val="single" w:sz="8" w:space="0" w:color="000000"/>
            </w:tcBorders>
            <w:vAlign w:val="bottom"/>
          </w:tcPr>
          <w:p w:rsidR="00A616A3" w:rsidRPr="00BF4D0A" w14:paraId="63F57895" w14:textId="100A0329">
            <w:pPr>
              <w:ind w:left="78" w:right="51"/>
              <w:jc w:val="center"/>
            </w:pPr>
            <w:r w:rsidRPr="00092E1D">
              <w:t>$985,751</w:t>
            </w:r>
          </w:p>
        </w:tc>
      </w:tr>
      <w:tr w14:paraId="7D3F62BE" w14:textId="77777777" w:rsidTr="00680250">
        <w:tblPrEx>
          <w:tblW w:w="2740" w:type="pct"/>
          <w:tblInd w:w="2110" w:type="dxa"/>
          <w:tblCellMar>
            <w:left w:w="0" w:type="dxa"/>
            <w:right w:w="0" w:type="dxa"/>
          </w:tblCellMar>
          <w:tblLook w:val="01E0"/>
        </w:tblPrEx>
        <w:trPr>
          <w:trHeight w:val="20"/>
        </w:trPr>
        <w:tc>
          <w:tcPr>
            <w:tcW w:w="1550" w:type="pct"/>
            <w:vAlign w:val="bottom"/>
          </w:tcPr>
          <w:p w:rsidR="00A616A3" w:rsidRPr="00BF4D0A" w14:paraId="718F57FF" w14:textId="77777777">
            <w:pPr>
              <w:rPr>
                <w:b/>
              </w:rPr>
            </w:pPr>
            <w:r>
              <w:rPr>
                <w:b/>
              </w:rPr>
              <w:t xml:space="preserve"> </w:t>
            </w:r>
            <w:r w:rsidRPr="00BF4D0A">
              <w:rPr>
                <w:b/>
              </w:rPr>
              <w:t>Total</w:t>
            </w:r>
          </w:p>
        </w:tc>
        <w:tc>
          <w:tcPr>
            <w:tcW w:w="1124" w:type="pct"/>
            <w:vAlign w:val="bottom"/>
          </w:tcPr>
          <w:p w:rsidR="00A616A3" w:rsidRPr="00BF4D0A" w14:paraId="5945D496" w14:textId="77777777">
            <w:pPr>
              <w:jc w:val="center"/>
            </w:pPr>
          </w:p>
        </w:tc>
        <w:tc>
          <w:tcPr>
            <w:tcW w:w="1073" w:type="pct"/>
            <w:tcBorders>
              <w:right w:val="single" w:sz="8" w:space="0" w:color="000000"/>
            </w:tcBorders>
            <w:vAlign w:val="bottom"/>
          </w:tcPr>
          <w:p w:rsidR="00A616A3" w:rsidRPr="00BF4D0A" w14:paraId="66F96751" w14:textId="77777777">
            <w:pPr>
              <w:ind w:left="69" w:right="67"/>
              <w:jc w:val="center"/>
              <w:rPr>
                <w:b/>
              </w:rPr>
            </w:pPr>
            <w:r w:rsidRPr="00BF4D0A">
              <w:rPr>
                <w:b/>
              </w:rPr>
              <w:t>11,080</w:t>
            </w:r>
          </w:p>
        </w:tc>
        <w:tc>
          <w:tcPr>
            <w:tcW w:w="1253" w:type="pct"/>
            <w:tcBorders>
              <w:left w:val="single" w:sz="8" w:space="0" w:color="000000"/>
            </w:tcBorders>
            <w:vAlign w:val="bottom"/>
          </w:tcPr>
          <w:p w:rsidR="00A616A3" w:rsidRPr="00BF4D0A" w14:paraId="08FD6CB0" w14:textId="1AE0220D">
            <w:pPr>
              <w:ind w:left="63" w:right="51"/>
              <w:jc w:val="center"/>
              <w:rPr>
                <w:b/>
              </w:rPr>
            </w:pPr>
            <w:r w:rsidRPr="00092E1D">
              <w:rPr>
                <w:b/>
              </w:rPr>
              <w:t>$3,042,07</w:t>
            </w:r>
            <w:r w:rsidR="006C73E4">
              <w:rPr>
                <w:b/>
              </w:rPr>
              <w:t>7</w:t>
            </w:r>
          </w:p>
        </w:tc>
      </w:tr>
      <w:tr w14:paraId="7DBB6CFB" w14:textId="77777777" w:rsidTr="00680250">
        <w:tblPrEx>
          <w:tblW w:w="2740" w:type="pct"/>
          <w:tblInd w:w="2110" w:type="dxa"/>
          <w:tblCellMar>
            <w:left w:w="0" w:type="dxa"/>
            <w:right w:w="0" w:type="dxa"/>
          </w:tblCellMar>
          <w:tblLook w:val="01E0"/>
        </w:tblPrEx>
        <w:trPr>
          <w:trHeight w:val="20"/>
        </w:trPr>
        <w:tc>
          <w:tcPr>
            <w:tcW w:w="5000" w:type="pct"/>
            <w:gridSpan w:val="4"/>
            <w:shd w:val="clear" w:color="auto" w:fill="F2F2F2" w:themeFill="background1" w:themeFillShade="F2"/>
          </w:tcPr>
          <w:p w:rsidR="00A616A3" w:rsidRPr="00BF4D0A" w14:paraId="5F37E0E4" w14:textId="3219F67B">
            <w:pPr>
              <w:ind w:left="73" w:right="51"/>
              <w:rPr>
                <w:b/>
              </w:rPr>
            </w:pPr>
            <w:r w:rsidRPr="00BF4D0A">
              <w:rPr>
                <w:b/>
              </w:rPr>
              <w:t>LEPC Burden</w:t>
            </w:r>
          </w:p>
        </w:tc>
      </w:tr>
      <w:tr w14:paraId="0B18318D" w14:textId="77777777" w:rsidTr="00680250">
        <w:tblPrEx>
          <w:tblW w:w="2740" w:type="pct"/>
          <w:tblInd w:w="2110" w:type="dxa"/>
          <w:tblCellMar>
            <w:left w:w="0" w:type="dxa"/>
            <w:right w:w="0" w:type="dxa"/>
          </w:tblCellMar>
          <w:tblLook w:val="01E0"/>
        </w:tblPrEx>
        <w:trPr>
          <w:trHeight w:val="20"/>
        </w:trPr>
        <w:tc>
          <w:tcPr>
            <w:tcW w:w="1550" w:type="pct"/>
          </w:tcPr>
          <w:p w:rsidR="00A616A3" w:rsidRPr="00BF4D0A" w14:paraId="1A50D771" w14:textId="77777777">
            <w:pPr>
              <w:ind w:left="73"/>
              <w:rPr>
                <w:b/>
              </w:rPr>
            </w:pPr>
            <w:r w:rsidRPr="00BF4D0A">
              <w:t>Simple P2/3</w:t>
            </w:r>
          </w:p>
        </w:tc>
        <w:tc>
          <w:tcPr>
            <w:tcW w:w="1124" w:type="pct"/>
          </w:tcPr>
          <w:p w:rsidR="00A616A3" w:rsidRPr="00BF4D0A" w14:paraId="6CB61726" w14:textId="77777777">
            <w:pPr>
              <w:jc w:val="center"/>
            </w:pPr>
            <w:r w:rsidRPr="00BF4D0A">
              <w:t>$7</w:t>
            </w:r>
            <w:r>
              <w:t>3</w:t>
            </w:r>
          </w:p>
        </w:tc>
        <w:tc>
          <w:tcPr>
            <w:tcW w:w="1073" w:type="pct"/>
            <w:tcBorders>
              <w:right w:val="single" w:sz="8" w:space="0" w:color="000000"/>
            </w:tcBorders>
          </w:tcPr>
          <w:p w:rsidR="00A616A3" w:rsidRPr="00BF4D0A" w14:paraId="20A30E22" w14:textId="77777777">
            <w:pPr>
              <w:ind w:left="69" w:right="67"/>
              <w:jc w:val="center"/>
              <w:rPr>
                <w:b/>
              </w:rPr>
            </w:pPr>
            <w:r w:rsidRPr="00BF4D0A">
              <w:t>9,288</w:t>
            </w:r>
          </w:p>
        </w:tc>
        <w:tc>
          <w:tcPr>
            <w:tcW w:w="1253" w:type="pct"/>
            <w:tcBorders>
              <w:left w:val="single" w:sz="8" w:space="0" w:color="000000"/>
            </w:tcBorders>
          </w:tcPr>
          <w:p w:rsidR="00A616A3" w:rsidRPr="00BF4D0A" w14:paraId="2A61F59C" w14:textId="3917CECF">
            <w:pPr>
              <w:ind w:left="63" w:right="51"/>
              <w:jc w:val="center"/>
              <w:rPr>
                <w:b/>
              </w:rPr>
            </w:pPr>
            <w:r w:rsidRPr="00E46B6F">
              <w:t>$671,</w:t>
            </w:r>
            <w:r w:rsidR="006C73E4">
              <w:t>500</w:t>
            </w:r>
          </w:p>
        </w:tc>
      </w:tr>
      <w:tr w14:paraId="57355908" w14:textId="77777777" w:rsidTr="00680250">
        <w:tblPrEx>
          <w:tblW w:w="2740" w:type="pct"/>
          <w:tblInd w:w="2110" w:type="dxa"/>
          <w:tblCellMar>
            <w:left w:w="0" w:type="dxa"/>
            <w:right w:w="0" w:type="dxa"/>
          </w:tblCellMar>
          <w:tblLook w:val="01E0"/>
        </w:tblPrEx>
        <w:trPr>
          <w:trHeight w:val="20"/>
        </w:trPr>
        <w:tc>
          <w:tcPr>
            <w:tcW w:w="1550" w:type="pct"/>
          </w:tcPr>
          <w:p w:rsidR="00A616A3" w:rsidRPr="00BF4D0A" w14:paraId="3A319376" w14:textId="77777777">
            <w:pPr>
              <w:ind w:left="73"/>
              <w:rPr>
                <w:b/>
              </w:rPr>
            </w:pPr>
            <w:r w:rsidRPr="00BF4D0A">
              <w:t>Complex P2/3</w:t>
            </w:r>
          </w:p>
        </w:tc>
        <w:tc>
          <w:tcPr>
            <w:tcW w:w="1124" w:type="pct"/>
          </w:tcPr>
          <w:p w:rsidR="00A616A3" w:rsidRPr="00BF4D0A" w14:paraId="775EB591" w14:textId="77777777">
            <w:pPr>
              <w:jc w:val="center"/>
            </w:pPr>
            <w:r w:rsidRPr="00BF4D0A">
              <w:t>$14</w:t>
            </w:r>
            <w:r>
              <w:t>5</w:t>
            </w:r>
          </w:p>
        </w:tc>
        <w:tc>
          <w:tcPr>
            <w:tcW w:w="1073" w:type="pct"/>
            <w:tcBorders>
              <w:right w:val="single" w:sz="8" w:space="0" w:color="000000"/>
            </w:tcBorders>
          </w:tcPr>
          <w:p w:rsidR="00A616A3" w:rsidRPr="00BF4D0A" w14:paraId="07687EE1" w14:textId="77777777">
            <w:pPr>
              <w:ind w:left="69" w:right="67"/>
              <w:jc w:val="center"/>
              <w:rPr>
                <w:b/>
              </w:rPr>
            </w:pPr>
            <w:r w:rsidRPr="00BF4D0A">
              <w:t>1,792</w:t>
            </w:r>
          </w:p>
        </w:tc>
        <w:tc>
          <w:tcPr>
            <w:tcW w:w="1253" w:type="pct"/>
            <w:tcBorders>
              <w:left w:val="single" w:sz="8" w:space="0" w:color="000000"/>
            </w:tcBorders>
          </w:tcPr>
          <w:p w:rsidR="00A616A3" w:rsidRPr="00BF4D0A" w14:paraId="4ED83350" w14:textId="6AC185C1">
            <w:pPr>
              <w:ind w:left="63" w:right="51"/>
              <w:jc w:val="center"/>
              <w:rPr>
                <w:b/>
              </w:rPr>
            </w:pPr>
            <w:r w:rsidRPr="004001D4">
              <w:t>$259,114</w:t>
            </w:r>
          </w:p>
        </w:tc>
      </w:tr>
      <w:tr w14:paraId="5CD32239" w14:textId="77777777" w:rsidTr="00680250">
        <w:tblPrEx>
          <w:tblW w:w="2740" w:type="pct"/>
          <w:tblInd w:w="2110" w:type="dxa"/>
          <w:tblCellMar>
            <w:left w:w="0" w:type="dxa"/>
            <w:right w:w="0" w:type="dxa"/>
          </w:tblCellMar>
          <w:tblLook w:val="01E0"/>
        </w:tblPrEx>
        <w:trPr>
          <w:trHeight w:val="20"/>
        </w:trPr>
        <w:tc>
          <w:tcPr>
            <w:tcW w:w="1550" w:type="pct"/>
          </w:tcPr>
          <w:p w:rsidR="00A616A3" w:rsidRPr="00BF4D0A" w14:paraId="34A560FF" w14:textId="77777777">
            <w:pPr>
              <w:ind w:left="73"/>
              <w:rPr>
                <w:b/>
              </w:rPr>
            </w:pPr>
            <w:r w:rsidRPr="00BF4D0A">
              <w:rPr>
                <w:b/>
              </w:rPr>
              <w:t>Total</w:t>
            </w:r>
          </w:p>
        </w:tc>
        <w:tc>
          <w:tcPr>
            <w:tcW w:w="1124" w:type="pct"/>
          </w:tcPr>
          <w:p w:rsidR="00A616A3" w:rsidRPr="00BF4D0A" w14:paraId="75373A4D" w14:textId="77777777">
            <w:pPr>
              <w:jc w:val="center"/>
            </w:pPr>
          </w:p>
        </w:tc>
        <w:tc>
          <w:tcPr>
            <w:tcW w:w="1073" w:type="pct"/>
            <w:tcBorders>
              <w:right w:val="single" w:sz="8" w:space="0" w:color="000000"/>
            </w:tcBorders>
          </w:tcPr>
          <w:p w:rsidR="00A616A3" w:rsidRPr="00BF4D0A" w14:paraId="62C48AF1" w14:textId="77777777">
            <w:pPr>
              <w:ind w:left="69" w:right="67"/>
              <w:jc w:val="center"/>
              <w:rPr>
                <w:b/>
              </w:rPr>
            </w:pPr>
            <w:r w:rsidRPr="00BF4D0A">
              <w:rPr>
                <w:b/>
              </w:rPr>
              <w:t>11,080</w:t>
            </w:r>
          </w:p>
        </w:tc>
        <w:tc>
          <w:tcPr>
            <w:tcW w:w="1253" w:type="pct"/>
            <w:tcBorders>
              <w:left w:val="single" w:sz="8" w:space="0" w:color="000000"/>
            </w:tcBorders>
          </w:tcPr>
          <w:p w:rsidR="00A616A3" w:rsidRPr="00BF4D0A" w14:paraId="291319D7" w14:textId="67749B94">
            <w:pPr>
              <w:ind w:left="63" w:right="51"/>
              <w:jc w:val="center"/>
              <w:rPr>
                <w:b/>
              </w:rPr>
            </w:pPr>
            <w:r w:rsidRPr="00E46B6F">
              <w:rPr>
                <w:b/>
              </w:rPr>
              <w:t>$930,614</w:t>
            </w:r>
          </w:p>
        </w:tc>
      </w:tr>
      <w:tr w14:paraId="3E68518E" w14:textId="77777777" w:rsidTr="00680250">
        <w:tblPrEx>
          <w:tblW w:w="2740" w:type="pct"/>
          <w:tblInd w:w="2110" w:type="dxa"/>
          <w:tblCellMar>
            <w:left w:w="0" w:type="dxa"/>
            <w:right w:w="0" w:type="dxa"/>
          </w:tblCellMar>
          <w:tblLook w:val="01E0"/>
        </w:tblPrEx>
        <w:trPr>
          <w:trHeight w:val="20"/>
        </w:trPr>
        <w:tc>
          <w:tcPr>
            <w:tcW w:w="5000" w:type="pct"/>
            <w:gridSpan w:val="4"/>
            <w:shd w:val="clear" w:color="auto" w:fill="E7E6E6" w:themeFill="background2"/>
          </w:tcPr>
          <w:p w:rsidR="00A616A3" w:rsidRPr="00BF4D0A" w14:paraId="4098BBC5" w14:textId="715854A3">
            <w:pPr>
              <w:ind w:left="63" w:right="51"/>
              <w:rPr>
                <w:b/>
              </w:rPr>
            </w:pPr>
            <w:r w:rsidRPr="00BF4D0A">
              <w:rPr>
                <w:b/>
              </w:rPr>
              <w:t>Facility + LEPC BURDEN</w:t>
            </w:r>
          </w:p>
        </w:tc>
      </w:tr>
      <w:tr w14:paraId="5BDBB31D" w14:textId="77777777" w:rsidTr="00680250">
        <w:tblPrEx>
          <w:tblW w:w="2740" w:type="pct"/>
          <w:tblInd w:w="2110" w:type="dxa"/>
          <w:tblCellMar>
            <w:left w:w="0" w:type="dxa"/>
            <w:right w:w="0" w:type="dxa"/>
          </w:tblCellMar>
          <w:tblLook w:val="01E0"/>
        </w:tblPrEx>
        <w:trPr>
          <w:trHeight w:val="20"/>
        </w:trPr>
        <w:tc>
          <w:tcPr>
            <w:tcW w:w="1550" w:type="pct"/>
          </w:tcPr>
          <w:p w:rsidR="00A616A3" w:rsidRPr="00BF4D0A" w14:paraId="430D7806" w14:textId="77777777">
            <w:pPr>
              <w:rPr>
                <w:b/>
              </w:rPr>
            </w:pPr>
            <w:r>
              <w:rPr>
                <w:b/>
              </w:rPr>
              <w:t xml:space="preserve"> </w:t>
            </w:r>
            <w:r w:rsidRPr="00BF4D0A">
              <w:rPr>
                <w:b/>
              </w:rPr>
              <w:t>Grand Total</w:t>
            </w:r>
          </w:p>
        </w:tc>
        <w:tc>
          <w:tcPr>
            <w:tcW w:w="1124" w:type="pct"/>
          </w:tcPr>
          <w:p w:rsidR="00A616A3" w:rsidRPr="00BF4D0A" w14:paraId="626B7F40" w14:textId="77777777">
            <w:pPr>
              <w:jc w:val="center"/>
            </w:pPr>
          </w:p>
        </w:tc>
        <w:tc>
          <w:tcPr>
            <w:tcW w:w="1073" w:type="pct"/>
            <w:tcBorders>
              <w:right w:val="single" w:sz="8" w:space="0" w:color="000000"/>
            </w:tcBorders>
          </w:tcPr>
          <w:p w:rsidR="00A616A3" w:rsidRPr="00BF4D0A" w14:paraId="50FDA519" w14:textId="77777777">
            <w:pPr>
              <w:ind w:left="69" w:right="67"/>
              <w:jc w:val="center"/>
              <w:rPr>
                <w:b/>
              </w:rPr>
            </w:pPr>
          </w:p>
        </w:tc>
        <w:tc>
          <w:tcPr>
            <w:tcW w:w="1253" w:type="pct"/>
            <w:tcBorders>
              <w:left w:val="single" w:sz="8" w:space="0" w:color="000000"/>
            </w:tcBorders>
          </w:tcPr>
          <w:p w:rsidR="00A616A3" w:rsidRPr="00BF4D0A" w14:paraId="2DB38AAC" w14:textId="1C4C1FD5">
            <w:pPr>
              <w:ind w:left="63" w:right="51"/>
              <w:jc w:val="center"/>
              <w:rPr>
                <w:b/>
              </w:rPr>
            </w:pPr>
            <w:r w:rsidRPr="00034453">
              <w:rPr>
                <w:b/>
              </w:rPr>
              <w:t>$3,972,69</w:t>
            </w:r>
            <w:r w:rsidR="006C73E4">
              <w:rPr>
                <w:b/>
              </w:rPr>
              <w:t>1</w:t>
            </w:r>
          </w:p>
        </w:tc>
      </w:tr>
    </w:tbl>
    <w:p w:rsidR="00A616A3" w:rsidP="00A616A3" w14:paraId="16733615" w14:textId="77777777"/>
    <w:p w:rsidR="00A616A3" w:rsidRPr="00DF7A6C" w:rsidP="00A616A3" w14:paraId="5CEE6F3C" w14:textId="46148A9D">
      <w:pPr>
        <w:rPr>
          <w:sz w:val="22"/>
          <w:szCs w:val="22"/>
        </w:rPr>
      </w:pPr>
      <w:r w:rsidRPr="00D206B9">
        <w:rPr>
          <w:i/>
          <w:iCs/>
          <w:sz w:val="22"/>
          <w:szCs w:val="28"/>
        </w:rPr>
        <w:t>Information Availability to the Public</w:t>
      </w:r>
      <w:r>
        <w:rPr>
          <w:i/>
          <w:iCs/>
          <w:sz w:val="22"/>
          <w:szCs w:val="28"/>
        </w:rPr>
        <w:t xml:space="preserve"> - </w:t>
      </w:r>
      <w:r w:rsidRPr="00DF7A6C">
        <w:rPr>
          <w:sz w:val="22"/>
          <w:szCs w:val="22"/>
        </w:rPr>
        <w:t xml:space="preserve">The RMP rule </w:t>
      </w:r>
      <w:r>
        <w:rPr>
          <w:sz w:val="22"/>
          <w:szCs w:val="22"/>
        </w:rPr>
        <w:t>previously did</w:t>
      </w:r>
      <w:r w:rsidRPr="00DF7A6C">
        <w:rPr>
          <w:sz w:val="22"/>
          <w:szCs w:val="22"/>
        </w:rPr>
        <w:t xml:space="preserve"> not require facilities to conduct information availability activities. The </w:t>
      </w:r>
      <w:r>
        <w:rPr>
          <w:sz w:val="22"/>
          <w:szCs w:val="22"/>
        </w:rPr>
        <w:t>final</w:t>
      </w:r>
      <w:r w:rsidRPr="00DF7A6C">
        <w:rPr>
          <w:sz w:val="22"/>
          <w:szCs w:val="22"/>
        </w:rPr>
        <w:t xml:space="preserve"> rule require</w:t>
      </w:r>
      <w:r>
        <w:rPr>
          <w:sz w:val="22"/>
          <w:szCs w:val="22"/>
        </w:rPr>
        <w:t>s</w:t>
      </w:r>
      <w:r w:rsidRPr="00DF7A6C">
        <w:rPr>
          <w:sz w:val="22"/>
          <w:szCs w:val="22"/>
        </w:rPr>
        <w:t xml:space="preserve"> all facilities, including those with Program 1 processes, to make information related to RMP compliance available upon request in a manner that is easily accessible to community members living within 6 miles of the facility. The information </w:t>
      </w:r>
      <w:r>
        <w:rPr>
          <w:sz w:val="22"/>
          <w:szCs w:val="22"/>
        </w:rPr>
        <w:t>must</w:t>
      </w:r>
      <w:r w:rsidRPr="00DF7A6C">
        <w:rPr>
          <w:sz w:val="22"/>
          <w:szCs w:val="22"/>
        </w:rPr>
        <w:t xml:space="preserve"> include the names and Safety Data Sheets of regulated substances used at the facility, the facility’s accident history, emergency response program information, and LEPC contact information. The assumption is that each facility receives 1 request per year from a community member residing within 6 miles of the facility. The breakout of costs related to Information Availability is in Exhibit </w:t>
      </w:r>
      <w:r w:rsidR="00EF0B77">
        <w:rPr>
          <w:sz w:val="22"/>
          <w:szCs w:val="22"/>
        </w:rPr>
        <w:t>20</w:t>
      </w:r>
      <w:r w:rsidRPr="00DF7A6C">
        <w:rPr>
          <w:sz w:val="22"/>
          <w:szCs w:val="22"/>
        </w:rPr>
        <w:t>. EPA does not consider the costs to the public in requesting this information but expects these costs to be minimal.</w:t>
      </w:r>
      <w:r w:rsidR="00C65244">
        <w:rPr>
          <w:sz w:val="22"/>
          <w:szCs w:val="22"/>
        </w:rPr>
        <w:br/>
      </w:r>
    </w:p>
    <w:p w:rsidR="00A616A3" w:rsidRPr="002D372A" w:rsidP="0079708F" w14:paraId="0442918F" w14:textId="5EA94C6A">
      <w:pPr>
        <w:pStyle w:val="Caption"/>
        <w:keepNext/>
        <w:widowControl/>
        <w:spacing w:after="0"/>
        <w:jc w:val="center"/>
        <w:rPr>
          <w:b/>
          <w:bCs/>
          <w:i w:val="0"/>
          <w:iCs w:val="0"/>
          <w:color w:val="auto"/>
          <w:sz w:val="22"/>
          <w:szCs w:val="22"/>
        </w:rPr>
      </w:pPr>
      <w:r w:rsidRPr="002D372A">
        <w:rPr>
          <w:b/>
          <w:bCs/>
          <w:i w:val="0"/>
          <w:iCs w:val="0"/>
          <w:color w:val="auto"/>
          <w:sz w:val="22"/>
          <w:szCs w:val="22"/>
        </w:rPr>
        <w:t xml:space="preserve">Exhibit </w:t>
      </w:r>
      <w:r>
        <w:rPr>
          <w:b/>
          <w:bCs/>
          <w:i w:val="0"/>
          <w:iCs w:val="0"/>
          <w:color w:val="auto"/>
          <w:sz w:val="22"/>
          <w:szCs w:val="22"/>
        </w:rPr>
        <w:t>20</w:t>
      </w:r>
      <w:r w:rsidRPr="002D372A">
        <w:rPr>
          <w:b/>
          <w:bCs/>
          <w:i w:val="0"/>
          <w:iCs w:val="0"/>
          <w:color w:val="auto"/>
          <w:sz w:val="22"/>
          <w:szCs w:val="22"/>
        </w:rPr>
        <w:t xml:space="preserve">: </w:t>
      </w:r>
      <w:r w:rsidRPr="00D21E4B" w:rsidR="009107C9">
        <w:rPr>
          <w:b/>
          <w:bCs/>
          <w:i w:val="0"/>
          <w:iCs w:val="0"/>
          <w:color w:val="auto"/>
          <w:sz w:val="22"/>
          <w:szCs w:val="22"/>
        </w:rPr>
        <w:t xml:space="preserve">Estimated Annualized </w:t>
      </w:r>
      <w:r w:rsidR="009107C9">
        <w:rPr>
          <w:b/>
          <w:bCs/>
          <w:i w:val="0"/>
          <w:iCs w:val="0"/>
          <w:color w:val="auto"/>
          <w:sz w:val="22"/>
          <w:szCs w:val="22"/>
        </w:rPr>
        <w:t xml:space="preserve">Labor </w:t>
      </w:r>
      <w:r w:rsidRPr="00D21E4B" w:rsidR="009107C9">
        <w:rPr>
          <w:b/>
          <w:bCs/>
          <w:i w:val="0"/>
          <w:iCs w:val="0"/>
          <w:color w:val="auto"/>
          <w:sz w:val="22"/>
          <w:szCs w:val="22"/>
        </w:rPr>
        <w:t xml:space="preserve">Costs for </w:t>
      </w:r>
      <w:r w:rsidRPr="002D372A">
        <w:rPr>
          <w:b/>
          <w:bCs/>
          <w:i w:val="0"/>
          <w:iCs w:val="0"/>
          <w:color w:val="auto"/>
          <w:sz w:val="22"/>
          <w:szCs w:val="22"/>
        </w:rPr>
        <w:t>Information Availability Provision (202</w:t>
      </w:r>
      <w:r>
        <w:rPr>
          <w:b/>
          <w:bCs/>
          <w:i w:val="0"/>
          <w:iCs w:val="0"/>
          <w:color w:val="auto"/>
          <w:sz w:val="22"/>
          <w:szCs w:val="22"/>
        </w:rPr>
        <w:t>2</w:t>
      </w:r>
      <w:r w:rsidRPr="002D372A">
        <w:rPr>
          <w:b/>
          <w:bCs/>
          <w:i w:val="0"/>
          <w:iCs w:val="0"/>
          <w:color w:val="auto"/>
          <w:sz w:val="22"/>
          <w:szCs w:val="22"/>
        </w:rPr>
        <w:t xml:space="preserve"> </w:t>
      </w:r>
      <w:r>
        <w:rPr>
          <w:b/>
          <w:bCs/>
          <w:i w:val="0"/>
          <w:iCs w:val="0"/>
          <w:color w:val="auto"/>
          <w:sz w:val="22"/>
          <w:szCs w:val="22"/>
        </w:rPr>
        <w:t>d</w:t>
      </w:r>
      <w:r w:rsidRPr="002D372A">
        <w:rPr>
          <w:b/>
          <w:bCs/>
          <w:i w:val="0"/>
          <w:iCs w:val="0"/>
          <w:color w:val="auto"/>
          <w:sz w:val="22"/>
          <w:szCs w:val="22"/>
        </w:rPr>
        <w:t>ollars)</w:t>
      </w:r>
    </w:p>
    <w:tbl>
      <w:tblPr>
        <w:tblW w:w="421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
      <w:tblGrid>
        <w:gridCol w:w="2123"/>
        <w:gridCol w:w="1438"/>
        <w:gridCol w:w="1179"/>
        <w:gridCol w:w="3141"/>
      </w:tblGrid>
      <w:tr w14:paraId="46794444" w14:textId="77777777" w:rsidTr="00680250">
        <w:tblPrEx>
          <w:tblW w:w="421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Ex>
        <w:trPr>
          <w:trHeight w:val="20"/>
          <w:jc w:val="center"/>
        </w:trPr>
        <w:tc>
          <w:tcPr>
            <w:tcW w:w="1346" w:type="pct"/>
            <w:tcBorders>
              <w:left w:val="single" w:sz="6" w:space="0" w:color="000000"/>
              <w:right w:val="single" w:sz="6" w:space="0" w:color="000000"/>
            </w:tcBorders>
            <w:shd w:val="clear" w:color="auto" w:fill="DADADA"/>
          </w:tcPr>
          <w:p w:rsidR="00A616A3" w:rsidRPr="002D372A" w:rsidP="0079708F" w14:paraId="08D6C1D7" w14:textId="77777777">
            <w:pPr>
              <w:keepNext/>
              <w:widowControl/>
              <w:ind w:left="1087" w:hanging="1017"/>
              <w:jc w:val="center"/>
              <w:rPr>
                <w:b/>
                <w:szCs w:val="20"/>
              </w:rPr>
            </w:pPr>
            <w:r w:rsidRPr="002D372A">
              <w:rPr>
                <w:b/>
                <w:szCs w:val="20"/>
              </w:rPr>
              <w:t>Facility Type</w:t>
            </w:r>
          </w:p>
        </w:tc>
        <w:tc>
          <w:tcPr>
            <w:tcW w:w="912" w:type="pct"/>
            <w:tcBorders>
              <w:left w:val="single" w:sz="6" w:space="0" w:color="000000"/>
              <w:right w:val="single" w:sz="6" w:space="0" w:color="000000"/>
            </w:tcBorders>
            <w:shd w:val="clear" w:color="auto" w:fill="DADADA"/>
          </w:tcPr>
          <w:p w:rsidR="00A616A3" w:rsidRPr="002D372A" w:rsidP="0079708F" w14:paraId="6966C9A9" w14:textId="77777777">
            <w:pPr>
              <w:keepNext/>
              <w:widowControl/>
              <w:ind w:left="75" w:right="133"/>
              <w:jc w:val="center"/>
              <w:rPr>
                <w:b/>
                <w:szCs w:val="20"/>
              </w:rPr>
            </w:pPr>
            <w:r w:rsidRPr="002D372A">
              <w:rPr>
                <w:b/>
                <w:szCs w:val="20"/>
              </w:rPr>
              <w:t>Unit Cost</w:t>
            </w:r>
          </w:p>
        </w:tc>
        <w:tc>
          <w:tcPr>
            <w:tcW w:w="748" w:type="pct"/>
            <w:tcBorders>
              <w:left w:val="single" w:sz="6" w:space="0" w:color="000000"/>
              <w:right w:val="single" w:sz="6" w:space="0" w:color="000000"/>
            </w:tcBorders>
            <w:shd w:val="clear" w:color="auto" w:fill="DADADA"/>
          </w:tcPr>
          <w:p w:rsidR="00A616A3" w:rsidRPr="002D372A" w:rsidP="0079708F" w14:paraId="27535AB2" w14:textId="77777777">
            <w:pPr>
              <w:keepNext/>
              <w:widowControl/>
              <w:ind w:left="72"/>
              <w:jc w:val="center"/>
              <w:rPr>
                <w:b/>
                <w:szCs w:val="20"/>
              </w:rPr>
            </w:pPr>
            <w:r w:rsidRPr="002D372A">
              <w:rPr>
                <w:b/>
                <w:szCs w:val="20"/>
              </w:rPr>
              <w:t>Facilities</w:t>
            </w:r>
          </w:p>
          <w:p w:rsidR="00A616A3" w:rsidRPr="002D372A" w:rsidP="0079708F" w14:paraId="43CB33A2" w14:textId="77777777">
            <w:pPr>
              <w:keepNext/>
              <w:widowControl/>
              <w:ind w:left="72"/>
              <w:jc w:val="center"/>
              <w:rPr>
                <w:b/>
                <w:szCs w:val="20"/>
              </w:rPr>
            </w:pPr>
          </w:p>
        </w:tc>
        <w:tc>
          <w:tcPr>
            <w:tcW w:w="1993" w:type="pct"/>
            <w:tcBorders>
              <w:left w:val="single" w:sz="6" w:space="0" w:color="000000"/>
              <w:right w:val="single" w:sz="6" w:space="0" w:color="000000"/>
            </w:tcBorders>
            <w:shd w:val="clear" w:color="auto" w:fill="DADADA"/>
          </w:tcPr>
          <w:p w:rsidR="00A616A3" w:rsidRPr="002D372A" w:rsidP="0079708F" w14:paraId="6588A6F0" w14:textId="77777777">
            <w:pPr>
              <w:keepNext/>
              <w:widowControl/>
              <w:ind w:left="99" w:right="238"/>
              <w:jc w:val="center"/>
              <w:rPr>
                <w:b/>
                <w:szCs w:val="20"/>
              </w:rPr>
            </w:pPr>
            <w:r w:rsidRPr="002D372A">
              <w:rPr>
                <w:b/>
                <w:szCs w:val="20"/>
              </w:rPr>
              <w:t>Total Annualized Cost</w:t>
            </w:r>
          </w:p>
        </w:tc>
      </w:tr>
      <w:tr w14:paraId="0B0F3697" w14:textId="77777777" w:rsidTr="00680250">
        <w:tblPrEx>
          <w:tblW w:w="4217" w:type="pct"/>
          <w:jc w:val="center"/>
          <w:tblCellMar>
            <w:left w:w="0" w:type="dxa"/>
            <w:right w:w="0" w:type="dxa"/>
          </w:tblCellMar>
          <w:tblLook w:val="01E0"/>
        </w:tblPrEx>
        <w:trPr>
          <w:trHeight w:val="20"/>
          <w:jc w:val="center"/>
        </w:trPr>
        <w:tc>
          <w:tcPr>
            <w:tcW w:w="1346" w:type="pct"/>
            <w:tcBorders>
              <w:left w:val="single" w:sz="6" w:space="0" w:color="000000"/>
              <w:right w:val="single" w:sz="6" w:space="0" w:color="000000"/>
            </w:tcBorders>
            <w:vAlign w:val="bottom"/>
          </w:tcPr>
          <w:p w:rsidR="00A616A3" w:rsidRPr="002D372A" w14:paraId="353CC0F1" w14:textId="77777777">
            <w:pPr>
              <w:keepNext/>
              <w:ind w:left="127"/>
              <w:rPr>
                <w:szCs w:val="20"/>
              </w:rPr>
            </w:pPr>
            <w:r w:rsidRPr="002D372A">
              <w:rPr>
                <w:szCs w:val="20"/>
              </w:rPr>
              <w:t>Simple</w:t>
            </w:r>
          </w:p>
        </w:tc>
        <w:tc>
          <w:tcPr>
            <w:tcW w:w="912" w:type="pct"/>
            <w:tcBorders>
              <w:left w:val="single" w:sz="6" w:space="0" w:color="000000"/>
              <w:right w:val="single" w:sz="6" w:space="0" w:color="000000"/>
            </w:tcBorders>
            <w:vAlign w:val="bottom"/>
          </w:tcPr>
          <w:p w:rsidR="00A616A3" w:rsidRPr="002D372A" w14:paraId="24B50384" w14:textId="77777777">
            <w:pPr>
              <w:keepNext/>
              <w:ind w:left="75" w:right="71"/>
              <w:jc w:val="center"/>
              <w:rPr>
                <w:color w:val="000000"/>
                <w:szCs w:val="20"/>
              </w:rPr>
            </w:pPr>
            <w:r w:rsidRPr="002D372A">
              <w:rPr>
                <w:color w:val="000000"/>
                <w:szCs w:val="20"/>
              </w:rPr>
              <w:t>$1</w:t>
            </w:r>
            <w:r>
              <w:rPr>
                <w:color w:val="000000"/>
                <w:szCs w:val="20"/>
              </w:rPr>
              <w:t>85</w:t>
            </w:r>
          </w:p>
        </w:tc>
        <w:tc>
          <w:tcPr>
            <w:tcW w:w="748" w:type="pct"/>
            <w:tcBorders>
              <w:left w:val="single" w:sz="6" w:space="0" w:color="000000"/>
              <w:right w:val="single" w:sz="6" w:space="0" w:color="000000"/>
            </w:tcBorders>
            <w:vAlign w:val="bottom"/>
          </w:tcPr>
          <w:p w:rsidR="00A616A3" w:rsidRPr="002D372A" w14:paraId="4F5492E1" w14:textId="77777777">
            <w:pPr>
              <w:keepNext/>
              <w:ind w:left="72" w:right="71"/>
              <w:jc w:val="center"/>
              <w:rPr>
                <w:szCs w:val="20"/>
              </w:rPr>
            </w:pPr>
            <w:r w:rsidRPr="002D372A">
              <w:rPr>
                <w:szCs w:val="20"/>
              </w:rPr>
              <w:t>10,082</w:t>
            </w:r>
          </w:p>
        </w:tc>
        <w:tc>
          <w:tcPr>
            <w:tcW w:w="1993" w:type="pct"/>
            <w:tcBorders>
              <w:left w:val="single" w:sz="6" w:space="0" w:color="000000"/>
              <w:right w:val="single" w:sz="6" w:space="0" w:color="000000"/>
            </w:tcBorders>
            <w:vAlign w:val="bottom"/>
          </w:tcPr>
          <w:p w:rsidR="00A616A3" w:rsidRPr="002D372A" w14:paraId="7A9396DB" w14:textId="3ACEAA5D">
            <w:pPr>
              <w:keepNext/>
              <w:ind w:left="99" w:right="71"/>
              <w:jc w:val="center"/>
              <w:rPr>
                <w:color w:val="000000"/>
                <w:szCs w:val="20"/>
              </w:rPr>
            </w:pPr>
            <w:r w:rsidRPr="009C7293">
              <w:rPr>
                <w:color w:val="000000"/>
                <w:szCs w:val="20"/>
              </w:rPr>
              <w:t>$1,865,424</w:t>
            </w:r>
          </w:p>
        </w:tc>
      </w:tr>
      <w:tr w14:paraId="4299514C" w14:textId="77777777" w:rsidTr="00680250">
        <w:tblPrEx>
          <w:tblW w:w="4217" w:type="pct"/>
          <w:jc w:val="center"/>
          <w:tblCellMar>
            <w:left w:w="0" w:type="dxa"/>
            <w:right w:w="0" w:type="dxa"/>
          </w:tblCellMar>
          <w:tblLook w:val="01E0"/>
        </w:tblPrEx>
        <w:trPr>
          <w:trHeight w:val="20"/>
          <w:jc w:val="center"/>
        </w:trPr>
        <w:tc>
          <w:tcPr>
            <w:tcW w:w="1346" w:type="pct"/>
            <w:tcBorders>
              <w:left w:val="single" w:sz="6" w:space="0" w:color="000000"/>
              <w:right w:val="single" w:sz="6" w:space="0" w:color="000000"/>
            </w:tcBorders>
            <w:vAlign w:val="bottom"/>
          </w:tcPr>
          <w:p w:rsidR="00A616A3" w:rsidRPr="002D372A" w14:paraId="61ADE90A" w14:textId="77777777">
            <w:pPr>
              <w:keepNext/>
              <w:ind w:left="127"/>
              <w:rPr>
                <w:szCs w:val="20"/>
              </w:rPr>
            </w:pPr>
            <w:r w:rsidRPr="002D372A">
              <w:rPr>
                <w:szCs w:val="20"/>
              </w:rPr>
              <w:t>Small Complex</w:t>
            </w:r>
          </w:p>
        </w:tc>
        <w:tc>
          <w:tcPr>
            <w:tcW w:w="912" w:type="pct"/>
            <w:tcBorders>
              <w:left w:val="single" w:sz="6" w:space="0" w:color="000000"/>
              <w:right w:val="single" w:sz="6" w:space="0" w:color="000000"/>
            </w:tcBorders>
            <w:vAlign w:val="bottom"/>
          </w:tcPr>
          <w:p w:rsidR="00A616A3" w:rsidRPr="002D372A" w14:paraId="7FA0482B" w14:textId="77777777">
            <w:pPr>
              <w:keepNext/>
              <w:ind w:left="75" w:right="71"/>
              <w:jc w:val="center"/>
              <w:rPr>
                <w:szCs w:val="20"/>
              </w:rPr>
            </w:pPr>
            <w:r w:rsidRPr="002D372A">
              <w:rPr>
                <w:color w:val="000000"/>
                <w:szCs w:val="20"/>
              </w:rPr>
              <w:t>$47</w:t>
            </w:r>
            <w:r>
              <w:rPr>
                <w:color w:val="000000"/>
                <w:szCs w:val="20"/>
              </w:rPr>
              <w:t>3</w:t>
            </w:r>
          </w:p>
        </w:tc>
        <w:tc>
          <w:tcPr>
            <w:tcW w:w="748" w:type="pct"/>
            <w:tcBorders>
              <w:left w:val="single" w:sz="6" w:space="0" w:color="000000"/>
              <w:right w:val="single" w:sz="6" w:space="0" w:color="000000"/>
            </w:tcBorders>
            <w:vAlign w:val="bottom"/>
          </w:tcPr>
          <w:p w:rsidR="00A616A3" w:rsidRPr="002D372A" w14:paraId="42FD861E" w14:textId="77777777">
            <w:pPr>
              <w:keepNext/>
              <w:ind w:left="72" w:right="71"/>
              <w:jc w:val="center"/>
              <w:rPr>
                <w:szCs w:val="20"/>
              </w:rPr>
            </w:pPr>
            <w:r w:rsidRPr="002D372A">
              <w:rPr>
                <w:szCs w:val="20"/>
              </w:rPr>
              <w:t>1,050</w:t>
            </w:r>
          </w:p>
        </w:tc>
        <w:tc>
          <w:tcPr>
            <w:tcW w:w="1993" w:type="pct"/>
            <w:tcBorders>
              <w:left w:val="single" w:sz="6" w:space="0" w:color="000000"/>
              <w:right w:val="single" w:sz="6" w:space="0" w:color="000000"/>
            </w:tcBorders>
            <w:vAlign w:val="bottom"/>
          </w:tcPr>
          <w:p w:rsidR="00A616A3" w:rsidRPr="002D372A" w14:paraId="130F0757" w14:textId="1BF7C0C4">
            <w:pPr>
              <w:keepNext/>
              <w:ind w:left="99" w:right="71"/>
              <w:jc w:val="center"/>
              <w:rPr>
                <w:szCs w:val="20"/>
              </w:rPr>
            </w:pPr>
            <w:r w:rsidRPr="00363350">
              <w:rPr>
                <w:color w:val="000000"/>
                <w:szCs w:val="20"/>
              </w:rPr>
              <w:t>$496,94</w:t>
            </w:r>
            <w:r w:rsidR="006C73E4">
              <w:rPr>
                <w:color w:val="000000"/>
                <w:szCs w:val="20"/>
              </w:rPr>
              <w:t>1</w:t>
            </w:r>
          </w:p>
        </w:tc>
      </w:tr>
      <w:tr w14:paraId="7783DF2F" w14:textId="77777777" w:rsidTr="00680250">
        <w:tblPrEx>
          <w:tblW w:w="4217" w:type="pct"/>
          <w:jc w:val="center"/>
          <w:tblCellMar>
            <w:left w:w="0" w:type="dxa"/>
            <w:right w:w="0" w:type="dxa"/>
          </w:tblCellMar>
          <w:tblLook w:val="01E0"/>
        </w:tblPrEx>
        <w:trPr>
          <w:trHeight w:val="20"/>
          <w:jc w:val="center"/>
        </w:trPr>
        <w:tc>
          <w:tcPr>
            <w:tcW w:w="1346" w:type="pct"/>
            <w:tcBorders>
              <w:left w:val="single" w:sz="6" w:space="0" w:color="000000"/>
              <w:bottom w:val="single" w:sz="6" w:space="0" w:color="000000"/>
              <w:right w:val="single" w:sz="6" w:space="0" w:color="000000"/>
            </w:tcBorders>
            <w:vAlign w:val="bottom"/>
          </w:tcPr>
          <w:p w:rsidR="00A616A3" w:rsidRPr="002D372A" w14:paraId="0ED0AF66" w14:textId="77777777">
            <w:pPr>
              <w:ind w:left="127"/>
              <w:rPr>
                <w:szCs w:val="20"/>
              </w:rPr>
            </w:pPr>
            <w:r w:rsidRPr="002D372A">
              <w:rPr>
                <w:szCs w:val="20"/>
              </w:rPr>
              <w:t>Large Complex</w:t>
            </w:r>
          </w:p>
        </w:tc>
        <w:tc>
          <w:tcPr>
            <w:tcW w:w="912" w:type="pct"/>
            <w:tcBorders>
              <w:left w:val="single" w:sz="6" w:space="0" w:color="000000"/>
              <w:bottom w:val="single" w:sz="6" w:space="0" w:color="000000"/>
              <w:right w:val="single" w:sz="6" w:space="0" w:color="000000"/>
            </w:tcBorders>
            <w:vAlign w:val="bottom"/>
          </w:tcPr>
          <w:p w:rsidR="00A616A3" w:rsidRPr="002D372A" w14:paraId="5E7594F3" w14:textId="77777777">
            <w:pPr>
              <w:ind w:left="75" w:right="71"/>
              <w:jc w:val="center"/>
              <w:rPr>
                <w:szCs w:val="20"/>
              </w:rPr>
            </w:pPr>
            <w:r w:rsidRPr="002D372A">
              <w:rPr>
                <w:color w:val="000000"/>
                <w:szCs w:val="20"/>
              </w:rPr>
              <w:t>$6,</w:t>
            </w:r>
            <w:r>
              <w:rPr>
                <w:color w:val="000000"/>
                <w:szCs w:val="20"/>
              </w:rPr>
              <w:t>727</w:t>
            </w:r>
          </w:p>
        </w:tc>
        <w:tc>
          <w:tcPr>
            <w:tcW w:w="748" w:type="pct"/>
            <w:tcBorders>
              <w:left w:val="single" w:sz="6" w:space="0" w:color="000000"/>
              <w:bottom w:val="single" w:sz="6" w:space="0" w:color="000000"/>
              <w:right w:val="single" w:sz="6" w:space="0" w:color="000000"/>
            </w:tcBorders>
            <w:vAlign w:val="bottom"/>
          </w:tcPr>
          <w:p w:rsidR="00A616A3" w:rsidRPr="002D372A" w14:paraId="5FE0154D" w14:textId="77777777">
            <w:pPr>
              <w:ind w:left="72" w:right="71"/>
              <w:jc w:val="center"/>
              <w:rPr>
                <w:szCs w:val="20"/>
              </w:rPr>
            </w:pPr>
            <w:r w:rsidRPr="002D372A">
              <w:rPr>
                <w:szCs w:val="20"/>
              </w:rPr>
              <w:t>608</w:t>
            </w:r>
          </w:p>
        </w:tc>
        <w:tc>
          <w:tcPr>
            <w:tcW w:w="1993" w:type="pct"/>
            <w:tcBorders>
              <w:left w:val="single" w:sz="6" w:space="0" w:color="000000"/>
              <w:bottom w:val="single" w:sz="6" w:space="0" w:color="000000"/>
              <w:right w:val="single" w:sz="6" w:space="0" w:color="000000"/>
            </w:tcBorders>
            <w:vAlign w:val="bottom"/>
          </w:tcPr>
          <w:p w:rsidR="00A616A3" w:rsidRPr="002D372A" w14:paraId="329E21CF" w14:textId="65894489">
            <w:pPr>
              <w:ind w:left="99" w:right="71"/>
              <w:jc w:val="center"/>
              <w:rPr>
                <w:szCs w:val="20"/>
              </w:rPr>
            </w:pPr>
            <w:r w:rsidRPr="00363350">
              <w:rPr>
                <w:color w:val="000000"/>
                <w:szCs w:val="20"/>
              </w:rPr>
              <w:t>$4,089,89</w:t>
            </w:r>
            <w:r w:rsidR="006C73E4">
              <w:rPr>
                <w:color w:val="000000"/>
                <w:szCs w:val="20"/>
              </w:rPr>
              <w:t>2</w:t>
            </w:r>
          </w:p>
        </w:tc>
      </w:tr>
      <w:tr w14:paraId="51A1FF7D" w14:textId="77777777" w:rsidTr="00680250">
        <w:tblPrEx>
          <w:tblW w:w="4217" w:type="pct"/>
          <w:jc w:val="center"/>
          <w:tblCellMar>
            <w:left w:w="0" w:type="dxa"/>
            <w:right w:w="0" w:type="dxa"/>
          </w:tblCellMar>
          <w:tblLook w:val="01E0"/>
        </w:tblPrEx>
        <w:trPr>
          <w:trHeight w:val="20"/>
          <w:jc w:val="center"/>
        </w:trPr>
        <w:tc>
          <w:tcPr>
            <w:tcW w:w="1346" w:type="pct"/>
            <w:tcBorders>
              <w:top w:val="single" w:sz="6" w:space="0" w:color="000000"/>
              <w:left w:val="single" w:sz="6" w:space="0" w:color="000000"/>
              <w:bottom w:val="single" w:sz="6" w:space="0" w:color="000000"/>
              <w:right w:val="single" w:sz="6" w:space="0" w:color="000000"/>
            </w:tcBorders>
            <w:vAlign w:val="bottom"/>
          </w:tcPr>
          <w:p w:rsidR="00A616A3" w:rsidRPr="002D372A" w14:paraId="1915F7E0" w14:textId="5320601B">
            <w:pPr>
              <w:ind w:left="246" w:right="210"/>
              <w:rPr>
                <w:b/>
                <w:szCs w:val="20"/>
              </w:rPr>
            </w:pPr>
            <w:r>
              <w:rPr>
                <w:b/>
                <w:szCs w:val="20"/>
              </w:rPr>
              <w:t>T</w:t>
            </w:r>
            <w:r w:rsidRPr="002D372A">
              <w:rPr>
                <w:b/>
                <w:szCs w:val="20"/>
              </w:rPr>
              <w:t>otal</w:t>
            </w:r>
          </w:p>
        </w:tc>
        <w:tc>
          <w:tcPr>
            <w:tcW w:w="912" w:type="pct"/>
            <w:tcBorders>
              <w:top w:val="single" w:sz="6" w:space="0" w:color="000000"/>
              <w:left w:val="single" w:sz="6" w:space="0" w:color="000000"/>
              <w:bottom w:val="single" w:sz="6" w:space="0" w:color="000000"/>
              <w:right w:val="single" w:sz="6" w:space="0" w:color="000000"/>
            </w:tcBorders>
            <w:vAlign w:val="bottom"/>
          </w:tcPr>
          <w:p w:rsidR="00A616A3" w:rsidRPr="002D372A" w14:paraId="0E6B8051" w14:textId="77777777">
            <w:pPr>
              <w:ind w:right="71"/>
              <w:jc w:val="center"/>
              <w:rPr>
                <w:szCs w:val="20"/>
              </w:rPr>
            </w:pPr>
          </w:p>
        </w:tc>
        <w:tc>
          <w:tcPr>
            <w:tcW w:w="748" w:type="pct"/>
            <w:tcBorders>
              <w:top w:val="single" w:sz="6" w:space="0" w:color="000000"/>
              <w:left w:val="single" w:sz="6" w:space="0" w:color="000000"/>
              <w:bottom w:val="single" w:sz="6" w:space="0" w:color="000000"/>
              <w:right w:val="single" w:sz="6" w:space="0" w:color="000000"/>
            </w:tcBorders>
            <w:vAlign w:val="bottom"/>
          </w:tcPr>
          <w:p w:rsidR="00A616A3" w:rsidRPr="002D372A" w14:paraId="4D264E82" w14:textId="77777777">
            <w:pPr>
              <w:ind w:left="72" w:right="71"/>
              <w:jc w:val="center"/>
              <w:rPr>
                <w:b/>
                <w:szCs w:val="20"/>
              </w:rPr>
            </w:pPr>
            <w:r w:rsidRPr="002D372A">
              <w:rPr>
                <w:b/>
                <w:szCs w:val="20"/>
              </w:rPr>
              <w:t>11,740</w:t>
            </w:r>
          </w:p>
        </w:tc>
        <w:tc>
          <w:tcPr>
            <w:tcW w:w="1993" w:type="pct"/>
            <w:tcBorders>
              <w:top w:val="single" w:sz="6" w:space="0" w:color="000000"/>
              <w:left w:val="single" w:sz="6" w:space="0" w:color="000000"/>
              <w:bottom w:val="single" w:sz="6" w:space="0" w:color="000000"/>
              <w:right w:val="single" w:sz="6" w:space="0" w:color="000000"/>
            </w:tcBorders>
            <w:vAlign w:val="bottom"/>
          </w:tcPr>
          <w:p w:rsidR="00A616A3" w:rsidRPr="002D372A" w14:paraId="519EBC13" w14:textId="4771B8C9">
            <w:pPr>
              <w:ind w:left="99" w:right="71"/>
              <w:jc w:val="center"/>
              <w:rPr>
                <w:b/>
                <w:szCs w:val="20"/>
              </w:rPr>
            </w:pPr>
            <w:r w:rsidRPr="00363350">
              <w:rPr>
                <w:b/>
                <w:color w:val="000000"/>
                <w:szCs w:val="20"/>
              </w:rPr>
              <w:t>$6,452,25</w:t>
            </w:r>
            <w:r w:rsidR="006C73E4">
              <w:rPr>
                <w:b/>
                <w:color w:val="000000"/>
                <w:szCs w:val="20"/>
              </w:rPr>
              <w:t>7</w:t>
            </w:r>
          </w:p>
        </w:tc>
      </w:tr>
    </w:tbl>
    <w:p w:rsidR="006E1CD0" w:rsidRPr="00614CA1" w:rsidP="00152BAC" w14:paraId="49203174" w14:textId="70117A29">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sectPr w:rsidSect="00165B22">
      <w:pgSz w:w="12240" w:h="15840"/>
      <w:pgMar w:top="1440" w:right="1440" w:bottom="1440" w:left="1440" w:header="1195" w:footer="1195"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20F3" w:rsidP="00E176B6" w14:paraId="58E49D1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220F3" w14:paraId="556B5F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20F3" w:rsidRPr="00BD4727" w:rsidP="00E176B6" w14:paraId="44B69C4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978" w14:paraId="583E4DF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5B22" w:rsidP="00C61E11" w14:paraId="6CF75A76" w14:textId="77777777">
      <w:r>
        <w:separator/>
      </w:r>
    </w:p>
  </w:footnote>
  <w:footnote w:type="continuationSeparator" w:id="1">
    <w:p w:rsidR="00165B22" w:rsidP="00C61E11" w14:paraId="521C40A3" w14:textId="77777777">
      <w:r>
        <w:continuationSeparator/>
      </w:r>
    </w:p>
  </w:footnote>
  <w:footnote w:type="continuationNotice" w:id="2">
    <w:p w:rsidR="00165B22" w14:paraId="14190FAF" w14:textId="77777777"/>
  </w:footnote>
  <w:footnote w:id="3">
    <w:p w:rsidR="001078C3" w14:paraId="5A2C0FC0" w14:textId="5E826523">
      <w:pPr>
        <w:pStyle w:val="FootnoteText"/>
      </w:pPr>
      <w:r>
        <w:rPr>
          <w:rStyle w:val="FootnoteReference"/>
        </w:rPr>
        <w:footnoteRef/>
      </w:r>
      <w:r>
        <w:t xml:space="preserve"> RMP is used interchangeably throughout this document to mean Risk Management Program or risk management plan.</w:t>
      </w:r>
    </w:p>
  </w:footnote>
  <w:footnote w:id="4">
    <w:p w:rsidR="00886B8B" w:rsidRPr="008B4429" w:rsidP="00886B8B" w14:paraId="7267D945" w14:textId="3C9ABE95">
      <w:pPr>
        <w:rPr>
          <w:szCs w:val="20"/>
        </w:rPr>
      </w:pPr>
      <w:r w:rsidRPr="00ED4328">
        <w:rPr>
          <w:rStyle w:val="FootnoteReference"/>
          <w:szCs w:val="20"/>
        </w:rPr>
        <w:footnoteRef/>
      </w:r>
      <w:r w:rsidRPr="008B4429">
        <w:rPr>
          <w:szCs w:val="20"/>
        </w:rPr>
        <w:t xml:space="preserve"> </w:t>
      </w:r>
      <w:r w:rsidRPr="004C74D4" w:rsidR="004C74D4">
        <w:rPr>
          <w:szCs w:val="20"/>
        </w:rPr>
        <w:t>2023. EPA Response to Comments on the 2022 SCCAP Proposed Rule (August 31, 2022; 87 FR 53556).</w:t>
      </w:r>
      <w:r w:rsidRPr="008B4429">
        <w:rPr>
          <w:rFonts w:eastAsia="MS Mincho"/>
          <w:szCs w:val="20"/>
        </w:rPr>
        <w:t xml:space="preserve"> This document is available in the docket for this rulemaking.</w:t>
      </w:r>
    </w:p>
    <w:p w:rsidR="00886B8B" w:rsidRPr="00886CF4" w:rsidP="00886B8B" w14:paraId="15070E13" w14:textId="77777777">
      <w:pPr>
        <w:pStyle w:val="FootnoteText"/>
      </w:pPr>
    </w:p>
  </w:footnote>
  <w:footnote w:id="5">
    <w:p w:rsidR="00492A74" w:rsidRPr="006D46CA" w:rsidP="00492A74" w14:paraId="50AA406B" w14:textId="1907B4AC">
      <w:pPr>
        <w:rPr>
          <w:szCs w:val="20"/>
        </w:rPr>
      </w:pPr>
      <w:r w:rsidRPr="006D46CA">
        <w:rPr>
          <w:rStyle w:val="FootnoteReference"/>
          <w:szCs w:val="20"/>
        </w:rPr>
        <w:footnoteRef/>
      </w:r>
      <w:r w:rsidRPr="006D46CA">
        <w:rPr>
          <w:szCs w:val="20"/>
        </w:rPr>
        <w:t xml:space="preserve"> See</w:t>
      </w:r>
      <w:r>
        <w:rPr>
          <w:szCs w:val="20"/>
        </w:rPr>
        <w:t xml:space="preserve"> </w:t>
      </w:r>
      <w:hyperlink r:id="rId1" w:history="1">
        <w:r w:rsidRPr="000C2893" w:rsidR="000C2893">
          <w:rPr>
            <w:rStyle w:val="Hyperlink"/>
            <w:bCs/>
          </w:rPr>
          <w:t>https://www.bls.gov/oes/2022/may/oes_nat.htm</w:t>
        </w:r>
      </w:hyperlink>
      <w:r w:rsidR="000A764A">
        <w:rPr>
          <w:rStyle w:val="Hyperlink"/>
          <w:bCs/>
        </w:rPr>
        <w:t>.</w:t>
      </w:r>
    </w:p>
  </w:footnote>
  <w:footnote w:id="6">
    <w:p w:rsidR="00162DC5" w:rsidRPr="00E707DE" w:rsidP="00162DC5" w14:paraId="38956289" w14:textId="77777777">
      <w:pPr>
        <w:pStyle w:val="FootnoteText"/>
        <w:rPr>
          <w:sz w:val="18"/>
          <w:szCs w:val="18"/>
        </w:rPr>
      </w:pPr>
      <w:r w:rsidRPr="00E707DE">
        <w:rPr>
          <w:rStyle w:val="FootnoteReference"/>
          <w:sz w:val="18"/>
          <w:szCs w:val="18"/>
        </w:rPr>
        <w:footnoteRef/>
      </w:r>
      <w:r w:rsidRPr="00E707DE">
        <w:rPr>
          <w:sz w:val="18"/>
          <w:szCs w:val="18"/>
        </w:rPr>
        <w:t xml:space="preserve"> BLS Employer Costs for Employee Compensation. For December 2022, Table 1 shows that for civilian workers, on average for the nation, fringe benefits were 31.0% of total compensation, and 44.9% of wages.</w:t>
      </w:r>
    </w:p>
  </w:footnote>
  <w:footnote w:id="7">
    <w:p w:rsidR="00162DC5" w:rsidRPr="00F76659" w:rsidP="00162DC5" w14:paraId="55F1FA69" w14:textId="77777777">
      <w:pPr>
        <w:rPr>
          <w:szCs w:val="20"/>
        </w:rPr>
      </w:pPr>
      <w:r w:rsidRPr="00E707DE">
        <w:rPr>
          <w:rStyle w:val="FootnoteReference"/>
          <w:sz w:val="18"/>
          <w:szCs w:val="18"/>
        </w:rPr>
        <w:footnoteRef/>
      </w:r>
      <w:r w:rsidRPr="00E707DE">
        <w:rPr>
          <w:sz w:val="18"/>
          <w:szCs w:val="18"/>
        </w:rPr>
        <w:t xml:space="preserve"> For details explaining this approach, please see Handbook on Valuing Changes in Time Use Induced by Regulatory Requirements and Other EPA Actions, National Center for Environmental Economics, EPA-236-B-15-001 December 9, 2020.</w:t>
      </w:r>
    </w:p>
  </w:footnote>
  <w:footnote w:id="8">
    <w:p w:rsidR="000E33B8" w:rsidRPr="004E5F16" w:rsidP="000E33B8" w14:paraId="4A333D8B" w14:textId="77777777">
      <w:pPr>
        <w:rPr>
          <w:szCs w:val="20"/>
        </w:rPr>
      </w:pPr>
      <w:r w:rsidRPr="004E5F16">
        <w:rPr>
          <w:szCs w:val="20"/>
          <w:vertAlign w:val="superscript"/>
        </w:rPr>
        <w:footnoteRef/>
      </w:r>
      <w:r w:rsidRPr="004E5F16">
        <w:rPr>
          <w:szCs w:val="20"/>
          <w:vertAlign w:val="superscript"/>
        </w:rPr>
        <w:t xml:space="preserve"> </w:t>
      </w:r>
      <w:r w:rsidRPr="004E5F16">
        <w:rPr>
          <w:szCs w:val="20"/>
        </w:rPr>
        <w:t xml:space="preserve">Labor hours </w:t>
      </w:r>
      <w:r>
        <w:rPr>
          <w:szCs w:val="20"/>
        </w:rPr>
        <w:t xml:space="preserve">are </w:t>
      </w:r>
      <w:r w:rsidRPr="004E5F16">
        <w:rPr>
          <w:szCs w:val="20"/>
        </w:rPr>
        <w:t>taken from average unit cost estimate submitted by Public Comment EPA-HQ-OEM-2015-0725-0579 provided by AFPM. EPA derived labor hours from the unit cost estimate provide</w:t>
      </w:r>
      <w:r>
        <w:rPr>
          <w:szCs w:val="20"/>
        </w:rPr>
        <w:t>d</w:t>
      </w:r>
      <w:r w:rsidRPr="004E5F16">
        <w:rPr>
          <w:szCs w:val="20"/>
        </w:rPr>
        <w:t xml:space="preserve"> by the commenter using standard wage rates.</w:t>
      </w:r>
    </w:p>
  </w:footnote>
  <w:footnote w:id="9">
    <w:p w:rsidR="000E33B8" w:rsidP="000E33B8" w14:paraId="2ACCDC95" w14:textId="77777777">
      <w:pPr>
        <w:pStyle w:val="FootnoteText"/>
      </w:pPr>
      <w:r>
        <w:rPr>
          <w:rStyle w:val="FootnoteReference"/>
        </w:rPr>
        <w:footnoteRef/>
      </w:r>
      <w:r>
        <w:t xml:space="preserve"> </w:t>
      </w:r>
      <w:r w:rsidRPr="001C55C0">
        <w:t>Labor hours</w:t>
      </w:r>
      <w:r>
        <w:t xml:space="preserve"> are</w:t>
      </w:r>
      <w:r w:rsidRPr="001C55C0">
        <w:t xml:space="preserve"> taken from the midpoint of the high and low labor hour estimates submitted by Public Comment EPA-HQ-OEM-2015-0725-0594 made by CSAG. EPA used the midpoint of the </w:t>
      </w:r>
      <w:r w:rsidRPr="00C761E7">
        <w:t>commenter’s high and low labor hour estimates to represent the labor burden of small/medium complex facilities</w:t>
      </w:r>
      <w:r>
        <w:t xml:space="preserve">. </w:t>
      </w:r>
    </w:p>
  </w:footnote>
  <w:footnote w:id="10">
    <w:p w:rsidR="000E33B8" w:rsidRPr="00A156D2" w:rsidP="000E33B8" w14:paraId="103706DD" w14:textId="77777777">
      <w:pPr>
        <w:pStyle w:val="FootnoteText"/>
      </w:pPr>
      <w:r w:rsidRPr="00A156D2">
        <w:rPr>
          <w:rStyle w:val="FootnoteReference"/>
        </w:rPr>
        <w:footnoteRef/>
      </w:r>
      <w:r w:rsidRPr="00A156D2">
        <w:t xml:space="preserve"> For a detailed explanation of how the estimate was developed, see Appendix D in the </w:t>
      </w:r>
      <w:r>
        <w:t>a</w:t>
      </w:r>
      <w:r w:rsidRPr="00A156D2">
        <w:t xml:space="preserve">mendments </w:t>
      </w:r>
      <w:r>
        <w:t>r</w:t>
      </w:r>
      <w:r w:rsidRPr="00A156D2">
        <w:t xml:space="preserve">ule </w:t>
      </w:r>
      <w:r>
        <w:t>f</w:t>
      </w:r>
      <w:r w:rsidRPr="00A156D2">
        <w:t>inal RIA:  US EPA. Regulatory Impact Analysis. Accidental Release Prevention Requirements: Risk Management Programs Under the Clean Air Act, Section 112(r)(7). Dec 16, 2016. (EPA-HQ-OEM-2015-0725-0734).</w:t>
      </w:r>
    </w:p>
  </w:footnote>
  <w:footnote w:id="11">
    <w:p w:rsidR="00A616A3" w:rsidRPr="00CF0616" w:rsidP="00A616A3" w14:paraId="4ED34F67" w14:textId="77777777">
      <w:pPr>
        <w:pStyle w:val="FootnoteText"/>
      </w:pPr>
      <w:r w:rsidRPr="00CF0616">
        <w:rPr>
          <w:rStyle w:val="FootnoteReference"/>
        </w:rPr>
        <w:footnoteRef/>
      </w:r>
      <w:r w:rsidRPr="00CF0616">
        <w:t xml:space="preserve"> </w:t>
      </w:r>
      <w:r w:rsidRPr="00CF0616">
        <w:rPr>
          <w:w w:val="105"/>
        </w:rPr>
        <w:t xml:space="preserve">EPA recognizes that subsequent to the </w:t>
      </w:r>
      <w:r>
        <w:rPr>
          <w:w w:val="105"/>
        </w:rPr>
        <w:t>final</w:t>
      </w:r>
      <w:r w:rsidRPr="00CF0616">
        <w:rPr>
          <w:w w:val="105"/>
        </w:rPr>
        <w:t xml:space="preserve"> rule </w:t>
      </w:r>
      <w:r>
        <w:rPr>
          <w:w w:val="105"/>
        </w:rPr>
        <w:t>being published</w:t>
      </w:r>
      <w:r w:rsidRPr="00CF0616">
        <w:rPr>
          <w:w w:val="105"/>
        </w:rPr>
        <w:t xml:space="preserve">, accident rates may </w:t>
      </w:r>
      <w:r>
        <w:rPr>
          <w:w w:val="105"/>
        </w:rPr>
        <w:t>change</w:t>
      </w:r>
      <w:r w:rsidRPr="00CF0616">
        <w:rPr>
          <w:w w:val="105"/>
        </w:rPr>
        <w:t>.</w:t>
      </w:r>
    </w:p>
  </w:footnote>
  <w:footnote w:id="12">
    <w:p w:rsidR="00A616A3" w:rsidRPr="00DE0725" w:rsidP="00A616A3" w14:paraId="1B99F8F6" w14:textId="77777777">
      <w:pPr>
        <w:pStyle w:val="FootnoteText"/>
      </w:pPr>
      <w:r w:rsidRPr="00DE0725">
        <w:rPr>
          <w:rStyle w:val="FootnoteReference"/>
        </w:rPr>
        <w:footnoteRef/>
      </w:r>
      <w:r w:rsidRPr="00DE0725">
        <w:t xml:space="preserve"> The number of audits may be overstated because some facilities will have the same set of reportable </w:t>
      </w:r>
      <w:r>
        <w:t>accident</w:t>
      </w:r>
      <w:r w:rsidRPr="00DE0725">
        <w:t xml:space="preserve">s in multiple </w:t>
      </w:r>
      <w:r>
        <w:t>five-year</w:t>
      </w:r>
      <w:r w:rsidRPr="00DE0725">
        <w:t xml:space="preserve"> periods.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978" w14:paraId="78923D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978" w14:paraId="1799B99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978" w14:paraId="722D44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73E66"/>
    <w:multiLevelType w:val="multilevel"/>
    <w:tmpl w:val="03DEC9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710801"/>
    <w:multiLevelType w:val="multilevel"/>
    <w:tmpl w:val="9140BF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BE7816"/>
    <w:multiLevelType w:val="multilevel"/>
    <w:tmpl w:val="6A4C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F12272"/>
    <w:multiLevelType w:val="hybridMultilevel"/>
    <w:tmpl w:val="D4DE01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29008DD"/>
    <w:multiLevelType w:val="hybridMultilevel"/>
    <w:tmpl w:val="A8D21EF6"/>
    <w:lvl w:ilvl="0">
      <w:start w:val="1"/>
      <w:numFmt w:val="lowerRoman"/>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4097860"/>
    <w:multiLevelType w:val="multilevel"/>
    <w:tmpl w:val="CA64E3D2"/>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nsid w:val="041679AB"/>
    <w:multiLevelType w:val="hybridMultilevel"/>
    <w:tmpl w:val="A8D21EF6"/>
    <w:lvl w:ilvl="0">
      <w:start w:val="1"/>
      <w:numFmt w:val="lowerRoman"/>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9BE6C49"/>
    <w:multiLevelType w:val="hybridMultilevel"/>
    <w:tmpl w:val="50CE7B26"/>
    <w:lvl w:ilvl="0">
      <w:start w:val="2"/>
      <w:numFmt w:val="bullet"/>
      <w:lvlText w:val="-"/>
      <w:lvlJc w:val="left"/>
      <w:pPr>
        <w:ind w:left="1890" w:hanging="360"/>
      </w:pPr>
      <w:rPr>
        <w:rFonts w:ascii="Times New Roman" w:eastAsia="Times New Roman" w:hAnsi="Times New Roman" w:cs="Times New Roman"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8">
    <w:nsid w:val="114C3A78"/>
    <w:multiLevelType w:val="hybridMultilevel"/>
    <w:tmpl w:val="55368BA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71A7547"/>
    <w:multiLevelType w:val="hybridMultilevel"/>
    <w:tmpl w:val="C9B26C36"/>
    <w:lvl w:ilvl="0">
      <w:start w:val="0"/>
      <w:numFmt w:val="bullet"/>
      <w:lvlText w:val=""/>
      <w:lvlJc w:val="left"/>
      <w:pPr>
        <w:ind w:left="720" w:hanging="360"/>
      </w:pPr>
      <w:rPr>
        <w:rFonts w:ascii="Symbol" w:hAnsi="Symbol" w:eastAsiaTheme="minorHAnsi" w:cs="Times New Roman" w:hint="default"/>
        <w:sz w:val="18"/>
        <w:szCs w:val="18"/>
      </w:rPr>
    </w:lvl>
    <w:lvl w:ilvl="1">
      <w:start w:val="1"/>
      <w:numFmt w:val="bullet"/>
      <w:lvlText w:val=""/>
      <w:lvlJc w:val="left"/>
      <w:pPr>
        <w:ind w:left="1080" w:hanging="360"/>
      </w:pPr>
      <w:rPr>
        <w:rFonts w:ascii="Wingdings" w:hAnsi="Wingdings" w:hint="default"/>
        <w:sz w:val="18"/>
        <w:szCs w:val="1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154605"/>
    <w:multiLevelType w:val="hybridMultilevel"/>
    <w:tmpl w:val="7C8430E2"/>
    <w:lvl w:ilvl="0">
      <w:start w:val="1"/>
      <w:numFmt w:val="bullet"/>
      <w:lvlText w:val=""/>
      <w:lvlJc w:val="left"/>
      <w:pPr>
        <w:ind w:left="1080" w:hanging="360"/>
      </w:pPr>
      <w:rPr>
        <w:rFonts w:ascii="Symbol" w:hAnsi="Symbol" w:hint="default"/>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A6018C1"/>
    <w:multiLevelType w:val="hybridMultilevel"/>
    <w:tmpl w:val="2A36DC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BDB4CC9"/>
    <w:multiLevelType w:val="hybridMultilevel"/>
    <w:tmpl w:val="5F469BE6"/>
    <w:lvl w:ilvl="0">
      <w:start w:val="1"/>
      <w:numFmt w:val="bullet"/>
      <w:lvlText w:val=""/>
      <w:lvlJc w:val="left"/>
      <w:pPr>
        <w:ind w:left="1080" w:hanging="360"/>
      </w:pPr>
      <w:rPr>
        <w:rFonts w:ascii="Symbol" w:hAnsi="Symbol" w:hint="default"/>
        <w:color w:val="auto"/>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EF25B27"/>
    <w:multiLevelType w:val="multilevel"/>
    <w:tmpl w:val="7BF61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234565"/>
    <w:multiLevelType w:val="hybridMultilevel"/>
    <w:tmpl w:val="BAAA8E7E"/>
    <w:lvl w:ilvl="0">
      <w:start w:val="1"/>
      <w:numFmt w:val="bullet"/>
      <w:lvlText w:val=""/>
      <w:lvlJc w:val="left"/>
      <w:pPr>
        <w:ind w:left="1170" w:hanging="360"/>
      </w:pPr>
      <w:rPr>
        <w:rFonts w:ascii="Symbol" w:hAnsi="Symbol" w:hint="default"/>
        <w:sz w:val="18"/>
        <w:szCs w:val="18"/>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5">
    <w:nsid w:val="249E0BC3"/>
    <w:multiLevelType w:val="hybridMultilevel"/>
    <w:tmpl w:val="D8CCB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32760D"/>
    <w:multiLevelType w:val="multilevel"/>
    <w:tmpl w:val="241C9A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1A7063"/>
    <w:multiLevelType w:val="multilevel"/>
    <w:tmpl w:val="B274B5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482ED2"/>
    <w:multiLevelType w:val="hybridMultilevel"/>
    <w:tmpl w:val="A8D21EF6"/>
    <w:lvl w:ilvl="0">
      <w:start w:val="1"/>
      <w:numFmt w:val="lowerRoman"/>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0723495"/>
    <w:multiLevelType w:val="hybridMultilevel"/>
    <w:tmpl w:val="6924FDBC"/>
    <w:lvl w:ilvl="0">
      <w:start w:val="1"/>
      <w:numFmt w:val="bullet"/>
      <w:lvlText w:val=""/>
      <w:lvlJc w:val="left"/>
      <w:pPr>
        <w:ind w:left="108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37346C"/>
    <w:multiLevelType w:val="hybridMultilevel"/>
    <w:tmpl w:val="B6F68562"/>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6220D4"/>
    <w:multiLevelType w:val="hybridMultilevel"/>
    <w:tmpl w:val="19CC17DE"/>
    <w:lvl w:ilvl="0">
      <w:start w:val="1"/>
      <w:numFmt w:val="lowerRoman"/>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4B9389B"/>
    <w:multiLevelType w:val="hybridMultilevel"/>
    <w:tmpl w:val="B558970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59771F0"/>
    <w:multiLevelType w:val="hybridMultilevel"/>
    <w:tmpl w:val="D0E0DEF2"/>
    <w:lvl w:ilvl="0">
      <w:start w:val="1"/>
      <w:numFmt w:val="decimal"/>
      <w:lvlText w:val="%1."/>
      <w:lvlJc w:val="left"/>
      <w:pPr>
        <w:ind w:left="1080" w:hanging="360"/>
      </w:pPr>
      <w:rPr>
        <w:rFonts w:ascii="Times New Roman" w:hAnsi="Times New Roman" w:eastAsiaTheme="minorHAnsi"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5EC272F"/>
    <w:multiLevelType w:val="hybridMultilevel"/>
    <w:tmpl w:val="ED8CB9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6336762"/>
    <w:multiLevelType w:val="hybridMultilevel"/>
    <w:tmpl w:val="009CE3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AD469DF"/>
    <w:multiLevelType w:val="multilevel"/>
    <w:tmpl w:val="C3FAED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0C67164"/>
    <w:multiLevelType w:val="hybridMultilevel"/>
    <w:tmpl w:val="DC3A33CA"/>
    <w:lvl w:ilvl="0">
      <w:start w:val="1"/>
      <w:numFmt w:val="bullet"/>
      <w:lvlText w:val=""/>
      <w:lvlJc w:val="left"/>
      <w:pPr>
        <w:ind w:left="1080" w:hanging="360"/>
      </w:pPr>
      <w:rPr>
        <w:rFonts w:ascii="Symbol" w:hAnsi="Symbol" w:hint="default"/>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2CC2681"/>
    <w:multiLevelType w:val="multilevel"/>
    <w:tmpl w:val="978073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3BB6AC3"/>
    <w:multiLevelType w:val="multilevel"/>
    <w:tmpl w:val="FFBC5A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C63110A"/>
    <w:multiLevelType w:val="hybridMultilevel"/>
    <w:tmpl w:val="A8D21EF6"/>
    <w:lvl w:ilvl="0">
      <w:start w:val="1"/>
      <w:numFmt w:val="lowerRoman"/>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1EA123B"/>
    <w:multiLevelType w:val="multilevel"/>
    <w:tmpl w:val="253A88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304258"/>
    <w:multiLevelType w:val="hybridMultilevel"/>
    <w:tmpl w:val="4F46B39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66802F3"/>
    <w:multiLevelType w:val="hybridMultilevel"/>
    <w:tmpl w:val="4386ED78"/>
    <w:lvl w:ilvl="0">
      <w:start w:val="0"/>
      <w:numFmt w:val="bullet"/>
      <w:lvlText w:val=""/>
      <w:lvlJc w:val="left"/>
      <w:pPr>
        <w:ind w:left="720" w:hanging="360"/>
      </w:pPr>
      <w:rPr>
        <w:rFonts w:ascii="Symbol" w:hAnsi="Symbol" w:eastAsiaTheme="minorHAnsi" w:cs="Times New Roman" w:hint="default"/>
        <w:sz w:val="18"/>
        <w:szCs w:val="18"/>
      </w:rPr>
    </w:lvl>
    <w:lvl w:ilvl="1">
      <w:start w:val="1"/>
      <w:numFmt w:val="bullet"/>
      <w:lvlText w:val=""/>
      <w:lvlJc w:val="left"/>
      <w:pPr>
        <w:ind w:left="1080" w:hanging="360"/>
      </w:pPr>
      <w:rPr>
        <w:rFonts w:ascii="Wingdings" w:hAnsi="Wingdings" w:hint="default"/>
        <w:sz w:val="18"/>
        <w:szCs w:val="1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726B87"/>
    <w:multiLevelType w:val="hybridMultilevel"/>
    <w:tmpl w:val="C1F6A7D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9E5424D"/>
    <w:multiLevelType w:val="hybridMultilevel"/>
    <w:tmpl w:val="6F8E1B6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AD838FF"/>
    <w:multiLevelType w:val="hybridMultilevel"/>
    <w:tmpl w:val="763A2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A26569E"/>
    <w:multiLevelType w:val="multilevel"/>
    <w:tmpl w:val="CA64E3D2"/>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8">
    <w:nsid w:val="7BBC3B9A"/>
    <w:multiLevelType w:val="hybridMultilevel"/>
    <w:tmpl w:val="A0205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2154467">
    <w:abstractNumId w:val="12"/>
  </w:num>
  <w:num w:numId="2" w16cid:durableId="309991605">
    <w:abstractNumId w:val="14"/>
  </w:num>
  <w:num w:numId="3" w16cid:durableId="1479766370">
    <w:abstractNumId w:val="4"/>
  </w:num>
  <w:num w:numId="4" w16cid:durableId="972911010">
    <w:abstractNumId w:val="21"/>
  </w:num>
  <w:num w:numId="5" w16cid:durableId="630289105">
    <w:abstractNumId w:val="27"/>
  </w:num>
  <w:num w:numId="6" w16cid:durableId="1007097702">
    <w:abstractNumId w:val="10"/>
  </w:num>
  <w:num w:numId="7" w16cid:durableId="1219781080">
    <w:abstractNumId w:val="19"/>
  </w:num>
  <w:num w:numId="8" w16cid:durableId="1715886628">
    <w:abstractNumId w:val="7"/>
  </w:num>
  <w:num w:numId="9" w16cid:durableId="634603957">
    <w:abstractNumId w:val="38"/>
  </w:num>
  <w:num w:numId="10" w16cid:durableId="517279976">
    <w:abstractNumId w:val="15"/>
  </w:num>
  <w:num w:numId="11" w16cid:durableId="1827237510">
    <w:abstractNumId w:val="18"/>
  </w:num>
  <w:num w:numId="12" w16cid:durableId="1060862799">
    <w:abstractNumId w:val="20"/>
  </w:num>
  <w:num w:numId="13" w16cid:durableId="1994598307">
    <w:abstractNumId w:val="30"/>
  </w:num>
  <w:num w:numId="14" w16cid:durableId="1464422249">
    <w:abstractNumId w:val="9"/>
  </w:num>
  <w:num w:numId="15" w16cid:durableId="471102705">
    <w:abstractNumId w:val="33"/>
  </w:num>
  <w:num w:numId="16" w16cid:durableId="1152988248">
    <w:abstractNumId w:val="3"/>
  </w:num>
  <w:num w:numId="17" w16cid:durableId="236593274">
    <w:abstractNumId w:val="6"/>
  </w:num>
  <w:num w:numId="18" w16cid:durableId="1436289777">
    <w:abstractNumId w:val="32"/>
  </w:num>
  <w:num w:numId="19" w16cid:durableId="1982539130">
    <w:abstractNumId w:val="8"/>
  </w:num>
  <w:num w:numId="20" w16cid:durableId="924652720">
    <w:abstractNumId w:val="5"/>
  </w:num>
  <w:num w:numId="21" w16cid:durableId="390150938">
    <w:abstractNumId w:val="11"/>
  </w:num>
  <w:num w:numId="22" w16cid:durableId="1062754780">
    <w:abstractNumId w:val="36"/>
  </w:num>
  <w:num w:numId="23" w16cid:durableId="468859776">
    <w:abstractNumId w:val="37"/>
  </w:num>
  <w:num w:numId="24" w16cid:durableId="275796002">
    <w:abstractNumId w:val="22"/>
  </w:num>
  <w:num w:numId="25" w16cid:durableId="1760515308">
    <w:abstractNumId w:val="23"/>
  </w:num>
  <w:num w:numId="26" w16cid:durableId="528833124">
    <w:abstractNumId w:val="34"/>
  </w:num>
  <w:num w:numId="27" w16cid:durableId="1000543123">
    <w:abstractNumId w:val="13"/>
  </w:num>
  <w:num w:numId="28" w16cid:durableId="429468415">
    <w:abstractNumId w:val="31"/>
  </w:num>
  <w:num w:numId="29" w16cid:durableId="875969990">
    <w:abstractNumId w:val="16"/>
  </w:num>
  <w:num w:numId="30" w16cid:durableId="594480058">
    <w:abstractNumId w:val="29"/>
  </w:num>
  <w:num w:numId="31" w16cid:durableId="296451209">
    <w:abstractNumId w:val="26"/>
  </w:num>
  <w:num w:numId="32" w16cid:durableId="1489857671">
    <w:abstractNumId w:val="1"/>
  </w:num>
  <w:num w:numId="33" w16cid:durableId="1095903809">
    <w:abstractNumId w:val="28"/>
  </w:num>
  <w:num w:numId="34" w16cid:durableId="857088629">
    <w:abstractNumId w:val="0"/>
  </w:num>
  <w:num w:numId="35" w16cid:durableId="574819107">
    <w:abstractNumId w:val="2"/>
  </w:num>
  <w:num w:numId="36" w16cid:durableId="1670255988">
    <w:abstractNumId w:val="17"/>
  </w:num>
  <w:num w:numId="37" w16cid:durableId="1845390724">
    <w:abstractNumId w:val="12"/>
  </w:num>
  <w:num w:numId="38" w16cid:durableId="1526291901">
    <w:abstractNumId w:val="35"/>
  </w:num>
  <w:num w:numId="39" w16cid:durableId="1419137593">
    <w:abstractNumId w:val="25"/>
  </w:num>
  <w:num w:numId="40" w16cid:durableId="1753695164">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11"/>
    <w:rsid w:val="0000044B"/>
    <w:rsid w:val="00000AD3"/>
    <w:rsid w:val="00000EEA"/>
    <w:rsid w:val="00001A56"/>
    <w:rsid w:val="00001F58"/>
    <w:rsid w:val="00002269"/>
    <w:rsid w:val="00002578"/>
    <w:rsid w:val="00002751"/>
    <w:rsid w:val="00002940"/>
    <w:rsid w:val="00003642"/>
    <w:rsid w:val="0000367D"/>
    <w:rsid w:val="0000425E"/>
    <w:rsid w:val="000042D8"/>
    <w:rsid w:val="00004770"/>
    <w:rsid w:val="00004DD9"/>
    <w:rsid w:val="0000575C"/>
    <w:rsid w:val="00005875"/>
    <w:rsid w:val="00005A53"/>
    <w:rsid w:val="00005DF2"/>
    <w:rsid w:val="00006426"/>
    <w:rsid w:val="0000662F"/>
    <w:rsid w:val="00006A77"/>
    <w:rsid w:val="00006A85"/>
    <w:rsid w:val="00006C0D"/>
    <w:rsid w:val="000075AC"/>
    <w:rsid w:val="00007ABA"/>
    <w:rsid w:val="00007B30"/>
    <w:rsid w:val="00007B5A"/>
    <w:rsid w:val="00007EC9"/>
    <w:rsid w:val="000103EC"/>
    <w:rsid w:val="000107B5"/>
    <w:rsid w:val="00010FF6"/>
    <w:rsid w:val="00011019"/>
    <w:rsid w:val="00011099"/>
    <w:rsid w:val="000111F5"/>
    <w:rsid w:val="00011924"/>
    <w:rsid w:val="00011B60"/>
    <w:rsid w:val="000120DC"/>
    <w:rsid w:val="0001211E"/>
    <w:rsid w:val="000123C7"/>
    <w:rsid w:val="00012B5B"/>
    <w:rsid w:val="00012DF7"/>
    <w:rsid w:val="00012EC9"/>
    <w:rsid w:val="000139F0"/>
    <w:rsid w:val="00013B8E"/>
    <w:rsid w:val="00013FD8"/>
    <w:rsid w:val="000141B6"/>
    <w:rsid w:val="000141DB"/>
    <w:rsid w:val="00014702"/>
    <w:rsid w:val="00014722"/>
    <w:rsid w:val="000147BA"/>
    <w:rsid w:val="000147D6"/>
    <w:rsid w:val="0001547F"/>
    <w:rsid w:val="00015E15"/>
    <w:rsid w:val="00016404"/>
    <w:rsid w:val="0001644F"/>
    <w:rsid w:val="0001676C"/>
    <w:rsid w:val="000167CB"/>
    <w:rsid w:val="00016B64"/>
    <w:rsid w:val="00016D10"/>
    <w:rsid w:val="000170BB"/>
    <w:rsid w:val="00017599"/>
    <w:rsid w:val="00017B87"/>
    <w:rsid w:val="00020057"/>
    <w:rsid w:val="000201AF"/>
    <w:rsid w:val="00020529"/>
    <w:rsid w:val="0002112C"/>
    <w:rsid w:val="00021647"/>
    <w:rsid w:val="000216D6"/>
    <w:rsid w:val="0002175F"/>
    <w:rsid w:val="0002189F"/>
    <w:rsid w:val="00022BD7"/>
    <w:rsid w:val="00023457"/>
    <w:rsid w:val="00023BCA"/>
    <w:rsid w:val="0002484F"/>
    <w:rsid w:val="000253CB"/>
    <w:rsid w:val="000254D8"/>
    <w:rsid w:val="000255D2"/>
    <w:rsid w:val="00025830"/>
    <w:rsid w:val="00025869"/>
    <w:rsid w:val="00025DF0"/>
    <w:rsid w:val="000260B1"/>
    <w:rsid w:val="00026962"/>
    <w:rsid w:val="00026BD2"/>
    <w:rsid w:val="00026C1E"/>
    <w:rsid w:val="00026D2D"/>
    <w:rsid w:val="00027035"/>
    <w:rsid w:val="000278E8"/>
    <w:rsid w:val="00027AC3"/>
    <w:rsid w:val="00027BDF"/>
    <w:rsid w:val="00027DAA"/>
    <w:rsid w:val="00027EFE"/>
    <w:rsid w:val="000304C2"/>
    <w:rsid w:val="000304E3"/>
    <w:rsid w:val="00030696"/>
    <w:rsid w:val="00030AA9"/>
    <w:rsid w:val="000310DB"/>
    <w:rsid w:val="0003134A"/>
    <w:rsid w:val="0003140B"/>
    <w:rsid w:val="0003149F"/>
    <w:rsid w:val="000315FF"/>
    <w:rsid w:val="00031A82"/>
    <w:rsid w:val="00031D93"/>
    <w:rsid w:val="00031F17"/>
    <w:rsid w:val="00032656"/>
    <w:rsid w:val="000326BF"/>
    <w:rsid w:val="00032C71"/>
    <w:rsid w:val="000331C0"/>
    <w:rsid w:val="0003329C"/>
    <w:rsid w:val="00033562"/>
    <w:rsid w:val="00033B63"/>
    <w:rsid w:val="00033C48"/>
    <w:rsid w:val="00033C7E"/>
    <w:rsid w:val="00033F79"/>
    <w:rsid w:val="00034084"/>
    <w:rsid w:val="000343F4"/>
    <w:rsid w:val="00034453"/>
    <w:rsid w:val="0003455D"/>
    <w:rsid w:val="00034903"/>
    <w:rsid w:val="00034B18"/>
    <w:rsid w:val="00034C52"/>
    <w:rsid w:val="00034D49"/>
    <w:rsid w:val="00034D5E"/>
    <w:rsid w:val="00035203"/>
    <w:rsid w:val="00035204"/>
    <w:rsid w:val="00035C2D"/>
    <w:rsid w:val="00035CC9"/>
    <w:rsid w:val="00036049"/>
    <w:rsid w:val="000376A7"/>
    <w:rsid w:val="00037E01"/>
    <w:rsid w:val="00040426"/>
    <w:rsid w:val="00040957"/>
    <w:rsid w:val="0004122A"/>
    <w:rsid w:val="000418F1"/>
    <w:rsid w:val="00041C4D"/>
    <w:rsid w:val="00042486"/>
    <w:rsid w:val="000425F3"/>
    <w:rsid w:val="00042933"/>
    <w:rsid w:val="00042EB4"/>
    <w:rsid w:val="00042F37"/>
    <w:rsid w:val="0004339E"/>
    <w:rsid w:val="000434B7"/>
    <w:rsid w:val="00043632"/>
    <w:rsid w:val="0004379A"/>
    <w:rsid w:val="00043C1F"/>
    <w:rsid w:val="00043DDE"/>
    <w:rsid w:val="000443A4"/>
    <w:rsid w:val="00044A50"/>
    <w:rsid w:val="00044B6C"/>
    <w:rsid w:val="00044CF6"/>
    <w:rsid w:val="00044DFE"/>
    <w:rsid w:val="00045354"/>
    <w:rsid w:val="000453DD"/>
    <w:rsid w:val="000453E6"/>
    <w:rsid w:val="00045439"/>
    <w:rsid w:val="0004547C"/>
    <w:rsid w:val="00045E0B"/>
    <w:rsid w:val="0004601C"/>
    <w:rsid w:val="000461CF"/>
    <w:rsid w:val="00046EC4"/>
    <w:rsid w:val="0004746C"/>
    <w:rsid w:val="00047600"/>
    <w:rsid w:val="00047BC5"/>
    <w:rsid w:val="00047CAD"/>
    <w:rsid w:val="00047CE9"/>
    <w:rsid w:val="000501C2"/>
    <w:rsid w:val="00050376"/>
    <w:rsid w:val="00050709"/>
    <w:rsid w:val="00050E0D"/>
    <w:rsid w:val="00051579"/>
    <w:rsid w:val="00051DC6"/>
    <w:rsid w:val="0005241F"/>
    <w:rsid w:val="000524B1"/>
    <w:rsid w:val="00052787"/>
    <w:rsid w:val="00052A87"/>
    <w:rsid w:val="00052DB4"/>
    <w:rsid w:val="00052E4C"/>
    <w:rsid w:val="00052EF4"/>
    <w:rsid w:val="00053143"/>
    <w:rsid w:val="000534DF"/>
    <w:rsid w:val="00053CC1"/>
    <w:rsid w:val="00053F20"/>
    <w:rsid w:val="000544CF"/>
    <w:rsid w:val="00054988"/>
    <w:rsid w:val="00054BB3"/>
    <w:rsid w:val="00054D87"/>
    <w:rsid w:val="000556B5"/>
    <w:rsid w:val="00055943"/>
    <w:rsid w:val="000559A3"/>
    <w:rsid w:val="00055D2B"/>
    <w:rsid w:val="00055EB4"/>
    <w:rsid w:val="00056502"/>
    <w:rsid w:val="0005666B"/>
    <w:rsid w:val="00056DAD"/>
    <w:rsid w:val="00057584"/>
    <w:rsid w:val="00057683"/>
    <w:rsid w:val="0005770F"/>
    <w:rsid w:val="00057862"/>
    <w:rsid w:val="00057CB6"/>
    <w:rsid w:val="00060054"/>
    <w:rsid w:val="0006023D"/>
    <w:rsid w:val="000602ED"/>
    <w:rsid w:val="00060462"/>
    <w:rsid w:val="00060881"/>
    <w:rsid w:val="00060A76"/>
    <w:rsid w:val="00060D68"/>
    <w:rsid w:val="00060F20"/>
    <w:rsid w:val="00061075"/>
    <w:rsid w:val="00061220"/>
    <w:rsid w:val="00061A52"/>
    <w:rsid w:val="0006200F"/>
    <w:rsid w:val="000620C9"/>
    <w:rsid w:val="00062118"/>
    <w:rsid w:val="0006217F"/>
    <w:rsid w:val="000623DD"/>
    <w:rsid w:val="0006255E"/>
    <w:rsid w:val="00062BE9"/>
    <w:rsid w:val="00062F01"/>
    <w:rsid w:val="000630D7"/>
    <w:rsid w:val="000632B1"/>
    <w:rsid w:val="00063A48"/>
    <w:rsid w:val="00063C29"/>
    <w:rsid w:val="000641C4"/>
    <w:rsid w:val="00064812"/>
    <w:rsid w:val="00064A6B"/>
    <w:rsid w:val="00064B03"/>
    <w:rsid w:val="00064B9F"/>
    <w:rsid w:val="00064C9C"/>
    <w:rsid w:val="0006506F"/>
    <w:rsid w:val="00065140"/>
    <w:rsid w:val="000653F3"/>
    <w:rsid w:val="00065E46"/>
    <w:rsid w:val="00065F6E"/>
    <w:rsid w:val="000665F7"/>
    <w:rsid w:val="00066747"/>
    <w:rsid w:val="00066FD7"/>
    <w:rsid w:val="00067995"/>
    <w:rsid w:val="00067B3F"/>
    <w:rsid w:val="00067BF9"/>
    <w:rsid w:val="00067C60"/>
    <w:rsid w:val="00070346"/>
    <w:rsid w:val="0007077A"/>
    <w:rsid w:val="00071565"/>
    <w:rsid w:val="000719AC"/>
    <w:rsid w:val="00071D26"/>
    <w:rsid w:val="00071E7A"/>
    <w:rsid w:val="00071EE0"/>
    <w:rsid w:val="00072073"/>
    <w:rsid w:val="00073366"/>
    <w:rsid w:val="000734D3"/>
    <w:rsid w:val="00073520"/>
    <w:rsid w:val="0007352C"/>
    <w:rsid w:val="00073B24"/>
    <w:rsid w:val="00074157"/>
    <w:rsid w:val="00074701"/>
    <w:rsid w:val="00074B3C"/>
    <w:rsid w:val="00074C6D"/>
    <w:rsid w:val="000752C7"/>
    <w:rsid w:val="00075955"/>
    <w:rsid w:val="00075A2A"/>
    <w:rsid w:val="00075ABF"/>
    <w:rsid w:val="00075C91"/>
    <w:rsid w:val="00075F69"/>
    <w:rsid w:val="00076086"/>
    <w:rsid w:val="00076CB9"/>
    <w:rsid w:val="000774FA"/>
    <w:rsid w:val="00077DD1"/>
    <w:rsid w:val="00077E4C"/>
    <w:rsid w:val="000807C7"/>
    <w:rsid w:val="00080B55"/>
    <w:rsid w:val="00081B51"/>
    <w:rsid w:val="00081B54"/>
    <w:rsid w:val="00081D71"/>
    <w:rsid w:val="000820B5"/>
    <w:rsid w:val="000821A7"/>
    <w:rsid w:val="00082345"/>
    <w:rsid w:val="000824E4"/>
    <w:rsid w:val="0008261F"/>
    <w:rsid w:val="000826DD"/>
    <w:rsid w:val="0008297A"/>
    <w:rsid w:val="0008331D"/>
    <w:rsid w:val="0008372B"/>
    <w:rsid w:val="00083DE7"/>
    <w:rsid w:val="0008471A"/>
    <w:rsid w:val="00084AF2"/>
    <w:rsid w:val="00084DCD"/>
    <w:rsid w:val="00084DD1"/>
    <w:rsid w:val="0008526F"/>
    <w:rsid w:val="00085631"/>
    <w:rsid w:val="00085AD7"/>
    <w:rsid w:val="00085B1B"/>
    <w:rsid w:val="00086101"/>
    <w:rsid w:val="0008669F"/>
    <w:rsid w:val="00086D79"/>
    <w:rsid w:val="00086FBE"/>
    <w:rsid w:val="00087112"/>
    <w:rsid w:val="00087771"/>
    <w:rsid w:val="00087BE9"/>
    <w:rsid w:val="00087CEE"/>
    <w:rsid w:val="0009019F"/>
    <w:rsid w:val="00090315"/>
    <w:rsid w:val="00090596"/>
    <w:rsid w:val="00090F86"/>
    <w:rsid w:val="00091279"/>
    <w:rsid w:val="0009142E"/>
    <w:rsid w:val="000914D7"/>
    <w:rsid w:val="00091560"/>
    <w:rsid w:val="00091D2A"/>
    <w:rsid w:val="00092025"/>
    <w:rsid w:val="00092077"/>
    <w:rsid w:val="00092E1D"/>
    <w:rsid w:val="00093207"/>
    <w:rsid w:val="00093967"/>
    <w:rsid w:val="00094166"/>
    <w:rsid w:val="000945BF"/>
    <w:rsid w:val="00094A47"/>
    <w:rsid w:val="00094B95"/>
    <w:rsid w:val="00094CAC"/>
    <w:rsid w:val="00094CF7"/>
    <w:rsid w:val="00094E46"/>
    <w:rsid w:val="00094E83"/>
    <w:rsid w:val="00094F01"/>
    <w:rsid w:val="0009517C"/>
    <w:rsid w:val="00095CB2"/>
    <w:rsid w:val="00096336"/>
    <w:rsid w:val="00096376"/>
    <w:rsid w:val="00096AF7"/>
    <w:rsid w:val="00096B18"/>
    <w:rsid w:val="00096E11"/>
    <w:rsid w:val="000970E2"/>
    <w:rsid w:val="000971D9"/>
    <w:rsid w:val="000A0053"/>
    <w:rsid w:val="000A0A01"/>
    <w:rsid w:val="000A0C61"/>
    <w:rsid w:val="000A10DE"/>
    <w:rsid w:val="000A1ECB"/>
    <w:rsid w:val="000A2249"/>
    <w:rsid w:val="000A282C"/>
    <w:rsid w:val="000A29A1"/>
    <w:rsid w:val="000A2A0A"/>
    <w:rsid w:val="000A3454"/>
    <w:rsid w:val="000A3A32"/>
    <w:rsid w:val="000A3D39"/>
    <w:rsid w:val="000A4247"/>
    <w:rsid w:val="000A4830"/>
    <w:rsid w:val="000A4CA2"/>
    <w:rsid w:val="000A4D00"/>
    <w:rsid w:val="000A4FB0"/>
    <w:rsid w:val="000A5505"/>
    <w:rsid w:val="000A5810"/>
    <w:rsid w:val="000A5981"/>
    <w:rsid w:val="000A66CB"/>
    <w:rsid w:val="000A6C34"/>
    <w:rsid w:val="000A6ECB"/>
    <w:rsid w:val="000A7157"/>
    <w:rsid w:val="000A723D"/>
    <w:rsid w:val="000A764A"/>
    <w:rsid w:val="000A7BE5"/>
    <w:rsid w:val="000A7C53"/>
    <w:rsid w:val="000B001D"/>
    <w:rsid w:val="000B0569"/>
    <w:rsid w:val="000B0984"/>
    <w:rsid w:val="000B0BB0"/>
    <w:rsid w:val="000B0DB9"/>
    <w:rsid w:val="000B1128"/>
    <w:rsid w:val="000B11D7"/>
    <w:rsid w:val="000B11DF"/>
    <w:rsid w:val="000B15F7"/>
    <w:rsid w:val="000B178F"/>
    <w:rsid w:val="000B1D2E"/>
    <w:rsid w:val="000B1DA2"/>
    <w:rsid w:val="000B218E"/>
    <w:rsid w:val="000B21AC"/>
    <w:rsid w:val="000B2603"/>
    <w:rsid w:val="000B2D80"/>
    <w:rsid w:val="000B334D"/>
    <w:rsid w:val="000B3414"/>
    <w:rsid w:val="000B3456"/>
    <w:rsid w:val="000B34AC"/>
    <w:rsid w:val="000B3538"/>
    <w:rsid w:val="000B4675"/>
    <w:rsid w:val="000B474D"/>
    <w:rsid w:val="000B49F2"/>
    <w:rsid w:val="000B4D4E"/>
    <w:rsid w:val="000B4FC5"/>
    <w:rsid w:val="000B51E0"/>
    <w:rsid w:val="000B564D"/>
    <w:rsid w:val="000B5908"/>
    <w:rsid w:val="000B5CF0"/>
    <w:rsid w:val="000B5FCE"/>
    <w:rsid w:val="000B6770"/>
    <w:rsid w:val="000B677C"/>
    <w:rsid w:val="000B6805"/>
    <w:rsid w:val="000B6E69"/>
    <w:rsid w:val="000B7473"/>
    <w:rsid w:val="000B75D0"/>
    <w:rsid w:val="000B76B3"/>
    <w:rsid w:val="000B77DE"/>
    <w:rsid w:val="000C0021"/>
    <w:rsid w:val="000C02B5"/>
    <w:rsid w:val="000C0FB9"/>
    <w:rsid w:val="000C10A9"/>
    <w:rsid w:val="000C147A"/>
    <w:rsid w:val="000C1582"/>
    <w:rsid w:val="000C1752"/>
    <w:rsid w:val="000C1F23"/>
    <w:rsid w:val="000C218F"/>
    <w:rsid w:val="000C2372"/>
    <w:rsid w:val="000C2893"/>
    <w:rsid w:val="000C2EF9"/>
    <w:rsid w:val="000C34E7"/>
    <w:rsid w:val="000C3707"/>
    <w:rsid w:val="000C3A2A"/>
    <w:rsid w:val="000C3F23"/>
    <w:rsid w:val="000C42E8"/>
    <w:rsid w:val="000C4542"/>
    <w:rsid w:val="000C4969"/>
    <w:rsid w:val="000C53E1"/>
    <w:rsid w:val="000C548C"/>
    <w:rsid w:val="000C5497"/>
    <w:rsid w:val="000C58C1"/>
    <w:rsid w:val="000C5938"/>
    <w:rsid w:val="000C609D"/>
    <w:rsid w:val="000C60E7"/>
    <w:rsid w:val="000C6866"/>
    <w:rsid w:val="000C6D6C"/>
    <w:rsid w:val="000C6E50"/>
    <w:rsid w:val="000C6FC5"/>
    <w:rsid w:val="000C7133"/>
    <w:rsid w:val="000C76B4"/>
    <w:rsid w:val="000D0C5D"/>
    <w:rsid w:val="000D1605"/>
    <w:rsid w:val="000D186F"/>
    <w:rsid w:val="000D2B28"/>
    <w:rsid w:val="000D2B8C"/>
    <w:rsid w:val="000D2BB1"/>
    <w:rsid w:val="000D2C05"/>
    <w:rsid w:val="000D2E1D"/>
    <w:rsid w:val="000D318F"/>
    <w:rsid w:val="000D34D6"/>
    <w:rsid w:val="000D3538"/>
    <w:rsid w:val="000D393E"/>
    <w:rsid w:val="000D3A11"/>
    <w:rsid w:val="000D40FE"/>
    <w:rsid w:val="000D42A9"/>
    <w:rsid w:val="000D42F1"/>
    <w:rsid w:val="000D44C8"/>
    <w:rsid w:val="000D4640"/>
    <w:rsid w:val="000D4C1C"/>
    <w:rsid w:val="000D4C95"/>
    <w:rsid w:val="000D4D80"/>
    <w:rsid w:val="000D547F"/>
    <w:rsid w:val="000D5551"/>
    <w:rsid w:val="000D58C5"/>
    <w:rsid w:val="000D60B7"/>
    <w:rsid w:val="000D775B"/>
    <w:rsid w:val="000D7891"/>
    <w:rsid w:val="000D7971"/>
    <w:rsid w:val="000D7F87"/>
    <w:rsid w:val="000E0B71"/>
    <w:rsid w:val="000E0DB4"/>
    <w:rsid w:val="000E10B3"/>
    <w:rsid w:val="000E1221"/>
    <w:rsid w:val="000E17A8"/>
    <w:rsid w:val="000E1A7A"/>
    <w:rsid w:val="000E1EC8"/>
    <w:rsid w:val="000E20CB"/>
    <w:rsid w:val="000E222E"/>
    <w:rsid w:val="000E2726"/>
    <w:rsid w:val="000E2806"/>
    <w:rsid w:val="000E2B40"/>
    <w:rsid w:val="000E2BBF"/>
    <w:rsid w:val="000E2CC8"/>
    <w:rsid w:val="000E30D2"/>
    <w:rsid w:val="000E316C"/>
    <w:rsid w:val="000E32C8"/>
    <w:rsid w:val="000E3304"/>
    <w:rsid w:val="000E33B8"/>
    <w:rsid w:val="000E369C"/>
    <w:rsid w:val="000E3B18"/>
    <w:rsid w:val="000E3E8E"/>
    <w:rsid w:val="000E3F60"/>
    <w:rsid w:val="000E4261"/>
    <w:rsid w:val="000E47E5"/>
    <w:rsid w:val="000E4D68"/>
    <w:rsid w:val="000E532E"/>
    <w:rsid w:val="000E5376"/>
    <w:rsid w:val="000E55B0"/>
    <w:rsid w:val="000E6263"/>
    <w:rsid w:val="000E6534"/>
    <w:rsid w:val="000E6BDE"/>
    <w:rsid w:val="000E732F"/>
    <w:rsid w:val="000E7444"/>
    <w:rsid w:val="000E77D4"/>
    <w:rsid w:val="000E7C48"/>
    <w:rsid w:val="000F0142"/>
    <w:rsid w:val="000F04CE"/>
    <w:rsid w:val="000F0DC8"/>
    <w:rsid w:val="000F1086"/>
    <w:rsid w:val="000F10A2"/>
    <w:rsid w:val="000F1198"/>
    <w:rsid w:val="000F1363"/>
    <w:rsid w:val="000F1544"/>
    <w:rsid w:val="000F205D"/>
    <w:rsid w:val="000F2244"/>
    <w:rsid w:val="000F234B"/>
    <w:rsid w:val="000F23B5"/>
    <w:rsid w:val="000F2DA2"/>
    <w:rsid w:val="000F2DBD"/>
    <w:rsid w:val="000F3382"/>
    <w:rsid w:val="000F358F"/>
    <w:rsid w:val="000F372C"/>
    <w:rsid w:val="000F39A8"/>
    <w:rsid w:val="000F3A58"/>
    <w:rsid w:val="000F3B66"/>
    <w:rsid w:val="000F3E35"/>
    <w:rsid w:val="000F4BAA"/>
    <w:rsid w:val="000F4D81"/>
    <w:rsid w:val="000F53C9"/>
    <w:rsid w:val="000F554E"/>
    <w:rsid w:val="000F58F4"/>
    <w:rsid w:val="000F5EBF"/>
    <w:rsid w:val="000F608B"/>
    <w:rsid w:val="000F6B13"/>
    <w:rsid w:val="000F6C53"/>
    <w:rsid w:val="000F6DB3"/>
    <w:rsid w:val="000F6E80"/>
    <w:rsid w:val="000F76EA"/>
    <w:rsid w:val="000F79EA"/>
    <w:rsid w:val="000F7C1B"/>
    <w:rsid w:val="000F7DB4"/>
    <w:rsid w:val="0010002E"/>
    <w:rsid w:val="001010B4"/>
    <w:rsid w:val="00101658"/>
    <w:rsid w:val="0010172B"/>
    <w:rsid w:val="00101786"/>
    <w:rsid w:val="001019AD"/>
    <w:rsid w:val="00101C78"/>
    <w:rsid w:val="00101F97"/>
    <w:rsid w:val="00102406"/>
    <w:rsid w:val="00102C50"/>
    <w:rsid w:val="00102CDE"/>
    <w:rsid w:val="00103274"/>
    <w:rsid w:val="00103B10"/>
    <w:rsid w:val="00103B4D"/>
    <w:rsid w:val="00103BD3"/>
    <w:rsid w:val="00104033"/>
    <w:rsid w:val="00104278"/>
    <w:rsid w:val="001048F5"/>
    <w:rsid w:val="00104DC9"/>
    <w:rsid w:val="0010537C"/>
    <w:rsid w:val="00105622"/>
    <w:rsid w:val="0010563E"/>
    <w:rsid w:val="001056AF"/>
    <w:rsid w:val="00105851"/>
    <w:rsid w:val="00105904"/>
    <w:rsid w:val="00105FA4"/>
    <w:rsid w:val="00107082"/>
    <w:rsid w:val="001070AB"/>
    <w:rsid w:val="001077C3"/>
    <w:rsid w:val="001078C3"/>
    <w:rsid w:val="0010796C"/>
    <w:rsid w:val="00107D0A"/>
    <w:rsid w:val="00107ED5"/>
    <w:rsid w:val="0011029C"/>
    <w:rsid w:val="00110AF0"/>
    <w:rsid w:val="0011114E"/>
    <w:rsid w:val="001112D2"/>
    <w:rsid w:val="00111751"/>
    <w:rsid w:val="00111B15"/>
    <w:rsid w:val="00111E75"/>
    <w:rsid w:val="00112628"/>
    <w:rsid w:val="00112629"/>
    <w:rsid w:val="00113159"/>
    <w:rsid w:val="001135CB"/>
    <w:rsid w:val="0011370B"/>
    <w:rsid w:val="00113D78"/>
    <w:rsid w:val="00113F76"/>
    <w:rsid w:val="0011420A"/>
    <w:rsid w:val="001150A4"/>
    <w:rsid w:val="00115281"/>
    <w:rsid w:val="00115C5B"/>
    <w:rsid w:val="00116486"/>
    <w:rsid w:val="00116C83"/>
    <w:rsid w:val="00117041"/>
    <w:rsid w:val="001176E8"/>
    <w:rsid w:val="00117851"/>
    <w:rsid w:val="00117B74"/>
    <w:rsid w:val="00117F2A"/>
    <w:rsid w:val="001204C1"/>
    <w:rsid w:val="00120C7D"/>
    <w:rsid w:val="001213ED"/>
    <w:rsid w:val="0012146D"/>
    <w:rsid w:val="001217A4"/>
    <w:rsid w:val="00121858"/>
    <w:rsid w:val="001219B6"/>
    <w:rsid w:val="00121A06"/>
    <w:rsid w:val="00121A9F"/>
    <w:rsid w:val="00121B40"/>
    <w:rsid w:val="00121E9C"/>
    <w:rsid w:val="00121FA0"/>
    <w:rsid w:val="001223FF"/>
    <w:rsid w:val="00122630"/>
    <w:rsid w:val="0012294E"/>
    <w:rsid w:val="00122B32"/>
    <w:rsid w:val="00122F02"/>
    <w:rsid w:val="001231EC"/>
    <w:rsid w:val="00123367"/>
    <w:rsid w:val="00123878"/>
    <w:rsid w:val="001243AF"/>
    <w:rsid w:val="001244D6"/>
    <w:rsid w:val="001248AC"/>
    <w:rsid w:val="00124B7A"/>
    <w:rsid w:val="00124CBE"/>
    <w:rsid w:val="001255FF"/>
    <w:rsid w:val="00125BF0"/>
    <w:rsid w:val="00125F37"/>
    <w:rsid w:val="00126085"/>
    <w:rsid w:val="001262D7"/>
    <w:rsid w:val="001266AC"/>
    <w:rsid w:val="00126954"/>
    <w:rsid w:val="00126EA0"/>
    <w:rsid w:val="00127393"/>
    <w:rsid w:val="00130074"/>
    <w:rsid w:val="001303EC"/>
    <w:rsid w:val="00130B6D"/>
    <w:rsid w:val="00130C37"/>
    <w:rsid w:val="00130C40"/>
    <w:rsid w:val="00131316"/>
    <w:rsid w:val="001315A7"/>
    <w:rsid w:val="00131816"/>
    <w:rsid w:val="00131DB1"/>
    <w:rsid w:val="0013228F"/>
    <w:rsid w:val="001327DF"/>
    <w:rsid w:val="00132A67"/>
    <w:rsid w:val="00132F08"/>
    <w:rsid w:val="00133006"/>
    <w:rsid w:val="001332B3"/>
    <w:rsid w:val="001334A2"/>
    <w:rsid w:val="00134483"/>
    <w:rsid w:val="00134551"/>
    <w:rsid w:val="001347FC"/>
    <w:rsid w:val="00134D8C"/>
    <w:rsid w:val="00134EA5"/>
    <w:rsid w:val="00134F85"/>
    <w:rsid w:val="0013509F"/>
    <w:rsid w:val="00135F36"/>
    <w:rsid w:val="001361C3"/>
    <w:rsid w:val="001365DF"/>
    <w:rsid w:val="001369CA"/>
    <w:rsid w:val="00137486"/>
    <w:rsid w:val="00137616"/>
    <w:rsid w:val="00137A40"/>
    <w:rsid w:val="00140756"/>
    <w:rsid w:val="00140B80"/>
    <w:rsid w:val="00140DE7"/>
    <w:rsid w:val="00140E3E"/>
    <w:rsid w:val="00140F2E"/>
    <w:rsid w:val="00141112"/>
    <w:rsid w:val="00141673"/>
    <w:rsid w:val="00141FEA"/>
    <w:rsid w:val="0014236C"/>
    <w:rsid w:val="00142B22"/>
    <w:rsid w:val="00142EA2"/>
    <w:rsid w:val="00142F27"/>
    <w:rsid w:val="00142F79"/>
    <w:rsid w:val="00143CD6"/>
    <w:rsid w:val="0014407B"/>
    <w:rsid w:val="001454A7"/>
    <w:rsid w:val="00145664"/>
    <w:rsid w:val="00145DAD"/>
    <w:rsid w:val="00145E3D"/>
    <w:rsid w:val="00146202"/>
    <w:rsid w:val="00146232"/>
    <w:rsid w:val="001462CB"/>
    <w:rsid w:val="001464A6"/>
    <w:rsid w:val="00146A85"/>
    <w:rsid w:val="00146DD8"/>
    <w:rsid w:val="00147123"/>
    <w:rsid w:val="00147358"/>
    <w:rsid w:val="0014750A"/>
    <w:rsid w:val="001479A4"/>
    <w:rsid w:val="00147B25"/>
    <w:rsid w:val="00147D26"/>
    <w:rsid w:val="001509F9"/>
    <w:rsid w:val="001511EE"/>
    <w:rsid w:val="00151335"/>
    <w:rsid w:val="0015195C"/>
    <w:rsid w:val="00152AA3"/>
    <w:rsid w:val="00152BAC"/>
    <w:rsid w:val="001530A1"/>
    <w:rsid w:val="001533F3"/>
    <w:rsid w:val="0015371C"/>
    <w:rsid w:val="001539AB"/>
    <w:rsid w:val="00153A4C"/>
    <w:rsid w:val="00154D23"/>
    <w:rsid w:val="00154FE0"/>
    <w:rsid w:val="001552DB"/>
    <w:rsid w:val="00155392"/>
    <w:rsid w:val="0015568B"/>
    <w:rsid w:val="00155840"/>
    <w:rsid w:val="00155A85"/>
    <w:rsid w:val="00155D92"/>
    <w:rsid w:val="00156188"/>
    <w:rsid w:val="00156236"/>
    <w:rsid w:val="00156313"/>
    <w:rsid w:val="00156426"/>
    <w:rsid w:val="00156C00"/>
    <w:rsid w:val="00157009"/>
    <w:rsid w:val="0015743F"/>
    <w:rsid w:val="00157493"/>
    <w:rsid w:val="001577AF"/>
    <w:rsid w:val="00157923"/>
    <w:rsid w:val="00157E76"/>
    <w:rsid w:val="001605A0"/>
    <w:rsid w:val="00160D3C"/>
    <w:rsid w:val="00160F06"/>
    <w:rsid w:val="001616E8"/>
    <w:rsid w:val="001618CF"/>
    <w:rsid w:val="00161CC3"/>
    <w:rsid w:val="00162174"/>
    <w:rsid w:val="00162DC5"/>
    <w:rsid w:val="0016457B"/>
    <w:rsid w:val="001649AF"/>
    <w:rsid w:val="00164EB7"/>
    <w:rsid w:val="00164EE0"/>
    <w:rsid w:val="00164F0F"/>
    <w:rsid w:val="00165214"/>
    <w:rsid w:val="001653FA"/>
    <w:rsid w:val="0016571C"/>
    <w:rsid w:val="001658E3"/>
    <w:rsid w:val="00165B22"/>
    <w:rsid w:val="00165DFA"/>
    <w:rsid w:val="00166795"/>
    <w:rsid w:val="00166FC0"/>
    <w:rsid w:val="00167258"/>
    <w:rsid w:val="0016791A"/>
    <w:rsid w:val="00167961"/>
    <w:rsid w:val="00170217"/>
    <w:rsid w:val="001704F3"/>
    <w:rsid w:val="00170742"/>
    <w:rsid w:val="001708CD"/>
    <w:rsid w:val="00170946"/>
    <w:rsid w:val="00170B4C"/>
    <w:rsid w:val="00170C57"/>
    <w:rsid w:val="00170CA6"/>
    <w:rsid w:val="0017115B"/>
    <w:rsid w:val="00171211"/>
    <w:rsid w:val="00171475"/>
    <w:rsid w:val="0017157F"/>
    <w:rsid w:val="00171C03"/>
    <w:rsid w:val="00171D05"/>
    <w:rsid w:val="00171E0E"/>
    <w:rsid w:val="00172023"/>
    <w:rsid w:val="00172501"/>
    <w:rsid w:val="001728E1"/>
    <w:rsid w:val="00172AFC"/>
    <w:rsid w:val="00172DFD"/>
    <w:rsid w:val="00173415"/>
    <w:rsid w:val="00173429"/>
    <w:rsid w:val="00173435"/>
    <w:rsid w:val="00173BB5"/>
    <w:rsid w:val="00173CDF"/>
    <w:rsid w:val="001742CF"/>
    <w:rsid w:val="0017441F"/>
    <w:rsid w:val="0017479D"/>
    <w:rsid w:val="00174CF9"/>
    <w:rsid w:val="001756E2"/>
    <w:rsid w:val="00175A9F"/>
    <w:rsid w:val="00176097"/>
    <w:rsid w:val="00176399"/>
    <w:rsid w:val="00176573"/>
    <w:rsid w:val="00176C58"/>
    <w:rsid w:val="00176D21"/>
    <w:rsid w:val="0017740A"/>
    <w:rsid w:val="001779EB"/>
    <w:rsid w:val="00180224"/>
    <w:rsid w:val="00180BF9"/>
    <w:rsid w:val="00180C3E"/>
    <w:rsid w:val="00180E20"/>
    <w:rsid w:val="001810BE"/>
    <w:rsid w:val="001811BB"/>
    <w:rsid w:val="00181C4D"/>
    <w:rsid w:val="00181F33"/>
    <w:rsid w:val="00182681"/>
    <w:rsid w:val="00182981"/>
    <w:rsid w:val="00183036"/>
    <w:rsid w:val="001830CA"/>
    <w:rsid w:val="001835AE"/>
    <w:rsid w:val="00183A24"/>
    <w:rsid w:val="00184171"/>
    <w:rsid w:val="001841B2"/>
    <w:rsid w:val="0018463A"/>
    <w:rsid w:val="001846AD"/>
    <w:rsid w:val="00184805"/>
    <w:rsid w:val="00184D60"/>
    <w:rsid w:val="00184E35"/>
    <w:rsid w:val="00184F47"/>
    <w:rsid w:val="00185126"/>
    <w:rsid w:val="0018542F"/>
    <w:rsid w:val="00185C7A"/>
    <w:rsid w:val="00186197"/>
    <w:rsid w:val="001861A9"/>
    <w:rsid w:val="001865AE"/>
    <w:rsid w:val="00186B27"/>
    <w:rsid w:val="00186CB8"/>
    <w:rsid w:val="0018723C"/>
    <w:rsid w:val="00187703"/>
    <w:rsid w:val="00187772"/>
    <w:rsid w:val="001879BB"/>
    <w:rsid w:val="00187C9F"/>
    <w:rsid w:val="00187F36"/>
    <w:rsid w:val="00187F91"/>
    <w:rsid w:val="00190039"/>
    <w:rsid w:val="001902F7"/>
    <w:rsid w:val="00190A8C"/>
    <w:rsid w:val="00190C40"/>
    <w:rsid w:val="00190D60"/>
    <w:rsid w:val="00191094"/>
    <w:rsid w:val="0019119D"/>
    <w:rsid w:val="001914AB"/>
    <w:rsid w:val="0019185D"/>
    <w:rsid w:val="001919D9"/>
    <w:rsid w:val="00192058"/>
    <w:rsid w:val="0019224E"/>
    <w:rsid w:val="00192388"/>
    <w:rsid w:val="001926B6"/>
    <w:rsid w:val="001926E0"/>
    <w:rsid w:val="00192BE5"/>
    <w:rsid w:val="00192E44"/>
    <w:rsid w:val="00193027"/>
    <w:rsid w:val="001937BA"/>
    <w:rsid w:val="001939C1"/>
    <w:rsid w:val="00193B63"/>
    <w:rsid w:val="00193EB9"/>
    <w:rsid w:val="001943AF"/>
    <w:rsid w:val="00194622"/>
    <w:rsid w:val="00194816"/>
    <w:rsid w:val="00194C77"/>
    <w:rsid w:val="00194D27"/>
    <w:rsid w:val="00194F07"/>
    <w:rsid w:val="001952C0"/>
    <w:rsid w:val="001953EE"/>
    <w:rsid w:val="0019550A"/>
    <w:rsid w:val="0019605E"/>
    <w:rsid w:val="00196640"/>
    <w:rsid w:val="00196BDB"/>
    <w:rsid w:val="00196C04"/>
    <w:rsid w:val="00196FE2"/>
    <w:rsid w:val="00197647"/>
    <w:rsid w:val="00197A3D"/>
    <w:rsid w:val="00197B05"/>
    <w:rsid w:val="00197C20"/>
    <w:rsid w:val="001A0111"/>
    <w:rsid w:val="001A02A1"/>
    <w:rsid w:val="001A07AD"/>
    <w:rsid w:val="001A08F2"/>
    <w:rsid w:val="001A0CBD"/>
    <w:rsid w:val="001A0DDD"/>
    <w:rsid w:val="001A130D"/>
    <w:rsid w:val="001A1589"/>
    <w:rsid w:val="001A16E8"/>
    <w:rsid w:val="001A1999"/>
    <w:rsid w:val="001A1E89"/>
    <w:rsid w:val="001A1F07"/>
    <w:rsid w:val="001A2043"/>
    <w:rsid w:val="001A2450"/>
    <w:rsid w:val="001A27B9"/>
    <w:rsid w:val="001A2B51"/>
    <w:rsid w:val="001A2D32"/>
    <w:rsid w:val="001A2FBA"/>
    <w:rsid w:val="001A32FB"/>
    <w:rsid w:val="001A3BF5"/>
    <w:rsid w:val="001A42E4"/>
    <w:rsid w:val="001A47EC"/>
    <w:rsid w:val="001A4EB2"/>
    <w:rsid w:val="001A5067"/>
    <w:rsid w:val="001A559F"/>
    <w:rsid w:val="001A5C4E"/>
    <w:rsid w:val="001A6DAF"/>
    <w:rsid w:val="001A6E4E"/>
    <w:rsid w:val="001A7362"/>
    <w:rsid w:val="001A78B7"/>
    <w:rsid w:val="001A7B27"/>
    <w:rsid w:val="001A7C72"/>
    <w:rsid w:val="001A7EF0"/>
    <w:rsid w:val="001B05B9"/>
    <w:rsid w:val="001B0A98"/>
    <w:rsid w:val="001B0C05"/>
    <w:rsid w:val="001B14D4"/>
    <w:rsid w:val="001B1651"/>
    <w:rsid w:val="001B210B"/>
    <w:rsid w:val="001B2321"/>
    <w:rsid w:val="001B253B"/>
    <w:rsid w:val="001B26BB"/>
    <w:rsid w:val="001B2CBB"/>
    <w:rsid w:val="001B2E73"/>
    <w:rsid w:val="001B3467"/>
    <w:rsid w:val="001B35A3"/>
    <w:rsid w:val="001B3B09"/>
    <w:rsid w:val="001B3E4C"/>
    <w:rsid w:val="001B4660"/>
    <w:rsid w:val="001B4E09"/>
    <w:rsid w:val="001B56B6"/>
    <w:rsid w:val="001B57E8"/>
    <w:rsid w:val="001B5948"/>
    <w:rsid w:val="001B5C30"/>
    <w:rsid w:val="001B62A5"/>
    <w:rsid w:val="001B63EC"/>
    <w:rsid w:val="001B6C93"/>
    <w:rsid w:val="001B6D03"/>
    <w:rsid w:val="001B72F3"/>
    <w:rsid w:val="001B7FFB"/>
    <w:rsid w:val="001C093A"/>
    <w:rsid w:val="001C14F5"/>
    <w:rsid w:val="001C1BBA"/>
    <w:rsid w:val="001C25D0"/>
    <w:rsid w:val="001C2717"/>
    <w:rsid w:val="001C28EF"/>
    <w:rsid w:val="001C2E6E"/>
    <w:rsid w:val="001C328B"/>
    <w:rsid w:val="001C34B6"/>
    <w:rsid w:val="001C39F2"/>
    <w:rsid w:val="001C477E"/>
    <w:rsid w:val="001C49DC"/>
    <w:rsid w:val="001C4EEF"/>
    <w:rsid w:val="001C4EF0"/>
    <w:rsid w:val="001C5160"/>
    <w:rsid w:val="001C51C6"/>
    <w:rsid w:val="001C541A"/>
    <w:rsid w:val="001C55C0"/>
    <w:rsid w:val="001C64F8"/>
    <w:rsid w:val="001C65BB"/>
    <w:rsid w:val="001C6607"/>
    <w:rsid w:val="001C67CD"/>
    <w:rsid w:val="001C758E"/>
    <w:rsid w:val="001C78D3"/>
    <w:rsid w:val="001C7A89"/>
    <w:rsid w:val="001C7E62"/>
    <w:rsid w:val="001C7F3F"/>
    <w:rsid w:val="001D019A"/>
    <w:rsid w:val="001D01ED"/>
    <w:rsid w:val="001D029B"/>
    <w:rsid w:val="001D052C"/>
    <w:rsid w:val="001D098D"/>
    <w:rsid w:val="001D0B00"/>
    <w:rsid w:val="001D0CBA"/>
    <w:rsid w:val="001D0FF4"/>
    <w:rsid w:val="001D15DD"/>
    <w:rsid w:val="001D1AB9"/>
    <w:rsid w:val="001D260F"/>
    <w:rsid w:val="001D27F3"/>
    <w:rsid w:val="001D2963"/>
    <w:rsid w:val="001D2A1B"/>
    <w:rsid w:val="001D2AC9"/>
    <w:rsid w:val="001D31D2"/>
    <w:rsid w:val="001D3D53"/>
    <w:rsid w:val="001D3FF9"/>
    <w:rsid w:val="001D41FD"/>
    <w:rsid w:val="001D42D0"/>
    <w:rsid w:val="001D4392"/>
    <w:rsid w:val="001D4738"/>
    <w:rsid w:val="001D4D60"/>
    <w:rsid w:val="001D50B9"/>
    <w:rsid w:val="001D5847"/>
    <w:rsid w:val="001D6381"/>
    <w:rsid w:val="001D6B97"/>
    <w:rsid w:val="001D6C89"/>
    <w:rsid w:val="001E01DC"/>
    <w:rsid w:val="001E05C3"/>
    <w:rsid w:val="001E06DF"/>
    <w:rsid w:val="001E07F2"/>
    <w:rsid w:val="001E129F"/>
    <w:rsid w:val="001E1729"/>
    <w:rsid w:val="001E1D79"/>
    <w:rsid w:val="001E1F59"/>
    <w:rsid w:val="001E2027"/>
    <w:rsid w:val="001E2537"/>
    <w:rsid w:val="001E26C8"/>
    <w:rsid w:val="001E313F"/>
    <w:rsid w:val="001E332B"/>
    <w:rsid w:val="001E3999"/>
    <w:rsid w:val="001E3DB4"/>
    <w:rsid w:val="001E3E72"/>
    <w:rsid w:val="001E432E"/>
    <w:rsid w:val="001E4432"/>
    <w:rsid w:val="001E46C9"/>
    <w:rsid w:val="001E48DC"/>
    <w:rsid w:val="001E4A3F"/>
    <w:rsid w:val="001E4BE0"/>
    <w:rsid w:val="001E4EA1"/>
    <w:rsid w:val="001E4ECB"/>
    <w:rsid w:val="001E522C"/>
    <w:rsid w:val="001E52B9"/>
    <w:rsid w:val="001E5456"/>
    <w:rsid w:val="001E55BD"/>
    <w:rsid w:val="001E567D"/>
    <w:rsid w:val="001E56F0"/>
    <w:rsid w:val="001E5A4E"/>
    <w:rsid w:val="001E6189"/>
    <w:rsid w:val="001E64B8"/>
    <w:rsid w:val="001E681E"/>
    <w:rsid w:val="001E6D11"/>
    <w:rsid w:val="001E6DA5"/>
    <w:rsid w:val="001E6DFB"/>
    <w:rsid w:val="001E6EB6"/>
    <w:rsid w:val="001E6FBB"/>
    <w:rsid w:val="001E7210"/>
    <w:rsid w:val="001E76B8"/>
    <w:rsid w:val="001F031D"/>
    <w:rsid w:val="001F052D"/>
    <w:rsid w:val="001F0949"/>
    <w:rsid w:val="001F0A97"/>
    <w:rsid w:val="001F0E81"/>
    <w:rsid w:val="001F0EAB"/>
    <w:rsid w:val="001F1026"/>
    <w:rsid w:val="001F11CF"/>
    <w:rsid w:val="001F14BC"/>
    <w:rsid w:val="001F1A61"/>
    <w:rsid w:val="001F207F"/>
    <w:rsid w:val="001F21CD"/>
    <w:rsid w:val="001F25D5"/>
    <w:rsid w:val="001F2831"/>
    <w:rsid w:val="001F2C5F"/>
    <w:rsid w:val="001F33C7"/>
    <w:rsid w:val="001F3498"/>
    <w:rsid w:val="001F3B83"/>
    <w:rsid w:val="001F4145"/>
    <w:rsid w:val="001F47A9"/>
    <w:rsid w:val="001F4943"/>
    <w:rsid w:val="001F51AB"/>
    <w:rsid w:val="001F51F3"/>
    <w:rsid w:val="001F530C"/>
    <w:rsid w:val="001F562E"/>
    <w:rsid w:val="001F56EF"/>
    <w:rsid w:val="001F5A0C"/>
    <w:rsid w:val="001F5A7B"/>
    <w:rsid w:val="001F5D10"/>
    <w:rsid w:val="001F604B"/>
    <w:rsid w:val="001F6079"/>
    <w:rsid w:val="001F60B7"/>
    <w:rsid w:val="001F6232"/>
    <w:rsid w:val="001F6912"/>
    <w:rsid w:val="001F6980"/>
    <w:rsid w:val="001F6E36"/>
    <w:rsid w:val="001F7132"/>
    <w:rsid w:val="001F7772"/>
    <w:rsid w:val="001F7E4A"/>
    <w:rsid w:val="002001F2"/>
    <w:rsid w:val="00200531"/>
    <w:rsid w:val="002007CC"/>
    <w:rsid w:val="00200906"/>
    <w:rsid w:val="002015E1"/>
    <w:rsid w:val="00202362"/>
    <w:rsid w:val="00202495"/>
    <w:rsid w:val="002024CD"/>
    <w:rsid w:val="00202693"/>
    <w:rsid w:val="00202AF1"/>
    <w:rsid w:val="00202BF8"/>
    <w:rsid w:val="00203160"/>
    <w:rsid w:val="0020339B"/>
    <w:rsid w:val="00203664"/>
    <w:rsid w:val="00203695"/>
    <w:rsid w:val="002037E0"/>
    <w:rsid w:val="00203863"/>
    <w:rsid w:val="00203F56"/>
    <w:rsid w:val="002040A5"/>
    <w:rsid w:val="0020413E"/>
    <w:rsid w:val="002042D1"/>
    <w:rsid w:val="0020458A"/>
    <w:rsid w:val="002045A2"/>
    <w:rsid w:val="002046A5"/>
    <w:rsid w:val="0020494A"/>
    <w:rsid w:val="00204CBF"/>
    <w:rsid w:val="00205287"/>
    <w:rsid w:val="0020599F"/>
    <w:rsid w:val="00205E1D"/>
    <w:rsid w:val="00205E5C"/>
    <w:rsid w:val="00205ECF"/>
    <w:rsid w:val="00206186"/>
    <w:rsid w:val="0020633D"/>
    <w:rsid w:val="0020676E"/>
    <w:rsid w:val="002071E7"/>
    <w:rsid w:val="002073CE"/>
    <w:rsid w:val="00207575"/>
    <w:rsid w:val="0020761A"/>
    <w:rsid w:val="00207927"/>
    <w:rsid w:val="00207A76"/>
    <w:rsid w:val="0021000A"/>
    <w:rsid w:val="002104F0"/>
    <w:rsid w:val="00210501"/>
    <w:rsid w:val="002113A5"/>
    <w:rsid w:val="00211DE6"/>
    <w:rsid w:val="00212682"/>
    <w:rsid w:val="00212B1C"/>
    <w:rsid w:val="00212BB9"/>
    <w:rsid w:val="002133BD"/>
    <w:rsid w:val="002134E8"/>
    <w:rsid w:val="0021351F"/>
    <w:rsid w:val="00213567"/>
    <w:rsid w:val="00213849"/>
    <w:rsid w:val="00213FFA"/>
    <w:rsid w:val="00214023"/>
    <w:rsid w:val="002143F1"/>
    <w:rsid w:val="00214632"/>
    <w:rsid w:val="00214861"/>
    <w:rsid w:val="002149CB"/>
    <w:rsid w:val="00214AB2"/>
    <w:rsid w:val="00214C07"/>
    <w:rsid w:val="00214D07"/>
    <w:rsid w:val="00214E66"/>
    <w:rsid w:val="002152DB"/>
    <w:rsid w:val="0021542E"/>
    <w:rsid w:val="0021573C"/>
    <w:rsid w:val="0021694E"/>
    <w:rsid w:val="00216CB7"/>
    <w:rsid w:val="00216E43"/>
    <w:rsid w:val="00217047"/>
    <w:rsid w:val="0021726D"/>
    <w:rsid w:val="0021729B"/>
    <w:rsid w:val="00217376"/>
    <w:rsid w:val="00217442"/>
    <w:rsid w:val="002176B0"/>
    <w:rsid w:val="002177DE"/>
    <w:rsid w:val="002178E4"/>
    <w:rsid w:val="00217B35"/>
    <w:rsid w:val="002202D5"/>
    <w:rsid w:val="0022081C"/>
    <w:rsid w:val="002210BB"/>
    <w:rsid w:val="00221374"/>
    <w:rsid w:val="0022153F"/>
    <w:rsid w:val="00221E33"/>
    <w:rsid w:val="00222243"/>
    <w:rsid w:val="002222E9"/>
    <w:rsid w:val="002223FE"/>
    <w:rsid w:val="00222EB9"/>
    <w:rsid w:val="00222EFE"/>
    <w:rsid w:val="00222FD0"/>
    <w:rsid w:val="00223007"/>
    <w:rsid w:val="00223901"/>
    <w:rsid w:val="00223C16"/>
    <w:rsid w:val="00223F72"/>
    <w:rsid w:val="00223FF9"/>
    <w:rsid w:val="002246CD"/>
    <w:rsid w:val="00224A24"/>
    <w:rsid w:val="00224AC4"/>
    <w:rsid w:val="00224EA9"/>
    <w:rsid w:val="0022511F"/>
    <w:rsid w:val="00225250"/>
    <w:rsid w:val="0022560B"/>
    <w:rsid w:val="00225857"/>
    <w:rsid w:val="00225C44"/>
    <w:rsid w:val="00225F07"/>
    <w:rsid w:val="00225FA6"/>
    <w:rsid w:val="00226287"/>
    <w:rsid w:val="00226A5B"/>
    <w:rsid w:val="00226F8D"/>
    <w:rsid w:val="00227463"/>
    <w:rsid w:val="002276CF"/>
    <w:rsid w:val="002278D0"/>
    <w:rsid w:val="00227CD5"/>
    <w:rsid w:val="00227D2C"/>
    <w:rsid w:val="00227FC2"/>
    <w:rsid w:val="00230878"/>
    <w:rsid w:val="002308C6"/>
    <w:rsid w:val="002308F5"/>
    <w:rsid w:val="00230C6B"/>
    <w:rsid w:val="00231947"/>
    <w:rsid w:val="00231A67"/>
    <w:rsid w:val="00231BF8"/>
    <w:rsid w:val="00231C17"/>
    <w:rsid w:val="00232076"/>
    <w:rsid w:val="00232750"/>
    <w:rsid w:val="00232C4C"/>
    <w:rsid w:val="002330CE"/>
    <w:rsid w:val="00233242"/>
    <w:rsid w:val="00233629"/>
    <w:rsid w:val="0023365A"/>
    <w:rsid w:val="002336C5"/>
    <w:rsid w:val="00233B46"/>
    <w:rsid w:val="00234550"/>
    <w:rsid w:val="002345CE"/>
    <w:rsid w:val="002348F5"/>
    <w:rsid w:val="0023577C"/>
    <w:rsid w:val="0023586A"/>
    <w:rsid w:val="00235EC0"/>
    <w:rsid w:val="002360F0"/>
    <w:rsid w:val="00236164"/>
    <w:rsid w:val="00236322"/>
    <w:rsid w:val="0023650B"/>
    <w:rsid w:val="00236513"/>
    <w:rsid w:val="00237201"/>
    <w:rsid w:val="00237479"/>
    <w:rsid w:val="00237931"/>
    <w:rsid w:val="00237CD6"/>
    <w:rsid w:val="00237FCF"/>
    <w:rsid w:val="00240053"/>
    <w:rsid w:val="002401DE"/>
    <w:rsid w:val="0024020B"/>
    <w:rsid w:val="00240763"/>
    <w:rsid w:val="00240A08"/>
    <w:rsid w:val="0024103A"/>
    <w:rsid w:val="002413DA"/>
    <w:rsid w:val="0024199D"/>
    <w:rsid w:val="002419CB"/>
    <w:rsid w:val="00241CC3"/>
    <w:rsid w:val="00241E4D"/>
    <w:rsid w:val="00242461"/>
    <w:rsid w:val="002425B4"/>
    <w:rsid w:val="00242970"/>
    <w:rsid w:val="00242B2E"/>
    <w:rsid w:val="00242FDC"/>
    <w:rsid w:val="0024319B"/>
    <w:rsid w:val="0024324E"/>
    <w:rsid w:val="0024357E"/>
    <w:rsid w:val="00243C69"/>
    <w:rsid w:val="00243FAA"/>
    <w:rsid w:val="002449A0"/>
    <w:rsid w:val="002449A8"/>
    <w:rsid w:val="00244CA9"/>
    <w:rsid w:val="002452FA"/>
    <w:rsid w:val="002453F9"/>
    <w:rsid w:val="0024545C"/>
    <w:rsid w:val="0024547C"/>
    <w:rsid w:val="00245C5A"/>
    <w:rsid w:val="00245CDA"/>
    <w:rsid w:val="00246020"/>
    <w:rsid w:val="00246AB5"/>
    <w:rsid w:val="00246AD7"/>
    <w:rsid w:val="00246EFE"/>
    <w:rsid w:val="00247102"/>
    <w:rsid w:val="0024733D"/>
    <w:rsid w:val="002476BC"/>
    <w:rsid w:val="00247CA2"/>
    <w:rsid w:val="0025087F"/>
    <w:rsid w:val="00250D24"/>
    <w:rsid w:val="00251100"/>
    <w:rsid w:val="00251138"/>
    <w:rsid w:val="00251184"/>
    <w:rsid w:val="00251267"/>
    <w:rsid w:val="002522CC"/>
    <w:rsid w:val="00252B90"/>
    <w:rsid w:val="00252D57"/>
    <w:rsid w:val="0025319C"/>
    <w:rsid w:val="00253E5A"/>
    <w:rsid w:val="00254884"/>
    <w:rsid w:val="0025515D"/>
    <w:rsid w:val="002555EE"/>
    <w:rsid w:val="0025573E"/>
    <w:rsid w:val="002568C4"/>
    <w:rsid w:val="002569C5"/>
    <w:rsid w:val="00256C8D"/>
    <w:rsid w:val="00256E5D"/>
    <w:rsid w:val="00256F1E"/>
    <w:rsid w:val="00256F24"/>
    <w:rsid w:val="0025788D"/>
    <w:rsid w:val="00257960"/>
    <w:rsid w:val="00260481"/>
    <w:rsid w:val="00260733"/>
    <w:rsid w:val="00260C1F"/>
    <w:rsid w:val="002616AB"/>
    <w:rsid w:val="00261CE3"/>
    <w:rsid w:val="00261DBE"/>
    <w:rsid w:val="00262474"/>
    <w:rsid w:val="00262D68"/>
    <w:rsid w:val="00263068"/>
    <w:rsid w:val="002636B1"/>
    <w:rsid w:val="002638D7"/>
    <w:rsid w:val="002646CD"/>
    <w:rsid w:val="002646ED"/>
    <w:rsid w:val="00265596"/>
    <w:rsid w:val="00266121"/>
    <w:rsid w:val="00266122"/>
    <w:rsid w:val="00266AFB"/>
    <w:rsid w:val="00266E0B"/>
    <w:rsid w:val="00267211"/>
    <w:rsid w:val="002677E7"/>
    <w:rsid w:val="00267B79"/>
    <w:rsid w:val="00267E6B"/>
    <w:rsid w:val="00267EA4"/>
    <w:rsid w:val="00270091"/>
    <w:rsid w:val="00270D94"/>
    <w:rsid w:val="002710FF"/>
    <w:rsid w:val="002715AF"/>
    <w:rsid w:val="002716A0"/>
    <w:rsid w:val="0027174F"/>
    <w:rsid w:val="002717B1"/>
    <w:rsid w:val="00271C0D"/>
    <w:rsid w:val="00272170"/>
    <w:rsid w:val="00272A81"/>
    <w:rsid w:val="00272E4F"/>
    <w:rsid w:val="00273A04"/>
    <w:rsid w:val="00273A9F"/>
    <w:rsid w:val="0027403E"/>
    <w:rsid w:val="00274CD1"/>
    <w:rsid w:val="00274D97"/>
    <w:rsid w:val="0027502D"/>
    <w:rsid w:val="002750EA"/>
    <w:rsid w:val="002758D6"/>
    <w:rsid w:val="002759B5"/>
    <w:rsid w:val="00275DE8"/>
    <w:rsid w:val="0027658C"/>
    <w:rsid w:val="0027722F"/>
    <w:rsid w:val="002774AA"/>
    <w:rsid w:val="00277667"/>
    <w:rsid w:val="0027796C"/>
    <w:rsid w:val="00277B6F"/>
    <w:rsid w:val="00277E3C"/>
    <w:rsid w:val="0028024E"/>
    <w:rsid w:val="002808C2"/>
    <w:rsid w:val="00280A06"/>
    <w:rsid w:val="00280A4B"/>
    <w:rsid w:val="00280B64"/>
    <w:rsid w:val="00280B72"/>
    <w:rsid w:val="00280C03"/>
    <w:rsid w:val="00280E36"/>
    <w:rsid w:val="00280ECC"/>
    <w:rsid w:val="00281014"/>
    <w:rsid w:val="00281388"/>
    <w:rsid w:val="002813F1"/>
    <w:rsid w:val="00281400"/>
    <w:rsid w:val="00281CC7"/>
    <w:rsid w:val="00281E85"/>
    <w:rsid w:val="00281EDD"/>
    <w:rsid w:val="0028206A"/>
    <w:rsid w:val="00282E38"/>
    <w:rsid w:val="00283511"/>
    <w:rsid w:val="0028367C"/>
    <w:rsid w:val="00283CF2"/>
    <w:rsid w:val="002856C8"/>
    <w:rsid w:val="00285709"/>
    <w:rsid w:val="0028589E"/>
    <w:rsid w:val="00285D92"/>
    <w:rsid w:val="00286272"/>
    <w:rsid w:val="002863EC"/>
    <w:rsid w:val="002868D6"/>
    <w:rsid w:val="0028692D"/>
    <w:rsid w:val="00286BCF"/>
    <w:rsid w:val="00286C03"/>
    <w:rsid w:val="00286FFB"/>
    <w:rsid w:val="002876C9"/>
    <w:rsid w:val="00287713"/>
    <w:rsid w:val="00287801"/>
    <w:rsid w:val="002878B8"/>
    <w:rsid w:val="00287941"/>
    <w:rsid w:val="00287AEF"/>
    <w:rsid w:val="00287DB3"/>
    <w:rsid w:val="00287E4D"/>
    <w:rsid w:val="00287FC1"/>
    <w:rsid w:val="00290535"/>
    <w:rsid w:val="00290720"/>
    <w:rsid w:val="00290C2F"/>
    <w:rsid w:val="00291079"/>
    <w:rsid w:val="00291563"/>
    <w:rsid w:val="002915D4"/>
    <w:rsid w:val="0029184D"/>
    <w:rsid w:val="00291EE3"/>
    <w:rsid w:val="00292644"/>
    <w:rsid w:val="002928B1"/>
    <w:rsid w:val="00292996"/>
    <w:rsid w:val="00292A0E"/>
    <w:rsid w:val="00292A58"/>
    <w:rsid w:val="00292E43"/>
    <w:rsid w:val="00293A80"/>
    <w:rsid w:val="00293F45"/>
    <w:rsid w:val="00294480"/>
    <w:rsid w:val="00294C20"/>
    <w:rsid w:val="00294F3A"/>
    <w:rsid w:val="00295616"/>
    <w:rsid w:val="0029574A"/>
    <w:rsid w:val="00295856"/>
    <w:rsid w:val="00295874"/>
    <w:rsid w:val="00295FED"/>
    <w:rsid w:val="002960A4"/>
    <w:rsid w:val="0029625C"/>
    <w:rsid w:val="00296A64"/>
    <w:rsid w:val="00296AB5"/>
    <w:rsid w:val="00296EBE"/>
    <w:rsid w:val="00297156"/>
    <w:rsid w:val="0029716E"/>
    <w:rsid w:val="00297372"/>
    <w:rsid w:val="002979BF"/>
    <w:rsid w:val="00297BC4"/>
    <w:rsid w:val="00297F2F"/>
    <w:rsid w:val="002A0167"/>
    <w:rsid w:val="002A02C3"/>
    <w:rsid w:val="002A0413"/>
    <w:rsid w:val="002A04BC"/>
    <w:rsid w:val="002A0ECF"/>
    <w:rsid w:val="002A193D"/>
    <w:rsid w:val="002A1A7E"/>
    <w:rsid w:val="002A1E16"/>
    <w:rsid w:val="002A285E"/>
    <w:rsid w:val="002A2C67"/>
    <w:rsid w:val="002A2D6C"/>
    <w:rsid w:val="002A2E5C"/>
    <w:rsid w:val="002A3073"/>
    <w:rsid w:val="002A3799"/>
    <w:rsid w:val="002A3E61"/>
    <w:rsid w:val="002A3F20"/>
    <w:rsid w:val="002A3F6F"/>
    <w:rsid w:val="002A4275"/>
    <w:rsid w:val="002A4BDF"/>
    <w:rsid w:val="002A4E0D"/>
    <w:rsid w:val="002A51EB"/>
    <w:rsid w:val="002A5510"/>
    <w:rsid w:val="002A564F"/>
    <w:rsid w:val="002A5E66"/>
    <w:rsid w:val="002A5E6F"/>
    <w:rsid w:val="002A5EF5"/>
    <w:rsid w:val="002A6080"/>
    <w:rsid w:val="002A6BDC"/>
    <w:rsid w:val="002A725F"/>
    <w:rsid w:val="002A7261"/>
    <w:rsid w:val="002A747D"/>
    <w:rsid w:val="002A74D9"/>
    <w:rsid w:val="002A7759"/>
    <w:rsid w:val="002A795F"/>
    <w:rsid w:val="002A7BA7"/>
    <w:rsid w:val="002A7E68"/>
    <w:rsid w:val="002B0455"/>
    <w:rsid w:val="002B05AE"/>
    <w:rsid w:val="002B0687"/>
    <w:rsid w:val="002B1533"/>
    <w:rsid w:val="002B159F"/>
    <w:rsid w:val="002B17FF"/>
    <w:rsid w:val="002B1A35"/>
    <w:rsid w:val="002B1A3A"/>
    <w:rsid w:val="002B1BF4"/>
    <w:rsid w:val="002B2B2F"/>
    <w:rsid w:val="002B32AF"/>
    <w:rsid w:val="002B3469"/>
    <w:rsid w:val="002B3941"/>
    <w:rsid w:val="002B42AD"/>
    <w:rsid w:val="002B4BFD"/>
    <w:rsid w:val="002B5443"/>
    <w:rsid w:val="002B5922"/>
    <w:rsid w:val="002B5B04"/>
    <w:rsid w:val="002B6043"/>
    <w:rsid w:val="002B6636"/>
    <w:rsid w:val="002B66BD"/>
    <w:rsid w:val="002B6AB2"/>
    <w:rsid w:val="002B6C42"/>
    <w:rsid w:val="002B6D57"/>
    <w:rsid w:val="002B704C"/>
    <w:rsid w:val="002B715A"/>
    <w:rsid w:val="002B7432"/>
    <w:rsid w:val="002B7C98"/>
    <w:rsid w:val="002B7D69"/>
    <w:rsid w:val="002C0B96"/>
    <w:rsid w:val="002C13F4"/>
    <w:rsid w:val="002C1459"/>
    <w:rsid w:val="002C199B"/>
    <w:rsid w:val="002C212A"/>
    <w:rsid w:val="002C2255"/>
    <w:rsid w:val="002C2B34"/>
    <w:rsid w:val="002C371C"/>
    <w:rsid w:val="002C380F"/>
    <w:rsid w:val="002C3CD0"/>
    <w:rsid w:val="002C4315"/>
    <w:rsid w:val="002C442D"/>
    <w:rsid w:val="002C473E"/>
    <w:rsid w:val="002C48C7"/>
    <w:rsid w:val="002C4DFD"/>
    <w:rsid w:val="002C51C1"/>
    <w:rsid w:val="002C543C"/>
    <w:rsid w:val="002C5626"/>
    <w:rsid w:val="002C5BE8"/>
    <w:rsid w:val="002C60D6"/>
    <w:rsid w:val="002C64A5"/>
    <w:rsid w:val="002C69AD"/>
    <w:rsid w:val="002C6BB4"/>
    <w:rsid w:val="002C7412"/>
    <w:rsid w:val="002C7432"/>
    <w:rsid w:val="002C794F"/>
    <w:rsid w:val="002C7A14"/>
    <w:rsid w:val="002D01DE"/>
    <w:rsid w:val="002D042E"/>
    <w:rsid w:val="002D04CF"/>
    <w:rsid w:val="002D0613"/>
    <w:rsid w:val="002D0AA0"/>
    <w:rsid w:val="002D0B8B"/>
    <w:rsid w:val="002D1118"/>
    <w:rsid w:val="002D1499"/>
    <w:rsid w:val="002D1842"/>
    <w:rsid w:val="002D23A3"/>
    <w:rsid w:val="002D2490"/>
    <w:rsid w:val="002D249B"/>
    <w:rsid w:val="002D2650"/>
    <w:rsid w:val="002D26F0"/>
    <w:rsid w:val="002D2886"/>
    <w:rsid w:val="002D2B6C"/>
    <w:rsid w:val="002D2BFA"/>
    <w:rsid w:val="002D2EDB"/>
    <w:rsid w:val="002D2FC0"/>
    <w:rsid w:val="002D3175"/>
    <w:rsid w:val="002D3265"/>
    <w:rsid w:val="002D35FD"/>
    <w:rsid w:val="002D372A"/>
    <w:rsid w:val="002D3C3B"/>
    <w:rsid w:val="002D4386"/>
    <w:rsid w:val="002D4773"/>
    <w:rsid w:val="002D48FE"/>
    <w:rsid w:val="002D49A4"/>
    <w:rsid w:val="002D4E9D"/>
    <w:rsid w:val="002D5150"/>
    <w:rsid w:val="002D5774"/>
    <w:rsid w:val="002D57AC"/>
    <w:rsid w:val="002D60D8"/>
    <w:rsid w:val="002D64EB"/>
    <w:rsid w:val="002D6E96"/>
    <w:rsid w:val="002D7054"/>
    <w:rsid w:val="002D7812"/>
    <w:rsid w:val="002E04F0"/>
    <w:rsid w:val="002E07B4"/>
    <w:rsid w:val="002E0842"/>
    <w:rsid w:val="002E08F7"/>
    <w:rsid w:val="002E10BC"/>
    <w:rsid w:val="002E18F7"/>
    <w:rsid w:val="002E1BA7"/>
    <w:rsid w:val="002E1DAD"/>
    <w:rsid w:val="002E1DB0"/>
    <w:rsid w:val="002E1E54"/>
    <w:rsid w:val="002E1FB8"/>
    <w:rsid w:val="002E23E2"/>
    <w:rsid w:val="002E28A8"/>
    <w:rsid w:val="002E290A"/>
    <w:rsid w:val="002E2B77"/>
    <w:rsid w:val="002E2C3E"/>
    <w:rsid w:val="002E2E86"/>
    <w:rsid w:val="002E304D"/>
    <w:rsid w:val="002E341E"/>
    <w:rsid w:val="002E35CA"/>
    <w:rsid w:val="002E3640"/>
    <w:rsid w:val="002E3771"/>
    <w:rsid w:val="002E3817"/>
    <w:rsid w:val="002E3B86"/>
    <w:rsid w:val="002E3DE3"/>
    <w:rsid w:val="002E4046"/>
    <w:rsid w:val="002E44D8"/>
    <w:rsid w:val="002E45D6"/>
    <w:rsid w:val="002E4899"/>
    <w:rsid w:val="002E48F0"/>
    <w:rsid w:val="002E4B33"/>
    <w:rsid w:val="002E4D34"/>
    <w:rsid w:val="002E5787"/>
    <w:rsid w:val="002E57F1"/>
    <w:rsid w:val="002E5933"/>
    <w:rsid w:val="002E5EF5"/>
    <w:rsid w:val="002E626C"/>
    <w:rsid w:val="002E67A6"/>
    <w:rsid w:val="002E6AFD"/>
    <w:rsid w:val="002E73D1"/>
    <w:rsid w:val="002E7406"/>
    <w:rsid w:val="002F0815"/>
    <w:rsid w:val="002F0880"/>
    <w:rsid w:val="002F0D37"/>
    <w:rsid w:val="002F10AA"/>
    <w:rsid w:val="002F18E3"/>
    <w:rsid w:val="002F19AD"/>
    <w:rsid w:val="002F1D03"/>
    <w:rsid w:val="002F2387"/>
    <w:rsid w:val="002F296F"/>
    <w:rsid w:val="002F2B69"/>
    <w:rsid w:val="002F2FC7"/>
    <w:rsid w:val="002F30B9"/>
    <w:rsid w:val="002F3BB2"/>
    <w:rsid w:val="002F3C6C"/>
    <w:rsid w:val="002F45C3"/>
    <w:rsid w:val="002F494D"/>
    <w:rsid w:val="002F4A82"/>
    <w:rsid w:val="002F4DF3"/>
    <w:rsid w:val="002F50F5"/>
    <w:rsid w:val="002F54F6"/>
    <w:rsid w:val="002F56B9"/>
    <w:rsid w:val="002F56EF"/>
    <w:rsid w:val="002F6635"/>
    <w:rsid w:val="002F6907"/>
    <w:rsid w:val="002F6B9B"/>
    <w:rsid w:val="002F7482"/>
    <w:rsid w:val="002F77DF"/>
    <w:rsid w:val="002F7BAF"/>
    <w:rsid w:val="00300137"/>
    <w:rsid w:val="00300595"/>
    <w:rsid w:val="00300C7B"/>
    <w:rsid w:val="0030106F"/>
    <w:rsid w:val="003012D8"/>
    <w:rsid w:val="00301372"/>
    <w:rsid w:val="0030196E"/>
    <w:rsid w:val="00302095"/>
    <w:rsid w:val="003026BC"/>
    <w:rsid w:val="00302824"/>
    <w:rsid w:val="00302A3E"/>
    <w:rsid w:val="003038A2"/>
    <w:rsid w:val="0030439B"/>
    <w:rsid w:val="003044CD"/>
    <w:rsid w:val="003045B9"/>
    <w:rsid w:val="00304A8E"/>
    <w:rsid w:val="00304D6A"/>
    <w:rsid w:val="00304F23"/>
    <w:rsid w:val="0030519A"/>
    <w:rsid w:val="00305411"/>
    <w:rsid w:val="003057A6"/>
    <w:rsid w:val="00305988"/>
    <w:rsid w:val="00305C62"/>
    <w:rsid w:val="00305DCF"/>
    <w:rsid w:val="00306166"/>
    <w:rsid w:val="00306922"/>
    <w:rsid w:val="00307111"/>
    <w:rsid w:val="00307369"/>
    <w:rsid w:val="0030796B"/>
    <w:rsid w:val="00307A1E"/>
    <w:rsid w:val="00307B5C"/>
    <w:rsid w:val="00307C0B"/>
    <w:rsid w:val="00307D09"/>
    <w:rsid w:val="0031018D"/>
    <w:rsid w:val="003105D0"/>
    <w:rsid w:val="00310A0B"/>
    <w:rsid w:val="00310D95"/>
    <w:rsid w:val="00310DDE"/>
    <w:rsid w:val="00310FBA"/>
    <w:rsid w:val="00310FCC"/>
    <w:rsid w:val="0031153D"/>
    <w:rsid w:val="003117CE"/>
    <w:rsid w:val="0031188A"/>
    <w:rsid w:val="00311AF3"/>
    <w:rsid w:val="00312115"/>
    <w:rsid w:val="00312183"/>
    <w:rsid w:val="00312C89"/>
    <w:rsid w:val="00312E77"/>
    <w:rsid w:val="00312F4E"/>
    <w:rsid w:val="003130BD"/>
    <w:rsid w:val="00313307"/>
    <w:rsid w:val="0031373A"/>
    <w:rsid w:val="00313CF1"/>
    <w:rsid w:val="003141C4"/>
    <w:rsid w:val="0031506C"/>
    <w:rsid w:val="0031538A"/>
    <w:rsid w:val="0031545F"/>
    <w:rsid w:val="0031575C"/>
    <w:rsid w:val="0031597F"/>
    <w:rsid w:val="00315AD0"/>
    <w:rsid w:val="003163FF"/>
    <w:rsid w:val="00316643"/>
    <w:rsid w:val="00316BAF"/>
    <w:rsid w:val="003171A3"/>
    <w:rsid w:val="0031721A"/>
    <w:rsid w:val="00317705"/>
    <w:rsid w:val="003178F6"/>
    <w:rsid w:val="0032003C"/>
    <w:rsid w:val="00320E36"/>
    <w:rsid w:val="00321141"/>
    <w:rsid w:val="003215B2"/>
    <w:rsid w:val="00321631"/>
    <w:rsid w:val="003218BB"/>
    <w:rsid w:val="0032299B"/>
    <w:rsid w:val="00322CBF"/>
    <w:rsid w:val="00322D59"/>
    <w:rsid w:val="00323195"/>
    <w:rsid w:val="003233D2"/>
    <w:rsid w:val="003235F0"/>
    <w:rsid w:val="0032415B"/>
    <w:rsid w:val="00324295"/>
    <w:rsid w:val="003245B8"/>
    <w:rsid w:val="003248D1"/>
    <w:rsid w:val="00324C9D"/>
    <w:rsid w:val="00324DD4"/>
    <w:rsid w:val="00325178"/>
    <w:rsid w:val="003251E5"/>
    <w:rsid w:val="003255B1"/>
    <w:rsid w:val="0032585E"/>
    <w:rsid w:val="00326577"/>
    <w:rsid w:val="003267EF"/>
    <w:rsid w:val="00327287"/>
    <w:rsid w:val="003273F7"/>
    <w:rsid w:val="0032766B"/>
    <w:rsid w:val="00330454"/>
    <w:rsid w:val="00330DB4"/>
    <w:rsid w:val="00330FF3"/>
    <w:rsid w:val="003310D7"/>
    <w:rsid w:val="0033160C"/>
    <w:rsid w:val="003316D3"/>
    <w:rsid w:val="003318DD"/>
    <w:rsid w:val="00331D6D"/>
    <w:rsid w:val="00331E26"/>
    <w:rsid w:val="00332060"/>
    <w:rsid w:val="00332B82"/>
    <w:rsid w:val="00332E9F"/>
    <w:rsid w:val="003337BE"/>
    <w:rsid w:val="00333C57"/>
    <w:rsid w:val="00333F8E"/>
    <w:rsid w:val="00334375"/>
    <w:rsid w:val="00334A83"/>
    <w:rsid w:val="00334B3D"/>
    <w:rsid w:val="00334C6F"/>
    <w:rsid w:val="00334D3E"/>
    <w:rsid w:val="0033524E"/>
    <w:rsid w:val="003354B6"/>
    <w:rsid w:val="0033582D"/>
    <w:rsid w:val="00335847"/>
    <w:rsid w:val="0033595A"/>
    <w:rsid w:val="0033649B"/>
    <w:rsid w:val="003365A0"/>
    <w:rsid w:val="0033663E"/>
    <w:rsid w:val="00336648"/>
    <w:rsid w:val="00336A1B"/>
    <w:rsid w:val="00336A54"/>
    <w:rsid w:val="00336E86"/>
    <w:rsid w:val="0033748A"/>
    <w:rsid w:val="0033749E"/>
    <w:rsid w:val="00337682"/>
    <w:rsid w:val="00337939"/>
    <w:rsid w:val="00337993"/>
    <w:rsid w:val="00337F8F"/>
    <w:rsid w:val="00340398"/>
    <w:rsid w:val="003403C2"/>
    <w:rsid w:val="00340B0D"/>
    <w:rsid w:val="00340F84"/>
    <w:rsid w:val="00341314"/>
    <w:rsid w:val="003414C0"/>
    <w:rsid w:val="003414FD"/>
    <w:rsid w:val="00341BE3"/>
    <w:rsid w:val="00341E8A"/>
    <w:rsid w:val="00342169"/>
    <w:rsid w:val="00342954"/>
    <w:rsid w:val="00342B31"/>
    <w:rsid w:val="00343082"/>
    <w:rsid w:val="003432C5"/>
    <w:rsid w:val="0034335A"/>
    <w:rsid w:val="00343832"/>
    <w:rsid w:val="00343984"/>
    <w:rsid w:val="00343ABE"/>
    <w:rsid w:val="00343B6F"/>
    <w:rsid w:val="00343C1B"/>
    <w:rsid w:val="00344069"/>
    <w:rsid w:val="0034417F"/>
    <w:rsid w:val="0034422B"/>
    <w:rsid w:val="0034429D"/>
    <w:rsid w:val="00344B33"/>
    <w:rsid w:val="00344C89"/>
    <w:rsid w:val="003458A6"/>
    <w:rsid w:val="00345A0B"/>
    <w:rsid w:val="00345C2F"/>
    <w:rsid w:val="00346078"/>
    <w:rsid w:val="00346118"/>
    <w:rsid w:val="003467CC"/>
    <w:rsid w:val="00346DE3"/>
    <w:rsid w:val="00347599"/>
    <w:rsid w:val="00347915"/>
    <w:rsid w:val="00347B60"/>
    <w:rsid w:val="00347C08"/>
    <w:rsid w:val="00347CDA"/>
    <w:rsid w:val="00347DE8"/>
    <w:rsid w:val="00350024"/>
    <w:rsid w:val="0035025D"/>
    <w:rsid w:val="0035050E"/>
    <w:rsid w:val="00350A1B"/>
    <w:rsid w:val="003511B2"/>
    <w:rsid w:val="00351388"/>
    <w:rsid w:val="003514B6"/>
    <w:rsid w:val="003515FF"/>
    <w:rsid w:val="00351C51"/>
    <w:rsid w:val="003524E0"/>
    <w:rsid w:val="00352578"/>
    <w:rsid w:val="00352B7A"/>
    <w:rsid w:val="00352DE1"/>
    <w:rsid w:val="003539BF"/>
    <w:rsid w:val="00353A91"/>
    <w:rsid w:val="003540E4"/>
    <w:rsid w:val="00354D59"/>
    <w:rsid w:val="00354F60"/>
    <w:rsid w:val="003552D8"/>
    <w:rsid w:val="003554E2"/>
    <w:rsid w:val="003555C0"/>
    <w:rsid w:val="00355814"/>
    <w:rsid w:val="00355B93"/>
    <w:rsid w:val="00355E6A"/>
    <w:rsid w:val="0035611F"/>
    <w:rsid w:val="0035633F"/>
    <w:rsid w:val="00356557"/>
    <w:rsid w:val="00356C13"/>
    <w:rsid w:val="00357349"/>
    <w:rsid w:val="0035753A"/>
    <w:rsid w:val="003579C4"/>
    <w:rsid w:val="0036076D"/>
    <w:rsid w:val="0036077E"/>
    <w:rsid w:val="0036082E"/>
    <w:rsid w:val="00361502"/>
    <w:rsid w:val="003616F5"/>
    <w:rsid w:val="003618D0"/>
    <w:rsid w:val="00362C3A"/>
    <w:rsid w:val="00362D62"/>
    <w:rsid w:val="00363350"/>
    <w:rsid w:val="00363603"/>
    <w:rsid w:val="00363A59"/>
    <w:rsid w:val="00364C13"/>
    <w:rsid w:val="00364C56"/>
    <w:rsid w:val="00364DCA"/>
    <w:rsid w:val="003650ED"/>
    <w:rsid w:val="00365126"/>
    <w:rsid w:val="00365802"/>
    <w:rsid w:val="00366668"/>
    <w:rsid w:val="003670B2"/>
    <w:rsid w:val="003670DD"/>
    <w:rsid w:val="00367116"/>
    <w:rsid w:val="0036791C"/>
    <w:rsid w:val="00367BC0"/>
    <w:rsid w:val="00370596"/>
    <w:rsid w:val="00370608"/>
    <w:rsid w:val="00370718"/>
    <w:rsid w:val="003708EF"/>
    <w:rsid w:val="003708F1"/>
    <w:rsid w:val="00370B01"/>
    <w:rsid w:val="003717D5"/>
    <w:rsid w:val="00371FE1"/>
    <w:rsid w:val="003720F0"/>
    <w:rsid w:val="00372285"/>
    <w:rsid w:val="003725FA"/>
    <w:rsid w:val="003729F8"/>
    <w:rsid w:val="0037309E"/>
    <w:rsid w:val="00373710"/>
    <w:rsid w:val="003737AC"/>
    <w:rsid w:val="00373863"/>
    <w:rsid w:val="00373973"/>
    <w:rsid w:val="003739AE"/>
    <w:rsid w:val="003744F0"/>
    <w:rsid w:val="00374740"/>
    <w:rsid w:val="00374A95"/>
    <w:rsid w:val="00374D77"/>
    <w:rsid w:val="0037515B"/>
    <w:rsid w:val="0037519A"/>
    <w:rsid w:val="0037549C"/>
    <w:rsid w:val="003756B8"/>
    <w:rsid w:val="00376210"/>
    <w:rsid w:val="00376393"/>
    <w:rsid w:val="003765B8"/>
    <w:rsid w:val="00376AAF"/>
    <w:rsid w:val="00376BED"/>
    <w:rsid w:val="00376D00"/>
    <w:rsid w:val="00376E90"/>
    <w:rsid w:val="0037736C"/>
    <w:rsid w:val="0037788E"/>
    <w:rsid w:val="00377E62"/>
    <w:rsid w:val="00377F7F"/>
    <w:rsid w:val="00377F96"/>
    <w:rsid w:val="00380CDA"/>
    <w:rsid w:val="003815A8"/>
    <w:rsid w:val="00381673"/>
    <w:rsid w:val="00381A68"/>
    <w:rsid w:val="00381B8E"/>
    <w:rsid w:val="00381D7F"/>
    <w:rsid w:val="0038202C"/>
    <w:rsid w:val="00382248"/>
    <w:rsid w:val="00382978"/>
    <w:rsid w:val="00382AF1"/>
    <w:rsid w:val="00382B00"/>
    <w:rsid w:val="00382BF1"/>
    <w:rsid w:val="003837EC"/>
    <w:rsid w:val="00383D08"/>
    <w:rsid w:val="00383F01"/>
    <w:rsid w:val="00384A64"/>
    <w:rsid w:val="00384B19"/>
    <w:rsid w:val="00384EFB"/>
    <w:rsid w:val="00384F0E"/>
    <w:rsid w:val="00384F1A"/>
    <w:rsid w:val="003856D1"/>
    <w:rsid w:val="003859AB"/>
    <w:rsid w:val="00385A70"/>
    <w:rsid w:val="00385C01"/>
    <w:rsid w:val="00386387"/>
    <w:rsid w:val="003864EF"/>
    <w:rsid w:val="003874F9"/>
    <w:rsid w:val="0038752C"/>
    <w:rsid w:val="00387849"/>
    <w:rsid w:val="00387B48"/>
    <w:rsid w:val="00387F65"/>
    <w:rsid w:val="00387FC0"/>
    <w:rsid w:val="003901C2"/>
    <w:rsid w:val="00390245"/>
    <w:rsid w:val="003902F9"/>
    <w:rsid w:val="003903D0"/>
    <w:rsid w:val="00390E48"/>
    <w:rsid w:val="003919F4"/>
    <w:rsid w:val="00391A8C"/>
    <w:rsid w:val="00391FC7"/>
    <w:rsid w:val="003924BE"/>
    <w:rsid w:val="003925EB"/>
    <w:rsid w:val="00392E3B"/>
    <w:rsid w:val="003932C4"/>
    <w:rsid w:val="003935B0"/>
    <w:rsid w:val="00393B10"/>
    <w:rsid w:val="00393C72"/>
    <w:rsid w:val="00393E77"/>
    <w:rsid w:val="003941F9"/>
    <w:rsid w:val="003942D2"/>
    <w:rsid w:val="00394956"/>
    <w:rsid w:val="00394C50"/>
    <w:rsid w:val="00394DD7"/>
    <w:rsid w:val="00395642"/>
    <w:rsid w:val="0039576A"/>
    <w:rsid w:val="00395E22"/>
    <w:rsid w:val="00396017"/>
    <w:rsid w:val="0039655B"/>
    <w:rsid w:val="003967E1"/>
    <w:rsid w:val="0039690D"/>
    <w:rsid w:val="0039723F"/>
    <w:rsid w:val="0039749A"/>
    <w:rsid w:val="00397B7E"/>
    <w:rsid w:val="00397BA2"/>
    <w:rsid w:val="003A009E"/>
    <w:rsid w:val="003A0BB0"/>
    <w:rsid w:val="003A1147"/>
    <w:rsid w:val="003A1155"/>
    <w:rsid w:val="003A11BD"/>
    <w:rsid w:val="003A1419"/>
    <w:rsid w:val="003A1BC8"/>
    <w:rsid w:val="003A204D"/>
    <w:rsid w:val="003A245A"/>
    <w:rsid w:val="003A2937"/>
    <w:rsid w:val="003A2C9A"/>
    <w:rsid w:val="003A2D8E"/>
    <w:rsid w:val="003A4361"/>
    <w:rsid w:val="003A436C"/>
    <w:rsid w:val="003A46F2"/>
    <w:rsid w:val="003A4856"/>
    <w:rsid w:val="003A48CC"/>
    <w:rsid w:val="003A4D5A"/>
    <w:rsid w:val="003A4FB0"/>
    <w:rsid w:val="003A51AA"/>
    <w:rsid w:val="003A542B"/>
    <w:rsid w:val="003A5647"/>
    <w:rsid w:val="003A5C11"/>
    <w:rsid w:val="003A5D19"/>
    <w:rsid w:val="003A6427"/>
    <w:rsid w:val="003A6885"/>
    <w:rsid w:val="003A68A0"/>
    <w:rsid w:val="003A6ABA"/>
    <w:rsid w:val="003A735F"/>
    <w:rsid w:val="003A7C63"/>
    <w:rsid w:val="003A7D07"/>
    <w:rsid w:val="003A7E3B"/>
    <w:rsid w:val="003A7ED9"/>
    <w:rsid w:val="003B03CA"/>
    <w:rsid w:val="003B0420"/>
    <w:rsid w:val="003B05B2"/>
    <w:rsid w:val="003B13F9"/>
    <w:rsid w:val="003B1472"/>
    <w:rsid w:val="003B1632"/>
    <w:rsid w:val="003B1904"/>
    <w:rsid w:val="003B1B5D"/>
    <w:rsid w:val="003B2700"/>
    <w:rsid w:val="003B2FE1"/>
    <w:rsid w:val="003B31EA"/>
    <w:rsid w:val="003B3684"/>
    <w:rsid w:val="003B3A5C"/>
    <w:rsid w:val="003B3B79"/>
    <w:rsid w:val="003B4175"/>
    <w:rsid w:val="003B472F"/>
    <w:rsid w:val="003B4825"/>
    <w:rsid w:val="003B4CAD"/>
    <w:rsid w:val="003B4DF7"/>
    <w:rsid w:val="003B4EC8"/>
    <w:rsid w:val="003B56D0"/>
    <w:rsid w:val="003B5C62"/>
    <w:rsid w:val="003B5DD8"/>
    <w:rsid w:val="003B6536"/>
    <w:rsid w:val="003B6638"/>
    <w:rsid w:val="003B6B15"/>
    <w:rsid w:val="003B6CE0"/>
    <w:rsid w:val="003B6DF4"/>
    <w:rsid w:val="003B6EC6"/>
    <w:rsid w:val="003B6F6E"/>
    <w:rsid w:val="003B7283"/>
    <w:rsid w:val="003B784A"/>
    <w:rsid w:val="003B79C0"/>
    <w:rsid w:val="003B7D55"/>
    <w:rsid w:val="003C05E4"/>
    <w:rsid w:val="003C0EAA"/>
    <w:rsid w:val="003C118A"/>
    <w:rsid w:val="003C1192"/>
    <w:rsid w:val="003C131C"/>
    <w:rsid w:val="003C15EA"/>
    <w:rsid w:val="003C1F3C"/>
    <w:rsid w:val="003C22BB"/>
    <w:rsid w:val="003C2DA2"/>
    <w:rsid w:val="003C2F49"/>
    <w:rsid w:val="003C3298"/>
    <w:rsid w:val="003C342E"/>
    <w:rsid w:val="003C3851"/>
    <w:rsid w:val="003C38B1"/>
    <w:rsid w:val="003C3BF0"/>
    <w:rsid w:val="003C3CCA"/>
    <w:rsid w:val="003C3E7D"/>
    <w:rsid w:val="003C4830"/>
    <w:rsid w:val="003C5249"/>
    <w:rsid w:val="003C5FDB"/>
    <w:rsid w:val="003C6247"/>
    <w:rsid w:val="003C62BA"/>
    <w:rsid w:val="003C65D7"/>
    <w:rsid w:val="003C6725"/>
    <w:rsid w:val="003C6B85"/>
    <w:rsid w:val="003D0441"/>
    <w:rsid w:val="003D08FE"/>
    <w:rsid w:val="003D0AB7"/>
    <w:rsid w:val="003D0E49"/>
    <w:rsid w:val="003D12C8"/>
    <w:rsid w:val="003D1CEB"/>
    <w:rsid w:val="003D1D18"/>
    <w:rsid w:val="003D1EDE"/>
    <w:rsid w:val="003D1F34"/>
    <w:rsid w:val="003D202A"/>
    <w:rsid w:val="003D26E9"/>
    <w:rsid w:val="003D2ABE"/>
    <w:rsid w:val="003D2C02"/>
    <w:rsid w:val="003D2C7F"/>
    <w:rsid w:val="003D3547"/>
    <w:rsid w:val="003D3B1A"/>
    <w:rsid w:val="003D3C10"/>
    <w:rsid w:val="003D3D38"/>
    <w:rsid w:val="003D4080"/>
    <w:rsid w:val="003D4685"/>
    <w:rsid w:val="003D49B0"/>
    <w:rsid w:val="003D5D71"/>
    <w:rsid w:val="003D5D80"/>
    <w:rsid w:val="003D626C"/>
    <w:rsid w:val="003D6A4A"/>
    <w:rsid w:val="003D72B2"/>
    <w:rsid w:val="003D740A"/>
    <w:rsid w:val="003D7894"/>
    <w:rsid w:val="003E0153"/>
    <w:rsid w:val="003E0775"/>
    <w:rsid w:val="003E099E"/>
    <w:rsid w:val="003E0AB3"/>
    <w:rsid w:val="003E0F38"/>
    <w:rsid w:val="003E0FA8"/>
    <w:rsid w:val="003E1069"/>
    <w:rsid w:val="003E1854"/>
    <w:rsid w:val="003E1CEF"/>
    <w:rsid w:val="003E1E55"/>
    <w:rsid w:val="003E205A"/>
    <w:rsid w:val="003E2063"/>
    <w:rsid w:val="003E231F"/>
    <w:rsid w:val="003E245B"/>
    <w:rsid w:val="003E2BEB"/>
    <w:rsid w:val="003E2BFB"/>
    <w:rsid w:val="003E2C41"/>
    <w:rsid w:val="003E3798"/>
    <w:rsid w:val="003E3AE8"/>
    <w:rsid w:val="003E3BDA"/>
    <w:rsid w:val="003E41DA"/>
    <w:rsid w:val="003E4230"/>
    <w:rsid w:val="003E428F"/>
    <w:rsid w:val="003E4732"/>
    <w:rsid w:val="003E4E16"/>
    <w:rsid w:val="003E5472"/>
    <w:rsid w:val="003E5480"/>
    <w:rsid w:val="003E58BE"/>
    <w:rsid w:val="003E5B14"/>
    <w:rsid w:val="003E6196"/>
    <w:rsid w:val="003E6777"/>
    <w:rsid w:val="003E6E93"/>
    <w:rsid w:val="003E7257"/>
    <w:rsid w:val="003E73DA"/>
    <w:rsid w:val="003E779C"/>
    <w:rsid w:val="003E78E3"/>
    <w:rsid w:val="003E7995"/>
    <w:rsid w:val="003E7AB4"/>
    <w:rsid w:val="003E7C9C"/>
    <w:rsid w:val="003E7CB0"/>
    <w:rsid w:val="003E7E4C"/>
    <w:rsid w:val="003F0002"/>
    <w:rsid w:val="003F019F"/>
    <w:rsid w:val="003F01A2"/>
    <w:rsid w:val="003F0473"/>
    <w:rsid w:val="003F0554"/>
    <w:rsid w:val="003F0667"/>
    <w:rsid w:val="003F093A"/>
    <w:rsid w:val="003F0BB4"/>
    <w:rsid w:val="003F11F1"/>
    <w:rsid w:val="003F14F2"/>
    <w:rsid w:val="003F153C"/>
    <w:rsid w:val="003F1651"/>
    <w:rsid w:val="003F1858"/>
    <w:rsid w:val="003F19F4"/>
    <w:rsid w:val="003F1E39"/>
    <w:rsid w:val="003F23FE"/>
    <w:rsid w:val="003F24B0"/>
    <w:rsid w:val="003F2781"/>
    <w:rsid w:val="003F2BA1"/>
    <w:rsid w:val="003F3156"/>
    <w:rsid w:val="003F32E0"/>
    <w:rsid w:val="003F3C29"/>
    <w:rsid w:val="003F3D52"/>
    <w:rsid w:val="003F40CB"/>
    <w:rsid w:val="003F4762"/>
    <w:rsid w:val="003F4ACA"/>
    <w:rsid w:val="003F5C2C"/>
    <w:rsid w:val="003F5E45"/>
    <w:rsid w:val="003F6517"/>
    <w:rsid w:val="003F6E3C"/>
    <w:rsid w:val="003F78DE"/>
    <w:rsid w:val="003F7921"/>
    <w:rsid w:val="003F7B2A"/>
    <w:rsid w:val="003F7CC7"/>
    <w:rsid w:val="003F7DE6"/>
    <w:rsid w:val="004001D4"/>
    <w:rsid w:val="0040023F"/>
    <w:rsid w:val="00400241"/>
    <w:rsid w:val="004008A5"/>
    <w:rsid w:val="00400E9E"/>
    <w:rsid w:val="0040105F"/>
    <w:rsid w:val="004017CF"/>
    <w:rsid w:val="004018CC"/>
    <w:rsid w:val="00401E74"/>
    <w:rsid w:val="00401F1A"/>
    <w:rsid w:val="004022F0"/>
    <w:rsid w:val="0040242B"/>
    <w:rsid w:val="00403643"/>
    <w:rsid w:val="00403655"/>
    <w:rsid w:val="00403A5E"/>
    <w:rsid w:val="00403C2D"/>
    <w:rsid w:val="00403E61"/>
    <w:rsid w:val="00403E98"/>
    <w:rsid w:val="00404264"/>
    <w:rsid w:val="00404D96"/>
    <w:rsid w:val="00404E73"/>
    <w:rsid w:val="0040508C"/>
    <w:rsid w:val="004050F3"/>
    <w:rsid w:val="00405D14"/>
    <w:rsid w:val="00405D24"/>
    <w:rsid w:val="00405E04"/>
    <w:rsid w:val="00405E38"/>
    <w:rsid w:val="0040675B"/>
    <w:rsid w:val="00407138"/>
    <w:rsid w:val="00407540"/>
    <w:rsid w:val="00407747"/>
    <w:rsid w:val="0041013F"/>
    <w:rsid w:val="00410509"/>
    <w:rsid w:val="00410A75"/>
    <w:rsid w:val="0041104D"/>
    <w:rsid w:val="00411247"/>
    <w:rsid w:val="004112A8"/>
    <w:rsid w:val="0041156C"/>
    <w:rsid w:val="00411B4B"/>
    <w:rsid w:val="00411EBE"/>
    <w:rsid w:val="004121B1"/>
    <w:rsid w:val="00412553"/>
    <w:rsid w:val="0041256E"/>
    <w:rsid w:val="004125DC"/>
    <w:rsid w:val="0041265C"/>
    <w:rsid w:val="0041292D"/>
    <w:rsid w:val="00412B55"/>
    <w:rsid w:val="00412B7C"/>
    <w:rsid w:val="00412E8B"/>
    <w:rsid w:val="00412F90"/>
    <w:rsid w:val="00412FA1"/>
    <w:rsid w:val="00413437"/>
    <w:rsid w:val="00413CEC"/>
    <w:rsid w:val="00413D85"/>
    <w:rsid w:val="00413EE1"/>
    <w:rsid w:val="00413F5D"/>
    <w:rsid w:val="00413FA1"/>
    <w:rsid w:val="004147B6"/>
    <w:rsid w:val="00414F9E"/>
    <w:rsid w:val="00415D09"/>
    <w:rsid w:val="00415E46"/>
    <w:rsid w:val="00415F83"/>
    <w:rsid w:val="00416053"/>
    <w:rsid w:val="004160FE"/>
    <w:rsid w:val="00416103"/>
    <w:rsid w:val="004163FB"/>
    <w:rsid w:val="00416488"/>
    <w:rsid w:val="00417854"/>
    <w:rsid w:val="00417997"/>
    <w:rsid w:val="00417BE7"/>
    <w:rsid w:val="00417D89"/>
    <w:rsid w:val="00420088"/>
    <w:rsid w:val="0042019D"/>
    <w:rsid w:val="004209EE"/>
    <w:rsid w:val="00420C30"/>
    <w:rsid w:val="00421554"/>
    <w:rsid w:val="004216D3"/>
    <w:rsid w:val="0042180E"/>
    <w:rsid w:val="00421974"/>
    <w:rsid w:val="00421B51"/>
    <w:rsid w:val="00421D69"/>
    <w:rsid w:val="0042205B"/>
    <w:rsid w:val="004220F3"/>
    <w:rsid w:val="00422269"/>
    <w:rsid w:val="0042269B"/>
    <w:rsid w:val="00422D8E"/>
    <w:rsid w:val="00422DDA"/>
    <w:rsid w:val="00422EA1"/>
    <w:rsid w:val="00422EAC"/>
    <w:rsid w:val="00422F62"/>
    <w:rsid w:val="004231E7"/>
    <w:rsid w:val="004233B0"/>
    <w:rsid w:val="00423434"/>
    <w:rsid w:val="00423754"/>
    <w:rsid w:val="00423E49"/>
    <w:rsid w:val="00423E57"/>
    <w:rsid w:val="004242E1"/>
    <w:rsid w:val="0042430C"/>
    <w:rsid w:val="00424591"/>
    <w:rsid w:val="0042465A"/>
    <w:rsid w:val="004246AF"/>
    <w:rsid w:val="00424741"/>
    <w:rsid w:val="00424975"/>
    <w:rsid w:val="00424D00"/>
    <w:rsid w:val="00424ED0"/>
    <w:rsid w:val="0042568D"/>
    <w:rsid w:val="004257BB"/>
    <w:rsid w:val="00425931"/>
    <w:rsid w:val="004260BF"/>
    <w:rsid w:val="004261B0"/>
    <w:rsid w:val="004266D0"/>
    <w:rsid w:val="004268BB"/>
    <w:rsid w:val="00430332"/>
    <w:rsid w:val="0043035C"/>
    <w:rsid w:val="00430837"/>
    <w:rsid w:val="00430E80"/>
    <w:rsid w:val="0043109E"/>
    <w:rsid w:val="004312F3"/>
    <w:rsid w:val="00431428"/>
    <w:rsid w:val="00431D17"/>
    <w:rsid w:val="00431DC2"/>
    <w:rsid w:val="00431EF4"/>
    <w:rsid w:val="004320B0"/>
    <w:rsid w:val="00432188"/>
    <w:rsid w:val="004321F9"/>
    <w:rsid w:val="00432A30"/>
    <w:rsid w:val="0043305C"/>
    <w:rsid w:val="0043306F"/>
    <w:rsid w:val="0043338B"/>
    <w:rsid w:val="00433494"/>
    <w:rsid w:val="00433889"/>
    <w:rsid w:val="004340F2"/>
    <w:rsid w:val="004344E0"/>
    <w:rsid w:val="004345C8"/>
    <w:rsid w:val="00434762"/>
    <w:rsid w:val="00434BBC"/>
    <w:rsid w:val="00434CE0"/>
    <w:rsid w:val="004358AE"/>
    <w:rsid w:val="00436222"/>
    <w:rsid w:val="00436AA1"/>
    <w:rsid w:val="00436C3B"/>
    <w:rsid w:val="00436D64"/>
    <w:rsid w:val="00436F0F"/>
    <w:rsid w:val="004370EF"/>
    <w:rsid w:val="0043767B"/>
    <w:rsid w:val="004377AB"/>
    <w:rsid w:val="00437AD1"/>
    <w:rsid w:val="00440615"/>
    <w:rsid w:val="0044070E"/>
    <w:rsid w:val="004414AC"/>
    <w:rsid w:val="00441703"/>
    <w:rsid w:val="004419DF"/>
    <w:rsid w:val="00441F11"/>
    <w:rsid w:val="00442496"/>
    <w:rsid w:val="004425C3"/>
    <w:rsid w:val="0044289E"/>
    <w:rsid w:val="00442D28"/>
    <w:rsid w:val="00443B5F"/>
    <w:rsid w:val="00443D27"/>
    <w:rsid w:val="004444D4"/>
    <w:rsid w:val="00444702"/>
    <w:rsid w:val="00444B2A"/>
    <w:rsid w:val="00444B46"/>
    <w:rsid w:val="00444E8A"/>
    <w:rsid w:val="0044514D"/>
    <w:rsid w:val="004451AC"/>
    <w:rsid w:val="004451E9"/>
    <w:rsid w:val="0044594A"/>
    <w:rsid w:val="00445BA4"/>
    <w:rsid w:val="00447674"/>
    <w:rsid w:val="004476A3"/>
    <w:rsid w:val="00447AC4"/>
    <w:rsid w:val="00450353"/>
    <w:rsid w:val="004506A0"/>
    <w:rsid w:val="00450ADB"/>
    <w:rsid w:val="00451841"/>
    <w:rsid w:val="00451AB6"/>
    <w:rsid w:val="00451B4B"/>
    <w:rsid w:val="004528B5"/>
    <w:rsid w:val="00452971"/>
    <w:rsid w:val="0045331D"/>
    <w:rsid w:val="004533F1"/>
    <w:rsid w:val="0045349D"/>
    <w:rsid w:val="004537EF"/>
    <w:rsid w:val="00453CBE"/>
    <w:rsid w:val="004540B0"/>
    <w:rsid w:val="004541B1"/>
    <w:rsid w:val="004546F4"/>
    <w:rsid w:val="0045483F"/>
    <w:rsid w:val="00454930"/>
    <w:rsid w:val="00454D23"/>
    <w:rsid w:val="0045502A"/>
    <w:rsid w:val="00455226"/>
    <w:rsid w:val="00455446"/>
    <w:rsid w:val="004554D8"/>
    <w:rsid w:val="004555AE"/>
    <w:rsid w:val="004558F2"/>
    <w:rsid w:val="0045620A"/>
    <w:rsid w:val="004564EF"/>
    <w:rsid w:val="00456836"/>
    <w:rsid w:val="004575E0"/>
    <w:rsid w:val="004579F1"/>
    <w:rsid w:val="00457A80"/>
    <w:rsid w:val="00460B61"/>
    <w:rsid w:val="00460C7F"/>
    <w:rsid w:val="0046155D"/>
    <w:rsid w:val="004615CE"/>
    <w:rsid w:val="0046172E"/>
    <w:rsid w:val="00461774"/>
    <w:rsid w:val="004617C4"/>
    <w:rsid w:val="00461A3B"/>
    <w:rsid w:val="00461E58"/>
    <w:rsid w:val="00461E8E"/>
    <w:rsid w:val="00462254"/>
    <w:rsid w:val="00462634"/>
    <w:rsid w:val="00462679"/>
    <w:rsid w:val="00462D5F"/>
    <w:rsid w:val="00462DFA"/>
    <w:rsid w:val="00462E0F"/>
    <w:rsid w:val="00462E24"/>
    <w:rsid w:val="004635B5"/>
    <w:rsid w:val="0046394E"/>
    <w:rsid w:val="00464E5B"/>
    <w:rsid w:val="00465101"/>
    <w:rsid w:val="004652A1"/>
    <w:rsid w:val="00465689"/>
    <w:rsid w:val="00465890"/>
    <w:rsid w:val="00465C32"/>
    <w:rsid w:val="00465CBC"/>
    <w:rsid w:val="0046619C"/>
    <w:rsid w:val="004667B9"/>
    <w:rsid w:val="00466A66"/>
    <w:rsid w:val="00466F7B"/>
    <w:rsid w:val="0046715A"/>
    <w:rsid w:val="0046749E"/>
    <w:rsid w:val="00467A8E"/>
    <w:rsid w:val="00467B89"/>
    <w:rsid w:val="0047003E"/>
    <w:rsid w:val="00470268"/>
    <w:rsid w:val="004705FE"/>
    <w:rsid w:val="004708EF"/>
    <w:rsid w:val="00470F61"/>
    <w:rsid w:val="00471559"/>
    <w:rsid w:val="00472426"/>
    <w:rsid w:val="004724FE"/>
    <w:rsid w:val="00472543"/>
    <w:rsid w:val="00472ABA"/>
    <w:rsid w:val="00472D2E"/>
    <w:rsid w:val="00473363"/>
    <w:rsid w:val="004734F4"/>
    <w:rsid w:val="004737ED"/>
    <w:rsid w:val="00473A35"/>
    <w:rsid w:val="00473BF0"/>
    <w:rsid w:val="004745A8"/>
    <w:rsid w:val="00474682"/>
    <w:rsid w:val="00474ED4"/>
    <w:rsid w:val="00475218"/>
    <w:rsid w:val="00475392"/>
    <w:rsid w:val="004754A6"/>
    <w:rsid w:val="00475576"/>
    <w:rsid w:val="00475CAC"/>
    <w:rsid w:val="00475E45"/>
    <w:rsid w:val="0047602A"/>
    <w:rsid w:val="004764E2"/>
    <w:rsid w:val="0047674D"/>
    <w:rsid w:val="00476ACD"/>
    <w:rsid w:val="0047725B"/>
    <w:rsid w:val="00477878"/>
    <w:rsid w:val="00477B87"/>
    <w:rsid w:val="00477CA5"/>
    <w:rsid w:val="00477EEC"/>
    <w:rsid w:val="00480E23"/>
    <w:rsid w:val="00480E50"/>
    <w:rsid w:val="00480FBE"/>
    <w:rsid w:val="00481452"/>
    <w:rsid w:val="00481625"/>
    <w:rsid w:val="00481F96"/>
    <w:rsid w:val="004822EC"/>
    <w:rsid w:val="0048274B"/>
    <w:rsid w:val="0048291C"/>
    <w:rsid w:val="00482C5A"/>
    <w:rsid w:val="00482EB9"/>
    <w:rsid w:val="004831F5"/>
    <w:rsid w:val="00483310"/>
    <w:rsid w:val="00483A14"/>
    <w:rsid w:val="00483B2C"/>
    <w:rsid w:val="00483D74"/>
    <w:rsid w:val="00484564"/>
    <w:rsid w:val="0048530D"/>
    <w:rsid w:val="00485379"/>
    <w:rsid w:val="0048590C"/>
    <w:rsid w:val="00485F40"/>
    <w:rsid w:val="00485FFC"/>
    <w:rsid w:val="00486020"/>
    <w:rsid w:val="004862A4"/>
    <w:rsid w:val="00486980"/>
    <w:rsid w:val="004870AE"/>
    <w:rsid w:val="004877D8"/>
    <w:rsid w:val="00487B9A"/>
    <w:rsid w:val="004905E3"/>
    <w:rsid w:val="004908F1"/>
    <w:rsid w:val="00490A0E"/>
    <w:rsid w:val="00490B73"/>
    <w:rsid w:val="00490C96"/>
    <w:rsid w:val="00490F85"/>
    <w:rsid w:val="0049124E"/>
    <w:rsid w:val="00491290"/>
    <w:rsid w:val="0049147E"/>
    <w:rsid w:val="0049163C"/>
    <w:rsid w:val="0049203B"/>
    <w:rsid w:val="004920FE"/>
    <w:rsid w:val="00492714"/>
    <w:rsid w:val="00492A74"/>
    <w:rsid w:val="00492A76"/>
    <w:rsid w:val="00493514"/>
    <w:rsid w:val="004936C7"/>
    <w:rsid w:val="004940DF"/>
    <w:rsid w:val="00494639"/>
    <w:rsid w:val="004947CE"/>
    <w:rsid w:val="00494B33"/>
    <w:rsid w:val="00494C6E"/>
    <w:rsid w:val="00494D6D"/>
    <w:rsid w:val="00494F32"/>
    <w:rsid w:val="00495AD1"/>
    <w:rsid w:val="00495F45"/>
    <w:rsid w:val="0049600B"/>
    <w:rsid w:val="0049642E"/>
    <w:rsid w:val="00496FED"/>
    <w:rsid w:val="004971A5"/>
    <w:rsid w:val="0049754E"/>
    <w:rsid w:val="004975BB"/>
    <w:rsid w:val="00497DCB"/>
    <w:rsid w:val="004A038D"/>
    <w:rsid w:val="004A0774"/>
    <w:rsid w:val="004A07D3"/>
    <w:rsid w:val="004A0C7A"/>
    <w:rsid w:val="004A0ED5"/>
    <w:rsid w:val="004A1619"/>
    <w:rsid w:val="004A166C"/>
    <w:rsid w:val="004A1FD3"/>
    <w:rsid w:val="004A20AF"/>
    <w:rsid w:val="004A2202"/>
    <w:rsid w:val="004A253D"/>
    <w:rsid w:val="004A27BE"/>
    <w:rsid w:val="004A28E2"/>
    <w:rsid w:val="004A2C81"/>
    <w:rsid w:val="004A36EB"/>
    <w:rsid w:val="004A3C5D"/>
    <w:rsid w:val="004A3E18"/>
    <w:rsid w:val="004A43E8"/>
    <w:rsid w:val="004A4BB2"/>
    <w:rsid w:val="004A4CA3"/>
    <w:rsid w:val="004A4D6F"/>
    <w:rsid w:val="004A4DEE"/>
    <w:rsid w:val="004A4E94"/>
    <w:rsid w:val="004A52B5"/>
    <w:rsid w:val="004A5825"/>
    <w:rsid w:val="004A648E"/>
    <w:rsid w:val="004A6512"/>
    <w:rsid w:val="004A67CA"/>
    <w:rsid w:val="004A6B19"/>
    <w:rsid w:val="004A6C27"/>
    <w:rsid w:val="004A6FA1"/>
    <w:rsid w:val="004A7071"/>
    <w:rsid w:val="004A7A06"/>
    <w:rsid w:val="004A7F0A"/>
    <w:rsid w:val="004A7F4C"/>
    <w:rsid w:val="004A7FF2"/>
    <w:rsid w:val="004B23C5"/>
    <w:rsid w:val="004B2E27"/>
    <w:rsid w:val="004B2F48"/>
    <w:rsid w:val="004B3032"/>
    <w:rsid w:val="004B35CC"/>
    <w:rsid w:val="004B3AB2"/>
    <w:rsid w:val="004B3C0A"/>
    <w:rsid w:val="004B3F64"/>
    <w:rsid w:val="004B4005"/>
    <w:rsid w:val="004B423C"/>
    <w:rsid w:val="004B4500"/>
    <w:rsid w:val="004B502B"/>
    <w:rsid w:val="004B5093"/>
    <w:rsid w:val="004B5118"/>
    <w:rsid w:val="004B578E"/>
    <w:rsid w:val="004B6054"/>
    <w:rsid w:val="004B67FF"/>
    <w:rsid w:val="004B6B5D"/>
    <w:rsid w:val="004B6C07"/>
    <w:rsid w:val="004B73EF"/>
    <w:rsid w:val="004B73F6"/>
    <w:rsid w:val="004B799B"/>
    <w:rsid w:val="004B7E60"/>
    <w:rsid w:val="004B7ED6"/>
    <w:rsid w:val="004C004B"/>
    <w:rsid w:val="004C0B3C"/>
    <w:rsid w:val="004C0B6D"/>
    <w:rsid w:val="004C0BB9"/>
    <w:rsid w:val="004C116D"/>
    <w:rsid w:val="004C172E"/>
    <w:rsid w:val="004C1831"/>
    <w:rsid w:val="004C1C08"/>
    <w:rsid w:val="004C1E64"/>
    <w:rsid w:val="004C2422"/>
    <w:rsid w:val="004C26A6"/>
    <w:rsid w:val="004C329E"/>
    <w:rsid w:val="004C3395"/>
    <w:rsid w:val="004C3608"/>
    <w:rsid w:val="004C3773"/>
    <w:rsid w:val="004C3921"/>
    <w:rsid w:val="004C3CD8"/>
    <w:rsid w:val="004C3DC9"/>
    <w:rsid w:val="004C47D4"/>
    <w:rsid w:val="004C48BE"/>
    <w:rsid w:val="004C4958"/>
    <w:rsid w:val="004C4B42"/>
    <w:rsid w:val="004C4B89"/>
    <w:rsid w:val="004C5020"/>
    <w:rsid w:val="004C516E"/>
    <w:rsid w:val="004C5792"/>
    <w:rsid w:val="004C5908"/>
    <w:rsid w:val="004C5D84"/>
    <w:rsid w:val="004C60DD"/>
    <w:rsid w:val="004C67F4"/>
    <w:rsid w:val="004C6BBC"/>
    <w:rsid w:val="004C6C56"/>
    <w:rsid w:val="004C6E39"/>
    <w:rsid w:val="004C72EE"/>
    <w:rsid w:val="004C7485"/>
    <w:rsid w:val="004C74D4"/>
    <w:rsid w:val="004C7A25"/>
    <w:rsid w:val="004C7C42"/>
    <w:rsid w:val="004D00EB"/>
    <w:rsid w:val="004D0A80"/>
    <w:rsid w:val="004D0A85"/>
    <w:rsid w:val="004D0F19"/>
    <w:rsid w:val="004D1A7A"/>
    <w:rsid w:val="004D1D87"/>
    <w:rsid w:val="004D1D9D"/>
    <w:rsid w:val="004D1E57"/>
    <w:rsid w:val="004D2512"/>
    <w:rsid w:val="004D2E79"/>
    <w:rsid w:val="004D3028"/>
    <w:rsid w:val="004D3057"/>
    <w:rsid w:val="004D379F"/>
    <w:rsid w:val="004D436B"/>
    <w:rsid w:val="004D43B1"/>
    <w:rsid w:val="004D4409"/>
    <w:rsid w:val="004D4541"/>
    <w:rsid w:val="004D4B61"/>
    <w:rsid w:val="004D54E4"/>
    <w:rsid w:val="004D567D"/>
    <w:rsid w:val="004D5C26"/>
    <w:rsid w:val="004D5E64"/>
    <w:rsid w:val="004D64AE"/>
    <w:rsid w:val="004D694B"/>
    <w:rsid w:val="004D6C82"/>
    <w:rsid w:val="004D70EB"/>
    <w:rsid w:val="004D760E"/>
    <w:rsid w:val="004D7C1D"/>
    <w:rsid w:val="004D7C4C"/>
    <w:rsid w:val="004E0465"/>
    <w:rsid w:val="004E0782"/>
    <w:rsid w:val="004E0A43"/>
    <w:rsid w:val="004E0E4E"/>
    <w:rsid w:val="004E119C"/>
    <w:rsid w:val="004E16C5"/>
    <w:rsid w:val="004E17A0"/>
    <w:rsid w:val="004E1871"/>
    <w:rsid w:val="004E1973"/>
    <w:rsid w:val="004E19DE"/>
    <w:rsid w:val="004E1A15"/>
    <w:rsid w:val="004E1C6D"/>
    <w:rsid w:val="004E1D1C"/>
    <w:rsid w:val="004E23DD"/>
    <w:rsid w:val="004E28F2"/>
    <w:rsid w:val="004E2975"/>
    <w:rsid w:val="004E2F13"/>
    <w:rsid w:val="004E3544"/>
    <w:rsid w:val="004E3A6B"/>
    <w:rsid w:val="004E3BB0"/>
    <w:rsid w:val="004E40B0"/>
    <w:rsid w:val="004E42E7"/>
    <w:rsid w:val="004E4864"/>
    <w:rsid w:val="004E4D39"/>
    <w:rsid w:val="004E5174"/>
    <w:rsid w:val="004E526C"/>
    <w:rsid w:val="004E52CD"/>
    <w:rsid w:val="004E5F16"/>
    <w:rsid w:val="004E6179"/>
    <w:rsid w:val="004E6E01"/>
    <w:rsid w:val="004E6E78"/>
    <w:rsid w:val="004E6EC3"/>
    <w:rsid w:val="004E6FFA"/>
    <w:rsid w:val="004E7021"/>
    <w:rsid w:val="004E73B7"/>
    <w:rsid w:val="004E7419"/>
    <w:rsid w:val="004E775B"/>
    <w:rsid w:val="004E7ACF"/>
    <w:rsid w:val="004E7AF7"/>
    <w:rsid w:val="004E7D70"/>
    <w:rsid w:val="004E7E48"/>
    <w:rsid w:val="004F052E"/>
    <w:rsid w:val="004F0CC7"/>
    <w:rsid w:val="004F15B8"/>
    <w:rsid w:val="004F1A4B"/>
    <w:rsid w:val="004F2055"/>
    <w:rsid w:val="004F23DC"/>
    <w:rsid w:val="004F34D3"/>
    <w:rsid w:val="004F3688"/>
    <w:rsid w:val="004F3977"/>
    <w:rsid w:val="004F3AF4"/>
    <w:rsid w:val="004F42D0"/>
    <w:rsid w:val="004F48A8"/>
    <w:rsid w:val="004F4978"/>
    <w:rsid w:val="004F499B"/>
    <w:rsid w:val="004F4A17"/>
    <w:rsid w:val="004F4A26"/>
    <w:rsid w:val="004F4D27"/>
    <w:rsid w:val="004F4D34"/>
    <w:rsid w:val="004F546C"/>
    <w:rsid w:val="004F5949"/>
    <w:rsid w:val="004F5A92"/>
    <w:rsid w:val="004F5BCD"/>
    <w:rsid w:val="004F5CB6"/>
    <w:rsid w:val="004F5F28"/>
    <w:rsid w:val="004F627E"/>
    <w:rsid w:val="004F6491"/>
    <w:rsid w:val="004F6523"/>
    <w:rsid w:val="004F6649"/>
    <w:rsid w:val="004F67BE"/>
    <w:rsid w:val="004F6EE8"/>
    <w:rsid w:val="004F76D5"/>
    <w:rsid w:val="004F7879"/>
    <w:rsid w:val="004F7A14"/>
    <w:rsid w:val="004F7CC3"/>
    <w:rsid w:val="004F7D3A"/>
    <w:rsid w:val="004F7F76"/>
    <w:rsid w:val="00500528"/>
    <w:rsid w:val="00500978"/>
    <w:rsid w:val="00500AC1"/>
    <w:rsid w:val="00501181"/>
    <w:rsid w:val="00501709"/>
    <w:rsid w:val="00501B03"/>
    <w:rsid w:val="00501B51"/>
    <w:rsid w:val="00501C97"/>
    <w:rsid w:val="00501CA4"/>
    <w:rsid w:val="005020C8"/>
    <w:rsid w:val="00502240"/>
    <w:rsid w:val="00502508"/>
    <w:rsid w:val="00502707"/>
    <w:rsid w:val="00502B0D"/>
    <w:rsid w:val="00502EDA"/>
    <w:rsid w:val="005038AF"/>
    <w:rsid w:val="00503AD4"/>
    <w:rsid w:val="00504306"/>
    <w:rsid w:val="005045C9"/>
    <w:rsid w:val="005047CC"/>
    <w:rsid w:val="00505065"/>
    <w:rsid w:val="0050538E"/>
    <w:rsid w:val="005057D6"/>
    <w:rsid w:val="005063FB"/>
    <w:rsid w:val="005073D3"/>
    <w:rsid w:val="00507668"/>
    <w:rsid w:val="00507E71"/>
    <w:rsid w:val="00507FA7"/>
    <w:rsid w:val="005100B6"/>
    <w:rsid w:val="0051022C"/>
    <w:rsid w:val="00510418"/>
    <w:rsid w:val="00510541"/>
    <w:rsid w:val="00510D03"/>
    <w:rsid w:val="00510F87"/>
    <w:rsid w:val="00510FB8"/>
    <w:rsid w:val="00511145"/>
    <w:rsid w:val="00511620"/>
    <w:rsid w:val="00511806"/>
    <w:rsid w:val="00511D22"/>
    <w:rsid w:val="00512B53"/>
    <w:rsid w:val="00513BC5"/>
    <w:rsid w:val="00513F3B"/>
    <w:rsid w:val="00514131"/>
    <w:rsid w:val="005141F6"/>
    <w:rsid w:val="0051422C"/>
    <w:rsid w:val="0051423D"/>
    <w:rsid w:val="005145DC"/>
    <w:rsid w:val="005145EF"/>
    <w:rsid w:val="00514A6C"/>
    <w:rsid w:val="00515469"/>
    <w:rsid w:val="005156BA"/>
    <w:rsid w:val="0051583D"/>
    <w:rsid w:val="00515B78"/>
    <w:rsid w:val="00515BA2"/>
    <w:rsid w:val="00515F50"/>
    <w:rsid w:val="00516146"/>
    <w:rsid w:val="005166F7"/>
    <w:rsid w:val="00516C6D"/>
    <w:rsid w:val="00516EFA"/>
    <w:rsid w:val="00517023"/>
    <w:rsid w:val="005171C5"/>
    <w:rsid w:val="00517C10"/>
    <w:rsid w:val="005200BE"/>
    <w:rsid w:val="005203E1"/>
    <w:rsid w:val="0052153D"/>
    <w:rsid w:val="00521D3D"/>
    <w:rsid w:val="00522035"/>
    <w:rsid w:val="00522445"/>
    <w:rsid w:val="00522456"/>
    <w:rsid w:val="0052253E"/>
    <w:rsid w:val="0052285D"/>
    <w:rsid w:val="00522D8F"/>
    <w:rsid w:val="005231A2"/>
    <w:rsid w:val="005231E9"/>
    <w:rsid w:val="005236DF"/>
    <w:rsid w:val="00523C21"/>
    <w:rsid w:val="00524186"/>
    <w:rsid w:val="005242F1"/>
    <w:rsid w:val="005245A0"/>
    <w:rsid w:val="00524E31"/>
    <w:rsid w:val="0052568E"/>
    <w:rsid w:val="0052609C"/>
    <w:rsid w:val="005263BE"/>
    <w:rsid w:val="00526417"/>
    <w:rsid w:val="00526656"/>
    <w:rsid w:val="00526994"/>
    <w:rsid w:val="00526E2E"/>
    <w:rsid w:val="005277D4"/>
    <w:rsid w:val="00527AFD"/>
    <w:rsid w:val="00527EA9"/>
    <w:rsid w:val="00530097"/>
    <w:rsid w:val="0053033E"/>
    <w:rsid w:val="0053082D"/>
    <w:rsid w:val="00531B07"/>
    <w:rsid w:val="0053272F"/>
    <w:rsid w:val="00532CC1"/>
    <w:rsid w:val="00532ECF"/>
    <w:rsid w:val="00533329"/>
    <w:rsid w:val="00533361"/>
    <w:rsid w:val="005337B2"/>
    <w:rsid w:val="00533F7F"/>
    <w:rsid w:val="00534042"/>
    <w:rsid w:val="00535180"/>
    <w:rsid w:val="005353F2"/>
    <w:rsid w:val="00535ECF"/>
    <w:rsid w:val="00536178"/>
    <w:rsid w:val="0053631F"/>
    <w:rsid w:val="005364A9"/>
    <w:rsid w:val="005366E2"/>
    <w:rsid w:val="0053682F"/>
    <w:rsid w:val="0053695A"/>
    <w:rsid w:val="00536A6E"/>
    <w:rsid w:val="00537D80"/>
    <w:rsid w:val="005401E2"/>
    <w:rsid w:val="0054029B"/>
    <w:rsid w:val="0054038E"/>
    <w:rsid w:val="00540990"/>
    <w:rsid w:val="00540F3A"/>
    <w:rsid w:val="00540FF2"/>
    <w:rsid w:val="00541149"/>
    <w:rsid w:val="005417C4"/>
    <w:rsid w:val="0054184D"/>
    <w:rsid w:val="00542156"/>
    <w:rsid w:val="005427BD"/>
    <w:rsid w:val="00542B89"/>
    <w:rsid w:val="00542C69"/>
    <w:rsid w:val="00542E76"/>
    <w:rsid w:val="00542F18"/>
    <w:rsid w:val="00543152"/>
    <w:rsid w:val="0054383C"/>
    <w:rsid w:val="00543989"/>
    <w:rsid w:val="00543BDB"/>
    <w:rsid w:val="00544054"/>
    <w:rsid w:val="005441ED"/>
    <w:rsid w:val="00544779"/>
    <w:rsid w:val="00544AA2"/>
    <w:rsid w:val="00544C45"/>
    <w:rsid w:val="00544DC1"/>
    <w:rsid w:val="00545146"/>
    <w:rsid w:val="00545204"/>
    <w:rsid w:val="005452BA"/>
    <w:rsid w:val="00545505"/>
    <w:rsid w:val="005456FE"/>
    <w:rsid w:val="0054572C"/>
    <w:rsid w:val="00545D56"/>
    <w:rsid w:val="00545F33"/>
    <w:rsid w:val="0054613C"/>
    <w:rsid w:val="0054646D"/>
    <w:rsid w:val="00547572"/>
    <w:rsid w:val="00547FF0"/>
    <w:rsid w:val="0055006C"/>
    <w:rsid w:val="005501FB"/>
    <w:rsid w:val="0055047E"/>
    <w:rsid w:val="00550B6E"/>
    <w:rsid w:val="00550B76"/>
    <w:rsid w:val="00550E5E"/>
    <w:rsid w:val="00550F01"/>
    <w:rsid w:val="00550F3B"/>
    <w:rsid w:val="00551695"/>
    <w:rsid w:val="00551AB8"/>
    <w:rsid w:val="00551F45"/>
    <w:rsid w:val="005523D1"/>
    <w:rsid w:val="005525A1"/>
    <w:rsid w:val="00552642"/>
    <w:rsid w:val="00552D13"/>
    <w:rsid w:val="005536B6"/>
    <w:rsid w:val="00553979"/>
    <w:rsid w:val="00553DCE"/>
    <w:rsid w:val="00554092"/>
    <w:rsid w:val="00554502"/>
    <w:rsid w:val="00554C10"/>
    <w:rsid w:val="0055570A"/>
    <w:rsid w:val="00555B95"/>
    <w:rsid w:val="00555CE1"/>
    <w:rsid w:val="00555E27"/>
    <w:rsid w:val="00555FF3"/>
    <w:rsid w:val="00556042"/>
    <w:rsid w:val="00556177"/>
    <w:rsid w:val="00556744"/>
    <w:rsid w:val="0055676A"/>
    <w:rsid w:val="00556C0D"/>
    <w:rsid w:val="00556E88"/>
    <w:rsid w:val="00557107"/>
    <w:rsid w:val="005572A4"/>
    <w:rsid w:val="00557921"/>
    <w:rsid w:val="00557B35"/>
    <w:rsid w:val="00557C50"/>
    <w:rsid w:val="0056010A"/>
    <w:rsid w:val="005601ED"/>
    <w:rsid w:val="00560275"/>
    <w:rsid w:val="00560574"/>
    <w:rsid w:val="00560AB9"/>
    <w:rsid w:val="00560B81"/>
    <w:rsid w:val="00560F6B"/>
    <w:rsid w:val="0056164C"/>
    <w:rsid w:val="005617DE"/>
    <w:rsid w:val="00561FA9"/>
    <w:rsid w:val="005623CD"/>
    <w:rsid w:val="00563120"/>
    <w:rsid w:val="005631D4"/>
    <w:rsid w:val="00563BD1"/>
    <w:rsid w:val="00563F0C"/>
    <w:rsid w:val="00564313"/>
    <w:rsid w:val="00564331"/>
    <w:rsid w:val="0056448B"/>
    <w:rsid w:val="0056538E"/>
    <w:rsid w:val="00565985"/>
    <w:rsid w:val="00565AA0"/>
    <w:rsid w:val="00565DE1"/>
    <w:rsid w:val="00566143"/>
    <w:rsid w:val="00566207"/>
    <w:rsid w:val="005664EC"/>
    <w:rsid w:val="00567082"/>
    <w:rsid w:val="005670F1"/>
    <w:rsid w:val="0056752C"/>
    <w:rsid w:val="00567D73"/>
    <w:rsid w:val="00567E06"/>
    <w:rsid w:val="005702E5"/>
    <w:rsid w:val="005702ED"/>
    <w:rsid w:val="005703C6"/>
    <w:rsid w:val="005711D2"/>
    <w:rsid w:val="005711EA"/>
    <w:rsid w:val="0057194C"/>
    <w:rsid w:val="00571F39"/>
    <w:rsid w:val="0057238F"/>
    <w:rsid w:val="005725CD"/>
    <w:rsid w:val="00572FF9"/>
    <w:rsid w:val="005732FE"/>
    <w:rsid w:val="00573B8E"/>
    <w:rsid w:val="00573BD9"/>
    <w:rsid w:val="00573C54"/>
    <w:rsid w:val="00573D74"/>
    <w:rsid w:val="005741B6"/>
    <w:rsid w:val="00574438"/>
    <w:rsid w:val="00574649"/>
    <w:rsid w:val="00574704"/>
    <w:rsid w:val="00574AE3"/>
    <w:rsid w:val="00574F7E"/>
    <w:rsid w:val="005751A7"/>
    <w:rsid w:val="00575402"/>
    <w:rsid w:val="00575491"/>
    <w:rsid w:val="0057579F"/>
    <w:rsid w:val="0057581D"/>
    <w:rsid w:val="00575B6A"/>
    <w:rsid w:val="0057664D"/>
    <w:rsid w:val="00576973"/>
    <w:rsid w:val="00576F93"/>
    <w:rsid w:val="0057702C"/>
    <w:rsid w:val="005773E2"/>
    <w:rsid w:val="005775B9"/>
    <w:rsid w:val="00577711"/>
    <w:rsid w:val="00577D59"/>
    <w:rsid w:val="00577E0B"/>
    <w:rsid w:val="00580200"/>
    <w:rsid w:val="0058042A"/>
    <w:rsid w:val="0058073B"/>
    <w:rsid w:val="0058097B"/>
    <w:rsid w:val="0058098A"/>
    <w:rsid w:val="005811CC"/>
    <w:rsid w:val="00581543"/>
    <w:rsid w:val="00581DD4"/>
    <w:rsid w:val="00581E35"/>
    <w:rsid w:val="00582620"/>
    <w:rsid w:val="0058273D"/>
    <w:rsid w:val="00582C8E"/>
    <w:rsid w:val="00582D3C"/>
    <w:rsid w:val="0058316C"/>
    <w:rsid w:val="00583EEB"/>
    <w:rsid w:val="005848CB"/>
    <w:rsid w:val="0058498B"/>
    <w:rsid w:val="00585629"/>
    <w:rsid w:val="00585BA8"/>
    <w:rsid w:val="005860C3"/>
    <w:rsid w:val="0058615E"/>
    <w:rsid w:val="005864E6"/>
    <w:rsid w:val="00586591"/>
    <w:rsid w:val="00586968"/>
    <w:rsid w:val="00586CE6"/>
    <w:rsid w:val="00586F1B"/>
    <w:rsid w:val="00586FC0"/>
    <w:rsid w:val="00587204"/>
    <w:rsid w:val="005875CB"/>
    <w:rsid w:val="005876D4"/>
    <w:rsid w:val="00587D70"/>
    <w:rsid w:val="00587F4F"/>
    <w:rsid w:val="00590015"/>
    <w:rsid w:val="005907C9"/>
    <w:rsid w:val="00590955"/>
    <w:rsid w:val="00590BC4"/>
    <w:rsid w:val="00590C3E"/>
    <w:rsid w:val="00590FEA"/>
    <w:rsid w:val="0059116F"/>
    <w:rsid w:val="005913B0"/>
    <w:rsid w:val="00591808"/>
    <w:rsid w:val="00592136"/>
    <w:rsid w:val="00592292"/>
    <w:rsid w:val="0059245E"/>
    <w:rsid w:val="00592E04"/>
    <w:rsid w:val="00592E9C"/>
    <w:rsid w:val="0059325C"/>
    <w:rsid w:val="00593606"/>
    <w:rsid w:val="00593A49"/>
    <w:rsid w:val="00593BEF"/>
    <w:rsid w:val="00593F37"/>
    <w:rsid w:val="005944EB"/>
    <w:rsid w:val="005948A1"/>
    <w:rsid w:val="00594993"/>
    <w:rsid w:val="00594ED7"/>
    <w:rsid w:val="00594F7D"/>
    <w:rsid w:val="005950CA"/>
    <w:rsid w:val="00595172"/>
    <w:rsid w:val="00595AA3"/>
    <w:rsid w:val="005960DC"/>
    <w:rsid w:val="00596142"/>
    <w:rsid w:val="00596968"/>
    <w:rsid w:val="005A022B"/>
    <w:rsid w:val="005A02E7"/>
    <w:rsid w:val="005A042E"/>
    <w:rsid w:val="005A04DE"/>
    <w:rsid w:val="005A0EDE"/>
    <w:rsid w:val="005A12B1"/>
    <w:rsid w:val="005A18CD"/>
    <w:rsid w:val="005A1DC6"/>
    <w:rsid w:val="005A1F9A"/>
    <w:rsid w:val="005A2542"/>
    <w:rsid w:val="005A28EF"/>
    <w:rsid w:val="005A2A62"/>
    <w:rsid w:val="005A2C8F"/>
    <w:rsid w:val="005A2C90"/>
    <w:rsid w:val="005A2C93"/>
    <w:rsid w:val="005A303A"/>
    <w:rsid w:val="005A3973"/>
    <w:rsid w:val="005A422A"/>
    <w:rsid w:val="005A4298"/>
    <w:rsid w:val="005A43E7"/>
    <w:rsid w:val="005A4406"/>
    <w:rsid w:val="005A44EE"/>
    <w:rsid w:val="005A4B82"/>
    <w:rsid w:val="005A4D3D"/>
    <w:rsid w:val="005A5283"/>
    <w:rsid w:val="005A5371"/>
    <w:rsid w:val="005A57D6"/>
    <w:rsid w:val="005A5A02"/>
    <w:rsid w:val="005A5DD7"/>
    <w:rsid w:val="005A61D6"/>
    <w:rsid w:val="005A661D"/>
    <w:rsid w:val="005A693C"/>
    <w:rsid w:val="005A6B31"/>
    <w:rsid w:val="005A6B67"/>
    <w:rsid w:val="005A6E99"/>
    <w:rsid w:val="005A7105"/>
    <w:rsid w:val="005A7654"/>
    <w:rsid w:val="005A7A11"/>
    <w:rsid w:val="005A7CD8"/>
    <w:rsid w:val="005A7DCF"/>
    <w:rsid w:val="005B0795"/>
    <w:rsid w:val="005B119A"/>
    <w:rsid w:val="005B1243"/>
    <w:rsid w:val="005B1644"/>
    <w:rsid w:val="005B19E9"/>
    <w:rsid w:val="005B1B9F"/>
    <w:rsid w:val="005B1E36"/>
    <w:rsid w:val="005B200F"/>
    <w:rsid w:val="005B2185"/>
    <w:rsid w:val="005B2BFF"/>
    <w:rsid w:val="005B35E2"/>
    <w:rsid w:val="005B3E54"/>
    <w:rsid w:val="005B4087"/>
    <w:rsid w:val="005B4984"/>
    <w:rsid w:val="005B499B"/>
    <w:rsid w:val="005B4AFC"/>
    <w:rsid w:val="005B5A11"/>
    <w:rsid w:val="005B6350"/>
    <w:rsid w:val="005B78D4"/>
    <w:rsid w:val="005B7E08"/>
    <w:rsid w:val="005C0271"/>
    <w:rsid w:val="005C0B6A"/>
    <w:rsid w:val="005C0BE4"/>
    <w:rsid w:val="005C0CB3"/>
    <w:rsid w:val="005C0D07"/>
    <w:rsid w:val="005C0ECE"/>
    <w:rsid w:val="005C11F0"/>
    <w:rsid w:val="005C1554"/>
    <w:rsid w:val="005C18FF"/>
    <w:rsid w:val="005C1BA7"/>
    <w:rsid w:val="005C1EDD"/>
    <w:rsid w:val="005C1F46"/>
    <w:rsid w:val="005C229A"/>
    <w:rsid w:val="005C2B60"/>
    <w:rsid w:val="005C34E3"/>
    <w:rsid w:val="005C3C2B"/>
    <w:rsid w:val="005C40E6"/>
    <w:rsid w:val="005C4535"/>
    <w:rsid w:val="005C464A"/>
    <w:rsid w:val="005C46F4"/>
    <w:rsid w:val="005C4F75"/>
    <w:rsid w:val="005C5120"/>
    <w:rsid w:val="005C56CF"/>
    <w:rsid w:val="005C6596"/>
    <w:rsid w:val="005C69E9"/>
    <w:rsid w:val="005C6DEC"/>
    <w:rsid w:val="005C6F63"/>
    <w:rsid w:val="005C754B"/>
    <w:rsid w:val="005C7E1F"/>
    <w:rsid w:val="005D01A1"/>
    <w:rsid w:val="005D021A"/>
    <w:rsid w:val="005D1895"/>
    <w:rsid w:val="005D197C"/>
    <w:rsid w:val="005D1F97"/>
    <w:rsid w:val="005D2468"/>
    <w:rsid w:val="005D2545"/>
    <w:rsid w:val="005D30AA"/>
    <w:rsid w:val="005D3578"/>
    <w:rsid w:val="005D38B5"/>
    <w:rsid w:val="005D3F38"/>
    <w:rsid w:val="005D4267"/>
    <w:rsid w:val="005D46E8"/>
    <w:rsid w:val="005D4C69"/>
    <w:rsid w:val="005D4D47"/>
    <w:rsid w:val="005D4EC4"/>
    <w:rsid w:val="005D52CF"/>
    <w:rsid w:val="005D537E"/>
    <w:rsid w:val="005D5523"/>
    <w:rsid w:val="005D570B"/>
    <w:rsid w:val="005D57AA"/>
    <w:rsid w:val="005D587E"/>
    <w:rsid w:val="005D5B7C"/>
    <w:rsid w:val="005D5DD9"/>
    <w:rsid w:val="005D6327"/>
    <w:rsid w:val="005D6523"/>
    <w:rsid w:val="005D68C6"/>
    <w:rsid w:val="005D6BFE"/>
    <w:rsid w:val="005D6C8A"/>
    <w:rsid w:val="005D76D3"/>
    <w:rsid w:val="005D76E7"/>
    <w:rsid w:val="005D7719"/>
    <w:rsid w:val="005D77EC"/>
    <w:rsid w:val="005D7AE1"/>
    <w:rsid w:val="005D7FEF"/>
    <w:rsid w:val="005E052B"/>
    <w:rsid w:val="005E0817"/>
    <w:rsid w:val="005E0CE0"/>
    <w:rsid w:val="005E0F9C"/>
    <w:rsid w:val="005E11D2"/>
    <w:rsid w:val="005E1924"/>
    <w:rsid w:val="005E1973"/>
    <w:rsid w:val="005E2776"/>
    <w:rsid w:val="005E30FA"/>
    <w:rsid w:val="005E353A"/>
    <w:rsid w:val="005E3827"/>
    <w:rsid w:val="005E38AE"/>
    <w:rsid w:val="005E3AC3"/>
    <w:rsid w:val="005E3D3B"/>
    <w:rsid w:val="005E3D60"/>
    <w:rsid w:val="005E4254"/>
    <w:rsid w:val="005E4B33"/>
    <w:rsid w:val="005E4C32"/>
    <w:rsid w:val="005E5011"/>
    <w:rsid w:val="005E51FD"/>
    <w:rsid w:val="005E53AE"/>
    <w:rsid w:val="005E63F9"/>
    <w:rsid w:val="005E6974"/>
    <w:rsid w:val="005E6C8A"/>
    <w:rsid w:val="005E6F65"/>
    <w:rsid w:val="005E7649"/>
    <w:rsid w:val="005E7A0F"/>
    <w:rsid w:val="005F0085"/>
    <w:rsid w:val="005F0109"/>
    <w:rsid w:val="005F046D"/>
    <w:rsid w:val="005F07DA"/>
    <w:rsid w:val="005F0B77"/>
    <w:rsid w:val="005F0BF1"/>
    <w:rsid w:val="005F0D1C"/>
    <w:rsid w:val="005F1015"/>
    <w:rsid w:val="005F10F1"/>
    <w:rsid w:val="005F11CE"/>
    <w:rsid w:val="005F1455"/>
    <w:rsid w:val="005F17AC"/>
    <w:rsid w:val="005F1966"/>
    <w:rsid w:val="005F1A35"/>
    <w:rsid w:val="005F249E"/>
    <w:rsid w:val="005F24FF"/>
    <w:rsid w:val="005F25EE"/>
    <w:rsid w:val="005F27B8"/>
    <w:rsid w:val="005F27E4"/>
    <w:rsid w:val="005F2937"/>
    <w:rsid w:val="005F2C41"/>
    <w:rsid w:val="005F2D78"/>
    <w:rsid w:val="005F2E04"/>
    <w:rsid w:val="005F2EE0"/>
    <w:rsid w:val="005F304B"/>
    <w:rsid w:val="005F30D7"/>
    <w:rsid w:val="005F32F6"/>
    <w:rsid w:val="005F3EB1"/>
    <w:rsid w:val="005F4006"/>
    <w:rsid w:val="005F4279"/>
    <w:rsid w:val="005F42FA"/>
    <w:rsid w:val="005F4CEB"/>
    <w:rsid w:val="005F50B7"/>
    <w:rsid w:val="005F5584"/>
    <w:rsid w:val="005F632E"/>
    <w:rsid w:val="005F63D3"/>
    <w:rsid w:val="005F6558"/>
    <w:rsid w:val="005F677B"/>
    <w:rsid w:val="005F693C"/>
    <w:rsid w:val="005F6B04"/>
    <w:rsid w:val="005F7409"/>
    <w:rsid w:val="005F7C8B"/>
    <w:rsid w:val="005F7DCC"/>
    <w:rsid w:val="006001B6"/>
    <w:rsid w:val="00600D27"/>
    <w:rsid w:val="00601C68"/>
    <w:rsid w:val="00601DE6"/>
    <w:rsid w:val="00601FC1"/>
    <w:rsid w:val="00602046"/>
    <w:rsid w:val="00602108"/>
    <w:rsid w:val="006022A3"/>
    <w:rsid w:val="00602597"/>
    <w:rsid w:val="00602997"/>
    <w:rsid w:val="00602E38"/>
    <w:rsid w:val="00603307"/>
    <w:rsid w:val="00603356"/>
    <w:rsid w:val="006036C1"/>
    <w:rsid w:val="00603E6E"/>
    <w:rsid w:val="006040F5"/>
    <w:rsid w:val="006042EB"/>
    <w:rsid w:val="006046EA"/>
    <w:rsid w:val="00604A66"/>
    <w:rsid w:val="00605281"/>
    <w:rsid w:val="006056F8"/>
    <w:rsid w:val="00605FE6"/>
    <w:rsid w:val="0060659D"/>
    <w:rsid w:val="00606C31"/>
    <w:rsid w:val="00606CBD"/>
    <w:rsid w:val="00607388"/>
    <w:rsid w:val="00607522"/>
    <w:rsid w:val="00607597"/>
    <w:rsid w:val="00607802"/>
    <w:rsid w:val="00607A64"/>
    <w:rsid w:val="00607A84"/>
    <w:rsid w:val="00607E32"/>
    <w:rsid w:val="006104AE"/>
    <w:rsid w:val="00610529"/>
    <w:rsid w:val="00611322"/>
    <w:rsid w:val="00611B8B"/>
    <w:rsid w:val="00611F9A"/>
    <w:rsid w:val="00612A59"/>
    <w:rsid w:val="00612A5F"/>
    <w:rsid w:val="00612C92"/>
    <w:rsid w:val="0061314C"/>
    <w:rsid w:val="006131FB"/>
    <w:rsid w:val="0061381C"/>
    <w:rsid w:val="00613D7A"/>
    <w:rsid w:val="00614040"/>
    <w:rsid w:val="0061439E"/>
    <w:rsid w:val="0061440A"/>
    <w:rsid w:val="0061448D"/>
    <w:rsid w:val="0061497D"/>
    <w:rsid w:val="00614CA1"/>
    <w:rsid w:val="0061502C"/>
    <w:rsid w:val="00615294"/>
    <w:rsid w:val="00615BDA"/>
    <w:rsid w:val="00615DD6"/>
    <w:rsid w:val="006162B9"/>
    <w:rsid w:val="00616CDC"/>
    <w:rsid w:val="00616CEA"/>
    <w:rsid w:val="0061703A"/>
    <w:rsid w:val="0061704F"/>
    <w:rsid w:val="00617382"/>
    <w:rsid w:val="00617910"/>
    <w:rsid w:val="00617A62"/>
    <w:rsid w:val="00620102"/>
    <w:rsid w:val="006201C7"/>
    <w:rsid w:val="006205D2"/>
    <w:rsid w:val="00620C2D"/>
    <w:rsid w:val="00620D96"/>
    <w:rsid w:val="00621024"/>
    <w:rsid w:val="00621DF7"/>
    <w:rsid w:val="006221CE"/>
    <w:rsid w:val="00622651"/>
    <w:rsid w:val="00622682"/>
    <w:rsid w:val="006227DB"/>
    <w:rsid w:val="00622D67"/>
    <w:rsid w:val="00622F5C"/>
    <w:rsid w:val="0062382C"/>
    <w:rsid w:val="00623923"/>
    <w:rsid w:val="00623B98"/>
    <w:rsid w:val="00623D47"/>
    <w:rsid w:val="00624558"/>
    <w:rsid w:val="006246AC"/>
    <w:rsid w:val="0062487C"/>
    <w:rsid w:val="00624AA3"/>
    <w:rsid w:val="0062513C"/>
    <w:rsid w:val="0062532D"/>
    <w:rsid w:val="00625694"/>
    <w:rsid w:val="006257D6"/>
    <w:rsid w:val="006258C9"/>
    <w:rsid w:val="00625ED6"/>
    <w:rsid w:val="00625F06"/>
    <w:rsid w:val="00626FC7"/>
    <w:rsid w:val="0062709D"/>
    <w:rsid w:val="00627497"/>
    <w:rsid w:val="00627D22"/>
    <w:rsid w:val="0063002E"/>
    <w:rsid w:val="00630164"/>
    <w:rsid w:val="00630174"/>
    <w:rsid w:val="00630268"/>
    <w:rsid w:val="006305A3"/>
    <w:rsid w:val="00630785"/>
    <w:rsid w:val="006307FC"/>
    <w:rsid w:val="006308A8"/>
    <w:rsid w:val="00630A3B"/>
    <w:rsid w:val="00631194"/>
    <w:rsid w:val="00631564"/>
    <w:rsid w:val="00631A93"/>
    <w:rsid w:val="00631D3E"/>
    <w:rsid w:val="00631D46"/>
    <w:rsid w:val="00631DBA"/>
    <w:rsid w:val="0063283D"/>
    <w:rsid w:val="00632A58"/>
    <w:rsid w:val="00632AC5"/>
    <w:rsid w:val="00632D6B"/>
    <w:rsid w:val="00632EBD"/>
    <w:rsid w:val="00632EDB"/>
    <w:rsid w:val="00633156"/>
    <w:rsid w:val="00633243"/>
    <w:rsid w:val="00633244"/>
    <w:rsid w:val="006333D3"/>
    <w:rsid w:val="00633596"/>
    <w:rsid w:val="00634047"/>
    <w:rsid w:val="006345F4"/>
    <w:rsid w:val="00634781"/>
    <w:rsid w:val="00634827"/>
    <w:rsid w:val="006349D5"/>
    <w:rsid w:val="0063545E"/>
    <w:rsid w:val="00635563"/>
    <w:rsid w:val="006358D5"/>
    <w:rsid w:val="0063594C"/>
    <w:rsid w:val="0063597E"/>
    <w:rsid w:val="00635FBD"/>
    <w:rsid w:val="006361DD"/>
    <w:rsid w:val="00636207"/>
    <w:rsid w:val="00636576"/>
    <w:rsid w:val="0063669B"/>
    <w:rsid w:val="006368B1"/>
    <w:rsid w:val="00636DFA"/>
    <w:rsid w:val="00636FA3"/>
    <w:rsid w:val="006370BC"/>
    <w:rsid w:val="00637453"/>
    <w:rsid w:val="00637559"/>
    <w:rsid w:val="00637711"/>
    <w:rsid w:val="006377E6"/>
    <w:rsid w:val="00637FA4"/>
    <w:rsid w:val="00637FA5"/>
    <w:rsid w:val="006400FE"/>
    <w:rsid w:val="00640ABD"/>
    <w:rsid w:val="00640F06"/>
    <w:rsid w:val="00641011"/>
    <w:rsid w:val="006411C6"/>
    <w:rsid w:val="006416AD"/>
    <w:rsid w:val="00641759"/>
    <w:rsid w:val="00641780"/>
    <w:rsid w:val="006419E9"/>
    <w:rsid w:val="00641A4B"/>
    <w:rsid w:val="00642BBF"/>
    <w:rsid w:val="00642D4F"/>
    <w:rsid w:val="00642EE6"/>
    <w:rsid w:val="006438AE"/>
    <w:rsid w:val="006438FD"/>
    <w:rsid w:val="00643B1F"/>
    <w:rsid w:val="00643E5C"/>
    <w:rsid w:val="00643E94"/>
    <w:rsid w:val="00644238"/>
    <w:rsid w:val="0064431C"/>
    <w:rsid w:val="0064444E"/>
    <w:rsid w:val="0064450C"/>
    <w:rsid w:val="006448A5"/>
    <w:rsid w:val="00644908"/>
    <w:rsid w:val="00644C26"/>
    <w:rsid w:val="00644DAC"/>
    <w:rsid w:val="0064530B"/>
    <w:rsid w:val="006459DE"/>
    <w:rsid w:val="00645C73"/>
    <w:rsid w:val="00645F8A"/>
    <w:rsid w:val="006462BF"/>
    <w:rsid w:val="006465C8"/>
    <w:rsid w:val="0064672D"/>
    <w:rsid w:val="006469DD"/>
    <w:rsid w:val="00647022"/>
    <w:rsid w:val="00647EB2"/>
    <w:rsid w:val="0065093A"/>
    <w:rsid w:val="00650F99"/>
    <w:rsid w:val="0065106F"/>
    <w:rsid w:val="00651186"/>
    <w:rsid w:val="006512AB"/>
    <w:rsid w:val="006512D0"/>
    <w:rsid w:val="00651613"/>
    <w:rsid w:val="006516F6"/>
    <w:rsid w:val="006529BB"/>
    <w:rsid w:val="00653CDB"/>
    <w:rsid w:val="0065411E"/>
    <w:rsid w:val="0065433B"/>
    <w:rsid w:val="00654506"/>
    <w:rsid w:val="00654518"/>
    <w:rsid w:val="00654DB2"/>
    <w:rsid w:val="00654DE7"/>
    <w:rsid w:val="00654F29"/>
    <w:rsid w:val="0065545A"/>
    <w:rsid w:val="00655FA5"/>
    <w:rsid w:val="00656433"/>
    <w:rsid w:val="00656A93"/>
    <w:rsid w:val="00656A96"/>
    <w:rsid w:val="00656DA1"/>
    <w:rsid w:val="00656DA5"/>
    <w:rsid w:val="0065713F"/>
    <w:rsid w:val="00657219"/>
    <w:rsid w:val="006576C2"/>
    <w:rsid w:val="006578AA"/>
    <w:rsid w:val="00660847"/>
    <w:rsid w:val="0066095D"/>
    <w:rsid w:val="00661531"/>
    <w:rsid w:val="00661565"/>
    <w:rsid w:val="0066159F"/>
    <w:rsid w:val="00661681"/>
    <w:rsid w:val="00661E4A"/>
    <w:rsid w:val="006628BB"/>
    <w:rsid w:val="00662B50"/>
    <w:rsid w:val="00662C2E"/>
    <w:rsid w:val="00662C73"/>
    <w:rsid w:val="0066365B"/>
    <w:rsid w:val="00663804"/>
    <w:rsid w:val="00663853"/>
    <w:rsid w:val="00663A85"/>
    <w:rsid w:val="0066403C"/>
    <w:rsid w:val="00664064"/>
    <w:rsid w:val="00664A3A"/>
    <w:rsid w:val="0066537F"/>
    <w:rsid w:val="00665C7B"/>
    <w:rsid w:val="00665F78"/>
    <w:rsid w:val="00666161"/>
    <w:rsid w:val="006672F6"/>
    <w:rsid w:val="00667AA9"/>
    <w:rsid w:val="00670236"/>
    <w:rsid w:val="00670535"/>
    <w:rsid w:val="00670870"/>
    <w:rsid w:val="006709E1"/>
    <w:rsid w:val="00670B69"/>
    <w:rsid w:val="00670B8E"/>
    <w:rsid w:val="00670E79"/>
    <w:rsid w:val="00671703"/>
    <w:rsid w:val="00671792"/>
    <w:rsid w:val="00671BA5"/>
    <w:rsid w:val="00671C66"/>
    <w:rsid w:val="00672201"/>
    <w:rsid w:val="006725EE"/>
    <w:rsid w:val="00672ADC"/>
    <w:rsid w:val="0067314D"/>
    <w:rsid w:val="006738D5"/>
    <w:rsid w:val="00673ECB"/>
    <w:rsid w:val="0067401A"/>
    <w:rsid w:val="006744E5"/>
    <w:rsid w:val="006748F0"/>
    <w:rsid w:val="0067491D"/>
    <w:rsid w:val="00674F76"/>
    <w:rsid w:val="006753AE"/>
    <w:rsid w:val="00675700"/>
    <w:rsid w:val="00675BC6"/>
    <w:rsid w:val="00675C99"/>
    <w:rsid w:val="006762CA"/>
    <w:rsid w:val="006766BC"/>
    <w:rsid w:val="00676EAC"/>
    <w:rsid w:val="00676FD9"/>
    <w:rsid w:val="00677151"/>
    <w:rsid w:val="0067732B"/>
    <w:rsid w:val="00677E98"/>
    <w:rsid w:val="00677FBF"/>
    <w:rsid w:val="00680250"/>
    <w:rsid w:val="00680C4F"/>
    <w:rsid w:val="00680F56"/>
    <w:rsid w:val="00681491"/>
    <w:rsid w:val="006817A1"/>
    <w:rsid w:val="006819C9"/>
    <w:rsid w:val="00681D2A"/>
    <w:rsid w:val="00682298"/>
    <w:rsid w:val="0068250D"/>
    <w:rsid w:val="0068270A"/>
    <w:rsid w:val="006827C6"/>
    <w:rsid w:val="00682B1F"/>
    <w:rsid w:val="00682BAE"/>
    <w:rsid w:val="00683655"/>
    <w:rsid w:val="006839D3"/>
    <w:rsid w:val="00684085"/>
    <w:rsid w:val="0068448D"/>
    <w:rsid w:val="00684C55"/>
    <w:rsid w:val="00684EA3"/>
    <w:rsid w:val="006851E7"/>
    <w:rsid w:val="006852F8"/>
    <w:rsid w:val="00685786"/>
    <w:rsid w:val="00685F04"/>
    <w:rsid w:val="00686053"/>
    <w:rsid w:val="006860D1"/>
    <w:rsid w:val="0068691C"/>
    <w:rsid w:val="00686E84"/>
    <w:rsid w:val="00686E8B"/>
    <w:rsid w:val="006870F1"/>
    <w:rsid w:val="006873DA"/>
    <w:rsid w:val="00687A93"/>
    <w:rsid w:val="006904C0"/>
    <w:rsid w:val="0069099D"/>
    <w:rsid w:val="0069131E"/>
    <w:rsid w:val="006917A0"/>
    <w:rsid w:val="00691F89"/>
    <w:rsid w:val="00692050"/>
    <w:rsid w:val="006921D5"/>
    <w:rsid w:val="00692243"/>
    <w:rsid w:val="0069269D"/>
    <w:rsid w:val="00692708"/>
    <w:rsid w:val="0069271E"/>
    <w:rsid w:val="00692F97"/>
    <w:rsid w:val="006931A8"/>
    <w:rsid w:val="0069324B"/>
    <w:rsid w:val="0069363A"/>
    <w:rsid w:val="00693966"/>
    <w:rsid w:val="006939A8"/>
    <w:rsid w:val="00693FBE"/>
    <w:rsid w:val="00694DCE"/>
    <w:rsid w:val="00694EB4"/>
    <w:rsid w:val="00695567"/>
    <w:rsid w:val="006957FD"/>
    <w:rsid w:val="00695962"/>
    <w:rsid w:val="00696FBA"/>
    <w:rsid w:val="006974AB"/>
    <w:rsid w:val="00697FC7"/>
    <w:rsid w:val="00697FCA"/>
    <w:rsid w:val="006A0B49"/>
    <w:rsid w:val="006A155F"/>
    <w:rsid w:val="006A220B"/>
    <w:rsid w:val="006A2790"/>
    <w:rsid w:val="006A289C"/>
    <w:rsid w:val="006A28B7"/>
    <w:rsid w:val="006A2ED9"/>
    <w:rsid w:val="006A34DB"/>
    <w:rsid w:val="006A38D5"/>
    <w:rsid w:val="006A3BC8"/>
    <w:rsid w:val="006A3C22"/>
    <w:rsid w:val="006A3CE8"/>
    <w:rsid w:val="006A4230"/>
    <w:rsid w:val="006A48E5"/>
    <w:rsid w:val="006A4BEB"/>
    <w:rsid w:val="006A4E0B"/>
    <w:rsid w:val="006A513B"/>
    <w:rsid w:val="006A5345"/>
    <w:rsid w:val="006A54E8"/>
    <w:rsid w:val="006A5E2B"/>
    <w:rsid w:val="006A6786"/>
    <w:rsid w:val="006A6805"/>
    <w:rsid w:val="006A6E2F"/>
    <w:rsid w:val="006A76B9"/>
    <w:rsid w:val="006A77A3"/>
    <w:rsid w:val="006A7BEB"/>
    <w:rsid w:val="006A7CB1"/>
    <w:rsid w:val="006A7E08"/>
    <w:rsid w:val="006B062F"/>
    <w:rsid w:val="006B0971"/>
    <w:rsid w:val="006B0ECB"/>
    <w:rsid w:val="006B18B7"/>
    <w:rsid w:val="006B1A5B"/>
    <w:rsid w:val="006B1FFD"/>
    <w:rsid w:val="006B2CAE"/>
    <w:rsid w:val="006B2D33"/>
    <w:rsid w:val="006B2F60"/>
    <w:rsid w:val="006B314A"/>
    <w:rsid w:val="006B34C2"/>
    <w:rsid w:val="006B361C"/>
    <w:rsid w:val="006B3B76"/>
    <w:rsid w:val="006B3BF7"/>
    <w:rsid w:val="006B46BA"/>
    <w:rsid w:val="006B480B"/>
    <w:rsid w:val="006B490D"/>
    <w:rsid w:val="006B4F66"/>
    <w:rsid w:val="006B5641"/>
    <w:rsid w:val="006B57AC"/>
    <w:rsid w:val="006B5A5D"/>
    <w:rsid w:val="006B5BB4"/>
    <w:rsid w:val="006B62E9"/>
    <w:rsid w:val="006B657E"/>
    <w:rsid w:val="006B7151"/>
    <w:rsid w:val="006B74ED"/>
    <w:rsid w:val="006C01FE"/>
    <w:rsid w:val="006C02E4"/>
    <w:rsid w:val="006C054E"/>
    <w:rsid w:val="006C060F"/>
    <w:rsid w:val="006C0FA2"/>
    <w:rsid w:val="006C0FC0"/>
    <w:rsid w:val="006C1155"/>
    <w:rsid w:val="006C16B0"/>
    <w:rsid w:val="006C2945"/>
    <w:rsid w:val="006C2EBD"/>
    <w:rsid w:val="006C32B4"/>
    <w:rsid w:val="006C3423"/>
    <w:rsid w:val="006C35A7"/>
    <w:rsid w:val="006C3966"/>
    <w:rsid w:val="006C3D52"/>
    <w:rsid w:val="006C4048"/>
    <w:rsid w:val="006C43CE"/>
    <w:rsid w:val="006C43E8"/>
    <w:rsid w:val="006C46DE"/>
    <w:rsid w:val="006C46EE"/>
    <w:rsid w:val="006C4A50"/>
    <w:rsid w:val="006C4CDF"/>
    <w:rsid w:val="006C4DA8"/>
    <w:rsid w:val="006C5082"/>
    <w:rsid w:val="006C5248"/>
    <w:rsid w:val="006C526F"/>
    <w:rsid w:val="006C55A6"/>
    <w:rsid w:val="006C5704"/>
    <w:rsid w:val="006C5A37"/>
    <w:rsid w:val="006C5D0E"/>
    <w:rsid w:val="006C5EAF"/>
    <w:rsid w:val="006C618E"/>
    <w:rsid w:val="006C6348"/>
    <w:rsid w:val="006C65ED"/>
    <w:rsid w:val="006C67D0"/>
    <w:rsid w:val="006C6ADF"/>
    <w:rsid w:val="006C70FF"/>
    <w:rsid w:val="006C73E4"/>
    <w:rsid w:val="006C752E"/>
    <w:rsid w:val="006C7845"/>
    <w:rsid w:val="006C79AC"/>
    <w:rsid w:val="006C7C7D"/>
    <w:rsid w:val="006C7CE7"/>
    <w:rsid w:val="006D002B"/>
    <w:rsid w:val="006D00AC"/>
    <w:rsid w:val="006D034F"/>
    <w:rsid w:val="006D03C5"/>
    <w:rsid w:val="006D0424"/>
    <w:rsid w:val="006D0511"/>
    <w:rsid w:val="006D0A4E"/>
    <w:rsid w:val="006D0DC9"/>
    <w:rsid w:val="006D0FFB"/>
    <w:rsid w:val="006D10E5"/>
    <w:rsid w:val="006D1190"/>
    <w:rsid w:val="006D1216"/>
    <w:rsid w:val="006D1EB3"/>
    <w:rsid w:val="006D204F"/>
    <w:rsid w:val="006D23CA"/>
    <w:rsid w:val="006D2647"/>
    <w:rsid w:val="006D2B73"/>
    <w:rsid w:val="006D3052"/>
    <w:rsid w:val="006D30F3"/>
    <w:rsid w:val="006D3810"/>
    <w:rsid w:val="006D3E95"/>
    <w:rsid w:val="006D4484"/>
    <w:rsid w:val="006D46CA"/>
    <w:rsid w:val="006D4E9E"/>
    <w:rsid w:val="006D4F56"/>
    <w:rsid w:val="006D51E5"/>
    <w:rsid w:val="006D532D"/>
    <w:rsid w:val="006D5391"/>
    <w:rsid w:val="006D53C9"/>
    <w:rsid w:val="006D5400"/>
    <w:rsid w:val="006D57C5"/>
    <w:rsid w:val="006D5AB1"/>
    <w:rsid w:val="006D5C04"/>
    <w:rsid w:val="006D5EE0"/>
    <w:rsid w:val="006D64F7"/>
    <w:rsid w:val="006D68A4"/>
    <w:rsid w:val="006D6FED"/>
    <w:rsid w:val="006D710C"/>
    <w:rsid w:val="006D7112"/>
    <w:rsid w:val="006D7214"/>
    <w:rsid w:val="006D7320"/>
    <w:rsid w:val="006D76D5"/>
    <w:rsid w:val="006D7846"/>
    <w:rsid w:val="006D7851"/>
    <w:rsid w:val="006D79BD"/>
    <w:rsid w:val="006D7A8B"/>
    <w:rsid w:val="006D7D1F"/>
    <w:rsid w:val="006E0422"/>
    <w:rsid w:val="006E0523"/>
    <w:rsid w:val="006E063A"/>
    <w:rsid w:val="006E0662"/>
    <w:rsid w:val="006E07AD"/>
    <w:rsid w:val="006E08F0"/>
    <w:rsid w:val="006E1175"/>
    <w:rsid w:val="006E13D7"/>
    <w:rsid w:val="006E1CD0"/>
    <w:rsid w:val="006E2520"/>
    <w:rsid w:val="006E2A03"/>
    <w:rsid w:val="006E2A55"/>
    <w:rsid w:val="006E31BC"/>
    <w:rsid w:val="006E3237"/>
    <w:rsid w:val="006E3615"/>
    <w:rsid w:val="006E4367"/>
    <w:rsid w:val="006E44B4"/>
    <w:rsid w:val="006E4B73"/>
    <w:rsid w:val="006E5B54"/>
    <w:rsid w:val="006E5B6D"/>
    <w:rsid w:val="006E5BC6"/>
    <w:rsid w:val="006E627D"/>
    <w:rsid w:val="006E64C1"/>
    <w:rsid w:val="006E64EB"/>
    <w:rsid w:val="006E6CC0"/>
    <w:rsid w:val="006E6DBC"/>
    <w:rsid w:val="006E700C"/>
    <w:rsid w:val="006E7150"/>
    <w:rsid w:val="006E7E42"/>
    <w:rsid w:val="006E7E48"/>
    <w:rsid w:val="006F01D3"/>
    <w:rsid w:val="006F061D"/>
    <w:rsid w:val="006F0EB0"/>
    <w:rsid w:val="006F12A7"/>
    <w:rsid w:val="006F13FB"/>
    <w:rsid w:val="006F145C"/>
    <w:rsid w:val="006F195B"/>
    <w:rsid w:val="006F1B35"/>
    <w:rsid w:val="006F1D15"/>
    <w:rsid w:val="006F1F89"/>
    <w:rsid w:val="006F273A"/>
    <w:rsid w:val="006F28B0"/>
    <w:rsid w:val="006F2D21"/>
    <w:rsid w:val="006F3139"/>
    <w:rsid w:val="006F3556"/>
    <w:rsid w:val="006F36CD"/>
    <w:rsid w:val="006F3EA5"/>
    <w:rsid w:val="006F3F0D"/>
    <w:rsid w:val="006F4972"/>
    <w:rsid w:val="006F4B96"/>
    <w:rsid w:val="006F6130"/>
    <w:rsid w:val="006F62B5"/>
    <w:rsid w:val="006F6D8C"/>
    <w:rsid w:val="006F6D94"/>
    <w:rsid w:val="006F74CA"/>
    <w:rsid w:val="006F770F"/>
    <w:rsid w:val="006F7D41"/>
    <w:rsid w:val="006F7FA6"/>
    <w:rsid w:val="00700201"/>
    <w:rsid w:val="007002C5"/>
    <w:rsid w:val="00700304"/>
    <w:rsid w:val="0070034D"/>
    <w:rsid w:val="007005A2"/>
    <w:rsid w:val="00700694"/>
    <w:rsid w:val="00700FB4"/>
    <w:rsid w:val="00701198"/>
    <w:rsid w:val="0070150B"/>
    <w:rsid w:val="00701534"/>
    <w:rsid w:val="00701B53"/>
    <w:rsid w:val="00702047"/>
    <w:rsid w:val="007024E7"/>
    <w:rsid w:val="0070256B"/>
    <w:rsid w:val="007028C8"/>
    <w:rsid w:val="00702F0A"/>
    <w:rsid w:val="007032F4"/>
    <w:rsid w:val="00703344"/>
    <w:rsid w:val="00703BB8"/>
    <w:rsid w:val="00704634"/>
    <w:rsid w:val="00704CD0"/>
    <w:rsid w:val="00704D4A"/>
    <w:rsid w:val="00704F16"/>
    <w:rsid w:val="00705A2E"/>
    <w:rsid w:val="00705AE5"/>
    <w:rsid w:val="00705C26"/>
    <w:rsid w:val="007063E5"/>
    <w:rsid w:val="00706AC0"/>
    <w:rsid w:val="00707319"/>
    <w:rsid w:val="007078C7"/>
    <w:rsid w:val="00707939"/>
    <w:rsid w:val="00707F50"/>
    <w:rsid w:val="007100ED"/>
    <w:rsid w:val="007102E3"/>
    <w:rsid w:val="0071042D"/>
    <w:rsid w:val="00711373"/>
    <w:rsid w:val="00711A88"/>
    <w:rsid w:val="00711DCE"/>
    <w:rsid w:val="0071217D"/>
    <w:rsid w:val="0071219F"/>
    <w:rsid w:val="007122D7"/>
    <w:rsid w:val="0071233D"/>
    <w:rsid w:val="0071252F"/>
    <w:rsid w:val="00713547"/>
    <w:rsid w:val="00713950"/>
    <w:rsid w:val="007146E1"/>
    <w:rsid w:val="00714AD6"/>
    <w:rsid w:val="00715318"/>
    <w:rsid w:val="007153C4"/>
    <w:rsid w:val="007155BD"/>
    <w:rsid w:val="00715F5D"/>
    <w:rsid w:val="00715FCC"/>
    <w:rsid w:val="007165FB"/>
    <w:rsid w:val="00716784"/>
    <w:rsid w:val="00716808"/>
    <w:rsid w:val="007169AE"/>
    <w:rsid w:val="00716B29"/>
    <w:rsid w:val="00716C6C"/>
    <w:rsid w:val="00716EB1"/>
    <w:rsid w:val="00716FEE"/>
    <w:rsid w:val="00717149"/>
    <w:rsid w:val="0071727B"/>
    <w:rsid w:val="007175A1"/>
    <w:rsid w:val="00717D9C"/>
    <w:rsid w:val="007204D5"/>
    <w:rsid w:val="007205DA"/>
    <w:rsid w:val="0072069F"/>
    <w:rsid w:val="00720869"/>
    <w:rsid w:val="00720B60"/>
    <w:rsid w:val="0072127F"/>
    <w:rsid w:val="00721953"/>
    <w:rsid w:val="00721BC4"/>
    <w:rsid w:val="00721BDF"/>
    <w:rsid w:val="00721D9E"/>
    <w:rsid w:val="007222BD"/>
    <w:rsid w:val="00722C9E"/>
    <w:rsid w:val="00722D66"/>
    <w:rsid w:val="007230FE"/>
    <w:rsid w:val="00723753"/>
    <w:rsid w:val="00723AF6"/>
    <w:rsid w:val="00723B54"/>
    <w:rsid w:val="007242F3"/>
    <w:rsid w:val="00724B61"/>
    <w:rsid w:val="00724D4C"/>
    <w:rsid w:val="00724F3F"/>
    <w:rsid w:val="00725216"/>
    <w:rsid w:val="0072532E"/>
    <w:rsid w:val="00725464"/>
    <w:rsid w:val="007260D7"/>
    <w:rsid w:val="007261EE"/>
    <w:rsid w:val="00726204"/>
    <w:rsid w:val="00726418"/>
    <w:rsid w:val="00727A20"/>
    <w:rsid w:val="00727A49"/>
    <w:rsid w:val="00727AFD"/>
    <w:rsid w:val="00727F3F"/>
    <w:rsid w:val="0073000A"/>
    <w:rsid w:val="0073059B"/>
    <w:rsid w:val="00730626"/>
    <w:rsid w:val="007307F9"/>
    <w:rsid w:val="00730B9A"/>
    <w:rsid w:val="00730BFB"/>
    <w:rsid w:val="00730E0A"/>
    <w:rsid w:val="00731760"/>
    <w:rsid w:val="00731E38"/>
    <w:rsid w:val="00731EEC"/>
    <w:rsid w:val="0073223D"/>
    <w:rsid w:val="007325F4"/>
    <w:rsid w:val="007326A2"/>
    <w:rsid w:val="00732FD7"/>
    <w:rsid w:val="0073330D"/>
    <w:rsid w:val="00733DF8"/>
    <w:rsid w:val="0073450B"/>
    <w:rsid w:val="0073463B"/>
    <w:rsid w:val="007350E0"/>
    <w:rsid w:val="007352E6"/>
    <w:rsid w:val="00735300"/>
    <w:rsid w:val="00735E25"/>
    <w:rsid w:val="00735F37"/>
    <w:rsid w:val="00736766"/>
    <w:rsid w:val="0073690A"/>
    <w:rsid w:val="00736F58"/>
    <w:rsid w:val="0073791F"/>
    <w:rsid w:val="00737982"/>
    <w:rsid w:val="00737A41"/>
    <w:rsid w:val="00737AB9"/>
    <w:rsid w:val="00740009"/>
    <w:rsid w:val="00740723"/>
    <w:rsid w:val="00740A6F"/>
    <w:rsid w:val="00740E73"/>
    <w:rsid w:val="00741E6E"/>
    <w:rsid w:val="00741F1E"/>
    <w:rsid w:val="0074232F"/>
    <w:rsid w:val="0074289A"/>
    <w:rsid w:val="00742BEC"/>
    <w:rsid w:val="00742F65"/>
    <w:rsid w:val="00743024"/>
    <w:rsid w:val="0074303B"/>
    <w:rsid w:val="0074305C"/>
    <w:rsid w:val="007432E0"/>
    <w:rsid w:val="00743BAC"/>
    <w:rsid w:val="00744321"/>
    <w:rsid w:val="0074445B"/>
    <w:rsid w:val="00744576"/>
    <w:rsid w:val="00744674"/>
    <w:rsid w:val="00744BA3"/>
    <w:rsid w:val="007451F5"/>
    <w:rsid w:val="007457CC"/>
    <w:rsid w:val="007458A9"/>
    <w:rsid w:val="00745BFC"/>
    <w:rsid w:val="0074616B"/>
    <w:rsid w:val="00746463"/>
    <w:rsid w:val="00746752"/>
    <w:rsid w:val="00746C3F"/>
    <w:rsid w:val="00747448"/>
    <w:rsid w:val="0074784B"/>
    <w:rsid w:val="0074785C"/>
    <w:rsid w:val="00747D62"/>
    <w:rsid w:val="00747FD2"/>
    <w:rsid w:val="0075022D"/>
    <w:rsid w:val="00750325"/>
    <w:rsid w:val="00750F03"/>
    <w:rsid w:val="00751136"/>
    <w:rsid w:val="007514B8"/>
    <w:rsid w:val="00751EE3"/>
    <w:rsid w:val="0075204E"/>
    <w:rsid w:val="0075225B"/>
    <w:rsid w:val="00752454"/>
    <w:rsid w:val="00752622"/>
    <w:rsid w:val="00752A9D"/>
    <w:rsid w:val="00752C89"/>
    <w:rsid w:val="00752FF7"/>
    <w:rsid w:val="00753345"/>
    <w:rsid w:val="00753BCE"/>
    <w:rsid w:val="00753D53"/>
    <w:rsid w:val="00754030"/>
    <w:rsid w:val="0075486C"/>
    <w:rsid w:val="00754908"/>
    <w:rsid w:val="0075497B"/>
    <w:rsid w:val="00754A2F"/>
    <w:rsid w:val="00754B9F"/>
    <w:rsid w:val="00754CE6"/>
    <w:rsid w:val="00754D3A"/>
    <w:rsid w:val="0075511C"/>
    <w:rsid w:val="007553B4"/>
    <w:rsid w:val="0075591B"/>
    <w:rsid w:val="00755BE6"/>
    <w:rsid w:val="00755C8A"/>
    <w:rsid w:val="00756158"/>
    <w:rsid w:val="007564F7"/>
    <w:rsid w:val="00756566"/>
    <w:rsid w:val="007573D6"/>
    <w:rsid w:val="00757471"/>
    <w:rsid w:val="007577F9"/>
    <w:rsid w:val="00757982"/>
    <w:rsid w:val="00757A8E"/>
    <w:rsid w:val="00757CCD"/>
    <w:rsid w:val="00757EC3"/>
    <w:rsid w:val="00757F2B"/>
    <w:rsid w:val="0076048C"/>
    <w:rsid w:val="007609EC"/>
    <w:rsid w:val="00760D80"/>
    <w:rsid w:val="0076100C"/>
    <w:rsid w:val="0076145C"/>
    <w:rsid w:val="0076185E"/>
    <w:rsid w:val="00761D5D"/>
    <w:rsid w:val="00761DEA"/>
    <w:rsid w:val="00761E35"/>
    <w:rsid w:val="0076245E"/>
    <w:rsid w:val="00762493"/>
    <w:rsid w:val="007626F3"/>
    <w:rsid w:val="00762759"/>
    <w:rsid w:val="00762B5C"/>
    <w:rsid w:val="00762BE5"/>
    <w:rsid w:val="00762EE9"/>
    <w:rsid w:val="00763156"/>
    <w:rsid w:val="007638E9"/>
    <w:rsid w:val="0076466C"/>
    <w:rsid w:val="00764752"/>
    <w:rsid w:val="007647C8"/>
    <w:rsid w:val="007649F7"/>
    <w:rsid w:val="00765258"/>
    <w:rsid w:val="0076550E"/>
    <w:rsid w:val="00765954"/>
    <w:rsid w:val="00765A0A"/>
    <w:rsid w:val="0076651D"/>
    <w:rsid w:val="007669B5"/>
    <w:rsid w:val="007679BB"/>
    <w:rsid w:val="00767D7B"/>
    <w:rsid w:val="00767ED1"/>
    <w:rsid w:val="0077033E"/>
    <w:rsid w:val="00770468"/>
    <w:rsid w:val="007704F5"/>
    <w:rsid w:val="00770F7D"/>
    <w:rsid w:val="00771350"/>
    <w:rsid w:val="007713F6"/>
    <w:rsid w:val="0077215C"/>
    <w:rsid w:val="00772270"/>
    <w:rsid w:val="00772386"/>
    <w:rsid w:val="00772BF6"/>
    <w:rsid w:val="00772D08"/>
    <w:rsid w:val="00773161"/>
    <w:rsid w:val="00773B6E"/>
    <w:rsid w:val="00774D6F"/>
    <w:rsid w:val="00775926"/>
    <w:rsid w:val="00775A6F"/>
    <w:rsid w:val="00775EED"/>
    <w:rsid w:val="0077663C"/>
    <w:rsid w:val="0077721C"/>
    <w:rsid w:val="00777A5C"/>
    <w:rsid w:val="007800C9"/>
    <w:rsid w:val="007804F7"/>
    <w:rsid w:val="007808DF"/>
    <w:rsid w:val="007811CC"/>
    <w:rsid w:val="00781CF0"/>
    <w:rsid w:val="00781F37"/>
    <w:rsid w:val="007820FB"/>
    <w:rsid w:val="007821AB"/>
    <w:rsid w:val="007821F4"/>
    <w:rsid w:val="0078237B"/>
    <w:rsid w:val="007826EA"/>
    <w:rsid w:val="00783207"/>
    <w:rsid w:val="007837FB"/>
    <w:rsid w:val="00783B18"/>
    <w:rsid w:val="00783BE0"/>
    <w:rsid w:val="00783F0D"/>
    <w:rsid w:val="00783F30"/>
    <w:rsid w:val="007840E0"/>
    <w:rsid w:val="007841FE"/>
    <w:rsid w:val="007842F5"/>
    <w:rsid w:val="00784E31"/>
    <w:rsid w:val="00784FC2"/>
    <w:rsid w:val="007855A3"/>
    <w:rsid w:val="007855AD"/>
    <w:rsid w:val="0078571C"/>
    <w:rsid w:val="00785C2B"/>
    <w:rsid w:val="00785C8D"/>
    <w:rsid w:val="0078632C"/>
    <w:rsid w:val="00786663"/>
    <w:rsid w:val="007868BC"/>
    <w:rsid w:val="00786C53"/>
    <w:rsid w:val="007872E9"/>
    <w:rsid w:val="0078738E"/>
    <w:rsid w:val="00787538"/>
    <w:rsid w:val="007877D6"/>
    <w:rsid w:val="00787DE4"/>
    <w:rsid w:val="00790155"/>
    <w:rsid w:val="00790617"/>
    <w:rsid w:val="007908D2"/>
    <w:rsid w:val="007908F0"/>
    <w:rsid w:val="00790FFA"/>
    <w:rsid w:val="0079145B"/>
    <w:rsid w:val="00791628"/>
    <w:rsid w:val="00791B26"/>
    <w:rsid w:val="0079228E"/>
    <w:rsid w:val="0079293D"/>
    <w:rsid w:val="00792B0D"/>
    <w:rsid w:val="00792D8A"/>
    <w:rsid w:val="00793279"/>
    <w:rsid w:val="00793BB5"/>
    <w:rsid w:val="00793DE0"/>
    <w:rsid w:val="0079421A"/>
    <w:rsid w:val="00794371"/>
    <w:rsid w:val="007943A4"/>
    <w:rsid w:val="007944B3"/>
    <w:rsid w:val="007944B6"/>
    <w:rsid w:val="0079478F"/>
    <w:rsid w:val="00794889"/>
    <w:rsid w:val="00794F4C"/>
    <w:rsid w:val="00795053"/>
    <w:rsid w:val="0079524A"/>
    <w:rsid w:val="00795329"/>
    <w:rsid w:val="0079544A"/>
    <w:rsid w:val="00795B11"/>
    <w:rsid w:val="00795D50"/>
    <w:rsid w:val="007968AC"/>
    <w:rsid w:val="00796AF2"/>
    <w:rsid w:val="0079708F"/>
    <w:rsid w:val="00797196"/>
    <w:rsid w:val="007972CB"/>
    <w:rsid w:val="0079782B"/>
    <w:rsid w:val="00797871"/>
    <w:rsid w:val="007979CB"/>
    <w:rsid w:val="00797CF9"/>
    <w:rsid w:val="00797D28"/>
    <w:rsid w:val="00797D33"/>
    <w:rsid w:val="007A01CA"/>
    <w:rsid w:val="007A060D"/>
    <w:rsid w:val="007A0A77"/>
    <w:rsid w:val="007A0EEC"/>
    <w:rsid w:val="007A0F31"/>
    <w:rsid w:val="007A0F56"/>
    <w:rsid w:val="007A1058"/>
    <w:rsid w:val="007A1432"/>
    <w:rsid w:val="007A1564"/>
    <w:rsid w:val="007A18D4"/>
    <w:rsid w:val="007A191E"/>
    <w:rsid w:val="007A1C3D"/>
    <w:rsid w:val="007A1C53"/>
    <w:rsid w:val="007A2386"/>
    <w:rsid w:val="007A288D"/>
    <w:rsid w:val="007A2BAC"/>
    <w:rsid w:val="007A345C"/>
    <w:rsid w:val="007A3C6F"/>
    <w:rsid w:val="007A405D"/>
    <w:rsid w:val="007A41E6"/>
    <w:rsid w:val="007A44B9"/>
    <w:rsid w:val="007A46C4"/>
    <w:rsid w:val="007A4AFC"/>
    <w:rsid w:val="007A4BE4"/>
    <w:rsid w:val="007A4DBB"/>
    <w:rsid w:val="007A5085"/>
    <w:rsid w:val="007A54B3"/>
    <w:rsid w:val="007A5927"/>
    <w:rsid w:val="007A5B19"/>
    <w:rsid w:val="007A67D8"/>
    <w:rsid w:val="007A6A98"/>
    <w:rsid w:val="007A6B56"/>
    <w:rsid w:val="007A7146"/>
    <w:rsid w:val="007A7405"/>
    <w:rsid w:val="007A75C3"/>
    <w:rsid w:val="007A777F"/>
    <w:rsid w:val="007A778D"/>
    <w:rsid w:val="007A7945"/>
    <w:rsid w:val="007B039A"/>
    <w:rsid w:val="007B10B5"/>
    <w:rsid w:val="007B1164"/>
    <w:rsid w:val="007B164F"/>
    <w:rsid w:val="007B176B"/>
    <w:rsid w:val="007B218A"/>
    <w:rsid w:val="007B25DF"/>
    <w:rsid w:val="007B2A72"/>
    <w:rsid w:val="007B2ABA"/>
    <w:rsid w:val="007B2C9C"/>
    <w:rsid w:val="007B39FF"/>
    <w:rsid w:val="007B3A8F"/>
    <w:rsid w:val="007B3AF6"/>
    <w:rsid w:val="007B3BA2"/>
    <w:rsid w:val="007B3CB5"/>
    <w:rsid w:val="007B415B"/>
    <w:rsid w:val="007B42A2"/>
    <w:rsid w:val="007B4485"/>
    <w:rsid w:val="007B50D8"/>
    <w:rsid w:val="007B57C4"/>
    <w:rsid w:val="007B5845"/>
    <w:rsid w:val="007B5BED"/>
    <w:rsid w:val="007B5F63"/>
    <w:rsid w:val="007B6292"/>
    <w:rsid w:val="007B62B6"/>
    <w:rsid w:val="007B6D6D"/>
    <w:rsid w:val="007B6F85"/>
    <w:rsid w:val="007B74C2"/>
    <w:rsid w:val="007B7859"/>
    <w:rsid w:val="007B78DF"/>
    <w:rsid w:val="007B7922"/>
    <w:rsid w:val="007C0C19"/>
    <w:rsid w:val="007C17B1"/>
    <w:rsid w:val="007C1C7D"/>
    <w:rsid w:val="007C1E2E"/>
    <w:rsid w:val="007C214F"/>
    <w:rsid w:val="007C2542"/>
    <w:rsid w:val="007C2720"/>
    <w:rsid w:val="007C2930"/>
    <w:rsid w:val="007C3043"/>
    <w:rsid w:val="007C30C6"/>
    <w:rsid w:val="007C32AA"/>
    <w:rsid w:val="007C34C6"/>
    <w:rsid w:val="007C35B8"/>
    <w:rsid w:val="007C3EC7"/>
    <w:rsid w:val="007C42EF"/>
    <w:rsid w:val="007C48A9"/>
    <w:rsid w:val="007C509E"/>
    <w:rsid w:val="007C52C7"/>
    <w:rsid w:val="007C591D"/>
    <w:rsid w:val="007C5FF2"/>
    <w:rsid w:val="007C6691"/>
    <w:rsid w:val="007C69B3"/>
    <w:rsid w:val="007C7090"/>
    <w:rsid w:val="007C7222"/>
    <w:rsid w:val="007C72DD"/>
    <w:rsid w:val="007C73DD"/>
    <w:rsid w:val="007C74CB"/>
    <w:rsid w:val="007D0A0A"/>
    <w:rsid w:val="007D1173"/>
    <w:rsid w:val="007D157B"/>
    <w:rsid w:val="007D1CC5"/>
    <w:rsid w:val="007D1D4C"/>
    <w:rsid w:val="007D1F6D"/>
    <w:rsid w:val="007D1F74"/>
    <w:rsid w:val="007D2CFE"/>
    <w:rsid w:val="007D2D2B"/>
    <w:rsid w:val="007D3300"/>
    <w:rsid w:val="007D387F"/>
    <w:rsid w:val="007D40EE"/>
    <w:rsid w:val="007D48A3"/>
    <w:rsid w:val="007D4AE1"/>
    <w:rsid w:val="007D4EEF"/>
    <w:rsid w:val="007D55DB"/>
    <w:rsid w:val="007D5A6E"/>
    <w:rsid w:val="007D5B25"/>
    <w:rsid w:val="007D5BC5"/>
    <w:rsid w:val="007D5E8A"/>
    <w:rsid w:val="007D6041"/>
    <w:rsid w:val="007D662B"/>
    <w:rsid w:val="007D67CF"/>
    <w:rsid w:val="007D68A5"/>
    <w:rsid w:val="007D6C32"/>
    <w:rsid w:val="007D6DAF"/>
    <w:rsid w:val="007D6E0D"/>
    <w:rsid w:val="007D6F08"/>
    <w:rsid w:val="007D6F69"/>
    <w:rsid w:val="007D7433"/>
    <w:rsid w:val="007D79C5"/>
    <w:rsid w:val="007D7D0F"/>
    <w:rsid w:val="007D7D45"/>
    <w:rsid w:val="007E03D7"/>
    <w:rsid w:val="007E03E7"/>
    <w:rsid w:val="007E0843"/>
    <w:rsid w:val="007E0B3E"/>
    <w:rsid w:val="007E173D"/>
    <w:rsid w:val="007E192C"/>
    <w:rsid w:val="007E1963"/>
    <w:rsid w:val="007E1AD0"/>
    <w:rsid w:val="007E210A"/>
    <w:rsid w:val="007E24D8"/>
    <w:rsid w:val="007E2E6F"/>
    <w:rsid w:val="007E3627"/>
    <w:rsid w:val="007E36FF"/>
    <w:rsid w:val="007E37D1"/>
    <w:rsid w:val="007E3B60"/>
    <w:rsid w:val="007E3EF6"/>
    <w:rsid w:val="007E4141"/>
    <w:rsid w:val="007E4546"/>
    <w:rsid w:val="007E4A0D"/>
    <w:rsid w:val="007E4A4C"/>
    <w:rsid w:val="007E4BA5"/>
    <w:rsid w:val="007E4F44"/>
    <w:rsid w:val="007E5509"/>
    <w:rsid w:val="007E6DA9"/>
    <w:rsid w:val="007E72F6"/>
    <w:rsid w:val="007E7743"/>
    <w:rsid w:val="007E7923"/>
    <w:rsid w:val="007E7959"/>
    <w:rsid w:val="007F03AD"/>
    <w:rsid w:val="007F0C5E"/>
    <w:rsid w:val="007F136B"/>
    <w:rsid w:val="007F13FD"/>
    <w:rsid w:val="007F1765"/>
    <w:rsid w:val="007F1896"/>
    <w:rsid w:val="007F18FF"/>
    <w:rsid w:val="007F2229"/>
    <w:rsid w:val="007F28C1"/>
    <w:rsid w:val="007F376E"/>
    <w:rsid w:val="007F3B1A"/>
    <w:rsid w:val="007F3C9F"/>
    <w:rsid w:val="007F4290"/>
    <w:rsid w:val="007F42DE"/>
    <w:rsid w:val="007F45E8"/>
    <w:rsid w:val="007F4E22"/>
    <w:rsid w:val="007F4F8B"/>
    <w:rsid w:val="007F5372"/>
    <w:rsid w:val="007F571B"/>
    <w:rsid w:val="007F58F3"/>
    <w:rsid w:val="007F5A7B"/>
    <w:rsid w:val="007F5E7D"/>
    <w:rsid w:val="007F650A"/>
    <w:rsid w:val="007F65D2"/>
    <w:rsid w:val="007F6F78"/>
    <w:rsid w:val="007F7266"/>
    <w:rsid w:val="007F732F"/>
    <w:rsid w:val="007F76A0"/>
    <w:rsid w:val="007F7B28"/>
    <w:rsid w:val="007F7E20"/>
    <w:rsid w:val="007F7F75"/>
    <w:rsid w:val="008002D2"/>
    <w:rsid w:val="008002DA"/>
    <w:rsid w:val="008005DD"/>
    <w:rsid w:val="0080089E"/>
    <w:rsid w:val="008009D5"/>
    <w:rsid w:val="00800AB4"/>
    <w:rsid w:val="008016B8"/>
    <w:rsid w:val="00801B47"/>
    <w:rsid w:val="00802216"/>
    <w:rsid w:val="00802446"/>
    <w:rsid w:val="00802C48"/>
    <w:rsid w:val="008034A7"/>
    <w:rsid w:val="00803528"/>
    <w:rsid w:val="00803557"/>
    <w:rsid w:val="00803CE1"/>
    <w:rsid w:val="00803DEA"/>
    <w:rsid w:val="00803EDE"/>
    <w:rsid w:val="00803F80"/>
    <w:rsid w:val="0080465C"/>
    <w:rsid w:val="00804837"/>
    <w:rsid w:val="008048FB"/>
    <w:rsid w:val="00804C70"/>
    <w:rsid w:val="00804D3E"/>
    <w:rsid w:val="00804DEB"/>
    <w:rsid w:val="00804EBE"/>
    <w:rsid w:val="00804F7A"/>
    <w:rsid w:val="00805A20"/>
    <w:rsid w:val="00805BA8"/>
    <w:rsid w:val="008067B6"/>
    <w:rsid w:val="00807012"/>
    <w:rsid w:val="0080701C"/>
    <w:rsid w:val="008070DA"/>
    <w:rsid w:val="00807413"/>
    <w:rsid w:val="008075BF"/>
    <w:rsid w:val="00807845"/>
    <w:rsid w:val="00807BCF"/>
    <w:rsid w:val="00810668"/>
    <w:rsid w:val="00811022"/>
    <w:rsid w:val="0081139D"/>
    <w:rsid w:val="00811529"/>
    <w:rsid w:val="00811706"/>
    <w:rsid w:val="00811822"/>
    <w:rsid w:val="00811D2A"/>
    <w:rsid w:val="008120E1"/>
    <w:rsid w:val="008121D0"/>
    <w:rsid w:val="0081249E"/>
    <w:rsid w:val="008125B7"/>
    <w:rsid w:val="008125C9"/>
    <w:rsid w:val="008129BD"/>
    <w:rsid w:val="00812F9A"/>
    <w:rsid w:val="00813B04"/>
    <w:rsid w:val="00814517"/>
    <w:rsid w:val="008147C6"/>
    <w:rsid w:val="00814AAF"/>
    <w:rsid w:val="00815006"/>
    <w:rsid w:val="00815215"/>
    <w:rsid w:val="0081548E"/>
    <w:rsid w:val="008160D6"/>
    <w:rsid w:val="008161AF"/>
    <w:rsid w:val="00816232"/>
    <w:rsid w:val="00816310"/>
    <w:rsid w:val="008163BA"/>
    <w:rsid w:val="00816599"/>
    <w:rsid w:val="00816E88"/>
    <w:rsid w:val="0081708E"/>
    <w:rsid w:val="00817294"/>
    <w:rsid w:val="00817DD3"/>
    <w:rsid w:val="00817E80"/>
    <w:rsid w:val="00817FF3"/>
    <w:rsid w:val="0082012F"/>
    <w:rsid w:val="008201EF"/>
    <w:rsid w:val="00820429"/>
    <w:rsid w:val="00820B28"/>
    <w:rsid w:val="00821603"/>
    <w:rsid w:val="008217AE"/>
    <w:rsid w:val="0082183D"/>
    <w:rsid w:val="00821981"/>
    <w:rsid w:val="008219CD"/>
    <w:rsid w:val="008219D5"/>
    <w:rsid w:val="00821B56"/>
    <w:rsid w:val="008224C6"/>
    <w:rsid w:val="008228D3"/>
    <w:rsid w:val="00822925"/>
    <w:rsid w:val="00822DC1"/>
    <w:rsid w:val="00822DFF"/>
    <w:rsid w:val="0082337B"/>
    <w:rsid w:val="00823772"/>
    <w:rsid w:val="008238A3"/>
    <w:rsid w:val="008238CB"/>
    <w:rsid w:val="00823B35"/>
    <w:rsid w:val="0082426C"/>
    <w:rsid w:val="00824512"/>
    <w:rsid w:val="00824692"/>
    <w:rsid w:val="00825510"/>
    <w:rsid w:val="00825552"/>
    <w:rsid w:val="00825C55"/>
    <w:rsid w:val="008267FC"/>
    <w:rsid w:val="00826EBE"/>
    <w:rsid w:val="008271BB"/>
    <w:rsid w:val="008272A5"/>
    <w:rsid w:val="008274B7"/>
    <w:rsid w:val="008277B2"/>
    <w:rsid w:val="00827BCD"/>
    <w:rsid w:val="008300A8"/>
    <w:rsid w:val="00830130"/>
    <w:rsid w:val="008303A7"/>
    <w:rsid w:val="0083045B"/>
    <w:rsid w:val="00830A33"/>
    <w:rsid w:val="00830AFB"/>
    <w:rsid w:val="00830C38"/>
    <w:rsid w:val="00830D3F"/>
    <w:rsid w:val="008312B8"/>
    <w:rsid w:val="008317CC"/>
    <w:rsid w:val="0083198A"/>
    <w:rsid w:val="00831996"/>
    <w:rsid w:val="008323D9"/>
    <w:rsid w:val="00832CF0"/>
    <w:rsid w:val="00832D39"/>
    <w:rsid w:val="008330F6"/>
    <w:rsid w:val="00833C09"/>
    <w:rsid w:val="00834A74"/>
    <w:rsid w:val="00834B98"/>
    <w:rsid w:val="00834BF5"/>
    <w:rsid w:val="00834C47"/>
    <w:rsid w:val="00834D5B"/>
    <w:rsid w:val="00834E68"/>
    <w:rsid w:val="008354DE"/>
    <w:rsid w:val="008354F2"/>
    <w:rsid w:val="0083556F"/>
    <w:rsid w:val="00835820"/>
    <w:rsid w:val="008358BD"/>
    <w:rsid w:val="00836136"/>
    <w:rsid w:val="008361F6"/>
    <w:rsid w:val="00836426"/>
    <w:rsid w:val="008365FA"/>
    <w:rsid w:val="00836854"/>
    <w:rsid w:val="00836BE8"/>
    <w:rsid w:val="0083704A"/>
    <w:rsid w:val="0083768A"/>
    <w:rsid w:val="00837A91"/>
    <w:rsid w:val="00840260"/>
    <w:rsid w:val="00840427"/>
    <w:rsid w:val="00840551"/>
    <w:rsid w:val="00840A24"/>
    <w:rsid w:val="00840AC3"/>
    <w:rsid w:val="00840BF2"/>
    <w:rsid w:val="00841322"/>
    <w:rsid w:val="008418B6"/>
    <w:rsid w:val="00841BC1"/>
    <w:rsid w:val="00841FA6"/>
    <w:rsid w:val="00842525"/>
    <w:rsid w:val="00842572"/>
    <w:rsid w:val="00842899"/>
    <w:rsid w:val="008429EA"/>
    <w:rsid w:val="00842B5D"/>
    <w:rsid w:val="00842C19"/>
    <w:rsid w:val="008431E6"/>
    <w:rsid w:val="00843272"/>
    <w:rsid w:val="008435EB"/>
    <w:rsid w:val="008437EE"/>
    <w:rsid w:val="00843DE6"/>
    <w:rsid w:val="00843EF2"/>
    <w:rsid w:val="00844301"/>
    <w:rsid w:val="0084438C"/>
    <w:rsid w:val="008448CB"/>
    <w:rsid w:val="008449EE"/>
    <w:rsid w:val="00844C2B"/>
    <w:rsid w:val="00845151"/>
    <w:rsid w:val="008456E3"/>
    <w:rsid w:val="0084574F"/>
    <w:rsid w:val="00845C35"/>
    <w:rsid w:val="00845F9B"/>
    <w:rsid w:val="00846123"/>
    <w:rsid w:val="008462E6"/>
    <w:rsid w:val="00846C10"/>
    <w:rsid w:val="00846E25"/>
    <w:rsid w:val="008473AD"/>
    <w:rsid w:val="00847548"/>
    <w:rsid w:val="00847602"/>
    <w:rsid w:val="00847D34"/>
    <w:rsid w:val="00847E66"/>
    <w:rsid w:val="008500AE"/>
    <w:rsid w:val="00850205"/>
    <w:rsid w:val="00850F26"/>
    <w:rsid w:val="0085108E"/>
    <w:rsid w:val="00851231"/>
    <w:rsid w:val="008517F9"/>
    <w:rsid w:val="0085181A"/>
    <w:rsid w:val="0085202F"/>
    <w:rsid w:val="008523DE"/>
    <w:rsid w:val="008527ED"/>
    <w:rsid w:val="00852B07"/>
    <w:rsid w:val="00853301"/>
    <w:rsid w:val="00853C5A"/>
    <w:rsid w:val="00853D7D"/>
    <w:rsid w:val="00853E50"/>
    <w:rsid w:val="00853EE5"/>
    <w:rsid w:val="008552FC"/>
    <w:rsid w:val="00855B63"/>
    <w:rsid w:val="00855DF9"/>
    <w:rsid w:val="008571B5"/>
    <w:rsid w:val="008579AC"/>
    <w:rsid w:val="0086023B"/>
    <w:rsid w:val="00860240"/>
    <w:rsid w:val="008603A7"/>
    <w:rsid w:val="008603C1"/>
    <w:rsid w:val="0086074D"/>
    <w:rsid w:val="00860D87"/>
    <w:rsid w:val="00860DAB"/>
    <w:rsid w:val="00861490"/>
    <w:rsid w:val="00861579"/>
    <w:rsid w:val="00861EEF"/>
    <w:rsid w:val="008624B1"/>
    <w:rsid w:val="00862845"/>
    <w:rsid w:val="00862A3E"/>
    <w:rsid w:val="00862EB5"/>
    <w:rsid w:val="008630A7"/>
    <w:rsid w:val="00863F9C"/>
    <w:rsid w:val="008640A6"/>
    <w:rsid w:val="00864B9C"/>
    <w:rsid w:val="00864BD7"/>
    <w:rsid w:val="00864F54"/>
    <w:rsid w:val="00864FE6"/>
    <w:rsid w:val="008652B6"/>
    <w:rsid w:val="0086544E"/>
    <w:rsid w:val="008654FF"/>
    <w:rsid w:val="008655DC"/>
    <w:rsid w:val="00865788"/>
    <w:rsid w:val="00865B24"/>
    <w:rsid w:val="00865BEC"/>
    <w:rsid w:val="008663D4"/>
    <w:rsid w:val="0086653F"/>
    <w:rsid w:val="00866830"/>
    <w:rsid w:val="00866A80"/>
    <w:rsid w:val="00866C2B"/>
    <w:rsid w:val="00866F83"/>
    <w:rsid w:val="00867BB9"/>
    <w:rsid w:val="008701D9"/>
    <w:rsid w:val="008710AD"/>
    <w:rsid w:val="00871835"/>
    <w:rsid w:val="008718F0"/>
    <w:rsid w:val="0087198C"/>
    <w:rsid w:val="00871A60"/>
    <w:rsid w:val="00871D96"/>
    <w:rsid w:val="00871FD5"/>
    <w:rsid w:val="00872045"/>
    <w:rsid w:val="00872255"/>
    <w:rsid w:val="00872636"/>
    <w:rsid w:val="008729AC"/>
    <w:rsid w:val="00872A3D"/>
    <w:rsid w:val="00872EB2"/>
    <w:rsid w:val="00873394"/>
    <w:rsid w:val="00873506"/>
    <w:rsid w:val="0087364C"/>
    <w:rsid w:val="00873829"/>
    <w:rsid w:val="00873E94"/>
    <w:rsid w:val="00873EC9"/>
    <w:rsid w:val="008740FE"/>
    <w:rsid w:val="008745FE"/>
    <w:rsid w:val="008746D5"/>
    <w:rsid w:val="00875220"/>
    <w:rsid w:val="00875496"/>
    <w:rsid w:val="008754AC"/>
    <w:rsid w:val="00875E5E"/>
    <w:rsid w:val="00876469"/>
    <w:rsid w:val="008767EA"/>
    <w:rsid w:val="00876B47"/>
    <w:rsid w:val="00876D20"/>
    <w:rsid w:val="00876DD7"/>
    <w:rsid w:val="00877761"/>
    <w:rsid w:val="00880187"/>
    <w:rsid w:val="008804B5"/>
    <w:rsid w:val="00880DE5"/>
    <w:rsid w:val="00880EBD"/>
    <w:rsid w:val="00880EE7"/>
    <w:rsid w:val="00881018"/>
    <w:rsid w:val="00881BB9"/>
    <w:rsid w:val="008820F8"/>
    <w:rsid w:val="00882278"/>
    <w:rsid w:val="008827D9"/>
    <w:rsid w:val="00882A3A"/>
    <w:rsid w:val="0088316D"/>
    <w:rsid w:val="00883622"/>
    <w:rsid w:val="00883B63"/>
    <w:rsid w:val="00883EAC"/>
    <w:rsid w:val="00884004"/>
    <w:rsid w:val="008843D0"/>
    <w:rsid w:val="00884D6D"/>
    <w:rsid w:val="008852EF"/>
    <w:rsid w:val="008858E9"/>
    <w:rsid w:val="00886345"/>
    <w:rsid w:val="00886AF2"/>
    <w:rsid w:val="00886B8B"/>
    <w:rsid w:val="00886BC8"/>
    <w:rsid w:val="00886CF4"/>
    <w:rsid w:val="00886F53"/>
    <w:rsid w:val="00887575"/>
    <w:rsid w:val="008875B6"/>
    <w:rsid w:val="00887BE3"/>
    <w:rsid w:val="00887D51"/>
    <w:rsid w:val="0089017D"/>
    <w:rsid w:val="00890ADD"/>
    <w:rsid w:val="008911C1"/>
    <w:rsid w:val="00891258"/>
    <w:rsid w:val="00891830"/>
    <w:rsid w:val="00891B13"/>
    <w:rsid w:val="00891DF8"/>
    <w:rsid w:val="00891E72"/>
    <w:rsid w:val="008922FF"/>
    <w:rsid w:val="00892339"/>
    <w:rsid w:val="00892716"/>
    <w:rsid w:val="008928FF"/>
    <w:rsid w:val="00892925"/>
    <w:rsid w:val="00892A03"/>
    <w:rsid w:val="00892C71"/>
    <w:rsid w:val="00892D64"/>
    <w:rsid w:val="008937E1"/>
    <w:rsid w:val="008946F0"/>
    <w:rsid w:val="0089514C"/>
    <w:rsid w:val="00895529"/>
    <w:rsid w:val="00895941"/>
    <w:rsid w:val="00895A85"/>
    <w:rsid w:val="008969BF"/>
    <w:rsid w:val="00896BCB"/>
    <w:rsid w:val="00896E1A"/>
    <w:rsid w:val="008970A6"/>
    <w:rsid w:val="008976B7"/>
    <w:rsid w:val="00897737"/>
    <w:rsid w:val="00897ADF"/>
    <w:rsid w:val="008A0B76"/>
    <w:rsid w:val="008A0F89"/>
    <w:rsid w:val="008A149B"/>
    <w:rsid w:val="008A15F4"/>
    <w:rsid w:val="008A1D09"/>
    <w:rsid w:val="008A1EAE"/>
    <w:rsid w:val="008A2038"/>
    <w:rsid w:val="008A2B96"/>
    <w:rsid w:val="008A2BD3"/>
    <w:rsid w:val="008A30AD"/>
    <w:rsid w:val="008A34D9"/>
    <w:rsid w:val="008A3A06"/>
    <w:rsid w:val="008A3ABA"/>
    <w:rsid w:val="008A3BB5"/>
    <w:rsid w:val="008A4BDA"/>
    <w:rsid w:val="008A4CE0"/>
    <w:rsid w:val="008A5848"/>
    <w:rsid w:val="008A59E6"/>
    <w:rsid w:val="008A5F65"/>
    <w:rsid w:val="008A5FB2"/>
    <w:rsid w:val="008A7B0D"/>
    <w:rsid w:val="008B00CD"/>
    <w:rsid w:val="008B0CED"/>
    <w:rsid w:val="008B1144"/>
    <w:rsid w:val="008B1431"/>
    <w:rsid w:val="008B1897"/>
    <w:rsid w:val="008B1A4B"/>
    <w:rsid w:val="008B1E4B"/>
    <w:rsid w:val="008B2544"/>
    <w:rsid w:val="008B2DA6"/>
    <w:rsid w:val="008B2E5B"/>
    <w:rsid w:val="008B37DF"/>
    <w:rsid w:val="008B3CD6"/>
    <w:rsid w:val="008B4328"/>
    <w:rsid w:val="008B4429"/>
    <w:rsid w:val="008B46E6"/>
    <w:rsid w:val="008B483B"/>
    <w:rsid w:val="008B485F"/>
    <w:rsid w:val="008B4C48"/>
    <w:rsid w:val="008B4DEB"/>
    <w:rsid w:val="008B50E8"/>
    <w:rsid w:val="008B513B"/>
    <w:rsid w:val="008B515B"/>
    <w:rsid w:val="008B5310"/>
    <w:rsid w:val="008B531A"/>
    <w:rsid w:val="008B549D"/>
    <w:rsid w:val="008B567A"/>
    <w:rsid w:val="008B569C"/>
    <w:rsid w:val="008B592A"/>
    <w:rsid w:val="008B59C3"/>
    <w:rsid w:val="008B634D"/>
    <w:rsid w:val="008B6730"/>
    <w:rsid w:val="008B6A1D"/>
    <w:rsid w:val="008B6A60"/>
    <w:rsid w:val="008B6C1C"/>
    <w:rsid w:val="008B79E5"/>
    <w:rsid w:val="008C070F"/>
    <w:rsid w:val="008C0B36"/>
    <w:rsid w:val="008C0B4B"/>
    <w:rsid w:val="008C0D3B"/>
    <w:rsid w:val="008C0E45"/>
    <w:rsid w:val="008C1060"/>
    <w:rsid w:val="008C1214"/>
    <w:rsid w:val="008C151C"/>
    <w:rsid w:val="008C16A9"/>
    <w:rsid w:val="008C1D4C"/>
    <w:rsid w:val="008C1D71"/>
    <w:rsid w:val="008C1DD1"/>
    <w:rsid w:val="008C205C"/>
    <w:rsid w:val="008C271F"/>
    <w:rsid w:val="008C29AC"/>
    <w:rsid w:val="008C2C2E"/>
    <w:rsid w:val="008C2FA7"/>
    <w:rsid w:val="008C3EBE"/>
    <w:rsid w:val="008C3FB3"/>
    <w:rsid w:val="008C3FDB"/>
    <w:rsid w:val="008C4348"/>
    <w:rsid w:val="008C446E"/>
    <w:rsid w:val="008C5312"/>
    <w:rsid w:val="008C57FB"/>
    <w:rsid w:val="008C5872"/>
    <w:rsid w:val="008C59E4"/>
    <w:rsid w:val="008C5B75"/>
    <w:rsid w:val="008C61A5"/>
    <w:rsid w:val="008C7298"/>
    <w:rsid w:val="008C7688"/>
    <w:rsid w:val="008C792A"/>
    <w:rsid w:val="008C7C6D"/>
    <w:rsid w:val="008D005E"/>
    <w:rsid w:val="008D0724"/>
    <w:rsid w:val="008D0EF7"/>
    <w:rsid w:val="008D0F41"/>
    <w:rsid w:val="008D1031"/>
    <w:rsid w:val="008D1C93"/>
    <w:rsid w:val="008D2A94"/>
    <w:rsid w:val="008D4227"/>
    <w:rsid w:val="008D44F8"/>
    <w:rsid w:val="008D4A3A"/>
    <w:rsid w:val="008D4BE7"/>
    <w:rsid w:val="008D4C4D"/>
    <w:rsid w:val="008D4E66"/>
    <w:rsid w:val="008D4EB1"/>
    <w:rsid w:val="008D5208"/>
    <w:rsid w:val="008D561D"/>
    <w:rsid w:val="008D5794"/>
    <w:rsid w:val="008D57B8"/>
    <w:rsid w:val="008D590E"/>
    <w:rsid w:val="008D5C5B"/>
    <w:rsid w:val="008D6281"/>
    <w:rsid w:val="008D681B"/>
    <w:rsid w:val="008D6836"/>
    <w:rsid w:val="008D7002"/>
    <w:rsid w:val="008D7227"/>
    <w:rsid w:val="008D7260"/>
    <w:rsid w:val="008D7304"/>
    <w:rsid w:val="008D7571"/>
    <w:rsid w:val="008D7FCE"/>
    <w:rsid w:val="008E0059"/>
    <w:rsid w:val="008E02E7"/>
    <w:rsid w:val="008E0729"/>
    <w:rsid w:val="008E09F6"/>
    <w:rsid w:val="008E0C54"/>
    <w:rsid w:val="008E0DA1"/>
    <w:rsid w:val="008E1A0B"/>
    <w:rsid w:val="008E1B10"/>
    <w:rsid w:val="008E1C7F"/>
    <w:rsid w:val="008E1D60"/>
    <w:rsid w:val="008E23AC"/>
    <w:rsid w:val="008E26AF"/>
    <w:rsid w:val="008E2A68"/>
    <w:rsid w:val="008E2E0C"/>
    <w:rsid w:val="008E3001"/>
    <w:rsid w:val="008E3170"/>
    <w:rsid w:val="008E36F8"/>
    <w:rsid w:val="008E376C"/>
    <w:rsid w:val="008E43C8"/>
    <w:rsid w:val="008E45BC"/>
    <w:rsid w:val="008E4BA8"/>
    <w:rsid w:val="008E4E09"/>
    <w:rsid w:val="008E54DF"/>
    <w:rsid w:val="008E5665"/>
    <w:rsid w:val="008E5724"/>
    <w:rsid w:val="008E5CAC"/>
    <w:rsid w:val="008E5D31"/>
    <w:rsid w:val="008E61F4"/>
    <w:rsid w:val="008E671D"/>
    <w:rsid w:val="008E67F2"/>
    <w:rsid w:val="008E73B0"/>
    <w:rsid w:val="008E7874"/>
    <w:rsid w:val="008E7D59"/>
    <w:rsid w:val="008E7F90"/>
    <w:rsid w:val="008F0090"/>
    <w:rsid w:val="008F03EC"/>
    <w:rsid w:val="008F04A3"/>
    <w:rsid w:val="008F0504"/>
    <w:rsid w:val="008F05CA"/>
    <w:rsid w:val="008F0E2F"/>
    <w:rsid w:val="008F1E0F"/>
    <w:rsid w:val="008F1FCA"/>
    <w:rsid w:val="008F21AF"/>
    <w:rsid w:val="008F2405"/>
    <w:rsid w:val="008F2A34"/>
    <w:rsid w:val="008F2BD7"/>
    <w:rsid w:val="008F2E33"/>
    <w:rsid w:val="008F2E58"/>
    <w:rsid w:val="008F33B0"/>
    <w:rsid w:val="008F37E2"/>
    <w:rsid w:val="008F3A86"/>
    <w:rsid w:val="008F3DC5"/>
    <w:rsid w:val="008F4378"/>
    <w:rsid w:val="008F4C27"/>
    <w:rsid w:val="008F4FF2"/>
    <w:rsid w:val="008F594F"/>
    <w:rsid w:val="008F612A"/>
    <w:rsid w:val="008F62E2"/>
    <w:rsid w:val="008F67AF"/>
    <w:rsid w:val="008F6CA1"/>
    <w:rsid w:val="008F6EBF"/>
    <w:rsid w:val="008F6F93"/>
    <w:rsid w:val="008F713C"/>
    <w:rsid w:val="008F7191"/>
    <w:rsid w:val="008F7512"/>
    <w:rsid w:val="008F7592"/>
    <w:rsid w:val="008F7B59"/>
    <w:rsid w:val="008F7BE0"/>
    <w:rsid w:val="00900004"/>
    <w:rsid w:val="0090051D"/>
    <w:rsid w:val="009006BC"/>
    <w:rsid w:val="00900FEE"/>
    <w:rsid w:val="0090135B"/>
    <w:rsid w:val="009013D5"/>
    <w:rsid w:val="00901484"/>
    <w:rsid w:val="00901724"/>
    <w:rsid w:val="009017A6"/>
    <w:rsid w:val="00901C72"/>
    <w:rsid w:val="00901F81"/>
    <w:rsid w:val="00902409"/>
    <w:rsid w:val="00902B86"/>
    <w:rsid w:val="009033A6"/>
    <w:rsid w:val="009039BD"/>
    <w:rsid w:val="00904068"/>
    <w:rsid w:val="009041CB"/>
    <w:rsid w:val="00904280"/>
    <w:rsid w:val="00904351"/>
    <w:rsid w:val="0090570B"/>
    <w:rsid w:val="009060E1"/>
    <w:rsid w:val="00906147"/>
    <w:rsid w:val="00906227"/>
    <w:rsid w:val="00906915"/>
    <w:rsid w:val="009075D6"/>
    <w:rsid w:val="00907AB0"/>
    <w:rsid w:val="00907F18"/>
    <w:rsid w:val="00910078"/>
    <w:rsid w:val="0091009E"/>
    <w:rsid w:val="009107C9"/>
    <w:rsid w:val="009117DB"/>
    <w:rsid w:val="00911912"/>
    <w:rsid w:val="0091196B"/>
    <w:rsid w:val="00911D4C"/>
    <w:rsid w:val="00911F48"/>
    <w:rsid w:val="00912398"/>
    <w:rsid w:val="00912A0A"/>
    <w:rsid w:val="00912A16"/>
    <w:rsid w:val="00912C1A"/>
    <w:rsid w:val="00912D8F"/>
    <w:rsid w:val="00913063"/>
    <w:rsid w:val="0091429C"/>
    <w:rsid w:val="00914431"/>
    <w:rsid w:val="00914D0D"/>
    <w:rsid w:val="0091560A"/>
    <w:rsid w:val="00915736"/>
    <w:rsid w:val="009157D6"/>
    <w:rsid w:val="00915DC8"/>
    <w:rsid w:val="00915F1E"/>
    <w:rsid w:val="00915F23"/>
    <w:rsid w:val="00916375"/>
    <w:rsid w:val="009166A5"/>
    <w:rsid w:val="009167B7"/>
    <w:rsid w:val="00916A5D"/>
    <w:rsid w:val="00916C80"/>
    <w:rsid w:val="00916DEF"/>
    <w:rsid w:val="00916F68"/>
    <w:rsid w:val="00917049"/>
    <w:rsid w:val="009171CA"/>
    <w:rsid w:val="009177B0"/>
    <w:rsid w:val="00917C5A"/>
    <w:rsid w:val="00920005"/>
    <w:rsid w:val="009205B5"/>
    <w:rsid w:val="00920746"/>
    <w:rsid w:val="0092074E"/>
    <w:rsid w:val="00920E4D"/>
    <w:rsid w:val="00920FE9"/>
    <w:rsid w:val="00921693"/>
    <w:rsid w:val="00921702"/>
    <w:rsid w:val="009220F0"/>
    <w:rsid w:val="009221D6"/>
    <w:rsid w:val="00922219"/>
    <w:rsid w:val="00922368"/>
    <w:rsid w:val="00922C1A"/>
    <w:rsid w:val="00922CA2"/>
    <w:rsid w:val="00922CB1"/>
    <w:rsid w:val="00922F80"/>
    <w:rsid w:val="00923235"/>
    <w:rsid w:val="009239B4"/>
    <w:rsid w:val="00923C3E"/>
    <w:rsid w:val="00923F2D"/>
    <w:rsid w:val="00924461"/>
    <w:rsid w:val="009250E5"/>
    <w:rsid w:val="00925720"/>
    <w:rsid w:val="009259F5"/>
    <w:rsid w:val="00925A13"/>
    <w:rsid w:val="00925B8D"/>
    <w:rsid w:val="00925DA2"/>
    <w:rsid w:val="00925F17"/>
    <w:rsid w:val="00926567"/>
    <w:rsid w:val="009266A8"/>
    <w:rsid w:val="009266DD"/>
    <w:rsid w:val="009266E7"/>
    <w:rsid w:val="0092768E"/>
    <w:rsid w:val="00927CDC"/>
    <w:rsid w:val="009305AC"/>
    <w:rsid w:val="00930A85"/>
    <w:rsid w:val="00931047"/>
    <w:rsid w:val="0093129A"/>
    <w:rsid w:val="009312D3"/>
    <w:rsid w:val="00931673"/>
    <w:rsid w:val="00931CF2"/>
    <w:rsid w:val="00932936"/>
    <w:rsid w:val="00932B4C"/>
    <w:rsid w:val="00932B75"/>
    <w:rsid w:val="00932C40"/>
    <w:rsid w:val="00933440"/>
    <w:rsid w:val="00933912"/>
    <w:rsid w:val="00933AB7"/>
    <w:rsid w:val="00933AEF"/>
    <w:rsid w:val="00933DA0"/>
    <w:rsid w:val="00933EE1"/>
    <w:rsid w:val="0093429A"/>
    <w:rsid w:val="00934BEF"/>
    <w:rsid w:val="00934F54"/>
    <w:rsid w:val="00935013"/>
    <w:rsid w:val="009352FE"/>
    <w:rsid w:val="00935827"/>
    <w:rsid w:val="009364CC"/>
    <w:rsid w:val="00936708"/>
    <w:rsid w:val="009368EF"/>
    <w:rsid w:val="00936C8F"/>
    <w:rsid w:val="00936FA7"/>
    <w:rsid w:val="009375F4"/>
    <w:rsid w:val="00937896"/>
    <w:rsid w:val="00937964"/>
    <w:rsid w:val="00940243"/>
    <w:rsid w:val="00940698"/>
    <w:rsid w:val="0094084E"/>
    <w:rsid w:val="00940F0F"/>
    <w:rsid w:val="009411D8"/>
    <w:rsid w:val="009413A1"/>
    <w:rsid w:val="009416B4"/>
    <w:rsid w:val="00941B6B"/>
    <w:rsid w:val="00941F43"/>
    <w:rsid w:val="009423AC"/>
    <w:rsid w:val="0094251B"/>
    <w:rsid w:val="009427ED"/>
    <w:rsid w:val="0094282A"/>
    <w:rsid w:val="0094289B"/>
    <w:rsid w:val="00942ADA"/>
    <w:rsid w:val="00942B1A"/>
    <w:rsid w:val="009434B6"/>
    <w:rsid w:val="00943ACB"/>
    <w:rsid w:val="00944001"/>
    <w:rsid w:val="0094413B"/>
    <w:rsid w:val="009441E9"/>
    <w:rsid w:val="0094458B"/>
    <w:rsid w:val="00944640"/>
    <w:rsid w:val="009446C7"/>
    <w:rsid w:val="009449CF"/>
    <w:rsid w:val="00944A6C"/>
    <w:rsid w:val="00944AB8"/>
    <w:rsid w:val="009450F0"/>
    <w:rsid w:val="00945457"/>
    <w:rsid w:val="009456EB"/>
    <w:rsid w:val="00945D92"/>
    <w:rsid w:val="00945F79"/>
    <w:rsid w:val="0094615C"/>
    <w:rsid w:val="0094624A"/>
    <w:rsid w:val="00946349"/>
    <w:rsid w:val="0094693B"/>
    <w:rsid w:val="00946C39"/>
    <w:rsid w:val="00946E2A"/>
    <w:rsid w:val="00947059"/>
    <w:rsid w:val="00947886"/>
    <w:rsid w:val="00947A5D"/>
    <w:rsid w:val="00947F2F"/>
    <w:rsid w:val="00950514"/>
    <w:rsid w:val="00950A3F"/>
    <w:rsid w:val="009510D8"/>
    <w:rsid w:val="00951435"/>
    <w:rsid w:val="00951490"/>
    <w:rsid w:val="00951C42"/>
    <w:rsid w:val="0095205C"/>
    <w:rsid w:val="00952073"/>
    <w:rsid w:val="009528E0"/>
    <w:rsid w:val="009528F1"/>
    <w:rsid w:val="00952A51"/>
    <w:rsid w:val="00952C48"/>
    <w:rsid w:val="00953079"/>
    <w:rsid w:val="00953BEF"/>
    <w:rsid w:val="00953FB9"/>
    <w:rsid w:val="009543AB"/>
    <w:rsid w:val="00954600"/>
    <w:rsid w:val="00954633"/>
    <w:rsid w:val="0095494F"/>
    <w:rsid w:val="00954DEF"/>
    <w:rsid w:val="009557F2"/>
    <w:rsid w:val="00955B52"/>
    <w:rsid w:val="00955CB3"/>
    <w:rsid w:val="009566A7"/>
    <w:rsid w:val="009569CC"/>
    <w:rsid w:val="00956D49"/>
    <w:rsid w:val="00956DDA"/>
    <w:rsid w:val="00957174"/>
    <w:rsid w:val="00957AF6"/>
    <w:rsid w:val="00960332"/>
    <w:rsid w:val="00960877"/>
    <w:rsid w:val="00960930"/>
    <w:rsid w:val="00960B8A"/>
    <w:rsid w:val="00960DAA"/>
    <w:rsid w:val="00960F08"/>
    <w:rsid w:val="00960FA3"/>
    <w:rsid w:val="0096156D"/>
    <w:rsid w:val="00961BAB"/>
    <w:rsid w:val="00961D8A"/>
    <w:rsid w:val="009627FD"/>
    <w:rsid w:val="00962C88"/>
    <w:rsid w:val="00962E15"/>
    <w:rsid w:val="00963773"/>
    <w:rsid w:val="00963A01"/>
    <w:rsid w:val="00963F29"/>
    <w:rsid w:val="009640D7"/>
    <w:rsid w:val="0096438C"/>
    <w:rsid w:val="009643FF"/>
    <w:rsid w:val="00964569"/>
    <w:rsid w:val="009647D1"/>
    <w:rsid w:val="009658F5"/>
    <w:rsid w:val="00965D6E"/>
    <w:rsid w:val="00965E81"/>
    <w:rsid w:val="0096662E"/>
    <w:rsid w:val="00966E6B"/>
    <w:rsid w:val="00967111"/>
    <w:rsid w:val="0096747D"/>
    <w:rsid w:val="00967B88"/>
    <w:rsid w:val="00967E7A"/>
    <w:rsid w:val="0097001E"/>
    <w:rsid w:val="00970194"/>
    <w:rsid w:val="00970A84"/>
    <w:rsid w:val="00970D4B"/>
    <w:rsid w:val="00971838"/>
    <w:rsid w:val="00971ADC"/>
    <w:rsid w:val="00971C07"/>
    <w:rsid w:val="00971DBE"/>
    <w:rsid w:val="00971EE7"/>
    <w:rsid w:val="00971F0E"/>
    <w:rsid w:val="00972BC8"/>
    <w:rsid w:val="00972D0B"/>
    <w:rsid w:val="00972F8E"/>
    <w:rsid w:val="00972FA5"/>
    <w:rsid w:val="0097312F"/>
    <w:rsid w:val="00973148"/>
    <w:rsid w:val="0097377B"/>
    <w:rsid w:val="009737D9"/>
    <w:rsid w:val="00973AB8"/>
    <w:rsid w:val="009741D7"/>
    <w:rsid w:val="0097434D"/>
    <w:rsid w:val="009743F1"/>
    <w:rsid w:val="00974D86"/>
    <w:rsid w:val="00974F10"/>
    <w:rsid w:val="0097503A"/>
    <w:rsid w:val="00975041"/>
    <w:rsid w:val="00975334"/>
    <w:rsid w:val="009754A2"/>
    <w:rsid w:val="00975615"/>
    <w:rsid w:val="009759FF"/>
    <w:rsid w:val="00975A08"/>
    <w:rsid w:val="009760A1"/>
    <w:rsid w:val="009762B0"/>
    <w:rsid w:val="00976A91"/>
    <w:rsid w:val="00976FDF"/>
    <w:rsid w:val="00977025"/>
    <w:rsid w:val="0097792D"/>
    <w:rsid w:val="00977DAF"/>
    <w:rsid w:val="00977FF5"/>
    <w:rsid w:val="0098002A"/>
    <w:rsid w:val="00980245"/>
    <w:rsid w:val="00980528"/>
    <w:rsid w:val="00980553"/>
    <w:rsid w:val="0098165C"/>
    <w:rsid w:val="00981C02"/>
    <w:rsid w:val="0098213B"/>
    <w:rsid w:val="009827F8"/>
    <w:rsid w:val="00982C17"/>
    <w:rsid w:val="00982F8E"/>
    <w:rsid w:val="00983659"/>
    <w:rsid w:val="009836D5"/>
    <w:rsid w:val="00983B39"/>
    <w:rsid w:val="009840CA"/>
    <w:rsid w:val="00984A38"/>
    <w:rsid w:val="0098537E"/>
    <w:rsid w:val="009854F6"/>
    <w:rsid w:val="00985D50"/>
    <w:rsid w:val="00986239"/>
    <w:rsid w:val="00986431"/>
    <w:rsid w:val="009866C5"/>
    <w:rsid w:val="009869F7"/>
    <w:rsid w:val="00986E9E"/>
    <w:rsid w:val="00986EF7"/>
    <w:rsid w:val="00987158"/>
    <w:rsid w:val="009872F4"/>
    <w:rsid w:val="00987346"/>
    <w:rsid w:val="00987476"/>
    <w:rsid w:val="00987927"/>
    <w:rsid w:val="00990CFC"/>
    <w:rsid w:val="0099115C"/>
    <w:rsid w:val="0099165D"/>
    <w:rsid w:val="00991976"/>
    <w:rsid w:val="009919D9"/>
    <w:rsid w:val="00991ADC"/>
    <w:rsid w:val="0099249E"/>
    <w:rsid w:val="00992C03"/>
    <w:rsid w:val="0099307F"/>
    <w:rsid w:val="009931EE"/>
    <w:rsid w:val="009933D9"/>
    <w:rsid w:val="0099355C"/>
    <w:rsid w:val="00993875"/>
    <w:rsid w:val="0099393D"/>
    <w:rsid w:val="00993E5F"/>
    <w:rsid w:val="0099476F"/>
    <w:rsid w:val="00994790"/>
    <w:rsid w:val="00994E77"/>
    <w:rsid w:val="00994FF5"/>
    <w:rsid w:val="0099547F"/>
    <w:rsid w:val="0099563A"/>
    <w:rsid w:val="009958C4"/>
    <w:rsid w:val="00995FFA"/>
    <w:rsid w:val="00996096"/>
    <w:rsid w:val="00996321"/>
    <w:rsid w:val="00996D2A"/>
    <w:rsid w:val="00997005"/>
    <w:rsid w:val="00997170"/>
    <w:rsid w:val="00997742"/>
    <w:rsid w:val="0099776C"/>
    <w:rsid w:val="009978AE"/>
    <w:rsid w:val="009979D1"/>
    <w:rsid w:val="00997D87"/>
    <w:rsid w:val="009A00E5"/>
    <w:rsid w:val="009A0EE6"/>
    <w:rsid w:val="009A1128"/>
    <w:rsid w:val="009A1790"/>
    <w:rsid w:val="009A17D4"/>
    <w:rsid w:val="009A20AF"/>
    <w:rsid w:val="009A21EC"/>
    <w:rsid w:val="009A2832"/>
    <w:rsid w:val="009A2E14"/>
    <w:rsid w:val="009A31A3"/>
    <w:rsid w:val="009A3AE1"/>
    <w:rsid w:val="009A413E"/>
    <w:rsid w:val="009A4486"/>
    <w:rsid w:val="009A4869"/>
    <w:rsid w:val="009A536C"/>
    <w:rsid w:val="009A57D4"/>
    <w:rsid w:val="009A5967"/>
    <w:rsid w:val="009A5A87"/>
    <w:rsid w:val="009A5B7E"/>
    <w:rsid w:val="009A5C4E"/>
    <w:rsid w:val="009A5E00"/>
    <w:rsid w:val="009A6451"/>
    <w:rsid w:val="009A65E5"/>
    <w:rsid w:val="009A6B47"/>
    <w:rsid w:val="009A6F3C"/>
    <w:rsid w:val="009A73B3"/>
    <w:rsid w:val="009A788C"/>
    <w:rsid w:val="009A7910"/>
    <w:rsid w:val="009B015D"/>
    <w:rsid w:val="009B0387"/>
    <w:rsid w:val="009B0E9A"/>
    <w:rsid w:val="009B114E"/>
    <w:rsid w:val="009B1976"/>
    <w:rsid w:val="009B1F3D"/>
    <w:rsid w:val="009B20E6"/>
    <w:rsid w:val="009B231D"/>
    <w:rsid w:val="009B29E1"/>
    <w:rsid w:val="009B2B76"/>
    <w:rsid w:val="009B3360"/>
    <w:rsid w:val="009B3631"/>
    <w:rsid w:val="009B3B8C"/>
    <w:rsid w:val="009B3EC3"/>
    <w:rsid w:val="009B4231"/>
    <w:rsid w:val="009B4444"/>
    <w:rsid w:val="009B445D"/>
    <w:rsid w:val="009B5278"/>
    <w:rsid w:val="009B57C7"/>
    <w:rsid w:val="009B57F7"/>
    <w:rsid w:val="009B581D"/>
    <w:rsid w:val="009B5968"/>
    <w:rsid w:val="009B600F"/>
    <w:rsid w:val="009B651B"/>
    <w:rsid w:val="009B712E"/>
    <w:rsid w:val="009B719D"/>
    <w:rsid w:val="009B7A40"/>
    <w:rsid w:val="009B7CB1"/>
    <w:rsid w:val="009B7EBD"/>
    <w:rsid w:val="009C0571"/>
    <w:rsid w:val="009C0811"/>
    <w:rsid w:val="009C1071"/>
    <w:rsid w:val="009C1417"/>
    <w:rsid w:val="009C2314"/>
    <w:rsid w:val="009C23A9"/>
    <w:rsid w:val="009C25E9"/>
    <w:rsid w:val="009C2E3F"/>
    <w:rsid w:val="009C2F24"/>
    <w:rsid w:val="009C3C94"/>
    <w:rsid w:val="009C4062"/>
    <w:rsid w:val="009C40A0"/>
    <w:rsid w:val="009C45CE"/>
    <w:rsid w:val="009C47A6"/>
    <w:rsid w:val="009C47B7"/>
    <w:rsid w:val="009C4990"/>
    <w:rsid w:val="009C556E"/>
    <w:rsid w:val="009C5E12"/>
    <w:rsid w:val="009C5EFC"/>
    <w:rsid w:val="009C6838"/>
    <w:rsid w:val="009C6907"/>
    <w:rsid w:val="009C6E91"/>
    <w:rsid w:val="009C7183"/>
    <w:rsid w:val="009C7293"/>
    <w:rsid w:val="009C72E0"/>
    <w:rsid w:val="009C7379"/>
    <w:rsid w:val="009C75F6"/>
    <w:rsid w:val="009C7975"/>
    <w:rsid w:val="009C7A67"/>
    <w:rsid w:val="009C7AF4"/>
    <w:rsid w:val="009C7FB1"/>
    <w:rsid w:val="009D033B"/>
    <w:rsid w:val="009D099C"/>
    <w:rsid w:val="009D0B6E"/>
    <w:rsid w:val="009D0EC1"/>
    <w:rsid w:val="009D1997"/>
    <w:rsid w:val="009D1FA3"/>
    <w:rsid w:val="009D221D"/>
    <w:rsid w:val="009D254F"/>
    <w:rsid w:val="009D2560"/>
    <w:rsid w:val="009D2FFF"/>
    <w:rsid w:val="009D3634"/>
    <w:rsid w:val="009D364E"/>
    <w:rsid w:val="009D370A"/>
    <w:rsid w:val="009D38B3"/>
    <w:rsid w:val="009D3CDD"/>
    <w:rsid w:val="009D440E"/>
    <w:rsid w:val="009D495F"/>
    <w:rsid w:val="009D49CC"/>
    <w:rsid w:val="009D4AFF"/>
    <w:rsid w:val="009D4D1E"/>
    <w:rsid w:val="009D5239"/>
    <w:rsid w:val="009D5479"/>
    <w:rsid w:val="009D5E35"/>
    <w:rsid w:val="009D65A9"/>
    <w:rsid w:val="009D6CDD"/>
    <w:rsid w:val="009D70BE"/>
    <w:rsid w:val="009D7A4A"/>
    <w:rsid w:val="009E0147"/>
    <w:rsid w:val="009E06CD"/>
    <w:rsid w:val="009E0724"/>
    <w:rsid w:val="009E0834"/>
    <w:rsid w:val="009E0981"/>
    <w:rsid w:val="009E0DF9"/>
    <w:rsid w:val="009E0EB8"/>
    <w:rsid w:val="009E0EBD"/>
    <w:rsid w:val="009E103E"/>
    <w:rsid w:val="009E14EA"/>
    <w:rsid w:val="009E16A2"/>
    <w:rsid w:val="009E1A69"/>
    <w:rsid w:val="009E1D4B"/>
    <w:rsid w:val="009E2243"/>
    <w:rsid w:val="009E34A2"/>
    <w:rsid w:val="009E3E09"/>
    <w:rsid w:val="009E43CC"/>
    <w:rsid w:val="009E4A10"/>
    <w:rsid w:val="009E4B6C"/>
    <w:rsid w:val="009E4C46"/>
    <w:rsid w:val="009E5637"/>
    <w:rsid w:val="009E5711"/>
    <w:rsid w:val="009E5C43"/>
    <w:rsid w:val="009E5D52"/>
    <w:rsid w:val="009E60DA"/>
    <w:rsid w:val="009E64DA"/>
    <w:rsid w:val="009E6610"/>
    <w:rsid w:val="009E6A58"/>
    <w:rsid w:val="009E6F9C"/>
    <w:rsid w:val="009E7376"/>
    <w:rsid w:val="009E73E0"/>
    <w:rsid w:val="009E7660"/>
    <w:rsid w:val="009E783F"/>
    <w:rsid w:val="009E79B5"/>
    <w:rsid w:val="009F01BA"/>
    <w:rsid w:val="009F01F6"/>
    <w:rsid w:val="009F0410"/>
    <w:rsid w:val="009F054D"/>
    <w:rsid w:val="009F10CD"/>
    <w:rsid w:val="009F11B2"/>
    <w:rsid w:val="009F16EE"/>
    <w:rsid w:val="009F1FB8"/>
    <w:rsid w:val="009F22F4"/>
    <w:rsid w:val="009F23EB"/>
    <w:rsid w:val="009F25B6"/>
    <w:rsid w:val="009F2B0A"/>
    <w:rsid w:val="009F2B1F"/>
    <w:rsid w:val="009F2CE4"/>
    <w:rsid w:val="009F2FE9"/>
    <w:rsid w:val="009F30C2"/>
    <w:rsid w:val="009F3232"/>
    <w:rsid w:val="009F3695"/>
    <w:rsid w:val="009F3AE3"/>
    <w:rsid w:val="009F41D2"/>
    <w:rsid w:val="009F4616"/>
    <w:rsid w:val="009F473B"/>
    <w:rsid w:val="009F4AF1"/>
    <w:rsid w:val="009F4BEF"/>
    <w:rsid w:val="009F4FBC"/>
    <w:rsid w:val="009F5198"/>
    <w:rsid w:val="009F5697"/>
    <w:rsid w:val="009F5893"/>
    <w:rsid w:val="009F5E2E"/>
    <w:rsid w:val="009F6147"/>
    <w:rsid w:val="009F63DF"/>
    <w:rsid w:val="009F6417"/>
    <w:rsid w:val="009F6AC1"/>
    <w:rsid w:val="009F74B0"/>
    <w:rsid w:val="009F7790"/>
    <w:rsid w:val="009F7D90"/>
    <w:rsid w:val="00A00722"/>
    <w:rsid w:val="00A0077C"/>
    <w:rsid w:val="00A00AAC"/>
    <w:rsid w:val="00A01131"/>
    <w:rsid w:val="00A011C5"/>
    <w:rsid w:val="00A014B7"/>
    <w:rsid w:val="00A01A86"/>
    <w:rsid w:val="00A021B6"/>
    <w:rsid w:val="00A022AB"/>
    <w:rsid w:val="00A02F0A"/>
    <w:rsid w:val="00A02FAF"/>
    <w:rsid w:val="00A031A3"/>
    <w:rsid w:val="00A0373C"/>
    <w:rsid w:val="00A0379D"/>
    <w:rsid w:val="00A037EA"/>
    <w:rsid w:val="00A03D17"/>
    <w:rsid w:val="00A03E45"/>
    <w:rsid w:val="00A03E4C"/>
    <w:rsid w:val="00A04139"/>
    <w:rsid w:val="00A0471D"/>
    <w:rsid w:val="00A04898"/>
    <w:rsid w:val="00A049AB"/>
    <w:rsid w:val="00A05177"/>
    <w:rsid w:val="00A05459"/>
    <w:rsid w:val="00A0595A"/>
    <w:rsid w:val="00A05960"/>
    <w:rsid w:val="00A05A36"/>
    <w:rsid w:val="00A05A97"/>
    <w:rsid w:val="00A05C7C"/>
    <w:rsid w:val="00A05F53"/>
    <w:rsid w:val="00A05F84"/>
    <w:rsid w:val="00A0604F"/>
    <w:rsid w:val="00A066CE"/>
    <w:rsid w:val="00A068F9"/>
    <w:rsid w:val="00A06A26"/>
    <w:rsid w:val="00A06B3F"/>
    <w:rsid w:val="00A06F2A"/>
    <w:rsid w:val="00A0704F"/>
    <w:rsid w:val="00A073C3"/>
    <w:rsid w:val="00A07548"/>
    <w:rsid w:val="00A0767D"/>
    <w:rsid w:val="00A07ABD"/>
    <w:rsid w:val="00A10087"/>
    <w:rsid w:val="00A1011F"/>
    <w:rsid w:val="00A10250"/>
    <w:rsid w:val="00A1041C"/>
    <w:rsid w:val="00A10576"/>
    <w:rsid w:val="00A10E28"/>
    <w:rsid w:val="00A10F6C"/>
    <w:rsid w:val="00A11103"/>
    <w:rsid w:val="00A112E4"/>
    <w:rsid w:val="00A116C3"/>
    <w:rsid w:val="00A11EB8"/>
    <w:rsid w:val="00A121ED"/>
    <w:rsid w:val="00A12351"/>
    <w:rsid w:val="00A12650"/>
    <w:rsid w:val="00A13247"/>
    <w:rsid w:val="00A13434"/>
    <w:rsid w:val="00A13996"/>
    <w:rsid w:val="00A13FAE"/>
    <w:rsid w:val="00A140F9"/>
    <w:rsid w:val="00A141F3"/>
    <w:rsid w:val="00A1420E"/>
    <w:rsid w:val="00A142A7"/>
    <w:rsid w:val="00A142AD"/>
    <w:rsid w:val="00A14450"/>
    <w:rsid w:val="00A147E9"/>
    <w:rsid w:val="00A14A11"/>
    <w:rsid w:val="00A14A79"/>
    <w:rsid w:val="00A15072"/>
    <w:rsid w:val="00A1528C"/>
    <w:rsid w:val="00A156D2"/>
    <w:rsid w:val="00A169BE"/>
    <w:rsid w:val="00A17453"/>
    <w:rsid w:val="00A2007B"/>
    <w:rsid w:val="00A20DE3"/>
    <w:rsid w:val="00A20F64"/>
    <w:rsid w:val="00A20F79"/>
    <w:rsid w:val="00A20FC4"/>
    <w:rsid w:val="00A2146B"/>
    <w:rsid w:val="00A21611"/>
    <w:rsid w:val="00A21851"/>
    <w:rsid w:val="00A21A2B"/>
    <w:rsid w:val="00A21AA8"/>
    <w:rsid w:val="00A2233E"/>
    <w:rsid w:val="00A227DC"/>
    <w:rsid w:val="00A229BE"/>
    <w:rsid w:val="00A22A2C"/>
    <w:rsid w:val="00A22FD3"/>
    <w:rsid w:val="00A23408"/>
    <w:rsid w:val="00A23DF0"/>
    <w:rsid w:val="00A2400B"/>
    <w:rsid w:val="00A242F9"/>
    <w:rsid w:val="00A24D56"/>
    <w:rsid w:val="00A24F09"/>
    <w:rsid w:val="00A25369"/>
    <w:rsid w:val="00A257CA"/>
    <w:rsid w:val="00A257EA"/>
    <w:rsid w:val="00A25A62"/>
    <w:rsid w:val="00A2646C"/>
    <w:rsid w:val="00A26681"/>
    <w:rsid w:val="00A26A69"/>
    <w:rsid w:val="00A26DC4"/>
    <w:rsid w:val="00A26E2A"/>
    <w:rsid w:val="00A26F2E"/>
    <w:rsid w:val="00A2767C"/>
    <w:rsid w:val="00A27E28"/>
    <w:rsid w:val="00A30280"/>
    <w:rsid w:val="00A30413"/>
    <w:rsid w:val="00A30793"/>
    <w:rsid w:val="00A30867"/>
    <w:rsid w:val="00A30EE1"/>
    <w:rsid w:val="00A3107A"/>
    <w:rsid w:val="00A313F0"/>
    <w:rsid w:val="00A31ADD"/>
    <w:rsid w:val="00A31AF6"/>
    <w:rsid w:val="00A32249"/>
    <w:rsid w:val="00A32254"/>
    <w:rsid w:val="00A329A1"/>
    <w:rsid w:val="00A32BC6"/>
    <w:rsid w:val="00A32C9A"/>
    <w:rsid w:val="00A32CCA"/>
    <w:rsid w:val="00A3392A"/>
    <w:rsid w:val="00A33BE7"/>
    <w:rsid w:val="00A33EA0"/>
    <w:rsid w:val="00A3405A"/>
    <w:rsid w:val="00A3410E"/>
    <w:rsid w:val="00A34149"/>
    <w:rsid w:val="00A3434F"/>
    <w:rsid w:val="00A34772"/>
    <w:rsid w:val="00A35618"/>
    <w:rsid w:val="00A35911"/>
    <w:rsid w:val="00A3604C"/>
    <w:rsid w:val="00A36268"/>
    <w:rsid w:val="00A36A77"/>
    <w:rsid w:val="00A37399"/>
    <w:rsid w:val="00A37728"/>
    <w:rsid w:val="00A37CF8"/>
    <w:rsid w:val="00A40306"/>
    <w:rsid w:val="00A4030A"/>
    <w:rsid w:val="00A405B8"/>
    <w:rsid w:val="00A407EC"/>
    <w:rsid w:val="00A40B16"/>
    <w:rsid w:val="00A40D6F"/>
    <w:rsid w:val="00A4113D"/>
    <w:rsid w:val="00A41195"/>
    <w:rsid w:val="00A414D0"/>
    <w:rsid w:val="00A41ADB"/>
    <w:rsid w:val="00A41E0D"/>
    <w:rsid w:val="00A423E5"/>
    <w:rsid w:val="00A42C33"/>
    <w:rsid w:val="00A434A7"/>
    <w:rsid w:val="00A437B6"/>
    <w:rsid w:val="00A43E9A"/>
    <w:rsid w:val="00A44156"/>
    <w:rsid w:val="00A44FD8"/>
    <w:rsid w:val="00A45718"/>
    <w:rsid w:val="00A45E82"/>
    <w:rsid w:val="00A461FA"/>
    <w:rsid w:val="00A4674A"/>
    <w:rsid w:val="00A47342"/>
    <w:rsid w:val="00A47599"/>
    <w:rsid w:val="00A47A53"/>
    <w:rsid w:val="00A47C5B"/>
    <w:rsid w:val="00A50158"/>
    <w:rsid w:val="00A50458"/>
    <w:rsid w:val="00A50CE9"/>
    <w:rsid w:val="00A50EFD"/>
    <w:rsid w:val="00A50F1B"/>
    <w:rsid w:val="00A51454"/>
    <w:rsid w:val="00A516E9"/>
    <w:rsid w:val="00A5172C"/>
    <w:rsid w:val="00A51B30"/>
    <w:rsid w:val="00A51BAB"/>
    <w:rsid w:val="00A5202E"/>
    <w:rsid w:val="00A52068"/>
    <w:rsid w:val="00A52561"/>
    <w:rsid w:val="00A526B6"/>
    <w:rsid w:val="00A526EC"/>
    <w:rsid w:val="00A527D0"/>
    <w:rsid w:val="00A5366D"/>
    <w:rsid w:val="00A5376A"/>
    <w:rsid w:val="00A538DE"/>
    <w:rsid w:val="00A53BDC"/>
    <w:rsid w:val="00A53D19"/>
    <w:rsid w:val="00A53F1C"/>
    <w:rsid w:val="00A54887"/>
    <w:rsid w:val="00A54B30"/>
    <w:rsid w:val="00A54BA2"/>
    <w:rsid w:val="00A55350"/>
    <w:rsid w:val="00A55516"/>
    <w:rsid w:val="00A5551C"/>
    <w:rsid w:val="00A55805"/>
    <w:rsid w:val="00A562E0"/>
    <w:rsid w:val="00A569A0"/>
    <w:rsid w:val="00A56DB9"/>
    <w:rsid w:val="00A56F5F"/>
    <w:rsid w:val="00A5768C"/>
    <w:rsid w:val="00A5796B"/>
    <w:rsid w:val="00A57A6C"/>
    <w:rsid w:val="00A57B07"/>
    <w:rsid w:val="00A60415"/>
    <w:rsid w:val="00A6065D"/>
    <w:rsid w:val="00A60F9F"/>
    <w:rsid w:val="00A616A3"/>
    <w:rsid w:val="00A617CD"/>
    <w:rsid w:val="00A618C1"/>
    <w:rsid w:val="00A61A76"/>
    <w:rsid w:val="00A61B98"/>
    <w:rsid w:val="00A62490"/>
    <w:rsid w:val="00A6276E"/>
    <w:rsid w:val="00A6280C"/>
    <w:rsid w:val="00A6372A"/>
    <w:rsid w:val="00A63BDF"/>
    <w:rsid w:val="00A64143"/>
    <w:rsid w:val="00A642E4"/>
    <w:rsid w:val="00A643D0"/>
    <w:rsid w:val="00A6496E"/>
    <w:rsid w:val="00A64996"/>
    <w:rsid w:val="00A650E5"/>
    <w:rsid w:val="00A65738"/>
    <w:rsid w:val="00A65A47"/>
    <w:rsid w:val="00A65A78"/>
    <w:rsid w:val="00A66639"/>
    <w:rsid w:val="00A70078"/>
    <w:rsid w:val="00A7007B"/>
    <w:rsid w:val="00A7025F"/>
    <w:rsid w:val="00A70617"/>
    <w:rsid w:val="00A70768"/>
    <w:rsid w:val="00A70DF2"/>
    <w:rsid w:val="00A715DB"/>
    <w:rsid w:val="00A719AE"/>
    <w:rsid w:val="00A71FA8"/>
    <w:rsid w:val="00A72525"/>
    <w:rsid w:val="00A7256D"/>
    <w:rsid w:val="00A72EE6"/>
    <w:rsid w:val="00A738D8"/>
    <w:rsid w:val="00A73B1A"/>
    <w:rsid w:val="00A73BC4"/>
    <w:rsid w:val="00A73CDB"/>
    <w:rsid w:val="00A7476C"/>
    <w:rsid w:val="00A758D2"/>
    <w:rsid w:val="00A75963"/>
    <w:rsid w:val="00A759CE"/>
    <w:rsid w:val="00A759DB"/>
    <w:rsid w:val="00A764C7"/>
    <w:rsid w:val="00A765B2"/>
    <w:rsid w:val="00A76C79"/>
    <w:rsid w:val="00A77285"/>
    <w:rsid w:val="00A777FF"/>
    <w:rsid w:val="00A77C30"/>
    <w:rsid w:val="00A77C8C"/>
    <w:rsid w:val="00A77D13"/>
    <w:rsid w:val="00A8018A"/>
    <w:rsid w:val="00A80231"/>
    <w:rsid w:val="00A8068F"/>
    <w:rsid w:val="00A80731"/>
    <w:rsid w:val="00A80C0A"/>
    <w:rsid w:val="00A81176"/>
    <w:rsid w:val="00A8149E"/>
    <w:rsid w:val="00A81959"/>
    <w:rsid w:val="00A81B2A"/>
    <w:rsid w:val="00A82301"/>
    <w:rsid w:val="00A82B4D"/>
    <w:rsid w:val="00A82B91"/>
    <w:rsid w:val="00A82BDC"/>
    <w:rsid w:val="00A82C2B"/>
    <w:rsid w:val="00A82DD2"/>
    <w:rsid w:val="00A83359"/>
    <w:rsid w:val="00A834A2"/>
    <w:rsid w:val="00A839C8"/>
    <w:rsid w:val="00A83A45"/>
    <w:rsid w:val="00A83C15"/>
    <w:rsid w:val="00A84477"/>
    <w:rsid w:val="00A8495E"/>
    <w:rsid w:val="00A84AF2"/>
    <w:rsid w:val="00A84B36"/>
    <w:rsid w:val="00A84CDF"/>
    <w:rsid w:val="00A84D48"/>
    <w:rsid w:val="00A84DE7"/>
    <w:rsid w:val="00A8509C"/>
    <w:rsid w:val="00A855BA"/>
    <w:rsid w:val="00A8561B"/>
    <w:rsid w:val="00A85D89"/>
    <w:rsid w:val="00A863BB"/>
    <w:rsid w:val="00A86E72"/>
    <w:rsid w:val="00A87312"/>
    <w:rsid w:val="00A87A90"/>
    <w:rsid w:val="00A905DE"/>
    <w:rsid w:val="00A90773"/>
    <w:rsid w:val="00A90C9F"/>
    <w:rsid w:val="00A90F19"/>
    <w:rsid w:val="00A9138E"/>
    <w:rsid w:val="00A9152F"/>
    <w:rsid w:val="00A91D02"/>
    <w:rsid w:val="00A91EC3"/>
    <w:rsid w:val="00A9220F"/>
    <w:rsid w:val="00A92548"/>
    <w:rsid w:val="00A92619"/>
    <w:rsid w:val="00A92BDB"/>
    <w:rsid w:val="00A92D05"/>
    <w:rsid w:val="00A92E90"/>
    <w:rsid w:val="00A92FFD"/>
    <w:rsid w:val="00A93177"/>
    <w:rsid w:val="00A9379A"/>
    <w:rsid w:val="00A93FEE"/>
    <w:rsid w:val="00A9407D"/>
    <w:rsid w:val="00A9415F"/>
    <w:rsid w:val="00A94336"/>
    <w:rsid w:val="00A94433"/>
    <w:rsid w:val="00A94719"/>
    <w:rsid w:val="00A94906"/>
    <w:rsid w:val="00A94FEB"/>
    <w:rsid w:val="00A95345"/>
    <w:rsid w:val="00A95662"/>
    <w:rsid w:val="00A959E1"/>
    <w:rsid w:val="00A962A6"/>
    <w:rsid w:val="00A964A8"/>
    <w:rsid w:val="00A96573"/>
    <w:rsid w:val="00A9699A"/>
    <w:rsid w:val="00A96ABE"/>
    <w:rsid w:val="00A97303"/>
    <w:rsid w:val="00A9745F"/>
    <w:rsid w:val="00A97BF8"/>
    <w:rsid w:val="00AA0418"/>
    <w:rsid w:val="00AA107E"/>
    <w:rsid w:val="00AA10C8"/>
    <w:rsid w:val="00AA1355"/>
    <w:rsid w:val="00AA150B"/>
    <w:rsid w:val="00AA19E1"/>
    <w:rsid w:val="00AA20FC"/>
    <w:rsid w:val="00AA242B"/>
    <w:rsid w:val="00AA24B0"/>
    <w:rsid w:val="00AA2E9C"/>
    <w:rsid w:val="00AA2FDE"/>
    <w:rsid w:val="00AA333D"/>
    <w:rsid w:val="00AA3412"/>
    <w:rsid w:val="00AA3820"/>
    <w:rsid w:val="00AA393F"/>
    <w:rsid w:val="00AA3A93"/>
    <w:rsid w:val="00AA44F8"/>
    <w:rsid w:val="00AA4BD0"/>
    <w:rsid w:val="00AA60CE"/>
    <w:rsid w:val="00AA674A"/>
    <w:rsid w:val="00AA68D8"/>
    <w:rsid w:val="00AA70DB"/>
    <w:rsid w:val="00AA7239"/>
    <w:rsid w:val="00AA751B"/>
    <w:rsid w:val="00AA7CFC"/>
    <w:rsid w:val="00AB023E"/>
    <w:rsid w:val="00AB0683"/>
    <w:rsid w:val="00AB068D"/>
    <w:rsid w:val="00AB06B2"/>
    <w:rsid w:val="00AB0843"/>
    <w:rsid w:val="00AB0880"/>
    <w:rsid w:val="00AB0F2B"/>
    <w:rsid w:val="00AB1263"/>
    <w:rsid w:val="00AB141D"/>
    <w:rsid w:val="00AB1623"/>
    <w:rsid w:val="00AB1A61"/>
    <w:rsid w:val="00AB1AF9"/>
    <w:rsid w:val="00AB1C7B"/>
    <w:rsid w:val="00AB1C9A"/>
    <w:rsid w:val="00AB22F8"/>
    <w:rsid w:val="00AB29FD"/>
    <w:rsid w:val="00AB33F3"/>
    <w:rsid w:val="00AB38E8"/>
    <w:rsid w:val="00AB3C80"/>
    <w:rsid w:val="00AB47D6"/>
    <w:rsid w:val="00AB4DC8"/>
    <w:rsid w:val="00AB4E08"/>
    <w:rsid w:val="00AB4E5D"/>
    <w:rsid w:val="00AB54D6"/>
    <w:rsid w:val="00AB552B"/>
    <w:rsid w:val="00AB6001"/>
    <w:rsid w:val="00AB65AE"/>
    <w:rsid w:val="00AB6ACD"/>
    <w:rsid w:val="00AB7289"/>
    <w:rsid w:val="00AB746E"/>
    <w:rsid w:val="00AB78B5"/>
    <w:rsid w:val="00AB7D6A"/>
    <w:rsid w:val="00AC01B8"/>
    <w:rsid w:val="00AC0678"/>
    <w:rsid w:val="00AC0DDF"/>
    <w:rsid w:val="00AC0F9E"/>
    <w:rsid w:val="00AC0FE5"/>
    <w:rsid w:val="00AC111E"/>
    <w:rsid w:val="00AC1FCF"/>
    <w:rsid w:val="00AC2007"/>
    <w:rsid w:val="00AC22EF"/>
    <w:rsid w:val="00AC23A7"/>
    <w:rsid w:val="00AC23A9"/>
    <w:rsid w:val="00AC2A5A"/>
    <w:rsid w:val="00AC2B99"/>
    <w:rsid w:val="00AC2FEE"/>
    <w:rsid w:val="00AC3AD7"/>
    <w:rsid w:val="00AC42EF"/>
    <w:rsid w:val="00AC4938"/>
    <w:rsid w:val="00AC5019"/>
    <w:rsid w:val="00AC50C3"/>
    <w:rsid w:val="00AC594A"/>
    <w:rsid w:val="00AC5BE6"/>
    <w:rsid w:val="00AC5E74"/>
    <w:rsid w:val="00AC6338"/>
    <w:rsid w:val="00AC659D"/>
    <w:rsid w:val="00AC7141"/>
    <w:rsid w:val="00AC79B3"/>
    <w:rsid w:val="00AC7B6A"/>
    <w:rsid w:val="00AD04F2"/>
    <w:rsid w:val="00AD05BB"/>
    <w:rsid w:val="00AD09EC"/>
    <w:rsid w:val="00AD0E62"/>
    <w:rsid w:val="00AD0F88"/>
    <w:rsid w:val="00AD1329"/>
    <w:rsid w:val="00AD222B"/>
    <w:rsid w:val="00AD25BA"/>
    <w:rsid w:val="00AD2884"/>
    <w:rsid w:val="00AD2E4A"/>
    <w:rsid w:val="00AD305D"/>
    <w:rsid w:val="00AD3131"/>
    <w:rsid w:val="00AD3944"/>
    <w:rsid w:val="00AD4415"/>
    <w:rsid w:val="00AD4C89"/>
    <w:rsid w:val="00AD5314"/>
    <w:rsid w:val="00AD5473"/>
    <w:rsid w:val="00AD5774"/>
    <w:rsid w:val="00AD5ABC"/>
    <w:rsid w:val="00AD5EF9"/>
    <w:rsid w:val="00AD626E"/>
    <w:rsid w:val="00AD6669"/>
    <w:rsid w:val="00AD69DB"/>
    <w:rsid w:val="00AD6E5D"/>
    <w:rsid w:val="00AD6F6D"/>
    <w:rsid w:val="00AD754D"/>
    <w:rsid w:val="00AD78C7"/>
    <w:rsid w:val="00AD79AF"/>
    <w:rsid w:val="00AE049E"/>
    <w:rsid w:val="00AE06FE"/>
    <w:rsid w:val="00AE0801"/>
    <w:rsid w:val="00AE12FD"/>
    <w:rsid w:val="00AE17EE"/>
    <w:rsid w:val="00AE1F69"/>
    <w:rsid w:val="00AE1FEC"/>
    <w:rsid w:val="00AE222F"/>
    <w:rsid w:val="00AE240D"/>
    <w:rsid w:val="00AE259A"/>
    <w:rsid w:val="00AE2772"/>
    <w:rsid w:val="00AE2E3C"/>
    <w:rsid w:val="00AE3382"/>
    <w:rsid w:val="00AE33FC"/>
    <w:rsid w:val="00AE38AC"/>
    <w:rsid w:val="00AE3C75"/>
    <w:rsid w:val="00AE3D8F"/>
    <w:rsid w:val="00AE42A3"/>
    <w:rsid w:val="00AE47E8"/>
    <w:rsid w:val="00AE52E2"/>
    <w:rsid w:val="00AE5CFF"/>
    <w:rsid w:val="00AE6452"/>
    <w:rsid w:val="00AE707C"/>
    <w:rsid w:val="00AE72D9"/>
    <w:rsid w:val="00AE7DF7"/>
    <w:rsid w:val="00AF06FC"/>
    <w:rsid w:val="00AF0919"/>
    <w:rsid w:val="00AF0D76"/>
    <w:rsid w:val="00AF12CB"/>
    <w:rsid w:val="00AF1322"/>
    <w:rsid w:val="00AF1A32"/>
    <w:rsid w:val="00AF1C42"/>
    <w:rsid w:val="00AF204B"/>
    <w:rsid w:val="00AF245D"/>
    <w:rsid w:val="00AF2838"/>
    <w:rsid w:val="00AF28B9"/>
    <w:rsid w:val="00AF2A95"/>
    <w:rsid w:val="00AF33A2"/>
    <w:rsid w:val="00AF409A"/>
    <w:rsid w:val="00AF4258"/>
    <w:rsid w:val="00AF4537"/>
    <w:rsid w:val="00AF48CB"/>
    <w:rsid w:val="00AF492F"/>
    <w:rsid w:val="00AF4A6B"/>
    <w:rsid w:val="00AF4C64"/>
    <w:rsid w:val="00AF543E"/>
    <w:rsid w:val="00AF5B2B"/>
    <w:rsid w:val="00AF5C85"/>
    <w:rsid w:val="00AF5CF9"/>
    <w:rsid w:val="00AF60BB"/>
    <w:rsid w:val="00AF6538"/>
    <w:rsid w:val="00AF6697"/>
    <w:rsid w:val="00AF6E39"/>
    <w:rsid w:val="00AF794B"/>
    <w:rsid w:val="00B000ED"/>
    <w:rsid w:val="00B001BD"/>
    <w:rsid w:val="00B00211"/>
    <w:rsid w:val="00B005F2"/>
    <w:rsid w:val="00B009C9"/>
    <w:rsid w:val="00B018C1"/>
    <w:rsid w:val="00B01F8B"/>
    <w:rsid w:val="00B022B2"/>
    <w:rsid w:val="00B022CA"/>
    <w:rsid w:val="00B02382"/>
    <w:rsid w:val="00B0257E"/>
    <w:rsid w:val="00B02C9B"/>
    <w:rsid w:val="00B02E26"/>
    <w:rsid w:val="00B0367C"/>
    <w:rsid w:val="00B038DE"/>
    <w:rsid w:val="00B03C5F"/>
    <w:rsid w:val="00B03D45"/>
    <w:rsid w:val="00B03FC5"/>
    <w:rsid w:val="00B042F2"/>
    <w:rsid w:val="00B050E0"/>
    <w:rsid w:val="00B0537C"/>
    <w:rsid w:val="00B058B1"/>
    <w:rsid w:val="00B05BCC"/>
    <w:rsid w:val="00B05C1C"/>
    <w:rsid w:val="00B05FF6"/>
    <w:rsid w:val="00B064F2"/>
    <w:rsid w:val="00B06B5D"/>
    <w:rsid w:val="00B06CE1"/>
    <w:rsid w:val="00B07894"/>
    <w:rsid w:val="00B07C0F"/>
    <w:rsid w:val="00B10125"/>
    <w:rsid w:val="00B107ED"/>
    <w:rsid w:val="00B1080B"/>
    <w:rsid w:val="00B10EF1"/>
    <w:rsid w:val="00B110AB"/>
    <w:rsid w:val="00B111CE"/>
    <w:rsid w:val="00B11504"/>
    <w:rsid w:val="00B115E1"/>
    <w:rsid w:val="00B11AAD"/>
    <w:rsid w:val="00B11E63"/>
    <w:rsid w:val="00B11E79"/>
    <w:rsid w:val="00B11F69"/>
    <w:rsid w:val="00B1247E"/>
    <w:rsid w:val="00B1268D"/>
    <w:rsid w:val="00B127D1"/>
    <w:rsid w:val="00B129E1"/>
    <w:rsid w:val="00B12EBB"/>
    <w:rsid w:val="00B137FD"/>
    <w:rsid w:val="00B13C05"/>
    <w:rsid w:val="00B13C26"/>
    <w:rsid w:val="00B1401F"/>
    <w:rsid w:val="00B1438D"/>
    <w:rsid w:val="00B14A45"/>
    <w:rsid w:val="00B14A85"/>
    <w:rsid w:val="00B14BC4"/>
    <w:rsid w:val="00B14FA5"/>
    <w:rsid w:val="00B157F4"/>
    <w:rsid w:val="00B159E1"/>
    <w:rsid w:val="00B15A4E"/>
    <w:rsid w:val="00B15D36"/>
    <w:rsid w:val="00B16627"/>
    <w:rsid w:val="00B1664A"/>
    <w:rsid w:val="00B16DBF"/>
    <w:rsid w:val="00B1754F"/>
    <w:rsid w:val="00B1792F"/>
    <w:rsid w:val="00B17C60"/>
    <w:rsid w:val="00B20295"/>
    <w:rsid w:val="00B20B33"/>
    <w:rsid w:val="00B21558"/>
    <w:rsid w:val="00B21612"/>
    <w:rsid w:val="00B21B43"/>
    <w:rsid w:val="00B21DE3"/>
    <w:rsid w:val="00B21DEE"/>
    <w:rsid w:val="00B21F14"/>
    <w:rsid w:val="00B2225C"/>
    <w:rsid w:val="00B22BEB"/>
    <w:rsid w:val="00B22DA4"/>
    <w:rsid w:val="00B2354B"/>
    <w:rsid w:val="00B235CC"/>
    <w:rsid w:val="00B23BAF"/>
    <w:rsid w:val="00B23E42"/>
    <w:rsid w:val="00B243A3"/>
    <w:rsid w:val="00B2489C"/>
    <w:rsid w:val="00B2522F"/>
    <w:rsid w:val="00B25CA6"/>
    <w:rsid w:val="00B25EF5"/>
    <w:rsid w:val="00B2624D"/>
    <w:rsid w:val="00B26741"/>
    <w:rsid w:val="00B26E07"/>
    <w:rsid w:val="00B26F18"/>
    <w:rsid w:val="00B2709D"/>
    <w:rsid w:val="00B27109"/>
    <w:rsid w:val="00B27119"/>
    <w:rsid w:val="00B27A39"/>
    <w:rsid w:val="00B27AD0"/>
    <w:rsid w:val="00B27DFC"/>
    <w:rsid w:val="00B27E83"/>
    <w:rsid w:val="00B30047"/>
    <w:rsid w:val="00B30383"/>
    <w:rsid w:val="00B30393"/>
    <w:rsid w:val="00B30608"/>
    <w:rsid w:val="00B30B50"/>
    <w:rsid w:val="00B31022"/>
    <w:rsid w:val="00B314A2"/>
    <w:rsid w:val="00B31FA9"/>
    <w:rsid w:val="00B321EE"/>
    <w:rsid w:val="00B32914"/>
    <w:rsid w:val="00B32A9D"/>
    <w:rsid w:val="00B32F55"/>
    <w:rsid w:val="00B33019"/>
    <w:rsid w:val="00B33271"/>
    <w:rsid w:val="00B332B8"/>
    <w:rsid w:val="00B33607"/>
    <w:rsid w:val="00B33710"/>
    <w:rsid w:val="00B33A99"/>
    <w:rsid w:val="00B33E77"/>
    <w:rsid w:val="00B34B8B"/>
    <w:rsid w:val="00B34FD0"/>
    <w:rsid w:val="00B3510D"/>
    <w:rsid w:val="00B35689"/>
    <w:rsid w:val="00B35719"/>
    <w:rsid w:val="00B35A0F"/>
    <w:rsid w:val="00B35C2B"/>
    <w:rsid w:val="00B35E6C"/>
    <w:rsid w:val="00B360BF"/>
    <w:rsid w:val="00B3660A"/>
    <w:rsid w:val="00B3673D"/>
    <w:rsid w:val="00B37788"/>
    <w:rsid w:val="00B400FE"/>
    <w:rsid w:val="00B404BC"/>
    <w:rsid w:val="00B409DB"/>
    <w:rsid w:val="00B409EC"/>
    <w:rsid w:val="00B40AA4"/>
    <w:rsid w:val="00B41026"/>
    <w:rsid w:val="00B4107F"/>
    <w:rsid w:val="00B41839"/>
    <w:rsid w:val="00B4271E"/>
    <w:rsid w:val="00B427E4"/>
    <w:rsid w:val="00B42B7C"/>
    <w:rsid w:val="00B43505"/>
    <w:rsid w:val="00B43772"/>
    <w:rsid w:val="00B438B4"/>
    <w:rsid w:val="00B43B4C"/>
    <w:rsid w:val="00B43BAB"/>
    <w:rsid w:val="00B43D28"/>
    <w:rsid w:val="00B44C29"/>
    <w:rsid w:val="00B45106"/>
    <w:rsid w:val="00B45776"/>
    <w:rsid w:val="00B45EE9"/>
    <w:rsid w:val="00B466A2"/>
    <w:rsid w:val="00B466CE"/>
    <w:rsid w:val="00B46FA2"/>
    <w:rsid w:val="00B47374"/>
    <w:rsid w:val="00B47A0C"/>
    <w:rsid w:val="00B47C58"/>
    <w:rsid w:val="00B47D42"/>
    <w:rsid w:val="00B50243"/>
    <w:rsid w:val="00B50AF7"/>
    <w:rsid w:val="00B50DFE"/>
    <w:rsid w:val="00B510A3"/>
    <w:rsid w:val="00B512C8"/>
    <w:rsid w:val="00B51468"/>
    <w:rsid w:val="00B522CA"/>
    <w:rsid w:val="00B523F3"/>
    <w:rsid w:val="00B5252C"/>
    <w:rsid w:val="00B525B4"/>
    <w:rsid w:val="00B52741"/>
    <w:rsid w:val="00B52FAB"/>
    <w:rsid w:val="00B531E8"/>
    <w:rsid w:val="00B532DB"/>
    <w:rsid w:val="00B5347E"/>
    <w:rsid w:val="00B535BD"/>
    <w:rsid w:val="00B53707"/>
    <w:rsid w:val="00B537E4"/>
    <w:rsid w:val="00B53911"/>
    <w:rsid w:val="00B53F4A"/>
    <w:rsid w:val="00B546BE"/>
    <w:rsid w:val="00B54B72"/>
    <w:rsid w:val="00B54E0D"/>
    <w:rsid w:val="00B54F1B"/>
    <w:rsid w:val="00B5534F"/>
    <w:rsid w:val="00B55532"/>
    <w:rsid w:val="00B556D4"/>
    <w:rsid w:val="00B55B42"/>
    <w:rsid w:val="00B55E83"/>
    <w:rsid w:val="00B56344"/>
    <w:rsid w:val="00B564DF"/>
    <w:rsid w:val="00B566DC"/>
    <w:rsid w:val="00B56809"/>
    <w:rsid w:val="00B56DAE"/>
    <w:rsid w:val="00B56DED"/>
    <w:rsid w:val="00B578D8"/>
    <w:rsid w:val="00B57C5A"/>
    <w:rsid w:val="00B57E7C"/>
    <w:rsid w:val="00B602EF"/>
    <w:rsid w:val="00B606FA"/>
    <w:rsid w:val="00B6099F"/>
    <w:rsid w:val="00B60ABF"/>
    <w:rsid w:val="00B617CB"/>
    <w:rsid w:val="00B618E8"/>
    <w:rsid w:val="00B61A8B"/>
    <w:rsid w:val="00B624C7"/>
    <w:rsid w:val="00B624F7"/>
    <w:rsid w:val="00B625AE"/>
    <w:rsid w:val="00B63025"/>
    <w:rsid w:val="00B63B44"/>
    <w:rsid w:val="00B64201"/>
    <w:rsid w:val="00B64258"/>
    <w:rsid w:val="00B64E04"/>
    <w:rsid w:val="00B65268"/>
    <w:rsid w:val="00B65444"/>
    <w:rsid w:val="00B6545B"/>
    <w:rsid w:val="00B654D1"/>
    <w:rsid w:val="00B65910"/>
    <w:rsid w:val="00B65980"/>
    <w:rsid w:val="00B65DB2"/>
    <w:rsid w:val="00B6615A"/>
    <w:rsid w:val="00B66523"/>
    <w:rsid w:val="00B665BB"/>
    <w:rsid w:val="00B665D6"/>
    <w:rsid w:val="00B66953"/>
    <w:rsid w:val="00B67386"/>
    <w:rsid w:val="00B673B7"/>
    <w:rsid w:val="00B675B7"/>
    <w:rsid w:val="00B67671"/>
    <w:rsid w:val="00B6794A"/>
    <w:rsid w:val="00B67CCD"/>
    <w:rsid w:val="00B67D77"/>
    <w:rsid w:val="00B67E72"/>
    <w:rsid w:val="00B67ECB"/>
    <w:rsid w:val="00B70356"/>
    <w:rsid w:val="00B7035E"/>
    <w:rsid w:val="00B706D9"/>
    <w:rsid w:val="00B70EB1"/>
    <w:rsid w:val="00B716E6"/>
    <w:rsid w:val="00B718AA"/>
    <w:rsid w:val="00B718C2"/>
    <w:rsid w:val="00B71947"/>
    <w:rsid w:val="00B719C4"/>
    <w:rsid w:val="00B71BDC"/>
    <w:rsid w:val="00B72BB1"/>
    <w:rsid w:val="00B72DF7"/>
    <w:rsid w:val="00B738F2"/>
    <w:rsid w:val="00B73E81"/>
    <w:rsid w:val="00B73FB0"/>
    <w:rsid w:val="00B74072"/>
    <w:rsid w:val="00B74118"/>
    <w:rsid w:val="00B74A54"/>
    <w:rsid w:val="00B75850"/>
    <w:rsid w:val="00B75AC9"/>
    <w:rsid w:val="00B75F72"/>
    <w:rsid w:val="00B76309"/>
    <w:rsid w:val="00B76635"/>
    <w:rsid w:val="00B76B1B"/>
    <w:rsid w:val="00B76CA6"/>
    <w:rsid w:val="00B76EE8"/>
    <w:rsid w:val="00B775A0"/>
    <w:rsid w:val="00B804DB"/>
    <w:rsid w:val="00B80644"/>
    <w:rsid w:val="00B80B37"/>
    <w:rsid w:val="00B80DB7"/>
    <w:rsid w:val="00B8156D"/>
    <w:rsid w:val="00B81E8B"/>
    <w:rsid w:val="00B81F26"/>
    <w:rsid w:val="00B81FF1"/>
    <w:rsid w:val="00B82104"/>
    <w:rsid w:val="00B8212A"/>
    <w:rsid w:val="00B8225F"/>
    <w:rsid w:val="00B8264A"/>
    <w:rsid w:val="00B827C3"/>
    <w:rsid w:val="00B82E86"/>
    <w:rsid w:val="00B834BE"/>
    <w:rsid w:val="00B8374D"/>
    <w:rsid w:val="00B83940"/>
    <w:rsid w:val="00B83A4E"/>
    <w:rsid w:val="00B83EFA"/>
    <w:rsid w:val="00B842DF"/>
    <w:rsid w:val="00B84459"/>
    <w:rsid w:val="00B85116"/>
    <w:rsid w:val="00B857E9"/>
    <w:rsid w:val="00B85832"/>
    <w:rsid w:val="00B85B32"/>
    <w:rsid w:val="00B85F6E"/>
    <w:rsid w:val="00B8605A"/>
    <w:rsid w:val="00B86333"/>
    <w:rsid w:val="00B86676"/>
    <w:rsid w:val="00B86C1D"/>
    <w:rsid w:val="00B86D11"/>
    <w:rsid w:val="00B8703E"/>
    <w:rsid w:val="00B87576"/>
    <w:rsid w:val="00B877B1"/>
    <w:rsid w:val="00B87FD9"/>
    <w:rsid w:val="00B901A2"/>
    <w:rsid w:val="00B905AC"/>
    <w:rsid w:val="00B90C54"/>
    <w:rsid w:val="00B913CA"/>
    <w:rsid w:val="00B9198D"/>
    <w:rsid w:val="00B91B6D"/>
    <w:rsid w:val="00B91E39"/>
    <w:rsid w:val="00B91ECB"/>
    <w:rsid w:val="00B91F24"/>
    <w:rsid w:val="00B922C1"/>
    <w:rsid w:val="00B92F79"/>
    <w:rsid w:val="00B935D0"/>
    <w:rsid w:val="00B93F5F"/>
    <w:rsid w:val="00B941C6"/>
    <w:rsid w:val="00B9436C"/>
    <w:rsid w:val="00B946F3"/>
    <w:rsid w:val="00B947EC"/>
    <w:rsid w:val="00B94A0C"/>
    <w:rsid w:val="00B950DF"/>
    <w:rsid w:val="00B9542D"/>
    <w:rsid w:val="00B95609"/>
    <w:rsid w:val="00B95B49"/>
    <w:rsid w:val="00B95F1B"/>
    <w:rsid w:val="00B9650A"/>
    <w:rsid w:val="00B96A36"/>
    <w:rsid w:val="00B96C27"/>
    <w:rsid w:val="00B96CA8"/>
    <w:rsid w:val="00B971BC"/>
    <w:rsid w:val="00B973D6"/>
    <w:rsid w:val="00B979A6"/>
    <w:rsid w:val="00B97CA5"/>
    <w:rsid w:val="00B97E10"/>
    <w:rsid w:val="00BA02C1"/>
    <w:rsid w:val="00BA0428"/>
    <w:rsid w:val="00BA048F"/>
    <w:rsid w:val="00BA04E1"/>
    <w:rsid w:val="00BA0B70"/>
    <w:rsid w:val="00BA0E25"/>
    <w:rsid w:val="00BA105A"/>
    <w:rsid w:val="00BA15E8"/>
    <w:rsid w:val="00BA15FB"/>
    <w:rsid w:val="00BA169C"/>
    <w:rsid w:val="00BA1866"/>
    <w:rsid w:val="00BA19AB"/>
    <w:rsid w:val="00BA230D"/>
    <w:rsid w:val="00BA251C"/>
    <w:rsid w:val="00BA2573"/>
    <w:rsid w:val="00BA2EB6"/>
    <w:rsid w:val="00BA3029"/>
    <w:rsid w:val="00BA337C"/>
    <w:rsid w:val="00BA36BA"/>
    <w:rsid w:val="00BA3887"/>
    <w:rsid w:val="00BA3980"/>
    <w:rsid w:val="00BA402D"/>
    <w:rsid w:val="00BA445C"/>
    <w:rsid w:val="00BA4624"/>
    <w:rsid w:val="00BA4AA9"/>
    <w:rsid w:val="00BA4F0B"/>
    <w:rsid w:val="00BA5249"/>
    <w:rsid w:val="00BA52E1"/>
    <w:rsid w:val="00BA56ED"/>
    <w:rsid w:val="00BA5E25"/>
    <w:rsid w:val="00BA622A"/>
    <w:rsid w:val="00BA657F"/>
    <w:rsid w:val="00BA72D6"/>
    <w:rsid w:val="00BA7311"/>
    <w:rsid w:val="00BA7552"/>
    <w:rsid w:val="00BA7BA6"/>
    <w:rsid w:val="00BA7CE9"/>
    <w:rsid w:val="00BA7DB6"/>
    <w:rsid w:val="00BA7E88"/>
    <w:rsid w:val="00BB010B"/>
    <w:rsid w:val="00BB0302"/>
    <w:rsid w:val="00BB05ED"/>
    <w:rsid w:val="00BB0764"/>
    <w:rsid w:val="00BB11DA"/>
    <w:rsid w:val="00BB12D7"/>
    <w:rsid w:val="00BB16C2"/>
    <w:rsid w:val="00BB17CF"/>
    <w:rsid w:val="00BB1935"/>
    <w:rsid w:val="00BB19D6"/>
    <w:rsid w:val="00BB1FE9"/>
    <w:rsid w:val="00BB24C7"/>
    <w:rsid w:val="00BB26AC"/>
    <w:rsid w:val="00BB27BA"/>
    <w:rsid w:val="00BB2F22"/>
    <w:rsid w:val="00BB34B1"/>
    <w:rsid w:val="00BB353E"/>
    <w:rsid w:val="00BB37A1"/>
    <w:rsid w:val="00BB3893"/>
    <w:rsid w:val="00BB3A6B"/>
    <w:rsid w:val="00BB3B6F"/>
    <w:rsid w:val="00BB4162"/>
    <w:rsid w:val="00BB447B"/>
    <w:rsid w:val="00BB4A4D"/>
    <w:rsid w:val="00BB4DC8"/>
    <w:rsid w:val="00BB5451"/>
    <w:rsid w:val="00BB58B4"/>
    <w:rsid w:val="00BB58D8"/>
    <w:rsid w:val="00BB5A53"/>
    <w:rsid w:val="00BB5C2D"/>
    <w:rsid w:val="00BB5FDA"/>
    <w:rsid w:val="00BB6279"/>
    <w:rsid w:val="00BB62E2"/>
    <w:rsid w:val="00BB6B62"/>
    <w:rsid w:val="00BB6D95"/>
    <w:rsid w:val="00BB6E35"/>
    <w:rsid w:val="00BB70B7"/>
    <w:rsid w:val="00BB7283"/>
    <w:rsid w:val="00BB748A"/>
    <w:rsid w:val="00BB7772"/>
    <w:rsid w:val="00BB7C55"/>
    <w:rsid w:val="00BB7F92"/>
    <w:rsid w:val="00BB7FD6"/>
    <w:rsid w:val="00BC05FF"/>
    <w:rsid w:val="00BC06FE"/>
    <w:rsid w:val="00BC0812"/>
    <w:rsid w:val="00BC09D9"/>
    <w:rsid w:val="00BC0DC0"/>
    <w:rsid w:val="00BC0DFF"/>
    <w:rsid w:val="00BC169B"/>
    <w:rsid w:val="00BC16B8"/>
    <w:rsid w:val="00BC185A"/>
    <w:rsid w:val="00BC1D24"/>
    <w:rsid w:val="00BC2075"/>
    <w:rsid w:val="00BC2679"/>
    <w:rsid w:val="00BC27A4"/>
    <w:rsid w:val="00BC2CEA"/>
    <w:rsid w:val="00BC30E4"/>
    <w:rsid w:val="00BC330A"/>
    <w:rsid w:val="00BC3CA8"/>
    <w:rsid w:val="00BC3DAE"/>
    <w:rsid w:val="00BC3E77"/>
    <w:rsid w:val="00BC48E2"/>
    <w:rsid w:val="00BC4B51"/>
    <w:rsid w:val="00BC5198"/>
    <w:rsid w:val="00BC5288"/>
    <w:rsid w:val="00BC5526"/>
    <w:rsid w:val="00BC55A5"/>
    <w:rsid w:val="00BC6897"/>
    <w:rsid w:val="00BC6C69"/>
    <w:rsid w:val="00BC6E5B"/>
    <w:rsid w:val="00BC7308"/>
    <w:rsid w:val="00BC789C"/>
    <w:rsid w:val="00BC78B9"/>
    <w:rsid w:val="00BC7B5C"/>
    <w:rsid w:val="00BD0285"/>
    <w:rsid w:val="00BD0461"/>
    <w:rsid w:val="00BD0614"/>
    <w:rsid w:val="00BD0DD3"/>
    <w:rsid w:val="00BD13FE"/>
    <w:rsid w:val="00BD1463"/>
    <w:rsid w:val="00BD14DE"/>
    <w:rsid w:val="00BD163A"/>
    <w:rsid w:val="00BD1899"/>
    <w:rsid w:val="00BD210F"/>
    <w:rsid w:val="00BD25A2"/>
    <w:rsid w:val="00BD2697"/>
    <w:rsid w:val="00BD2A41"/>
    <w:rsid w:val="00BD30ED"/>
    <w:rsid w:val="00BD336D"/>
    <w:rsid w:val="00BD3BEA"/>
    <w:rsid w:val="00BD3C44"/>
    <w:rsid w:val="00BD3D5B"/>
    <w:rsid w:val="00BD3EE9"/>
    <w:rsid w:val="00BD41B4"/>
    <w:rsid w:val="00BD4317"/>
    <w:rsid w:val="00BD4343"/>
    <w:rsid w:val="00BD4727"/>
    <w:rsid w:val="00BD4752"/>
    <w:rsid w:val="00BD475B"/>
    <w:rsid w:val="00BD4D22"/>
    <w:rsid w:val="00BD4D81"/>
    <w:rsid w:val="00BD4E84"/>
    <w:rsid w:val="00BD50F0"/>
    <w:rsid w:val="00BD519A"/>
    <w:rsid w:val="00BD5223"/>
    <w:rsid w:val="00BD53C1"/>
    <w:rsid w:val="00BD593B"/>
    <w:rsid w:val="00BD59DB"/>
    <w:rsid w:val="00BD5A0F"/>
    <w:rsid w:val="00BD67A5"/>
    <w:rsid w:val="00BD6C52"/>
    <w:rsid w:val="00BD6EA8"/>
    <w:rsid w:val="00BD6F39"/>
    <w:rsid w:val="00BD792E"/>
    <w:rsid w:val="00BD7ACF"/>
    <w:rsid w:val="00BE00ED"/>
    <w:rsid w:val="00BE0F00"/>
    <w:rsid w:val="00BE122C"/>
    <w:rsid w:val="00BE1ACE"/>
    <w:rsid w:val="00BE1CE9"/>
    <w:rsid w:val="00BE270F"/>
    <w:rsid w:val="00BE2AE8"/>
    <w:rsid w:val="00BE33AD"/>
    <w:rsid w:val="00BE39BA"/>
    <w:rsid w:val="00BE3B98"/>
    <w:rsid w:val="00BE4D0A"/>
    <w:rsid w:val="00BE4EBF"/>
    <w:rsid w:val="00BE51BC"/>
    <w:rsid w:val="00BE52EB"/>
    <w:rsid w:val="00BE58E3"/>
    <w:rsid w:val="00BE5D02"/>
    <w:rsid w:val="00BE5DD4"/>
    <w:rsid w:val="00BE616A"/>
    <w:rsid w:val="00BE641D"/>
    <w:rsid w:val="00BE691C"/>
    <w:rsid w:val="00BE6B01"/>
    <w:rsid w:val="00BE6D4F"/>
    <w:rsid w:val="00BE6F2C"/>
    <w:rsid w:val="00BE73E7"/>
    <w:rsid w:val="00BE741E"/>
    <w:rsid w:val="00BE74BC"/>
    <w:rsid w:val="00BE7B48"/>
    <w:rsid w:val="00BE7CC3"/>
    <w:rsid w:val="00BF0391"/>
    <w:rsid w:val="00BF0B2E"/>
    <w:rsid w:val="00BF0FC7"/>
    <w:rsid w:val="00BF1335"/>
    <w:rsid w:val="00BF15DE"/>
    <w:rsid w:val="00BF17D8"/>
    <w:rsid w:val="00BF1B09"/>
    <w:rsid w:val="00BF1C41"/>
    <w:rsid w:val="00BF1E4C"/>
    <w:rsid w:val="00BF2329"/>
    <w:rsid w:val="00BF2594"/>
    <w:rsid w:val="00BF2E98"/>
    <w:rsid w:val="00BF2EBB"/>
    <w:rsid w:val="00BF3138"/>
    <w:rsid w:val="00BF3146"/>
    <w:rsid w:val="00BF3AF1"/>
    <w:rsid w:val="00BF3ED2"/>
    <w:rsid w:val="00BF4152"/>
    <w:rsid w:val="00BF41EB"/>
    <w:rsid w:val="00BF495B"/>
    <w:rsid w:val="00BF4BA6"/>
    <w:rsid w:val="00BF4D0A"/>
    <w:rsid w:val="00BF4DA1"/>
    <w:rsid w:val="00BF5126"/>
    <w:rsid w:val="00BF518D"/>
    <w:rsid w:val="00BF520A"/>
    <w:rsid w:val="00BF5844"/>
    <w:rsid w:val="00BF5922"/>
    <w:rsid w:val="00BF5E07"/>
    <w:rsid w:val="00BF627D"/>
    <w:rsid w:val="00BF62CD"/>
    <w:rsid w:val="00BF658C"/>
    <w:rsid w:val="00BF6695"/>
    <w:rsid w:val="00BF6AF0"/>
    <w:rsid w:val="00BF710F"/>
    <w:rsid w:val="00BF7230"/>
    <w:rsid w:val="00BF7B88"/>
    <w:rsid w:val="00BF7D08"/>
    <w:rsid w:val="00BF7FB3"/>
    <w:rsid w:val="00C00F00"/>
    <w:rsid w:val="00C01533"/>
    <w:rsid w:val="00C016EB"/>
    <w:rsid w:val="00C01C03"/>
    <w:rsid w:val="00C01C4F"/>
    <w:rsid w:val="00C01D69"/>
    <w:rsid w:val="00C01E90"/>
    <w:rsid w:val="00C0218D"/>
    <w:rsid w:val="00C0229D"/>
    <w:rsid w:val="00C025D8"/>
    <w:rsid w:val="00C02A07"/>
    <w:rsid w:val="00C02C6F"/>
    <w:rsid w:val="00C02EB5"/>
    <w:rsid w:val="00C03077"/>
    <w:rsid w:val="00C0316D"/>
    <w:rsid w:val="00C0319A"/>
    <w:rsid w:val="00C031FB"/>
    <w:rsid w:val="00C0343E"/>
    <w:rsid w:val="00C03A12"/>
    <w:rsid w:val="00C03A27"/>
    <w:rsid w:val="00C03BB7"/>
    <w:rsid w:val="00C03D5A"/>
    <w:rsid w:val="00C043E3"/>
    <w:rsid w:val="00C043E5"/>
    <w:rsid w:val="00C043F8"/>
    <w:rsid w:val="00C048FB"/>
    <w:rsid w:val="00C04A54"/>
    <w:rsid w:val="00C04BA8"/>
    <w:rsid w:val="00C04BD1"/>
    <w:rsid w:val="00C04C06"/>
    <w:rsid w:val="00C04EA4"/>
    <w:rsid w:val="00C05179"/>
    <w:rsid w:val="00C05306"/>
    <w:rsid w:val="00C053FC"/>
    <w:rsid w:val="00C0541B"/>
    <w:rsid w:val="00C0542F"/>
    <w:rsid w:val="00C0547F"/>
    <w:rsid w:val="00C0559D"/>
    <w:rsid w:val="00C0575D"/>
    <w:rsid w:val="00C05A91"/>
    <w:rsid w:val="00C05F77"/>
    <w:rsid w:val="00C06B17"/>
    <w:rsid w:val="00C06CF2"/>
    <w:rsid w:val="00C06E5B"/>
    <w:rsid w:val="00C0716B"/>
    <w:rsid w:val="00C074F2"/>
    <w:rsid w:val="00C07839"/>
    <w:rsid w:val="00C10515"/>
    <w:rsid w:val="00C10B53"/>
    <w:rsid w:val="00C1101C"/>
    <w:rsid w:val="00C11245"/>
    <w:rsid w:val="00C11258"/>
    <w:rsid w:val="00C114B6"/>
    <w:rsid w:val="00C117AF"/>
    <w:rsid w:val="00C1193A"/>
    <w:rsid w:val="00C11B10"/>
    <w:rsid w:val="00C11DF4"/>
    <w:rsid w:val="00C11E83"/>
    <w:rsid w:val="00C12817"/>
    <w:rsid w:val="00C12853"/>
    <w:rsid w:val="00C12CE5"/>
    <w:rsid w:val="00C12F61"/>
    <w:rsid w:val="00C13073"/>
    <w:rsid w:val="00C1316B"/>
    <w:rsid w:val="00C131DC"/>
    <w:rsid w:val="00C13271"/>
    <w:rsid w:val="00C13287"/>
    <w:rsid w:val="00C1361F"/>
    <w:rsid w:val="00C1375A"/>
    <w:rsid w:val="00C138E2"/>
    <w:rsid w:val="00C13996"/>
    <w:rsid w:val="00C13A88"/>
    <w:rsid w:val="00C13B46"/>
    <w:rsid w:val="00C14445"/>
    <w:rsid w:val="00C1468F"/>
    <w:rsid w:val="00C14AA8"/>
    <w:rsid w:val="00C14DCD"/>
    <w:rsid w:val="00C15899"/>
    <w:rsid w:val="00C15E54"/>
    <w:rsid w:val="00C15F75"/>
    <w:rsid w:val="00C16136"/>
    <w:rsid w:val="00C16193"/>
    <w:rsid w:val="00C1656B"/>
    <w:rsid w:val="00C166B3"/>
    <w:rsid w:val="00C1691B"/>
    <w:rsid w:val="00C169D6"/>
    <w:rsid w:val="00C16ED2"/>
    <w:rsid w:val="00C171D8"/>
    <w:rsid w:val="00C17617"/>
    <w:rsid w:val="00C17B1E"/>
    <w:rsid w:val="00C20313"/>
    <w:rsid w:val="00C20720"/>
    <w:rsid w:val="00C207BF"/>
    <w:rsid w:val="00C20C15"/>
    <w:rsid w:val="00C20C1C"/>
    <w:rsid w:val="00C20CCB"/>
    <w:rsid w:val="00C20D64"/>
    <w:rsid w:val="00C2104F"/>
    <w:rsid w:val="00C21194"/>
    <w:rsid w:val="00C212B9"/>
    <w:rsid w:val="00C2173E"/>
    <w:rsid w:val="00C2184D"/>
    <w:rsid w:val="00C21A6E"/>
    <w:rsid w:val="00C21EC9"/>
    <w:rsid w:val="00C21ED3"/>
    <w:rsid w:val="00C2223F"/>
    <w:rsid w:val="00C22BD3"/>
    <w:rsid w:val="00C22C92"/>
    <w:rsid w:val="00C23C95"/>
    <w:rsid w:val="00C244C3"/>
    <w:rsid w:val="00C24A5E"/>
    <w:rsid w:val="00C25298"/>
    <w:rsid w:val="00C25408"/>
    <w:rsid w:val="00C25B58"/>
    <w:rsid w:val="00C25B70"/>
    <w:rsid w:val="00C2604D"/>
    <w:rsid w:val="00C262E0"/>
    <w:rsid w:val="00C26440"/>
    <w:rsid w:val="00C267D6"/>
    <w:rsid w:val="00C2727B"/>
    <w:rsid w:val="00C2743F"/>
    <w:rsid w:val="00C27B04"/>
    <w:rsid w:val="00C27CC7"/>
    <w:rsid w:val="00C27F15"/>
    <w:rsid w:val="00C30338"/>
    <w:rsid w:val="00C30444"/>
    <w:rsid w:val="00C304D0"/>
    <w:rsid w:val="00C3083E"/>
    <w:rsid w:val="00C30BEF"/>
    <w:rsid w:val="00C3117F"/>
    <w:rsid w:val="00C314CB"/>
    <w:rsid w:val="00C31697"/>
    <w:rsid w:val="00C31876"/>
    <w:rsid w:val="00C31AF7"/>
    <w:rsid w:val="00C3202C"/>
    <w:rsid w:val="00C3228B"/>
    <w:rsid w:val="00C32306"/>
    <w:rsid w:val="00C326C9"/>
    <w:rsid w:val="00C329CD"/>
    <w:rsid w:val="00C329DD"/>
    <w:rsid w:val="00C32D86"/>
    <w:rsid w:val="00C32E04"/>
    <w:rsid w:val="00C33229"/>
    <w:rsid w:val="00C33451"/>
    <w:rsid w:val="00C33812"/>
    <w:rsid w:val="00C33BCD"/>
    <w:rsid w:val="00C33EF1"/>
    <w:rsid w:val="00C3424F"/>
    <w:rsid w:val="00C344F8"/>
    <w:rsid w:val="00C349CC"/>
    <w:rsid w:val="00C34BE7"/>
    <w:rsid w:val="00C34C6C"/>
    <w:rsid w:val="00C34E42"/>
    <w:rsid w:val="00C34F53"/>
    <w:rsid w:val="00C359FB"/>
    <w:rsid w:val="00C35A56"/>
    <w:rsid w:val="00C35E45"/>
    <w:rsid w:val="00C360D0"/>
    <w:rsid w:val="00C3662C"/>
    <w:rsid w:val="00C3679F"/>
    <w:rsid w:val="00C3690F"/>
    <w:rsid w:val="00C36DC0"/>
    <w:rsid w:val="00C375C7"/>
    <w:rsid w:val="00C375C9"/>
    <w:rsid w:val="00C37BF3"/>
    <w:rsid w:val="00C37EFF"/>
    <w:rsid w:val="00C40162"/>
    <w:rsid w:val="00C4021F"/>
    <w:rsid w:val="00C40261"/>
    <w:rsid w:val="00C40884"/>
    <w:rsid w:val="00C40A0A"/>
    <w:rsid w:val="00C40A1D"/>
    <w:rsid w:val="00C40ABD"/>
    <w:rsid w:val="00C40EC8"/>
    <w:rsid w:val="00C4115D"/>
    <w:rsid w:val="00C4128A"/>
    <w:rsid w:val="00C4166D"/>
    <w:rsid w:val="00C419C1"/>
    <w:rsid w:val="00C41D6F"/>
    <w:rsid w:val="00C420F0"/>
    <w:rsid w:val="00C4243B"/>
    <w:rsid w:val="00C424E7"/>
    <w:rsid w:val="00C42540"/>
    <w:rsid w:val="00C42758"/>
    <w:rsid w:val="00C42A7F"/>
    <w:rsid w:val="00C43162"/>
    <w:rsid w:val="00C434EF"/>
    <w:rsid w:val="00C43727"/>
    <w:rsid w:val="00C43C77"/>
    <w:rsid w:val="00C43D1F"/>
    <w:rsid w:val="00C43F9C"/>
    <w:rsid w:val="00C440B0"/>
    <w:rsid w:val="00C44691"/>
    <w:rsid w:val="00C4519C"/>
    <w:rsid w:val="00C45541"/>
    <w:rsid w:val="00C455F1"/>
    <w:rsid w:val="00C456A8"/>
    <w:rsid w:val="00C4575B"/>
    <w:rsid w:val="00C45B52"/>
    <w:rsid w:val="00C45BF2"/>
    <w:rsid w:val="00C460BD"/>
    <w:rsid w:val="00C460D4"/>
    <w:rsid w:val="00C46263"/>
    <w:rsid w:val="00C467F6"/>
    <w:rsid w:val="00C468E6"/>
    <w:rsid w:val="00C469A3"/>
    <w:rsid w:val="00C46CA1"/>
    <w:rsid w:val="00C46DA4"/>
    <w:rsid w:val="00C478D9"/>
    <w:rsid w:val="00C479F7"/>
    <w:rsid w:val="00C47E8C"/>
    <w:rsid w:val="00C5045F"/>
    <w:rsid w:val="00C50FDD"/>
    <w:rsid w:val="00C5176A"/>
    <w:rsid w:val="00C518A3"/>
    <w:rsid w:val="00C51BA7"/>
    <w:rsid w:val="00C51C72"/>
    <w:rsid w:val="00C5222D"/>
    <w:rsid w:val="00C526C7"/>
    <w:rsid w:val="00C529BE"/>
    <w:rsid w:val="00C52A0A"/>
    <w:rsid w:val="00C52E69"/>
    <w:rsid w:val="00C5349D"/>
    <w:rsid w:val="00C536E2"/>
    <w:rsid w:val="00C53D12"/>
    <w:rsid w:val="00C54C07"/>
    <w:rsid w:val="00C54EC1"/>
    <w:rsid w:val="00C5557F"/>
    <w:rsid w:val="00C55B90"/>
    <w:rsid w:val="00C55EAD"/>
    <w:rsid w:val="00C56025"/>
    <w:rsid w:val="00C5642D"/>
    <w:rsid w:val="00C56898"/>
    <w:rsid w:val="00C569EC"/>
    <w:rsid w:val="00C569F1"/>
    <w:rsid w:val="00C56F05"/>
    <w:rsid w:val="00C57418"/>
    <w:rsid w:val="00C574F2"/>
    <w:rsid w:val="00C57558"/>
    <w:rsid w:val="00C57820"/>
    <w:rsid w:val="00C57CC3"/>
    <w:rsid w:val="00C57E02"/>
    <w:rsid w:val="00C60B38"/>
    <w:rsid w:val="00C60C1B"/>
    <w:rsid w:val="00C60D10"/>
    <w:rsid w:val="00C60F58"/>
    <w:rsid w:val="00C615C9"/>
    <w:rsid w:val="00C61978"/>
    <w:rsid w:val="00C61D5F"/>
    <w:rsid w:val="00C61E0D"/>
    <w:rsid w:val="00C61E11"/>
    <w:rsid w:val="00C62050"/>
    <w:rsid w:val="00C623B7"/>
    <w:rsid w:val="00C6270D"/>
    <w:rsid w:val="00C627FC"/>
    <w:rsid w:val="00C62A5E"/>
    <w:rsid w:val="00C63299"/>
    <w:rsid w:val="00C6345A"/>
    <w:rsid w:val="00C63712"/>
    <w:rsid w:val="00C63724"/>
    <w:rsid w:val="00C63B25"/>
    <w:rsid w:val="00C64218"/>
    <w:rsid w:val="00C64CFA"/>
    <w:rsid w:val="00C64FB7"/>
    <w:rsid w:val="00C65244"/>
    <w:rsid w:val="00C65436"/>
    <w:rsid w:val="00C654AD"/>
    <w:rsid w:val="00C656B1"/>
    <w:rsid w:val="00C658B4"/>
    <w:rsid w:val="00C65952"/>
    <w:rsid w:val="00C65D70"/>
    <w:rsid w:val="00C65E55"/>
    <w:rsid w:val="00C65F05"/>
    <w:rsid w:val="00C661B2"/>
    <w:rsid w:val="00C66E3E"/>
    <w:rsid w:val="00C66FEF"/>
    <w:rsid w:val="00C67360"/>
    <w:rsid w:val="00C6739E"/>
    <w:rsid w:val="00C6768D"/>
    <w:rsid w:val="00C679A0"/>
    <w:rsid w:val="00C67E51"/>
    <w:rsid w:val="00C702F7"/>
    <w:rsid w:val="00C70ECD"/>
    <w:rsid w:val="00C710D0"/>
    <w:rsid w:val="00C713B9"/>
    <w:rsid w:val="00C71722"/>
    <w:rsid w:val="00C71B8B"/>
    <w:rsid w:val="00C71D56"/>
    <w:rsid w:val="00C71F1C"/>
    <w:rsid w:val="00C72873"/>
    <w:rsid w:val="00C72956"/>
    <w:rsid w:val="00C729B2"/>
    <w:rsid w:val="00C72A6F"/>
    <w:rsid w:val="00C72B84"/>
    <w:rsid w:val="00C72C26"/>
    <w:rsid w:val="00C72D3B"/>
    <w:rsid w:val="00C73137"/>
    <w:rsid w:val="00C73246"/>
    <w:rsid w:val="00C73723"/>
    <w:rsid w:val="00C738A1"/>
    <w:rsid w:val="00C739AA"/>
    <w:rsid w:val="00C739E2"/>
    <w:rsid w:val="00C7424C"/>
    <w:rsid w:val="00C74803"/>
    <w:rsid w:val="00C75F52"/>
    <w:rsid w:val="00C761E7"/>
    <w:rsid w:val="00C76694"/>
    <w:rsid w:val="00C76714"/>
    <w:rsid w:val="00C76CAF"/>
    <w:rsid w:val="00C774D0"/>
    <w:rsid w:val="00C7759D"/>
    <w:rsid w:val="00C77ABF"/>
    <w:rsid w:val="00C77CCA"/>
    <w:rsid w:val="00C77ECB"/>
    <w:rsid w:val="00C804D1"/>
    <w:rsid w:val="00C8067B"/>
    <w:rsid w:val="00C80CF8"/>
    <w:rsid w:val="00C80E13"/>
    <w:rsid w:val="00C8122F"/>
    <w:rsid w:val="00C81895"/>
    <w:rsid w:val="00C81C03"/>
    <w:rsid w:val="00C82884"/>
    <w:rsid w:val="00C82C9E"/>
    <w:rsid w:val="00C82E3A"/>
    <w:rsid w:val="00C82FD7"/>
    <w:rsid w:val="00C8336D"/>
    <w:rsid w:val="00C83485"/>
    <w:rsid w:val="00C83698"/>
    <w:rsid w:val="00C839D2"/>
    <w:rsid w:val="00C83BA9"/>
    <w:rsid w:val="00C83DCD"/>
    <w:rsid w:val="00C841EE"/>
    <w:rsid w:val="00C849AC"/>
    <w:rsid w:val="00C84A20"/>
    <w:rsid w:val="00C84C99"/>
    <w:rsid w:val="00C84FD2"/>
    <w:rsid w:val="00C84FF6"/>
    <w:rsid w:val="00C85481"/>
    <w:rsid w:val="00C85B53"/>
    <w:rsid w:val="00C85C00"/>
    <w:rsid w:val="00C85C85"/>
    <w:rsid w:val="00C85E1F"/>
    <w:rsid w:val="00C864AB"/>
    <w:rsid w:val="00C86CFD"/>
    <w:rsid w:val="00C87813"/>
    <w:rsid w:val="00C87B59"/>
    <w:rsid w:val="00C87BDE"/>
    <w:rsid w:val="00C87C66"/>
    <w:rsid w:val="00C87F65"/>
    <w:rsid w:val="00C90132"/>
    <w:rsid w:val="00C906BF"/>
    <w:rsid w:val="00C907CA"/>
    <w:rsid w:val="00C91B08"/>
    <w:rsid w:val="00C91DF5"/>
    <w:rsid w:val="00C92045"/>
    <w:rsid w:val="00C92304"/>
    <w:rsid w:val="00C923C7"/>
    <w:rsid w:val="00C92504"/>
    <w:rsid w:val="00C9255C"/>
    <w:rsid w:val="00C925D9"/>
    <w:rsid w:val="00C92BB2"/>
    <w:rsid w:val="00C92D6D"/>
    <w:rsid w:val="00C92D78"/>
    <w:rsid w:val="00C930C2"/>
    <w:rsid w:val="00C93635"/>
    <w:rsid w:val="00C93B65"/>
    <w:rsid w:val="00C93BA1"/>
    <w:rsid w:val="00C94621"/>
    <w:rsid w:val="00C94832"/>
    <w:rsid w:val="00C94907"/>
    <w:rsid w:val="00C94E43"/>
    <w:rsid w:val="00C94EEE"/>
    <w:rsid w:val="00C95027"/>
    <w:rsid w:val="00C958B0"/>
    <w:rsid w:val="00C95D32"/>
    <w:rsid w:val="00C962E6"/>
    <w:rsid w:val="00C9636B"/>
    <w:rsid w:val="00C963FB"/>
    <w:rsid w:val="00C9660C"/>
    <w:rsid w:val="00C967F2"/>
    <w:rsid w:val="00C96F33"/>
    <w:rsid w:val="00C975FC"/>
    <w:rsid w:val="00C97F46"/>
    <w:rsid w:val="00CA0524"/>
    <w:rsid w:val="00CA05D8"/>
    <w:rsid w:val="00CA1008"/>
    <w:rsid w:val="00CA1168"/>
    <w:rsid w:val="00CA146E"/>
    <w:rsid w:val="00CA1749"/>
    <w:rsid w:val="00CA1C39"/>
    <w:rsid w:val="00CA2050"/>
    <w:rsid w:val="00CA217D"/>
    <w:rsid w:val="00CA27BE"/>
    <w:rsid w:val="00CA27DB"/>
    <w:rsid w:val="00CA2D27"/>
    <w:rsid w:val="00CA30FA"/>
    <w:rsid w:val="00CA386D"/>
    <w:rsid w:val="00CA3CA9"/>
    <w:rsid w:val="00CA447C"/>
    <w:rsid w:val="00CA4590"/>
    <w:rsid w:val="00CA4DC9"/>
    <w:rsid w:val="00CA4E1B"/>
    <w:rsid w:val="00CA528A"/>
    <w:rsid w:val="00CA5B2D"/>
    <w:rsid w:val="00CA5D79"/>
    <w:rsid w:val="00CA5DF2"/>
    <w:rsid w:val="00CA63EF"/>
    <w:rsid w:val="00CA6468"/>
    <w:rsid w:val="00CA6E7C"/>
    <w:rsid w:val="00CA7068"/>
    <w:rsid w:val="00CA7D64"/>
    <w:rsid w:val="00CB00FA"/>
    <w:rsid w:val="00CB0176"/>
    <w:rsid w:val="00CB0776"/>
    <w:rsid w:val="00CB0A94"/>
    <w:rsid w:val="00CB1343"/>
    <w:rsid w:val="00CB1397"/>
    <w:rsid w:val="00CB160E"/>
    <w:rsid w:val="00CB1664"/>
    <w:rsid w:val="00CB18C4"/>
    <w:rsid w:val="00CB1932"/>
    <w:rsid w:val="00CB1994"/>
    <w:rsid w:val="00CB1C6D"/>
    <w:rsid w:val="00CB1CFB"/>
    <w:rsid w:val="00CB1D9A"/>
    <w:rsid w:val="00CB2400"/>
    <w:rsid w:val="00CB2418"/>
    <w:rsid w:val="00CB2444"/>
    <w:rsid w:val="00CB24BE"/>
    <w:rsid w:val="00CB3136"/>
    <w:rsid w:val="00CB330A"/>
    <w:rsid w:val="00CB351F"/>
    <w:rsid w:val="00CB35BA"/>
    <w:rsid w:val="00CB4416"/>
    <w:rsid w:val="00CB4F6A"/>
    <w:rsid w:val="00CB55E6"/>
    <w:rsid w:val="00CB5691"/>
    <w:rsid w:val="00CB60E1"/>
    <w:rsid w:val="00CB6207"/>
    <w:rsid w:val="00CB63D2"/>
    <w:rsid w:val="00CB6E49"/>
    <w:rsid w:val="00CB6EF7"/>
    <w:rsid w:val="00CB711E"/>
    <w:rsid w:val="00CB7556"/>
    <w:rsid w:val="00CB7E06"/>
    <w:rsid w:val="00CB7EED"/>
    <w:rsid w:val="00CC0122"/>
    <w:rsid w:val="00CC0945"/>
    <w:rsid w:val="00CC0B2A"/>
    <w:rsid w:val="00CC0F43"/>
    <w:rsid w:val="00CC11A2"/>
    <w:rsid w:val="00CC1216"/>
    <w:rsid w:val="00CC1AAC"/>
    <w:rsid w:val="00CC1B58"/>
    <w:rsid w:val="00CC1F2C"/>
    <w:rsid w:val="00CC2308"/>
    <w:rsid w:val="00CC239E"/>
    <w:rsid w:val="00CC2748"/>
    <w:rsid w:val="00CC2AC2"/>
    <w:rsid w:val="00CC32F5"/>
    <w:rsid w:val="00CC3361"/>
    <w:rsid w:val="00CC36AE"/>
    <w:rsid w:val="00CC3998"/>
    <w:rsid w:val="00CC3BB6"/>
    <w:rsid w:val="00CC3DC5"/>
    <w:rsid w:val="00CC4063"/>
    <w:rsid w:val="00CC4602"/>
    <w:rsid w:val="00CC4A43"/>
    <w:rsid w:val="00CC4D70"/>
    <w:rsid w:val="00CC5433"/>
    <w:rsid w:val="00CC57BC"/>
    <w:rsid w:val="00CC5C3B"/>
    <w:rsid w:val="00CC5F96"/>
    <w:rsid w:val="00CC5FE0"/>
    <w:rsid w:val="00CC603D"/>
    <w:rsid w:val="00CC62AF"/>
    <w:rsid w:val="00CC650F"/>
    <w:rsid w:val="00CC675F"/>
    <w:rsid w:val="00CC695C"/>
    <w:rsid w:val="00CC6D5F"/>
    <w:rsid w:val="00CC6D92"/>
    <w:rsid w:val="00CC7084"/>
    <w:rsid w:val="00CC7365"/>
    <w:rsid w:val="00CC768B"/>
    <w:rsid w:val="00CC7869"/>
    <w:rsid w:val="00CC7A79"/>
    <w:rsid w:val="00CC7E85"/>
    <w:rsid w:val="00CD003D"/>
    <w:rsid w:val="00CD0C62"/>
    <w:rsid w:val="00CD0F80"/>
    <w:rsid w:val="00CD168B"/>
    <w:rsid w:val="00CD1A42"/>
    <w:rsid w:val="00CD1D4D"/>
    <w:rsid w:val="00CD1EB6"/>
    <w:rsid w:val="00CD1F5B"/>
    <w:rsid w:val="00CD2695"/>
    <w:rsid w:val="00CD2843"/>
    <w:rsid w:val="00CD2A9E"/>
    <w:rsid w:val="00CD2E44"/>
    <w:rsid w:val="00CD302F"/>
    <w:rsid w:val="00CD33A1"/>
    <w:rsid w:val="00CD3A24"/>
    <w:rsid w:val="00CD3CCB"/>
    <w:rsid w:val="00CD3F00"/>
    <w:rsid w:val="00CD4686"/>
    <w:rsid w:val="00CD468A"/>
    <w:rsid w:val="00CD4E7E"/>
    <w:rsid w:val="00CD4F5A"/>
    <w:rsid w:val="00CD5437"/>
    <w:rsid w:val="00CD5487"/>
    <w:rsid w:val="00CD5AA2"/>
    <w:rsid w:val="00CD5C39"/>
    <w:rsid w:val="00CD5E6F"/>
    <w:rsid w:val="00CD5F66"/>
    <w:rsid w:val="00CD6641"/>
    <w:rsid w:val="00CD6760"/>
    <w:rsid w:val="00CD6916"/>
    <w:rsid w:val="00CD6EA6"/>
    <w:rsid w:val="00CD716D"/>
    <w:rsid w:val="00CD78D0"/>
    <w:rsid w:val="00CD7D39"/>
    <w:rsid w:val="00CD7F75"/>
    <w:rsid w:val="00CE0081"/>
    <w:rsid w:val="00CE016B"/>
    <w:rsid w:val="00CE0362"/>
    <w:rsid w:val="00CE048E"/>
    <w:rsid w:val="00CE064B"/>
    <w:rsid w:val="00CE0EB1"/>
    <w:rsid w:val="00CE1656"/>
    <w:rsid w:val="00CE1713"/>
    <w:rsid w:val="00CE1D91"/>
    <w:rsid w:val="00CE2064"/>
    <w:rsid w:val="00CE2597"/>
    <w:rsid w:val="00CE2623"/>
    <w:rsid w:val="00CE28C5"/>
    <w:rsid w:val="00CE2927"/>
    <w:rsid w:val="00CE2B59"/>
    <w:rsid w:val="00CE3827"/>
    <w:rsid w:val="00CE3E53"/>
    <w:rsid w:val="00CE3EFE"/>
    <w:rsid w:val="00CE404C"/>
    <w:rsid w:val="00CE4107"/>
    <w:rsid w:val="00CE4F37"/>
    <w:rsid w:val="00CE4FE3"/>
    <w:rsid w:val="00CE5229"/>
    <w:rsid w:val="00CE548F"/>
    <w:rsid w:val="00CE5C1E"/>
    <w:rsid w:val="00CE5F89"/>
    <w:rsid w:val="00CE64F2"/>
    <w:rsid w:val="00CE6694"/>
    <w:rsid w:val="00CE66BF"/>
    <w:rsid w:val="00CE6A98"/>
    <w:rsid w:val="00CE6AB0"/>
    <w:rsid w:val="00CE6DE3"/>
    <w:rsid w:val="00CE6E98"/>
    <w:rsid w:val="00CE6FFD"/>
    <w:rsid w:val="00CE76DD"/>
    <w:rsid w:val="00CE78BC"/>
    <w:rsid w:val="00CF01C1"/>
    <w:rsid w:val="00CF03BB"/>
    <w:rsid w:val="00CF0616"/>
    <w:rsid w:val="00CF0939"/>
    <w:rsid w:val="00CF116E"/>
    <w:rsid w:val="00CF11BE"/>
    <w:rsid w:val="00CF1409"/>
    <w:rsid w:val="00CF1C8D"/>
    <w:rsid w:val="00CF1D22"/>
    <w:rsid w:val="00CF1EEF"/>
    <w:rsid w:val="00CF2C59"/>
    <w:rsid w:val="00CF3323"/>
    <w:rsid w:val="00CF38B7"/>
    <w:rsid w:val="00CF3BA1"/>
    <w:rsid w:val="00CF3F54"/>
    <w:rsid w:val="00CF4542"/>
    <w:rsid w:val="00CF4599"/>
    <w:rsid w:val="00CF50D9"/>
    <w:rsid w:val="00CF511E"/>
    <w:rsid w:val="00CF5175"/>
    <w:rsid w:val="00CF57A6"/>
    <w:rsid w:val="00CF5D79"/>
    <w:rsid w:val="00CF61EE"/>
    <w:rsid w:val="00CF643E"/>
    <w:rsid w:val="00CF6542"/>
    <w:rsid w:val="00CF6586"/>
    <w:rsid w:val="00CF67B0"/>
    <w:rsid w:val="00CF716F"/>
    <w:rsid w:val="00CF766F"/>
    <w:rsid w:val="00CF78A2"/>
    <w:rsid w:val="00CF7A16"/>
    <w:rsid w:val="00CF7E31"/>
    <w:rsid w:val="00CF7EBB"/>
    <w:rsid w:val="00D000A7"/>
    <w:rsid w:val="00D002DC"/>
    <w:rsid w:val="00D00EF5"/>
    <w:rsid w:val="00D00FAE"/>
    <w:rsid w:val="00D0106B"/>
    <w:rsid w:val="00D0122F"/>
    <w:rsid w:val="00D012E1"/>
    <w:rsid w:val="00D014AA"/>
    <w:rsid w:val="00D01658"/>
    <w:rsid w:val="00D01B7C"/>
    <w:rsid w:val="00D0251D"/>
    <w:rsid w:val="00D027AC"/>
    <w:rsid w:val="00D02C2D"/>
    <w:rsid w:val="00D02D1B"/>
    <w:rsid w:val="00D02E78"/>
    <w:rsid w:val="00D03D21"/>
    <w:rsid w:val="00D03F7F"/>
    <w:rsid w:val="00D046B1"/>
    <w:rsid w:val="00D0488F"/>
    <w:rsid w:val="00D048D1"/>
    <w:rsid w:val="00D0493E"/>
    <w:rsid w:val="00D04961"/>
    <w:rsid w:val="00D04C6E"/>
    <w:rsid w:val="00D05217"/>
    <w:rsid w:val="00D05335"/>
    <w:rsid w:val="00D06987"/>
    <w:rsid w:val="00D06A3C"/>
    <w:rsid w:val="00D06BAB"/>
    <w:rsid w:val="00D06E2B"/>
    <w:rsid w:val="00D0713E"/>
    <w:rsid w:val="00D07376"/>
    <w:rsid w:val="00D07647"/>
    <w:rsid w:val="00D077A7"/>
    <w:rsid w:val="00D07B83"/>
    <w:rsid w:val="00D1013A"/>
    <w:rsid w:val="00D10C03"/>
    <w:rsid w:val="00D1128D"/>
    <w:rsid w:val="00D11735"/>
    <w:rsid w:val="00D119ED"/>
    <w:rsid w:val="00D1202B"/>
    <w:rsid w:val="00D120C1"/>
    <w:rsid w:val="00D12324"/>
    <w:rsid w:val="00D12407"/>
    <w:rsid w:val="00D12748"/>
    <w:rsid w:val="00D129B0"/>
    <w:rsid w:val="00D12D8E"/>
    <w:rsid w:val="00D131F3"/>
    <w:rsid w:val="00D131FC"/>
    <w:rsid w:val="00D13422"/>
    <w:rsid w:val="00D134C8"/>
    <w:rsid w:val="00D13BE3"/>
    <w:rsid w:val="00D13CD2"/>
    <w:rsid w:val="00D13D16"/>
    <w:rsid w:val="00D143B2"/>
    <w:rsid w:val="00D1487F"/>
    <w:rsid w:val="00D15114"/>
    <w:rsid w:val="00D1576A"/>
    <w:rsid w:val="00D15CED"/>
    <w:rsid w:val="00D15DEC"/>
    <w:rsid w:val="00D162F7"/>
    <w:rsid w:val="00D167F7"/>
    <w:rsid w:val="00D16AC2"/>
    <w:rsid w:val="00D16C03"/>
    <w:rsid w:val="00D16C61"/>
    <w:rsid w:val="00D16EB4"/>
    <w:rsid w:val="00D16F4B"/>
    <w:rsid w:val="00D171CB"/>
    <w:rsid w:val="00D20576"/>
    <w:rsid w:val="00D206B9"/>
    <w:rsid w:val="00D206E0"/>
    <w:rsid w:val="00D20712"/>
    <w:rsid w:val="00D207ED"/>
    <w:rsid w:val="00D20C20"/>
    <w:rsid w:val="00D20DD1"/>
    <w:rsid w:val="00D20F30"/>
    <w:rsid w:val="00D2112A"/>
    <w:rsid w:val="00D2165F"/>
    <w:rsid w:val="00D21A42"/>
    <w:rsid w:val="00D21E4B"/>
    <w:rsid w:val="00D21E76"/>
    <w:rsid w:val="00D21F63"/>
    <w:rsid w:val="00D220E8"/>
    <w:rsid w:val="00D2239A"/>
    <w:rsid w:val="00D22666"/>
    <w:rsid w:val="00D22754"/>
    <w:rsid w:val="00D23111"/>
    <w:rsid w:val="00D23438"/>
    <w:rsid w:val="00D23B8D"/>
    <w:rsid w:val="00D24205"/>
    <w:rsid w:val="00D2463C"/>
    <w:rsid w:val="00D24698"/>
    <w:rsid w:val="00D24831"/>
    <w:rsid w:val="00D24E20"/>
    <w:rsid w:val="00D25346"/>
    <w:rsid w:val="00D256E8"/>
    <w:rsid w:val="00D25A0F"/>
    <w:rsid w:val="00D25D96"/>
    <w:rsid w:val="00D2645D"/>
    <w:rsid w:val="00D264C3"/>
    <w:rsid w:val="00D26781"/>
    <w:rsid w:val="00D26A69"/>
    <w:rsid w:val="00D276AB"/>
    <w:rsid w:val="00D27815"/>
    <w:rsid w:val="00D27E95"/>
    <w:rsid w:val="00D30132"/>
    <w:rsid w:val="00D3057B"/>
    <w:rsid w:val="00D30CA7"/>
    <w:rsid w:val="00D30DF7"/>
    <w:rsid w:val="00D30DFB"/>
    <w:rsid w:val="00D3106E"/>
    <w:rsid w:val="00D31DAC"/>
    <w:rsid w:val="00D3247C"/>
    <w:rsid w:val="00D32502"/>
    <w:rsid w:val="00D32660"/>
    <w:rsid w:val="00D328D2"/>
    <w:rsid w:val="00D3314D"/>
    <w:rsid w:val="00D3320B"/>
    <w:rsid w:val="00D3371F"/>
    <w:rsid w:val="00D3378E"/>
    <w:rsid w:val="00D33A11"/>
    <w:rsid w:val="00D33BB7"/>
    <w:rsid w:val="00D33BE1"/>
    <w:rsid w:val="00D33D08"/>
    <w:rsid w:val="00D33D47"/>
    <w:rsid w:val="00D3416B"/>
    <w:rsid w:val="00D345E9"/>
    <w:rsid w:val="00D3492E"/>
    <w:rsid w:val="00D34E4A"/>
    <w:rsid w:val="00D3520E"/>
    <w:rsid w:val="00D3521C"/>
    <w:rsid w:val="00D35276"/>
    <w:rsid w:val="00D35522"/>
    <w:rsid w:val="00D35AE0"/>
    <w:rsid w:val="00D3605D"/>
    <w:rsid w:val="00D361A3"/>
    <w:rsid w:val="00D36C89"/>
    <w:rsid w:val="00D36C9B"/>
    <w:rsid w:val="00D37006"/>
    <w:rsid w:val="00D372C8"/>
    <w:rsid w:val="00D374A7"/>
    <w:rsid w:val="00D37AC5"/>
    <w:rsid w:val="00D37DBA"/>
    <w:rsid w:val="00D407B2"/>
    <w:rsid w:val="00D41084"/>
    <w:rsid w:val="00D410B2"/>
    <w:rsid w:val="00D41464"/>
    <w:rsid w:val="00D41623"/>
    <w:rsid w:val="00D4180C"/>
    <w:rsid w:val="00D41923"/>
    <w:rsid w:val="00D41A2C"/>
    <w:rsid w:val="00D41A74"/>
    <w:rsid w:val="00D41BFC"/>
    <w:rsid w:val="00D41C7A"/>
    <w:rsid w:val="00D41C8B"/>
    <w:rsid w:val="00D41E7C"/>
    <w:rsid w:val="00D42048"/>
    <w:rsid w:val="00D42075"/>
    <w:rsid w:val="00D42489"/>
    <w:rsid w:val="00D42583"/>
    <w:rsid w:val="00D4281B"/>
    <w:rsid w:val="00D42C49"/>
    <w:rsid w:val="00D42D2D"/>
    <w:rsid w:val="00D42E3E"/>
    <w:rsid w:val="00D4370B"/>
    <w:rsid w:val="00D43A8A"/>
    <w:rsid w:val="00D43B22"/>
    <w:rsid w:val="00D43FFC"/>
    <w:rsid w:val="00D4422C"/>
    <w:rsid w:val="00D4494D"/>
    <w:rsid w:val="00D44CFC"/>
    <w:rsid w:val="00D45CDC"/>
    <w:rsid w:val="00D47957"/>
    <w:rsid w:val="00D47BB4"/>
    <w:rsid w:val="00D500BA"/>
    <w:rsid w:val="00D503D5"/>
    <w:rsid w:val="00D508D4"/>
    <w:rsid w:val="00D5093E"/>
    <w:rsid w:val="00D50BCE"/>
    <w:rsid w:val="00D51B8E"/>
    <w:rsid w:val="00D523CE"/>
    <w:rsid w:val="00D52567"/>
    <w:rsid w:val="00D5268F"/>
    <w:rsid w:val="00D5328A"/>
    <w:rsid w:val="00D536FE"/>
    <w:rsid w:val="00D53812"/>
    <w:rsid w:val="00D540DD"/>
    <w:rsid w:val="00D544CC"/>
    <w:rsid w:val="00D54505"/>
    <w:rsid w:val="00D54810"/>
    <w:rsid w:val="00D5530A"/>
    <w:rsid w:val="00D55355"/>
    <w:rsid w:val="00D5545A"/>
    <w:rsid w:val="00D554F6"/>
    <w:rsid w:val="00D557D8"/>
    <w:rsid w:val="00D55CB2"/>
    <w:rsid w:val="00D561A5"/>
    <w:rsid w:val="00D56895"/>
    <w:rsid w:val="00D5692E"/>
    <w:rsid w:val="00D56D89"/>
    <w:rsid w:val="00D578A2"/>
    <w:rsid w:val="00D57C6C"/>
    <w:rsid w:val="00D60344"/>
    <w:rsid w:val="00D60EAC"/>
    <w:rsid w:val="00D61017"/>
    <w:rsid w:val="00D61165"/>
    <w:rsid w:val="00D61438"/>
    <w:rsid w:val="00D61E27"/>
    <w:rsid w:val="00D625F8"/>
    <w:rsid w:val="00D63798"/>
    <w:rsid w:val="00D638B4"/>
    <w:rsid w:val="00D6407D"/>
    <w:rsid w:val="00D643B5"/>
    <w:rsid w:val="00D643D8"/>
    <w:rsid w:val="00D643F6"/>
    <w:rsid w:val="00D644A0"/>
    <w:rsid w:val="00D648FA"/>
    <w:rsid w:val="00D64E48"/>
    <w:rsid w:val="00D65DB5"/>
    <w:rsid w:val="00D6601B"/>
    <w:rsid w:val="00D662E4"/>
    <w:rsid w:val="00D66528"/>
    <w:rsid w:val="00D66DF3"/>
    <w:rsid w:val="00D6755D"/>
    <w:rsid w:val="00D67996"/>
    <w:rsid w:val="00D67DC5"/>
    <w:rsid w:val="00D702EA"/>
    <w:rsid w:val="00D704FD"/>
    <w:rsid w:val="00D70903"/>
    <w:rsid w:val="00D70AAB"/>
    <w:rsid w:val="00D70C6B"/>
    <w:rsid w:val="00D70FEE"/>
    <w:rsid w:val="00D710C4"/>
    <w:rsid w:val="00D7128A"/>
    <w:rsid w:val="00D720B4"/>
    <w:rsid w:val="00D72484"/>
    <w:rsid w:val="00D72516"/>
    <w:rsid w:val="00D72518"/>
    <w:rsid w:val="00D72A06"/>
    <w:rsid w:val="00D72C5A"/>
    <w:rsid w:val="00D72E04"/>
    <w:rsid w:val="00D734AF"/>
    <w:rsid w:val="00D735EB"/>
    <w:rsid w:val="00D73726"/>
    <w:rsid w:val="00D73DF2"/>
    <w:rsid w:val="00D74178"/>
    <w:rsid w:val="00D743FA"/>
    <w:rsid w:val="00D7456C"/>
    <w:rsid w:val="00D74F35"/>
    <w:rsid w:val="00D75316"/>
    <w:rsid w:val="00D75BD8"/>
    <w:rsid w:val="00D76479"/>
    <w:rsid w:val="00D76997"/>
    <w:rsid w:val="00D76A82"/>
    <w:rsid w:val="00D76CF0"/>
    <w:rsid w:val="00D773D1"/>
    <w:rsid w:val="00D774CF"/>
    <w:rsid w:val="00D77670"/>
    <w:rsid w:val="00D77747"/>
    <w:rsid w:val="00D77B0F"/>
    <w:rsid w:val="00D77E8E"/>
    <w:rsid w:val="00D77F99"/>
    <w:rsid w:val="00D8083E"/>
    <w:rsid w:val="00D80952"/>
    <w:rsid w:val="00D80EEF"/>
    <w:rsid w:val="00D8160C"/>
    <w:rsid w:val="00D8199A"/>
    <w:rsid w:val="00D828FE"/>
    <w:rsid w:val="00D82E9E"/>
    <w:rsid w:val="00D8319F"/>
    <w:rsid w:val="00D831FF"/>
    <w:rsid w:val="00D83480"/>
    <w:rsid w:val="00D83AE7"/>
    <w:rsid w:val="00D83C16"/>
    <w:rsid w:val="00D83E05"/>
    <w:rsid w:val="00D84062"/>
    <w:rsid w:val="00D842DA"/>
    <w:rsid w:val="00D84975"/>
    <w:rsid w:val="00D84C3E"/>
    <w:rsid w:val="00D85192"/>
    <w:rsid w:val="00D8531C"/>
    <w:rsid w:val="00D85D02"/>
    <w:rsid w:val="00D85DC2"/>
    <w:rsid w:val="00D86239"/>
    <w:rsid w:val="00D8630F"/>
    <w:rsid w:val="00D86420"/>
    <w:rsid w:val="00D8699A"/>
    <w:rsid w:val="00D86F31"/>
    <w:rsid w:val="00D87983"/>
    <w:rsid w:val="00D902C9"/>
    <w:rsid w:val="00D9090A"/>
    <w:rsid w:val="00D91169"/>
    <w:rsid w:val="00D9263A"/>
    <w:rsid w:val="00D92B2C"/>
    <w:rsid w:val="00D92BC4"/>
    <w:rsid w:val="00D930BE"/>
    <w:rsid w:val="00D93118"/>
    <w:rsid w:val="00D934FC"/>
    <w:rsid w:val="00D937AF"/>
    <w:rsid w:val="00D93C2C"/>
    <w:rsid w:val="00D940F4"/>
    <w:rsid w:val="00D942D3"/>
    <w:rsid w:val="00D94601"/>
    <w:rsid w:val="00D94CE8"/>
    <w:rsid w:val="00D951D3"/>
    <w:rsid w:val="00D955AE"/>
    <w:rsid w:val="00D9566A"/>
    <w:rsid w:val="00D95810"/>
    <w:rsid w:val="00D95B3A"/>
    <w:rsid w:val="00D95B7D"/>
    <w:rsid w:val="00D95C82"/>
    <w:rsid w:val="00D9607A"/>
    <w:rsid w:val="00D96203"/>
    <w:rsid w:val="00D965FC"/>
    <w:rsid w:val="00D968C3"/>
    <w:rsid w:val="00D96F54"/>
    <w:rsid w:val="00D973CC"/>
    <w:rsid w:val="00D97767"/>
    <w:rsid w:val="00D97D3D"/>
    <w:rsid w:val="00DA0022"/>
    <w:rsid w:val="00DA04AE"/>
    <w:rsid w:val="00DA05CC"/>
    <w:rsid w:val="00DA107E"/>
    <w:rsid w:val="00DA121E"/>
    <w:rsid w:val="00DA1560"/>
    <w:rsid w:val="00DA16B0"/>
    <w:rsid w:val="00DA2446"/>
    <w:rsid w:val="00DA24FD"/>
    <w:rsid w:val="00DA28A1"/>
    <w:rsid w:val="00DA2921"/>
    <w:rsid w:val="00DA38E2"/>
    <w:rsid w:val="00DA3CCC"/>
    <w:rsid w:val="00DA3FF2"/>
    <w:rsid w:val="00DA46A3"/>
    <w:rsid w:val="00DA46C2"/>
    <w:rsid w:val="00DA4AE6"/>
    <w:rsid w:val="00DA5084"/>
    <w:rsid w:val="00DA54B3"/>
    <w:rsid w:val="00DA56CD"/>
    <w:rsid w:val="00DA5A13"/>
    <w:rsid w:val="00DA5FB6"/>
    <w:rsid w:val="00DA631F"/>
    <w:rsid w:val="00DA6612"/>
    <w:rsid w:val="00DA6687"/>
    <w:rsid w:val="00DA6897"/>
    <w:rsid w:val="00DA6CD1"/>
    <w:rsid w:val="00DA6D92"/>
    <w:rsid w:val="00DA7E72"/>
    <w:rsid w:val="00DB02AB"/>
    <w:rsid w:val="00DB03D6"/>
    <w:rsid w:val="00DB04E6"/>
    <w:rsid w:val="00DB0546"/>
    <w:rsid w:val="00DB07D9"/>
    <w:rsid w:val="00DB08C1"/>
    <w:rsid w:val="00DB124B"/>
    <w:rsid w:val="00DB235A"/>
    <w:rsid w:val="00DB261E"/>
    <w:rsid w:val="00DB3831"/>
    <w:rsid w:val="00DB3892"/>
    <w:rsid w:val="00DB390D"/>
    <w:rsid w:val="00DB3DF1"/>
    <w:rsid w:val="00DB3E8B"/>
    <w:rsid w:val="00DB4005"/>
    <w:rsid w:val="00DB4065"/>
    <w:rsid w:val="00DB4639"/>
    <w:rsid w:val="00DB49DD"/>
    <w:rsid w:val="00DB50F9"/>
    <w:rsid w:val="00DB5505"/>
    <w:rsid w:val="00DB642F"/>
    <w:rsid w:val="00DB676F"/>
    <w:rsid w:val="00DB67C9"/>
    <w:rsid w:val="00DB7343"/>
    <w:rsid w:val="00DB7385"/>
    <w:rsid w:val="00DB7426"/>
    <w:rsid w:val="00DB7C9D"/>
    <w:rsid w:val="00DB7CE5"/>
    <w:rsid w:val="00DC0359"/>
    <w:rsid w:val="00DC04CE"/>
    <w:rsid w:val="00DC05FC"/>
    <w:rsid w:val="00DC08E8"/>
    <w:rsid w:val="00DC0B01"/>
    <w:rsid w:val="00DC0C91"/>
    <w:rsid w:val="00DC1858"/>
    <w:rsid w:val="00DC1A03"/>
    <w:rsid w:val="00DC1F31"/>
    <w:rsid w:val="00DC236D"/>
    <w:rsid w:val="00DC24E6"/>
    <w:rsid w:val="00DC24F0"/>
    <w:rsid w:val="00DC2E75"/>
    <w:rsid w:val="00DC2F9A"/>
    <w:rsid w:val="00DC35C9"/>
    <w:rsid w:val="00DC3686"/>
    <w:rsid w:val="00DC3ABB"/>
    <w:rsid w:val="00DC3B3F"/>
    <w:rsid w:val="00DC4077"/>
    <w:rsid w:val="00DC4410"/>
    <w:rsid w:val="00DC460B"/>
    <w:rsid w:val="00DC48F7"/>
    <w:rsid w:val="00DC49AF"/>
    <w:rsid w:val="00DC5670"/>
    <w:rsid w:val="00DC5700"/>
    <w:rsid w:val="00DC603F"/>
    <w:rsid w:val="00DC647A"/>
    <w:rsid w:val="00DC6560"/>
    <w:rsid w:val="00DC69C0"/>
    <w:rsid w:val="00DC6D75"/>
    <w:rsid w:val="00DC6E12"/>
    <w:rsid w:val="00DC6FDA"/>
    <w:rsid w:val="00DC73D3"/>
    <w:rsid w:val="00DC74B7"/>
    <w:rsid w:val="00DC74EF"/>
    <w:rsid w:val="00DC751B"/>
    <w:rsid w:val="00DC794F"/>
    <w:rsid w:val="00DC7CA6"/>
    <w:rsid w:val="00DC7D2B"/>
    <w:rsid w:val="00DD0ABB"/>
    <w:rsid w:val="00DD0CF8"/>
    <w:rsid w:val="00DD1079"/>
    <w:rsid w:val="00DD12A4"/>
    <w:rsid w:val="00DD146F"/>
    <w:rsid w:val="00DD14E4"/>
    <w:rsid w:val="00DD17BC"/>
    <w:rsid w:val="00DD1B9F"/>
    <w:rsid w:val="00DD24D2"/>
    <w:rsid w:val="00DD2A3A"/>
    <w:rsid w:val="00DD30B2"/>
    <w:rsid w:val="00DD32CB"/>
    <w:rsid w:val="00DD3351"/>
    <w:rsid w:val="00DD3600"/>
    <w:rsid w:val="00DD36CA"/>
    <w:rsid w:val="00DD39D5"/>
    <w:rsid w:val="00DD41E4"/>
    <w:rsid w:val="00DD43C3"/>
    <w:rsid w:val="00DD4AF9"/>
    <w:rsid w:val="00DD4D57"/>
    <w:rsid w:val="00DD515E"/>
    <w:rsid w:val="00DD534A"/>
    <w:rsid w:val="00DD552B"/>
    <w:rsid w:val="00DD5532"/>
    <w:rsid w:val="00DD560A"/>
    <w:rsid w:val="00DD5B9A"/>
    <w:rsid w:val="00DD5D88"/>
    <w:rsid w:val="00DD629F"/>
    <w:rsid w:val="00DD63A3"/>
    <w:rsid w:val="00DD6582"/>
    <w:rsid w:val="00DD6A16"/>
    <w:rsid w:val="00DD7630"/>
    <w:rsid w:val="00DD7689"/>
    <w:rsid w:val="00DD76CF"/>
    <w:rsid w:val="00DD780D"/>
    <w:rsid w:val="00DD78E3"/>
    <w:rsid w:val="00DD79F8"/>
    <w:rsid w:val="00DD7BB8"/>
    <w:rsid w:val="00DE03FF"/>
    <w:rsid w:val="00DE04B9"/>
    <w:rsid w:val="00DE0725"/>
    <w:rsid w:val="00DE0F66"/>
    <w:rsid w:val="00DE1128"/>
    <w:rsid w:val="00DE123F"/>
    <w:rsid w:val="00DE1340"/>
    <w:rsid w:val="00DE1774"/>
    <w:rsid w:val="00DE18D6"/>
    <w:rsid w:val="00DE1A7D"/>
    <w:rsid w:val="00DE1B22"/>
    <w:rsid w:val="00DE22CF"/>
    <w:rsid w:val="00DE246F"/>
    <w:rsid w:val="00DE285E"/>
    <w:rsid w:val="00DE2B70"/>
    <w:rsid w:val="00DE2D32"/>
    <w:rsid w:val="00DE2DFB"/>
    <w:rsid w:val="00DE3285"/>
    <w:rsid w:val="00DE3A7E"/>
    <w:rsid w:val="00DE3F8D"/>
    <w:rsid w:val="00DE42BC"/>
    <w:rsid w:val="00DE4378"/>
    <w:rsid w:val="00DE43B1"/>
    <w:rsid w:val="00DE46AC"/>
    <w:rsid w:val="00DE4AB5"/>
    <w:rsid w:val="00DE4AF9"/>
    <w:rsid w:val="00DE4C2A"/>
    <w:rsid w:val="00DE4CA4"/>
    <w:rsid w:val="00DE4F74"/>
    <w:rsid w:val="00DE57E5"/>
    <w:rsid w:val="00DE58EE"/>
    <w:rsid w:val="00DE599B"/>
    <w:rsid w:val="00DE5A5F"/>
    <w:rsid w:val="00DE5A74"/>
    <w:rsid w:val="00DE5CBA"/>
    <w:rsid w:val="00DE5DD8"/>
    <w:rsid w:val="00DE5EC6"/>
    <w:rsid w:val="00DE5F90"/>
    <w:rsid w:val="00DE6237"/>
    <w:rsid w:val="00DE6430"/>
    <w:rsid w:val="00DE65FC"/>
    <w:rsid w:val="00DE6780"/>
    <w:rsid w:val="00DE6C21"/>
    <w:rsid w:val="00DE7856"/>
    <w:rsid w:val="00DE7924"/>
    <w:rsid w:val="00DE7D0A"/>
    <w:rsid w:val="00DF088F"/>
    <w:rsid w:val="00DF0C19"/>
    <w:rsid w:val="00DF1141"/>
    <w:rsid w:val="00DF12F8"/>
    <w:rsid w:val="00DF1738"/>
    <w:rsid w:val="00DF1CAA"/>
    <w:rsid w:val="00DF200B"/>
    <w:rsid w:val="00DF2520"/>
    <w:rsid w:val="00DF2961"/>
    <w:rsid w:val="00DF3533"/>
    <w:rsid w:val="00DF35DB"/>
    <w:rsid w:val="00DF40D6"/>
    <w:rsid w:val="00DF4208"/>
    <w:rsid w:val="00DF4285"/>
    <w:rsid w:val="00DF4928"/>
    <w:rsid w:val="00DF4A1B"/>
    <w:rsid w:val="00DF4A4E"/>
    <w:rsid w:val="00DF4A72"/>
    <w:rsid w:val="00DF4BC1"/>
    <w:rsid w:val="00DF5A6A"/>
    <w:rsid w:val="00DF5D85"/>
    <w:rsid w:val="00DF5E32"/>
    <w:rsid w:val="00DF6387"/>
    <w:rsid w:val="00DF64F0"/>
    <w:rsid w:val="00DF68BA"/>
    <w:rsid w:val="00DF6D23"/>
    <w:rsid w:val="00DF6EAC"/>
    <w:rsid w:val="00DF7117"/>
    <w:rsid w:val="00DF7A6C"/>
    <w:rsid w:val="00DF7A79"/>
    <w:rsid w:val="00DF7A9D"/>
    <w:rsid w:val="00DF7B94"/>
    <w:rsid w:val="00E002FE"/>
    <w:rsid w:val="00E00402"/>
    <w:rsid w:val="00E004C5"/>
    <w:rsid w:val="00E00BBC"/>
    <w:rsid w:val="00E00C1A"/>
    <w:rsid w:val="00E00CA0"/>
    <w:rsid w:val="00E01065"/>
    <w:rsid w:val="00E02539"/>
    <w:rsid w:val="00E02792"/>
    <w:rsid w:val="00E02794"/>
    <w:rsid w:val="00E029A2"/>
    <w:rsid w:val="00E02B7A"/>
    <w:rsid w:val="00E0307A"/>
    <w:rsid w:val="00E03140"/>
    <w:rsid w:val="00E03D3A"/>
    <w:rsid w:val="00E041E4"/>
    <w:rsid w:val="00E04220"/>
    <w:rsid w:val="00E04768"/>
    <w:rsid w:val="00E049A3"/>
    <w:rsid w:val="00E04EBD"/>
    <w:rsid w:val="00E054A6"/>
    <w:rsid w:val="00E05970"/>
    <w:rsid w:val="00E06AC4"/>
    <w:rsid w:val="00E07031"/>
    <w:rsid w:val="00E07033"/>
    <w:rsid w:val="00E07240"/>
    <w:rsid w:val="00E0751F"/>
    <w:rsid w:val="00E07DDB"/>
    <w:rsid w:val="00E07E1B"/>
    <w:rsid w:val="00E100CB"/>
    <w:rsid w:val="00E10414"/>
    <w:rsid w:val="00E10952"/>
    <w:rsid w:val="00E10E78"/>
    <w:rsid w:val="00E10F5F"/>
    <w:rsid w:val="00E11126"/>
    <w:rsid w:val="00E11145"/>
    <w:rsid w:val="00E115BB"/>
    <w:rsid w:val="00E1164A"/>
    <w:rsid w:val="00E124F6"/>
    <w:rsid w:val="00E1290A"/>
    <w:rsid w:val="00E12A58"/>
    <w:rsid w:val="00E12DB8"/>
    <w:rsid w:val="00E12F21"/>
    <w:rsid w:val="00E13A89"/>
    <w:rsid w:val="00E1472C"/>
    <w:rsid w:val="00E14988"/>
    <w:rsid w:val="00E1520D"/>
    <w:rsid w:val="00E154D3"/>
    <w:rsid w:val="00E1589B"/>
    <w:rsid w:val="00E15C6C"/>
    <w:rsid w:val="00E15D8F"/>
    <w:rsid w:val="00E15D9D"/>
    <w:rsid w:val="00E1638F"/>
    <w:rsid w:val="00E16737"/>
    <w:rsid w:val="00E16B3F"/>
    <w:rsid w:val="00E16D97"/>
    <w:rsid w:val="00E16DBC"/>
    <w:rsid w:val="00E17072"/>
    <w:rsid w:val="00E17117"/>
    <w:rsid w:val="00E17184"/>
    <w:rsid w:val="00E176B6"/>
    <w:rsid w:val="00E17800"/>
    <w:rsid w:val="00E17B6A"/>
    <w:rsid w:val="00E17C05"/>
    <w:rsid w:val="00E17ED4"/>
    <w:rsid w:val="00E2065F"/>
    <w:rsid w:val="00E20C3C"/>
    <w:rsid w:val="00E2103A"/>
    <w:rsid w:val="00E21276"/>
    <w:rsid w:val="00E2159A"/>
    <w:rsid w:val="00E21CA1"/>
    <w:rsid w:val="00E21D8E"/>
    <w:rsid w:val="00E22580"/>
    <w:rsid w:val="00E225FB"/>
    <w:rsid w:val="00E22774"/>
    <w:rsid w:val="00E22B01"/>
    <w:rsid w:val="00E22C42"/>
    <w:rsid w:val="00E22E39"/>
    <w:rsid w:val="00E23DA5"/>
    <w:rsid w:val="00E23EE0"/>
    <w:rsid w:val="00E23F33"/>
    <w:rsid w:val="00E2432F"/>
    <w:rsid w:val="00E24F78"/>
    <w:rsid w:val="00E25D89"/>
    <w:rsid w:val="00E25FB5"/>
    <w:rsid w:val="00E26170"/>
    <w:rsid w:val="00E26FC9"/>
    <w:rsid w:val="00E274FB"/>
    <w:rsid w:val="00E27869"/>
    <w:rsid w:val="00E30766"/>
    <w:rsid w:val="00E3091D"/>
    <w:rsid w:val="00E30B0E"/>
    <w:rsid w:val="00E30F5D"/>
    <w:rsid w:val="00E3110C"/>
    <w:rsid w:val="00E312F6"/>
    <w:rsid w:val="00E31916"/>
    <w:rsid w:val="00E319FF"/>
    <w:rsid w:val="00E31C9C"/>
    <w:rsid w:val="00E31D4C"/>
    <w:rsid w:val="00E3216D"/>
    <w:rsid w:val="00E3233B"/>
    <w:rsid w:val="00E325F8"/>
    <w:rsid w:val="00E32682"/>
    <w:rsid w:val="00E32A24"/>
    <w:rsid w:val="00E32C44"/>
    <w:rsid w:val="00E32C48"/>
    <w:rsid w:val="00E32CAD"/>
    <w:rsid w:val="00E32F06"/>
    <w:rsid w:val="00E3329A"/>
    <w:rsid w:val="00E33338"/>
    <w:rsid w:val="00E33568"/>
    <w:rsid w:val="00E337BE"/>
    <w:rsid w:val="00E33E0C"/>
    <w:rsid w:val="00E33FDF"/>
    <w:rsid w:val="00E34338"/>
    <w:rsid w:val="00E34698"/>
    <w:rsid w:val="00E3499C"/>
    <w:rsid w:val="00E349F3"/>
    <w:rsid w:val="00E3527D"/>
    <w:rsid w:val="00E36516"/>
    <w:rsid w:val="00E368BC"/>
    <w:rsid w:val="00E373C2"/>
    <w:rsid w:val="00E3786E"/>
    <w:rsid w:val="00E37D06"/>
    <w:rsid w:val="00E40574"/>
    <w:rsid w:val="00E40641"/>
    <w:rsid w:val="00E40B1E"/>
    <w:rsid w:val="00E40BE2"/>
    <w:rsid w:val="00E41088"/>
    <w:rsid w:val="00E412DC"/>
    <w:rsid w:val="00E4154E"/>
    <w:rsid w:val="00E41BC3"/>
    <w:rsid w:val="00E42647"/>
    <w:rsid w:val="00E427AF"/>
    <w:rsid w:val="00E42B17"/>
    <w:rsid w:val="00E42E6A"/>
    <w:rsid w:val="00E42FB4"/>
    <w:rsid w:val="00E430C9"/>
    <w:rsid w:val="00E4312C"/>
    <w:rsid w:val="00E4316B"/>
    <w:rsid w:val="00E4344E"/>
    <w:rsid w:val="00E43B64"/>
    <w:rsid w:val="00E44B9A"/>
    <w:rsid w:val="00E44FF1"/>
    <w:rsid w:val="00E450C6"/>
    <w:rsid w:val="00E45269"/>
    <w:rsid w:val="00E4584E"/>
    <w:rsid w:val="00E4587A"/>
    <w:rsid w:val="00E4607A"/>
    <w:rsid w:val="00E462B1"/>
    <w:rsid w:val="00E463E3"/>
    <w:rsid w:val="00E4640F"/>
    <w:rsid w:val="00E4653D"/>
    <w:rsid w:val="00E46B6F"/>
    <w:rsid w:val="00E470A2"/>
    <w:rsid w:val="00E47716"/>
    <w:rsid w:val="00E47D36"/>
    <w:rsid w:val="00E47D4D"/>
    <w:rsid w:val="00E47E55"/>
    <w:rsid w:val="00E50E58"/>
    <w:rsid w:val="00E50FDD"/>
    <w:rsid w:val="00E515F3"/>
    <w:rsid w:val="00E51F66"/>
    <w:rsid w:val="00E5247D"/>
    <w:rsid w:val="00E52F9B"/>
    <w:rsid w:val="00E53083"/>
    <w:rsid w:val="00E530AE"/>
    <w:rsid w:val="00E5336E"/>
    <w:rsid w:val="00E536E1"/>
    <w:rsid w:val="00E53717"/>
    <w:rsid w:val="00E53B05"/>
    <w:rsid w:val="00E53E6C"/>
    <w:rsid w:val="00E53EB1"/>
    <w:rsid w:val="00E54228"/>
    <w:rsid w:val="00E54C0A"/>
    <w:rsid w:val="00E54D2D"/>
    <w:rsid w:val="00E55118"/>
    <w:rsid w:val="00E555FC"/>
    <w:rsid w:val="00E55B40"/>
    <w:rsid w:val="00E56581"/>
    <w:rsid w:val="00E566B0"/>
    <w:rsid w:val="00E56C6F"/>
    <w:rsid w:val="00E56F8A"/>
    <w:rsid w:val="00E57926"/>
    <w:rsid w:val="00E57A1D"/>
    <w:rsid w:val="00E57B8F"/>
    <w:rsid w:val="00E57F1B"/>
    <w:rsid w:val="00E60289"/>
    <w:rsid w:val="00E60604"/>
    <w:rsid w:val="00E609ED"/>
    <w:rsid w:val="00E60A25"/>
    <w:rsid w:val="00E60F4D"/>
    <w:rsid w:val="00E61ABD"/>
    <w:rsid w:val="00E61E42"/>
    <w:rsid w:val="00E61E9F"/>
    <w:rsid w:val="00E61F90"/>
    <w:rsid w:val="00E622E2"/>
    <w:rsid w:val="00E6245C"/>
    <w:rsid w:val="00E625D7"/>
    <w:rsid w:val="00E6261E"/>
    <w:rsid w:val="00E6289A"/>
    <w:rsid w:val="00E62B7B"/>
    <w:rsid w:val="00E62F2E"/>
    <w:rsid w:val="00E63CFC"/>
    <w:rsid w:val="00E63FE2"/>
    <w:rsid w:val="00E64490"/>
    <w:rsid w:val="00E6460B"/>
    <w:rsid w:val="00E64944"/>
    <w:rsid w:val="00E64E68"/>
    <w:rsid w:val="00E651FE"/>
    <w:rsid w:val="00E652CF"/>
    <w:rsid w:val="00E65325"/>
    <w:rsid w:val="00E657BD"/>
    <w:rsid w:val="00E65BB6"/>
    <w:rsid w:val="00E65EB1"/>
    <w:rsid w:val="00E66008"/>
    <w:rsid w:val="00E6621A"/>
    <w:rsid w:val="00E66735"/>
    <w:rsid w:val="00E66AB2"/>
    <w:rsid w:val="00E66B9A"/>
    <w:rsid w:val="00E66D7B"/>
    <w:rsid w:val="00E67106"/>
    <w:rsid w:val="00E6765E"/>
    <w:rsid w:val="00E67D02"/>
    <w:rsid w:val="00E704A1"/>
    <w:rsid w:val="00E7053E"/>
    <w:rsid w:val="00E707A6"/>
    <w:rsid w:val="00E707DE"/>
    <w:rsid w:val="00E707E8"/>
    <w:rsid w:val="00E707F5"/>
    <w:rsid w:val="00E7094E"/>
    <w:rsid w:val="00E70ACE"/>
    <w:rsid w:val="00E7145B"/>
    <w:rsid w:val="00E71538"/>
    <w:rsid w:val="00E7180D"/>
    <w:rsid w:val="00E71A00"/>
    <w:rsid w:val="00E72038"/>
    <w:rsid w:val="00E72048"/>
    <w:rsid w:val="00E724A5"/>
    <w:rsid w:val="00E729CB"/>
    <w:rsid w:val="00E72CD8"/>
    <w:rsid w:val="00E72D19"/>
    <w:rsid w:val="00E73171"/>
    <w:rsid w:val="00E737B6"/>
    <w:rsid w:val="00E73CDB"/>
    <w:rsid w:val="00E73D2E"/>
    <w:rsid w:val="00E73EA2"/>
    <w:rsid w:val="00E73F66"/>
    <w:rsid w:val="00E740A6"/>
    <w:rsid w:val="00E744B9"/>
    <w:rsid w:val="00E7483E"/>
    <w:rsid w:val="00E7496A"/>
    <w:rsid w:val="00E74A6B"/>
    <w:rsid w:val="00E74E8B"/>
    <w:rsid w:val="00E75132"/>
    <w:rsid w:val="00E7544C"/>
    <w:rsid w:val="00E758E5"/>
    <w:rsid w:val="00E75915"/>
    <w:rsid w:val="00E75BE0"/>
    <w:rsid w:val="00E75CC2"/>
    <w:rsid w:val="00E76347"/>
    <w:rsid w:val="00E76406"/>
    <w:rsid w:val="00E77656"/>
    <w:rsid w:val="00E77738"/>
    <w:rsid w:val="00E779F5"/>
    <w:rsid w:val="00E8039E"/>
    <w:rsid w:val="00E80884"/>
    <w:rsid w:val="00E80E2E"/>
    <w:rsid w:val="00E80F7E"/>
    <w:rsid w:val="00E8183B"/>
    <w:rsid w:val="00E81A22"/>
    <w:rsid w:val="00E81AC0"/>
    <w:rsid w:val="00E81D01"/>
    <w:rsid w:val="00E830B8"/>
    <w:rsid w:val="00E834D1"/>
    <w:rsid w:val="00E83BF3"/>
    <w:rsid w:val="00E83C7A"/>
    <w:rsid w:val="00E83F10"/>
    <w:rsid w:val="00E83FAA"/>
    <w:rsid w:val="00E84131"/>
    <w:rsid w:val="00E842D3"/>
    <w:rsid w:val="00E8430A"/>
    <w:rsid w:val="00E8489A"/>
    <w:rsid w:val="00E84E0C"/>
    <w:rsid w:val="00E85012"/>
    <w:rsid w:val="00E852A4"/>
    <w:rsid w:val="00E8585F"/>
    <w:rsid w:val="00E85F7D"/>
    <w:rsid w:val="00E8699F"/>
    <w:rsid w:val="00E86F68"/>
    <w:rsid w:val="00E86FE3"/>
    <w:rsid w:val="00E8725E"/>
    <w:rsid w:val="00E875A5"/>
    <w:rsid w:val="00E87991"/>
    <w:rsid w:val="00E87AC9"/>
    <w:rsid w:val="00E87B07"/>
    <w:rsid w:val="00E9022F"/>
    <w:rsid w:val="00E90237"/>
    <w:rsid w:val="00E903B2"/>
    <w:rsid w:val="00E9053B"/>
    <w:rsid w:val="00E908C0"/>
    <w:rsid w:val="00E90970"/>
    <w:rsid w:val="00E90A7D"/>
    <w:rsid w:val="00E90D5B"/>
    <w:rsid w:val="00E91002"/>
    <w:rsid w:val="00E91050"/>
    <w:rsid w:val="00E915F0"/>
    <w:rsid w:val="00E918F7"/>
    <w:rsid w:val="00E91D4C"/>
    <w:rsid w:val="00E9214B"/>
    <w:rsid w:val="00E921B5"/>
    <w:rsid w:val="00E92A7E"/>
    <w:rsid w:val="00E92DF2"/>
    <w:rsid w:val="00E92F40"/>
    <w:rsid w:val="00E93075"/>
    <w:rsid w:val="00E93575"/>
    <w:rsid w:val="00E93776"/>
    <w:rsid w:val="00E938EC"/>
    <w:rsid w:val="00E93A9D"/>
    <w:rsid w:val="00E94430"/>
    <w:rsid w:val="00E94659"/>
    <w:rsid w:val="00E94703"/>
    <w:rsid w:val="00E94A25"/>
    <w:rsid w:val="00E94B0C"/>
    <w:rsid w:val="00E94C24"/>
    <w:rsid w:val="00E95D8A"/>
    <w:rsid w:val="00E9647D"/>
    <w:rsid w:val="00E96526"/>
    <w:rsid w:val="00E967F5"/>
    <w:rsid w:val="00E97182"/>
    <w:rsid w:val="00E973CA"/>
    <w:rsid w:val="00E975C2"/>
    <w:rsid w:val="00E97923"/>
    <w:rsid w:val="00E97A3D"/>
    <w:rsid w:val="00E97C5B"/>
    <w:rsid w:val="00E97CD2"/>
    <w:rsid w:val="00E97E8A"/>
    <w:rsid w:val="00E97F5C"/>
    <w:rsid w:val="00E97FB1"/>
    <w:rsid w:val="00EA0483"/>
    <w:rsid w:val="00EA0CA2"/>
    <w:rsid w:val="00EA0DF9"/>
    <w:rsid w:val="00EA0EB6"/>
    <w:rsid w:val="00EA0FC7"/>
    <w:rsid w:val="00EA2069"/>
    <w:rsid w:val="00EA2070"/>
    <w:rsid w:val="00EA267E"/>
    <w:rsid w:val="00EA28F5"/>
    <w:rsid w:val="00EA2DE3"/>
    <w:rsid w:val="00EA2F5B"/>
    <w:rsid w:val="00EA31D6"/>
    <w:rsid w:val="00EA32C4"/>
    <w:rsid w:val="00EA330C"/>
    <w:rsid w:val="00EA33BE"/>
    <w:rsid w:val="00EA342A"/>
    <w:rsid w:val="00EA3574"/>
    <w:rsid w:val="00EA3616"/>
    <w:rsid w:val="00EA3971"/>
    <w:rsid w:val="00EA3A26"/>
    <w:rsid w:val="00EA46BD"/>
    <w:rsid w:val="00EA48EA"/>
    <w:rsid w:val="00EA4BB3"/>
    <w:rsid w:val="00EA4C6C"/>
    <w:rsid w:val="00EA50A8"/>
    <w:rsid w:val="00EA526A"/>
    <w:rsid w:val="00EA535C"/>
    <w:rsid w:val="00EA57A1"/>
    <w:rsid w:val="00EA5AAB"/>
    <w:rsid w:val="00EA5BAB"/>
    <w:rsid w:val="00EA5DE0"/>
    <w:rsid w:val="00EA61DC"/>
    <w:rsid w:val="00EA69F8"/>
    <w:rsid w:val="00EA6C2D"/>
    <w:rsid w:val="00EA70C9"/>
    <w:rsid w:val="00EA727D"/>
    <w:rsid w:val="00EA72F1"/>
    <w:rsid w:val="00EA7901"/>
    <w:rsid w:val="00EA7A75"/>
    <w:rsid w:val="00EB02BD"/>
    <w:rsid w:val="00EB02D6"/>
    <w:rsid w:val="00EB05D9"/>
    <w:rsid w:val="00EB075E"/>
    <w:rsid w:val="00EB07FF"/>
    <w:rsid w:val="00EB0A05"/>
    <w:rsid w:val="00EB0C78"/>
    <w:rsid w:val="00EB1246"/>
    <w:rsid w:val="00EB1E14"/>
    <w:rsid w:val="00EB2040"/>
    <w:rsid w:val="00EB23AE"/>
    <w:rsid w:val="00EB2EEA"/>
    <w:rsid w:val="00EB3682"/>
    <w:rsid w:val="00EB385E"/>
    <w:rsid w:val="00EB3CFB"/>
    <w:rsid w:val="00EB40C5"/>
    <w:rsid w:val="00EB4575"/>
    <w:rsid w:val="00EB47FF"/>
    <w:rsid w:val="00EB4843"/>
    <w:rsid w:val="00EB4897"/>
    <w:rsid w:val="00EB49FD"/>
    <w:rsid w:val="00EB5200"/>
    <w:rsid w:val="00EB5263"/>
    <w:rsid w:val="00EB6703"/>
    <w:rsid w:val="00EB6909"/>
    <w:rsid w:val="00EB6BC1"/>
    <w:rsid w:val="00EB6BD0"/>
    <w:rsid w:val="00EB6C87"/>
    <w:rsid w:val="00EB6E42"/>
    <w:rsid w:val="00EB73B0"/>
    <w:rsid w:val="00EB76E9"/>
    <w:rsid w:val="00EB780D"/>
    <w:rsid w:val="00EC000E"/>
    <w:rsid w:val="00EC03B7"/>
    <w:rsid w:val="00EC0716"/>
    <w:rsid w:val="00EC0C73"/>
    <w:rsid w:val="00EC125D"/>
    <w:rsid w:val="00EC13F0"/>
    <w:rsid w:val="00EC1EE0"/>
    <w:rsid w:val="00EC2138"/>
    <w:rsid w:val="00EC2277"/>
    <w:rsid w:val="00EC2554"/>
    <w:rsid w:val="00EC29ED"/>
    <w:rsid w:val="00EC2A6C"/>
    <w:rsid w:val="00EC377D"/>
    <w:rsid w:val="00EC3B96"/>
    <w:rsid w:val="00EC4418"/>
    <w:rsid w:val="00EC4C6E"/>
    <w:rsid w:val="00EC519C"/>
    <w:rsid w:val="00EC52B0"/>
    <w:rsid w:val="00EC5373"/>
    <w:rsid w:val="00EC54B7"/>
    <w:rsid w:val="00EC5837"/>
    <w:rsid w:val="00EC58A1"/>
    <w:rsid w:val="00EC5947"/>
    <w:rsid w:val="00EC5A5C"/>
    <w:rsid w:val="00EC6551"/>
    <w:rsid w:val="00EC68CA"/>
    <w:rsid w:val="00EC6B34"/>
    <w:rsid w:val="00EC6B4E"/>
    <w:rsid w:val="00EC6BE3"/>
    <w:rsid w:val="00EC7AF3"/>
    <w:rsid w:val="00ED0050"/>
    <w:rsid w:val="00ED0128"/>
    <w:rsid w:val="00ED057F"/>
    <w:rsid w:val="00ED069F"/>
    <w:rsid w:val="00ED1415"/>
    <w:rsid w:val="00ED1502"/>
    <w:rsid w:val="00ED1569"/>
    <w:rsid w:val="00ED1BE1"/>
    <w:rsid w:val="00ED1C47"/>
    <w:rsid w:val="00ED1EEF"/>
    <w:rsid w:val="00ED1FC9"/>
    <w:rsid w:val="00ED233F"/>
    <w:rsid w:val="00ED23DB"/>
    <w:rsid w:val="00ED263C"/>
    <w:rsid w:val="00ED29A8"/>
    <w:rsid w:val="00ED32F9"/>
    <w:rsid w:val="00ED3345"/>
    <w:rsid w:val="00ED37C0"/>
    <w:rsid w:val="00ED39BD"/>
    <w:rsid w:val="00ED39D9"/>
    <w:rsid w:val="00ED49A2"/>
    <w:rsid w:val="00ED49CF"/>
    <w:rsid w:val="00ED4A0B"/>
    <w:rsid w:val="00ED4ACE"/>
    <w:rsid w:val="00ED5230"/>
    <w:rsid w:val="00ED533A"/>
    <w:rsid w:val="00ED55E2"/>
    <w:rsid w:val="00ED59C9"/>
    <w:rsid w:val="00ED5ABE"/>
    <w:rsid w:val="00ED5D65"/>
    <w:rsid w:val="00ED621C"/>
    <w:rsid w:val="00ED62CB"/>
    <w:rsid w:val="00ED648A"/>
    <w:rsid w:val="00ED6607"/>
    <w:rsid w:val="00ED6ED2"/>
    <w:rsid w:val="00ED78F2"/>
    <w:rsid w:val="00ED793D"/>
    <w:rsid w:val="00ED7E97"/>
    <w:rsid w:val="00EE0DCB"/>
    <w:rsid w:val="00EE1075"/>
    <w:rsid w:val="00EE115A"/>
    <w:rsid w:val="00EE11E4"/>
    <w:rsid w:val="00EE1202"/>
    <w:rsid w:val="00EE13BC"/>
    <w:rsid w:val="00EE1493"/>
    <w:rsid w:val="00EE149B"/>
    <w:rsid w:val="00EE18D7"/>
    <w:rsid w:val="00EE2B0E"/>
    <w:rsid w:val="00EE2EEA"/>
    <w:rsid w:val="00EE30B4"/>
    <w:rsid w:val="00EE3129"/>
    <w:rsid w:val="00EE3CA7"/>
    <w:rsid w:val="00EE3E33"/>
    <w:rsid w:val="00EE4192"/>
    <w:rsid w:val="00EE42D3"/>
    <w:rsid w:val="00EE467A"/>
    <w:rsid w:val="00EE49B0"/>
    <w:rsid w:val="00EE4C03"/>
    <w:rsid w:val="00EE4D8C"/>
    <w:rsid w:val="00EE4EE2"/>
    <w:rsid w:val="00EE4F9A"/>
    <w:rsid w:val="00EE54CC"/>
    <w:rsid w:val="00EE577F"/>
    <w:rsid w:val="00EE5936"/>
    <w:rsid w:val="00EE6C38"/>
    <w:rsid w:val="00EE6D02"/>
    <w:rsid w:val="00EE6EDF"/>
    <w:rsid w:val="00EE7567"/>
    <w:rsid w:val="00EE7DAA"/>
    <w:rsid w:val="00EF017F"/>
    <w:rsid w:val="00EF0215"/>
    <w:rsid w:val="00EF0348"/>
    <w:rsid w:val="00EF04C0"/>
    <w:rsid w:val="00EF083C"/>
    <w:rsid w:val="00EF09B0"/>
    <w:rsid w:val="00EF0B77"/>
    <w:rsid w:val="00EF0D6A"/>
    <w:rsid w:val="00EF0D93"/>
    <w:rsid w:val="00EF12A7"/>
    <w:rsid w:val="00EF1311"/>
    <w:rsid w:val="00EF13D2"/>
    <w:rsid w:val="00EF169D"/>
    <w:rsid w:val="00EF1EC1"/>
    <w:rsid w:val="00EF2793"/>
    <w:rsid w:val="00EF2C0E"/>
    <w:rsid w:val="00EF2C9E"/>
    <w:rsid w:val="00EF2E3F"/>
    <w:rsid w:val="00EF3192"/>
    <w:rsid w:val="00EF324C"/>
    <w:rsid w:val="00EF324F"/>
    <w:rsid w:val="00EF36DE"/>
    <w:rsid w:val="00EF37E3"/>
    <w:rsid w:val="00EF3CD1"/>
    <w:rsid w:val="00EF40CF"/>
    <w:rsid w:val="00EF4A0B"/>
    <w:rsid w:val="00EF4A69"/>
    <w:rsid w:val="00EF4C05"/>
    <w:rsid w:val="00EF4C74"/>
    <w:rsid w:val="00EF4FCD"/>
    <w:rsid w:val="00EF500D"/>
    <w:rsid w:val="00EF5371"/>
    <w:rsid w:val="00EF5B57"/>
    <w:rsid w:val="00EF5F98"/>
    <w:rsid w:val="00EF719F"/>
    <w:rsid w:val="00EF7308"/>
    <w:rsid w:val="00EF743F"/>
    <w:rsid w:val="00EF7867"/>
    <w:rsid w:val="00EF7E37"/>
    <w:rsid w:val="00F001F1"/>
    <w:rsid w:val="00F0020B"/>
    <w:rsid w:val="00F003F7"/>
    <w:rsid w:val="00F00748"/>
    <w:rsid w:val="00F00B21"/>
    <w:rsid w:val="00F01165"/>
    <w:rsid w:val="00F012BD"/>
    <w:rsid w:val="00F016F0"/>
    <w:rsid w:val="00F01C89"/>
    <w:rsid w:val="00F02047"/>
    <w:rsid w:val="00F02250"/>
    <w:rsid w:val="00F0269F"/>
    <w:rsid w:val="00F0275C"/>
    <w:rsid w:val="00F02A2B"/>
    <w:rsid w:val="00F02B9C"/>
    <w:rsid w:val="00F02C12"/>
    <w:rsid w:val="00F0345D"/>
    <w:rsid w:val="00F0433E"/>
    <w:rsid w:val="00F045CE"/>
    <w:rsid w:val="00F04648"/>
    <w:rsid w:val="00F0481B"/>
    <w:rsid w:val="00F04A56"/>
    <w:rsid w:val="00F04CAF"/>
    <w:rsid w:val="00F04EC6"/>
    <w:rsid w:val="00F05330"/>
    <w:rsid w:val="00F057EE"/>
    <w:rsid w:val="00F0587E"/>
    <w:rsid w:val="00F05AB2"/>
    <w:rsid w:val="00F05D30"/>
    <w:rsid w:val="00F062B8"/>
    <w:rsid w:val="00F06456"/>
    <w:rsid w:val="00F06593"/>
    <w:rsid w:val="00F0697D"/>
    <w:rsid w:val="00F06986"/>
    <w:rsid w:val="00F0762E"/>
    <w:rsid w:val="00F076B1"/>
    <w:rsid w:val="00F07B31"/>
    <w:rsid w:val="00F07BCA"/>
    <w:rsid w:val="00F107E9"/>
    <w:rsid w:val="00F10D63"/>
    <w:rsid w:val="00F112CC"/>
    <w:rsid w:val="00F119BE"/>
    <w:rsid w:val="00F11A80"/>
    <w:rsid w:val="00F11C9F"/>
    <w:rsid w:val="00F1205C"/>
    <w:rsid w:val="00F1245D"/>
    <w:rsid w:val="00F1249D"/>
    <w:rsid w:val="00F1257B"/>
    <w:rsid w:val="00F12A8F"/>
    <w:rsid w:val="00F132C8"/>
    <w:rsid w:val="00F135A9"/>
    <w:rsid w:val="00F13D59"/>
    <w:rsid w:val="00F13F09"/>
    <w:rsid w:val="00F143FE"/>
    <w:rsid w:val="00F1448F"/>
    <w:rsid w:val="00F14904"/>
    <w:rsid w:val="00F150CC"/>
    <w:rsid w:val="00F15215"/>
    <w:rsid w:val="00F154CF"/>
    <w:rsid w:val="00F1550C"/>
    <w:rsid w:val="00F1560C"/>
    <w:rsid w:val="00F15C9C"/>
    <w:rsid w:val="00F16305"/>
    <w:rsid w:val="00F169BC"/>
    <w:rsid w:val="00F16C53"/>
    <w:rsid w:val="00F17213"/>
    <w:rsid w:val="00F1730D"/>
    <w:rsid w:val="00F1732F"/>
    <w:rsid w:val="00F176FF"/>
    <w:rsid w:val="00F17A1B"/>
    <w:rsid w:val="00F201B8"/>
    <w:rsid w:val="00F202D6"/>
    <w:rsid w:val="00F20EE8"/>
    <w:rsid w:val="00F211B7"/>
    <w:rsid w:val="00F21337"/>
    <w:rsid w:val="00F213C6"/>
    <w:rsid w:val="00F215B2"/>
    <w:rsid w:val="00F21D6B"/>
    <w:rsid w:val="00F22350"/>
    <w:rsid w:val="00F2246A"/>
    <w:rsid w:val="00F224E0"/>
    <w:rsid w:val="00F22552"/>
    <w:rsid w:val="00F225B0"/>
    <w:rsid w:val="00F22663"/>
    <w:rsid w:val="00F22843"/>
    <w:rsid w:val="00F228C9"/>
    <w:rsid w:val="00F228D8"/>
    <w:rsid w:val="00F22A1B"/>
    <w:rsid w:val="00F22CD4"/>
    <w:rsid w:val="00F2327F"/>
    <w:rsid w:val="00F23687"/>
    <w:rsid w:val="00F23FA4"/>
    <w:rsid w:val="00F2427A"/>
    <w:rsid w:val="00F247F4"/>
    <w:rsid w:val="00F24AD3"/>
    <w:rsid w:val="00F24B99"/>
    <w:rsid w:val="00F24B9D"/>
    <w:rsid w:val="00F2551F"/>
    <w:rsid w:val="00F25668"/>
    <w:rsid w:val="00F263CE"/>
    <w:rsid w:val="00F2659C"/>
    <w:rsid w:val="00F2685F"/>
    <w:rsid w:val="00F2688E"/>
    <w:rsid w:val="00F27054"/>
    <w:rsid w:val="00F2714A"/>
    <w:rsid w:val="00F2730B"/>
    <w:rsid w:val="00F2754E"/>
    <w:rsid w:val="00F2784B"/>
    <w:rsid w:val="00F27A65"/>
    <w:rsid w:val="00F27EEF"/>
    <w:rsid w:val="00F302B7"/>
    <w:rsid w:val="00F304C4"/>
    <w:rsid w:val="00F307E7"/>
    <w:rsid w:val="00F30992"/>
    <w:rsid w:val="00F31568"/>
    <w:rsid w:val="00F31C4B"/>
    <w:rsid w:val="00F31D27"/>
    <w:rsid w:val="00F31DEF"/>
    <w:rsid w:val="00F32177"/>
    <w:rsid w:val="00F321F9"/>
    <w:rsid w:val="00F3251D"/>
    <w:rsid w:val="00F326D1"/>
    <w:rsid w:val="00F32B3D"/>
    <w:rsid w:val="00F32FB9"/>
    <w:rsid w:val="00F333D9"/>
    <w:rsid w:val="00F338E8"/>
    <w:rsid w:val="00F33AC6"/>
    <w:rsid w:val="00F33D5B"/>
    <w:rsid w:val="00F34063"/>
    <w:rsid w:val="00F3417B"/>
    <w:rsid w:val="00F3446C"/>
    <w:rsid w:val="00F34E30"/>
    <w:rsid w:val="00F35382"/>
    <w:rsid w:val="00F3547C"/>
    <w:rsid w:val="00F355AB"/>
    <w:rsid w:val="00F35856"/>
    <w:rsid w:val="00F358A0"/>
    <w:rsid w:val="00F358C6"/>
    <w:rsid w:val="00F35D56"/>
    <w:rsid w:val="00F361C1"/>
    <w:rsid w:val="00F362B3"/>
    <w:rsid w:val="00F364E6"/>
    <w:rsid w:val="00F36CDE"/>
    <w:rsid w:val="00F37382"/>
    <w:rsid w:val="00F37AEA"/>
    <w:rsid w:val="00F40004"/>
    <w:rsid w:val="00F40008"/>
    <w:rsid w:val="00F40221"/>
    <w:rsid w:val="00F405E1"/>
    <w:rsid w:val="00F40837"/>
    <w:rsid w:val="00F40945"/>
    <w:rsid w:val="00F411E0"/>
    <w:rsid w:val="00F4130A"/>
    <w:rsid w:val="00F414D3"/>
    <w:rsid w:val="00F415E0"/>
    <w:rsid w:val="00F416C0"/>
    <w:rsid w:val="00F41D61"/>
    <w:rsid w:val="00F42153"/>
    <w:rsid w:val="00F4215E"/>
    <w:rsid w:val="00F423CC"/>
    <w:rsid w:val="00F42476"/>
    <w:rsid w:val="00F425B7"/>
    <w:rsid w:val="00F42AC9"/>
    <w:rsid w:val="00F42C97"/>
    <w:rsid w:val="00F43264"/>
    <w:rsid w:val="00F4340E"/>
    <w:rsid w:val="00F43792"/>
    <w:rsid w:val="00F438F9"/>
    <w:rsid w:val="00F43A10"/>
    <w:rsid w:val="00F43B34"/>
    <w:rsid w:val="00F43C61"/>
    <w:rsid w:val="00F43DF2"/>
    <w:rsid w:val="00F44382"/>
    <w:rsid w:val="00F446F3"/>
    <w:rsid w:val="00F44967"/>
    <w:rsid w:val="00F44ADA"/>
    <w:rsid w:val="00F44F2C"/>
    <w:rsid w:val="00F45483"/>
    <w:rsid w:val="00F46369"/>
    <w:rsid w:val="00F463FF"/>
    <w:rsid w:val="00F4687E"/>
    <w:rsid w:val="00F46D88"/>
    <w:rsid w:val="00F476E9"/>
    <w:rsid w:val="00F47A92"/>
    <w:rsid w:val="00F47C1B"/>
    <w:rsid w:val="00F47E96"/>
    <w:rsid w:val="00F47EBF"/>
    <w:rsid w:val="00F50036"/>
    <w:rsid w:val="00F50327"/>
    <w:rsid w:val="00F50576"/>
    <w:rsid w:val="00F50701"/>
    <w:rsid w:val="00F50891"/>
    <w:rsid w:val="00F50FA6"/>
    <w:rsid w:val="00F50FF8"/>
    <w:rsid w:val="00F5193B"/>
    <w:rsid w:val="00F51B7E"/>
    <w:rsid w:val="00F51BE6"/>
    <w:rsid w:val="00F51EEA"/>
    <w:rsid w:val="00F51FB2"/>
    <w:rsid w:val="00F5247F"/>
    <w:rsid w:val="00F52602"/>
    <w:rsid w:val="00F526A9"/>
    <w:rsid w:val="00F526B0"/>
    <w:rsid w:val="00F53242"/>
    <w:rsid w:val="00F53297"/>
    <w:rsid w:val="00F53415"/>
    <w:rsid w:val="00F53C4B"/>
    <w:rsid w:val="00F5497B"/>
    <w:rsid w:val="00F54C48"/>
    <w:rsid w:val="00F55205"/>
    <w:rsid w:val="00F558FE"/>
    <w:rsid w:val="00F55BE5"/>
    <w:rsid w:val="00F55BEA"/>
    <w:rsid w:val="00F56335"/>
    <w:rsid w:val="00F56681"/>
    <w:rsid w:val="00F56C85"/>
    <w:rsid w:val="00F56D51"/>
    <w:rsid w:val="00F573CF"/>
    <w:rsid w:val="00F602B8"/>
    <w:rsid w:val="00F617B0"/>
    <w:rsid w:val="00F6191B"/>
    <w:rsid w:val="00F62610"/>
    <w:rsid w:val="00F62BE8"/>
    <w:rsid w:val="00F62F6B"/>
    <w:rsid w:val="00F633E9"/>
    <w:rsid w:val="00F633FD"/>
    <w:rsid w:val="00F63A91"/>
    <w:rsid w:val="00F63B6C"/>
    <w:rsid w:val="00F6420D"/>
    <w:rsid w:val="00F64609"/>
    <w:rsid w:val="00F64768"/>
    <w:rsid w:val="00F64C0A"/>
    <w:rsid w:val="00F64DCD"/>
    <w:rsid w:val="00F64FFD"/>
    <w:rsid w:val="00F657D8"/>
    <w:rsid w:val="00F6599F"/>
    <w:rsid w:val="00F65C7E"/>
    <w:rsid w:val="00F66368"/>
    <w:rsid w:val="00F6636A"/>
    <w:rsid w:val="00F66E96"/>
    <w:rsid w:val="00F673D4"/>
    <w:rsid w:val="00F6751C"/>
    <w:rsid w:val="00F67857"/>
    <w:rsid w:val="00F67916"/>
    <w:rsid w:val="00F67AE5"/>
    <w:rsid w:val="00F7037A"/>
    <w:rsid w:val="00F70B85"/>
    <w:rsid w:val="00F70BAD"/>
    <w:rsid w:val="00F711F2"/>
    <w:rsid w:val="00F71DA1"/>
    <w:rsid w:val="00F71DBD"/>
    <w:rsid w:val="00F71EC0"/>
    <w:rsid w:val="00F725B8"/>
    <w:rsid w:val="00F72646"/>
    <w:rsid w:val="00F72F99"/>
    <w:rsid w:val="00F7367E"/>
    <w:rsid w:val="00F73A40"/>
    <w:rsid w:val="00F73A4D"/>
    <w:rsid w:val="00F73AF9"/>
    <w:rsid w:val="00F73E28"/>
    <w:rsid w:val="00F74115"/>
    <w:rsid w:val="00F742E8"/>
    <w:rsid w:val="00F7464B"/>
    <w:rsid w:val="00F74738"/>
    <w:rsid w:val="00F74865"/>
    <w:rsid w:val="00F74BE7"/>
    <w:rsid w:val="00F75411"/>
    <w:rsid w:val="00F75900"/>
    <w:rsid w:val="00F75DDE"/>
    <w:rsid w:val="00F76475"/>
    <w:rsid w:val="00F76659"/>
    <w:rsid w:val="00F76A55"/>
    <w:rsid w:val="00F77FA8"/>
    <w:rsid w:val="00F80182"/>
    <w:rsid w:val="00F805E3"/>
    <w:rsid w:val="00F80ADB"/>
    <w:rsid w:val="00F80C47"/>
    <w:rsid w:val="00F80CBF"/>
    <w:rsid w:val="00F815CB"/>
    <w:rsid w:val="00F81BD5"/>
    <w:rsid w:val="00F81DB8"/>
    <w:rsid w:val="00F81F13"/>
    <w:rsid w:val="00F82662"/>
    <w:rsid w:val="00F827FB"/>
    <w:rsid w:val="00F836DF"/>
    <w:rsid w:val="00F83D49"/>
    <w:rsid w:val="00F84060"/>
    <w:rsid w:val="00F847E0"/>
    <w:rsid w:val="00F848D7"/>
    <w:rsid w:val="00F84B0A"/>
    <w:rsid w:val="00F85CA8"/>
    <w:rsid w:val="00F86B26"/>
    <w:rsid w:val="00F86FF9"/>
    <w:rsid w:val="00F8719B"/>
    <w:rsid w:val="00F87393"/>
    <w:rsid w:val="00F87598"/>
    <w:rsid w:val="00F878DF"/>
    <w:rsid w:val="00F87C77"/>
    <w:rsid w:val="00F9060E"/>
    <w:rsid w:val="00F908CE"/>
    <w:rsid w:val="00F90978"/>
    <w:rsid w:val="00F91377"/>
    <w:rsid w:val="00F92296"/>
    <w:rsid w:val="00F92998"/>
    <w:rsid w:val="00F93F9A"/>
    <w:rsid w:val="00F94412"/>
    <w:rsid w:val="00F94DB2"/>
    <w:rsid w:val="00F957E3"/>
    <w:rsid w:val="00F96463"/>
    <w:rsid w:val="00F967B3"/>
    <w:rsid w:val="00F96E5C"/>
    <w:rsid w:val="00F96F18"/>
    <w:rsid w:val="00F97099"/>
    <w:rsid w:val="00F9715C"/>
    <w:rsid w:val="00F9719D"/>
    <w:rsid w:val="00F97703"/>
    <w:rsid w:val="00F977EE"/>
    <w:rsid w:val="00F97B2E"/>
    <w:rsid w:val="00FA003E"/>
    <w:rsid w:val="00FA006D"/>
    <w:rsid w:val="00FA059E"/>
    <w:rsid w:val="00FA0A96"/>
    <w:rsid w:val="00FA0DC9"/>
    <w:rsid w:val="00FA0DD9"/>
    <w:rsid w:val="00FA0EA1"/>
    <w:rsid w:val="00FA1050"/>
    <w:rsid w:val="00FA158B"/>
    <w:rsid w:val="00FA29A3"/>
    <w:rsid w:val="00FA2F3F"/>
    <w:rsid w:val="00FA32C9"/>
    <w:rsid w:val="00FA35EC"/>
    <w:rsid w:val="00FA3602"/>
    <w:rsid w:val="00FA36D6"/>
    <w:rsid w:val="00FA38F0"/>
    <w:rsid w:val="00FA4570"/>
    <w:rsid w:val="00FA46C5"/>
    <w:rsid w:val="00FA4DAB"/>
    <w:rsid w:val="00FA5004"/>
    <w:rsid w:val="00FA5862"/>
    <w:rsid w:val="00FA5BB6"/>
    <w:rsid w:val="00FA5F61"/>
    <w:rsid w:val="00FA64B2"/>
    <w:rsid w:val="00FA6ACF"/>
    <w:rsid w:val="00FA6D7C"/>
    <w:rsid w:val="00FA6E3E"/>
    <w:rsid w:val="00FA7687"/>
    <w:rsid w:val="00FA77A0"/>
    <w:rsid w:val="00FA7D6D"/>
    <w:rsid w:val="00FA7FA0"/>
    <w:rsid w:val="00FB0476"/>
    <w:rsid w:val="00FB0A3B"/>
    <w:rsid w:val="00FB0B3E"/>
    <w:rsid w:val="00FB1007"/>
    <w:rsid w:val="00FB1570"/>
    <w:rsid w:val="00FB1624"/>
    <w:rsid w:val="00FB1745"/>
    <w:rsid w:val="00FB17E8"/>
    <w:rsid w:val="00FB1965"/>
    <w:rsid w:val="00FB1ED7"/>
    <w:rsid w:val="00FB2685"/>
    <w:rsid w:val="00FB28F3"/>
    <w:rsid w:val="00FB2E9A"/>
    <w:rsid w:val="00FB31A4"/>
    <w:rsid w:val="00FB31DF"/>
    <w:rsid w:val="00FB37C8"/>
    <w:rsid w:val="00FB38CE"/>
    <w:rsid w:val="00FB397F"/>
    <w:rsid w:val="00FB3CAB"/>
    <w:rsid w:val="00FB3CAC"/>
    <w:rsid w:val="00FB3F31"/>
    <w:rsid w:val="00FB40FF"/>
    <w:rsid w:val="00FB43D2"/>
    <w:rsid w:val="00FB4A7B"/>
    <w:rsid w:val="00FB4DD2"/>
    <w:rsid w:val="00FB4E3C"/>
    <w:rsid w:val="00FB5322"/>
    <w:rsid w:val="00FB542F"/>
    <w:rsid w:val="00FB59DA"/>
    <w:rsid w:val="00FB5B5A"/>
    <w:rsid w:val="00FB5D18"/>
    <w:rsid w:val="00FB5DDB"/>
    <w:rsid w:val="00FB6612"/>
    <w:rsid w:val="00FB665F"/>
    <w:rsid w:val="00FB68BA"/>
    <w:rsid w:val="00FB68F9"/>
    <w:rsid w:val="00FB6D2C"/>
    <w:rsid w:val="00FB6E22"/>
    <w:rsid w:val="00FB6ECB"/>
    <w:rsid w:val="00FB7535"/>
    <w:rsid w:val="00FB7593"/>
    <w:rsid w:val="00FB783C"/>
    <w:rsid w:val="00FB7FAC"/>
    <w:rsid w:val="00FC0395"/>
    <w:rsid w:val="00FC0A90"/>
    <w:rsid w:val="00FC0B52"/>
    <w:rsid w:val="00FC1507"/>
    <w:rsid w:val="00FC17DA"/>
    <w:rsid w:val="00FC1ACB"/>
    <w:rsid w:val="00FC2143"/>
    <w:rsid w:val="00FC23AF"/>
    <w:rsid w:val="00FC2A62"/>
    <w:rsid w:val="00FC2D36"/>
    <w:rsid w:val="00FC343C"/>
    <w:rsid w:val="00FC34F9"/>
    <w:rsid w:val="00FC362E"/>
    <w:rsid w:val="00FC36CA"/>
    <w:rsid w:val="00FC39DC"/>
    <w:rsid w:val="00FC3A14"/>
    <w:rsid w:val="00FC41FC"/>
    <w:rsid w:val="00FC4D3F"/>
    <w:rsid w:val="00FC5DA7"/>
    <w:rsid w:val="00FC643A"/>
    <w:rsid w:val="00FC66C7"/>
    <w:rsid w:val="00FC6B47"/>
    <w:rsid w:val="00FC6EC7"/>
    <w:rsid w:val="00FC7A3E"/>
    <w:rsid w:val="00FD0146"/>
    <w:rsid w:val="00FD0627"/>
    <w:rsid w:val="00FD0A27"/>
    <w:rsid w:val="00FD1427"/>
    <w:rsid w:val="00FD14BF"/>
    <w:rsid w:val="00FD1711"/>
    <w:rsid w:val="00FD1DBB"/>
    <w:rsid w:val="00FD214C"/>
    <w:rsid w:val="00FD2733"/>
    <w:rsid w:val="00FD2A15"/>
    <w:rsid w:val="00FD2A60"/>
    <w:rsid w:val="00FD344B"/>
    <w:rsid w:val="00FD38D9"/>
    <w:rsid w:val="00FD3CC1"/>
    <w:rsid w:val="00FD3D6B"/>
    <w:rsid w:val="00FD4497"/>
    <w:rsid w:val="00FD457C"/>
    <w:rsid w:val="00FD485F"/>
    <w:rsid w:val="00FD4AD3"/>
    <w:rsid w:val="00FD4FF4"/>
    <w:rsid w:val="00FD51F7"/>
    <w:rsid w:val="00FD54E8"/>
    <w:rsid w:val="00FD56C1"/>
    <w:rsid w:val="00FD5724"/>
    <w:rsid w:val="00FD5A87"/>
    <w:rsid w:val="00FD6A2F"/>
    <w:rsid w:val="00FD6BA3"/>
    <w:rsid w:val="00FD72D5"/>
    <w:rsid w:val="00FD7424"/>
    <w:rsid w:val="00FD7492"/>
    <w:rsid w:val="00FD770A"/>
    <w:rsid w:val="00FD78AB"/>
    <w:rsid w:val="00FE0929"/>
    <w:rsid w:val="00FE11A2"/>
    <w:rsid w:val="00FE2CA1"/>
    <w:rsid w:val="00FE2F5F"/>
    <w:rsid w:val="00FE34C0"/>
    <w:rsid w:val="00FE3C13"/>
    <w:rsid w:val="00FE3E01"/>
    <w:rsid w:val="00FE3E4C"/>
    <w:rsid w:val="00FE3F07"/>
    <w:rsid w:val="00FE454B"/>
    <w:rsid w:val="00FE481C"/>
    <w:rsid w:val="00FE49DF"/>
    <w:rsid w:val="00FE4A2A"/>
    <w:rsid w:val="00FE4B12"/>
    <w:rsid w:val="00FE4E0A"/>
    <w:rsid w:val="00FE55EB"/>
    <w:rsid w:val="00FE57F6"/>
    <w:rsid w:val="00FE59CF"/>
    <w:rsid w:val="00FE5A4B"/>
    <w:rsid w:val="00FE5E9F"/>
    <w:rsid w:val="00FE60A5"/>
    <w:rsid w:val="00FE616A"/>
    <w:rsid w:val="00FE6245"/>
    <w:rsid w:val="00FE638B"/>
    <w:rsid w:val="00FE6630"/>
    <w:rsid w:val="00FE6A57"/>
    <w:rsid w:val="00FE6CDA"/>
    <w:rsid w:val="00FE747C"/>
    <w:rsid w:val="00FE7760"/>
    <w:rsid w:val="00FF0453"/>
    <w:rsid w:val="00FF0980"/>
    <w:rsid w:val="00FF09DE"/>
    <w:rsid w:val="00FF0B77"/>
    <w:rsid w:val="00FF1A34"/>
    <w:rsid w:val="00FF1D55"/>
    <w:rsid w:val="00FF1E39"/>
    <w:rsid w:val="00FF2260"/>
    <w:rsid w:val="00FF227D"/>
    <w:rsid w:val="00FF2321"/>
    <w:rsid w:val="00FF257B"/>
    <w:rsid w:val="00FF2633"/>
    <w:rsid w:val="00FF272F"/>
    <w:rsid w:val="00FF28FD"/>
    <w:rsid w:val="00FF3A12"/>
    <w:rsid w:val="00FF3DE6"/>
    <w:rsid w:val="00FF424F"/>
    <w:rsid w:val="00FF457C"/>
    <w:rsid w:val="00FF4787"/>
    <w:rsid w:val="00FF47B3"/>
    <w:rsid w:val="00FF5568"/>
    <w:rsid w:val="00FF5AA7"/>
    <w:rsid w:val="00FF5BB9"/>
    <w:rsid w:val="00FF5C2F"/>
    <w:rsid w:val="00FF64EB"/>
    <w:rsid w:val="00FF6BA8"/>
    <w:rsid w:val="00FF6BB7"/>
    <w:rsid w:val="00FF712A"/>
    <w:rsid w:val="00FF71A6"/>
    <w:rsid w:val="00FF7545"/>
    <w:rsid w:val="0492BDB9"/>
    <w:rsid w:val="18B33330"/>
    <w:rsid w:val="1D1DAD74"/>
    <w:rsid w:val="2077DE42"/>
    <w:rsid w:val="24E89F44"/>
    <w:rsid w:val="2510E0F5"/>
    <w:rsid w:val="28CB4C58"/>
    <w:rsid w:val="354B7E3E"/>
    <w:rsid w:val="4DCDEA5B"/>
    <w:rsid w:val="50413E30"/>
    <w:rsid w:val="6BD86FD8"/>
    <w:rsid w:val="712F5159"/>
    <w:rsid w:val="71B8E5DB"/>
    <w:rsid w:val="7564D8EE"/>
    <w:rsid w:val="7CA791C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38222EB"/>
  <w15:chartTrackingRefBased/>
  <w15:docId w15:val="{C2DFEB65-31D5-4EDB-80B6-3B7C5CE6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E1A"/>
    <w:pPr>
      <w:widowControl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C61E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61E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61E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61E11"/>
    <w:pPr>
      <w:keepNext/>
      <w:spacing w:before="240" w:after="60"/>
      <w:outlineLvl w:val="3"/>
    </w:pPr>
    <w:rPr>
      <w:b/>
      <w:bCs/>
      <w:sz w:val="28"/>
      <w:szCs w:val="28"/>
    </w:rPr>
  </w:style>
  <w:style w:type="paragraph" w:styleId="Heading5">
    <w:name w:val="heading 5"/>
    <w:basedOn w:val="Normal"/>
    <w:next w:val="Normal"/>
    <w:link w:val="Heading5Char"/>
    <w:qFormat/>
    <w:rsid w:val="00C61E11"/>
    <w:pPr>
      <w:spacing w:before="240" w:after="60"/>
      <w:outlineLvl w:val="4"/>
    </w:pPr>
    <w:rPr>
      <w:b/>
      <w:bCs/>
      <w:i/>
      <w:iCs/>
      <w:sz w:val="26"/>
      <w:szCs w:val="26"/>
    </w:rPr>
  </w:style>
  <w:style w:type="paragraph" w:styleId="Heading6">
    <w:name w:val="heading 6"/>
    <w:basedOn w:val="Normal"/>
    <w:next w:val="Normal"/>
    <w:link w:val="Heading6Char"/>
    <w:qFormat/>
    <w:rsid w:val="00C61E11"/>
    <w:pPr>
      <w:spacing w:before="240" w:after="60"/>
      <w:outlineLvl w:val="5"/>
    </w:pPr>
    <w:rPr>
      <w:b/>
      <w:bCs/>
      <w:sz w:val="22"/>
      <w:szCs w:val="22"/>
    </w:rPr>
  </w:style>
  <w:style w:type="paragraph" w:styleId="Heading7">
    <w:name w:val="heading 7"/>
    <w:basedOn w:val="Normal"/>
    <w:next w:val="Normal"/>
    <w:link w:val="Heading7Char"/>
    <w:qFormat/>
    <w:rsid w:val="00C61E11"/>
    <w:pPr>
      <w:spacing w:before="240" w:after="60"/>
      <w:outlineLvl w:val="6"/>
    </w:pPr>
  </w:style>
  <w:style w:type="paragraph" w:styleId="Heading8">
    <w:name w:val="heading 8"/>
    <w:basedOn w:val="Normal"/>
    <w:next w:val="Normal"/>
    <w:link w:val="Heading8Char"/>
    <w:qFormat/>
    <w:rsid w:val="00C61E11"/>
    <w:pPr>
      <w:spacing w:before="240" w:after="60"/>
      <w:outlineLvl w:val="7"/>
    </w:pPr>
    <w:rPr>
      <w:i/>
      <w:iCs/>
    </w:rPr>
  </w:style>
  <w:style w:type="paragraph" w:styleId="Heading9">
    <w:name w:val="heading 9"/>
    <w:basedOn w:val="Normal"/>
    <w:next w:val="Normal"/>
    <w:link w:val="Heading9Char"/>
    <w:qFormat/>
    <w:rsid w:val="00C61E1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E11"/>
    <w:rPr>
      <w:rFonts w:ascii="Arial" w:eastAsia="Times New Roman" w:hAnsi="Arial" w:cs="Arial"/>
      <w:b/>
      <w:bCs/>
      <w:kern w:val="32"/>
      <w:sz w:val="32"/>
      <w:szCs w:val="32"/>
    </w:rPr>
  </w:style>
  <w:style w:type="character" w:customStyle="1" w:styleId="Heading2Char">
    <w:name w:val="Heading 2 Char"/>
    <w:basedOn w:val="DefaultParagraphFont"/>
    <w:link w:val="Heading2"/>
    <w:rsid w:val="00C61E11"/>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C61E11"/>
    <w:rPr>
      <w:rFonts w:ascii="Arial" w:eastAsia="Times New Roman" w:hAnsi="Arial" w:cs="Arial"/>
      <w:b/>
      <w:bCs/>
      <w:sz w:val="26"/>
      <w:szCs w:val="26"/>
    </w:rPr>
  </w:style>
  <w:style w:type="character" w:customStyle="1" w:styleId="Heading4Char">
    <w:name w:val="Heading 4 Char"/>
    <w:basedOn w:val="DefaultParagraphFont"/>
    <w:link w:val="Heading4"/>
    <w:rsid w:val="00C61E1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61E1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61E11"/>
    <w:rPr>
      <w:rFonts w:ascii="Times New Roman" w:eastAsia="Times New Roman" w:hAnsi="Times New Roman" w:cs="Times New Roman"/>
      <w:b/>
      <w:bCs/>
    </w:rPr>
  </w:style>
  <w:style w:type="character" w:customStyle="1" w:styleId="Heading7Char">
    <w:name w:val="Heading 7 Char"/>
    <w:basedOn w:val="DefaultParagraphFont"/>
    <w:link w:val="Heading7"/>
    <w:rsid w:val="00C61E1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61E1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61E11"/>
    <w:rPr>
      <w:rFonts w:ascii="Arial" w:eastAsia="Times New Roman" w:hAnsi="Arial" w:cs="Arial"/>
    </w:rPr>
  </w:style>
  <w:style w:type="character" w:styleId="FootnoteReference">
    <w:name w:val="footnote reference"/>
    <w:aliases w:val="MC-PRE Footnote Reference"/>
    <w:uiPriority w:val="99"/>
    <w:qFormat/>
    <w:rsid w:val="00CC7365"/>
    <w:rPr>
      <w:vertAlign w:val="superscript"/>
    </w:rPr>
  </w:style>
  <w:style w:type="paragraph" w:customStyle="1" w:styleId="Level1">
    <w:name w:val="Level 1"/>
    <w:basedOn w:val="Normal"/>
    <w:rsid w:val="00C61E11"/>
    <w:pPr>
      <w:ind w:left="1440" w:hanging="720"/>
    </w:pPr>
  </w:style>
  <w:style w:type="paragraph" w:customStyle="1" w:styleId="HHeading2">
    <w:name w:val="HHeading 2"/>
    <w:basedOn w:val="Normal"/>
    <w:rsid w:val="00C61E11"/>
    <w:rPr>
      <w:b/>
      <w:bCs/>
      <w:sz w:val="22"/>
      <w:szCs w:val="22"/>
      <w:u w:val="single"/>
    </w:rPr>
  </w:style>
  <w:style w:type="paragraph" w:customStyle="1" w:styleId="BodyTextI1">
    <w:name w:val="Body Text I1"/>
    <w:basedOn w:val="Normal"/>
    <w:rsid w:val="00C61E11"/>
    <w:pPr>
      <w:ind w:firstLine="720"/>
    </w:pPr>
    <w:rPr>
      <w:sz w:val="22"/>
      <w:szCs w:val="22"/>
    </w:rPr>
  </w:style>
  <w:style w:type="paragraph" w:customStyle="1" w:styleId="BodyTextIn">
    <w:name w:val="Body Text In"/>
    <w:basedOn w:val="Normal"/>
    <w:rsid w:val="00C61E11"/>
    <w:pPr>
      <w:ind w:left="2880" w:hanging="720"/>
    </w:pPr>
    <w:rPr>
      <w:sz w:val="22"/>
      <w:szCs w:val="22"/>
    </w:rPr>
  </w:style>
  <w:style w:type="character" w:customStyle="1" w:styleId="pbllt18312">
    <w:name w:val="pbllt183_12"/>
    <w:rsid w:val="00C61E11"/>
    <w:rPr>
      <w:rFonts w:ascii="Symbol" w:hAnsi="Symbol" w:cs="Symbol"/>
    </w:rPr>
  </w:style>
  <w:style w:type="paragraph" w:customStyle="1" w:styleId="HHeading4">
    <w:name w:val="HHeading 4"/>
    <w:basedOn w:val="Normal"/>
    <w:rsid w:val="00C61E11"/>
    <w:rPr>
      <w:b/>
      <w:bCs/>
      <w:color w:val="000000"/>
      <w:sz w:val="22"/>
      <w:szCs w:val="22"/>
    </w:rPr>
  </w:style>
  <w:style w:type="paragraph" w:customStyle="1" w:styleId="HHeading5">
    <w:name w:val="HHeading 5"/>
    <w:basedOn w:val="Normal"/>
    <w:rsid w:val="00C61E11"/>
    <w:pPr>
      <w:jc w:val="center"/>
    </w:pPr>
    <w:rPr>
      <w:b/>
      <w:bCs/>
      <w:sz w:val="22"/>
      <w:szCs w:val="22"/>
    </w:rPr>
  </w:style>
  <w:style w:type="paragraph" w:customStyle="1" w:styleId="HHeading6">
    <w:name w:val="HHeading 6"/>
    <w:basedOn w:val="Normal"/>
    <w:rsid w:val="00C61E11"/>
    <w:pPr>
      <w:jc w:val="center"/>
    </w:pPr>
    <w:rPr>
      <w:b/>
      <w:bCs/>
      <w:color w:val="000000"/>
      <w:sz w:val="22"/>
      <w:szCs w:val="22"/>
    </w:rPr>
  </w:style>
  <w:style w:type="paragraph" w:customStyle="1" w:styleId="HHeading8">
    <w:name w:val="HHeading 8"/>
    <w:basedOn w:val="Normal"/>
    <w:rsid w:val="00C61E11"/>
    <w:pPr>
      <w:jc w:val="center"/>
    </w:pPr>
    <w:rPr>
      <w:b/>
      <w:bCs/>
    </w:rPr>
  </w:style>
  <w:style w:type="paragraph" w:styleId="Header">
    <w:name w:val="header"/>
    <w:basedOn w:val="Normal"/>
    <w:link w:val="HeaderChar"/>
    <w:rsid w:val="00C61E11"/>
    <w:pPr>
      <w:tabs>
        <w:tab w:val="center" w:pos="4680"/>
        <w:tab w:val="right" w:pos="9360"/>
      </w:tabs>
    </w:pPr>
  </w:style>
  <w:style w:type="character" w:customStyle="1" w:styleId="HeaderChar">
    <w:name w:val="Header Char"/>
    <w:basedOn w:val="DefaultParagraphFont"/>
    <w:link w:val="Header"/>
    <w:rsid w:val="00C61E11"/>
    <w:rPr>
      <w:rFonts w:ascii="Times New Roman" w:eastAsia="Times New Roman" w:hAnsi="Times New Roman" w:cs="Times New Roman"/>
      <w:sz w:val="24"/>
      <w:szCs w:val="24"/>
    </w:rPr>
  </w:style>
  <w:style w:type="paragraph" w:styleId="Footer">
    <w:name w:val="footer"/>
    <w:basedOn w:val="Normal"/>
    <w:link w:val="FooterChar"/>
    <w:rsid w:val="00C61E11"/>
    <w:pPr>
      <w:tabs>
        <w:tab w:val="center" w:pos="4680"/>
        <w:tab w:val="right" w:pos="9360"/>
      </w:tabs>
    </w:pPr>
  </w:style>
  <w:style w:type="character" w:customStyle="1" w:styleId="FooterChar">
    <w:name w:val="Footer Char"/>
    <w:basedOn w:val="DefaultParagraphFont"/>
    <w:link w:val="Footer"/>
    <w:rsid w:val="00C61E11"/>
    <w:rPr>
      <w:rFonts w:ascii="Times New Roman" w:eastAsia="Times New Roman" w:hAnsi="Times New Roman" w:cs="Times New Roman"/>
      <w:sz w:val="24"/>
      <w:szCs w:val="24"/>
    </w:rPr>
  </w:style>
  <w:style w:type="paragraph" w:styleId="CommentText">
    <w:name w:val="annotation text"/>
    <w:basedOn w:val="Normal"/>
    <w:link w:val="CommentTextChar"/>
    <w:rsid w:val="00C61E11"/>
    <w:rPr>
      <w:szCs w:val="20"/>
    </w:rPr>
  </w:style>
  <w:style w:type="character" w:customStyle="1" w:styleId="CommentTextChar">
    <w:name w:val="Comment Text Char"/>
    <w:basedOn w:val="DefaultParagraphFont"/>
    <w:link w:val="CommentText"/>
    <w:rsid w:val="00C61E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61E11"/>
    <w:rPr>
      <w:b/>
      <w:bCs/>
    </w:rPr>
  </w:style>
  <w:style w:type="character" w:customStyle="1" w:styleId="CommentSubjectChar">
    <w:name w:val="Comment Subject Char"/>
    <w:basedOn w:val="CommentTextChar"/>
    <w:link w:val="CommentSubject"/>
    <w:semiHidden/>
    <w:rsid w:val="00C61E11"/>
    <w:rPr>
      <w:rFonts w:ascii="Times New Roman" w:eastAsia="Times New Roman" w:hAnsi="Times New Roman" w:cs="Times New Roman"/>
      <w:b/>
      <w:bCs/>
      <w:sz w:val="20"/>
      <w:szCs w:val="20"/>
    </w:rPr>
  </w:style>
  <w:style w:type="paragraph" w:styleId="Macro">
    <w:name w:val="macro"/>
    <w:link w:val="MacroTextChar"/>
    <w:semiHidden/>
    <w:rsid w:val="00C61E11"/>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
    <w:semiHidden/>
    <w:rsid w:val="00C61E11"/>
    <w:rPr>
      <w:rFonts w:ascii="Courier New" w:eastAsia="Times New Roman" w:hAnsi="Courier New" w:cs="Courier New"/>
      <w:sz w:val="20"/>
      <w:szCs w:val="20"/>
    </w:rPr>
  </w:style>
  <w:style w:type="table" w:styleId="TableGrid">
    <w:name w:val="Table Grid"/>
    <w:basedOn w:val="TableNormal"/>
    <w:uiPriority w:val="39"/>
    <w:rsid w:val="00C61E11"/>
    <w:pPr>
      <w:widowControl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61E11"/>
    <w:rPr>
      <w:rFonts w:ascii="Tahoma" w:hAnsi="Tahoma" w:cs="Tahoma"/>
      <w:sz w:val="16"/>
      <w:szCs w:val="16"/>
    </w:rPr>
  </w:style>
  <w:style w:type="character" w:customStyle="1" w:styleId="BalloonTextChar">
    <w:name w:val="Balloon Text Char"/>
    <w:basedOn w:val="DefaultParagraphFont"/>
    <w:link w:val="BalloonText"/>
    <w:semiHidden/>
    <w:rsid w:val="00C61E11"/>
    <w:rPr>
      <w:rFonts w:ascii="Tahoma" w:eastAsia="Times New Roman" w:hAnsi="Tahoma" w:cs="Tahoma"/>
      <w:sz w:val="16"/>
      <w:szCs w:val="16"/>
    </w:rPr>
  </w:style>
  <w:style w:type="character" w:styleId="Hyperlink">
    <w:name w:val="Hyperlink"/>
    <w:basedOn w:val="DefaultParagraphFont"/>
    <w:rsid w:val="00C61E11"/>
    <w:rPr>
      <w:color w:val="0000FF"/>
      <w:u w:val="single"/>
    </w:rPr>
  </w:style>
  <w:style w:type="character" w:styleId="PageNumber">
    <w:name w:val="page number"/>
    <w:basedOn w:val="DefaultParagraphFont"/>
    <w:rsid w:val="00C61E11"/>
  </w:style>
  <w:style w:type="character" w:styleId="CommentReference">
    <w:name w:val="annotation reference"/>
    <w:basedOn w:val="DefaultParagraphFont"/>
    <w:uiPriority w:val="99"/>
    <w:unhideWhenUsed/>
    <w:rsid w:val="00C61E11"/>
    <w:rPr>
      <w:sz w:val="16"/>
      <w:szCs w:val="16"/>
    </w:rPr>
  </w:style>
  <w:style w:type="paragraph" w:styleId="ListParagraph">
    <w:name w:val="List Paragraph"/>
    <w:basedOn w:val="Normal"/>
    <w:uiPriority w:val="34"/>
    <w:qFormat/>
    <w:rsid w:val="00C61E11"/>
    <w:pPr>
      <w:ind w:left="720"/>
      <w:contextualSpacing/>
    </w:pPr>
  </w:style>
  <w:style w:type="paragraph" w:styleId="Revision">
    <w:name w:val="Revision"/>
    <w:hidden/>
    <w:uiPriority w:val="99"/>
    <w:semiHidden/>
    <w:rsid w:val="00C61E11"/>
    <w:pPr>
      <w:spacing w:after="0" w:line="240" w:lineRule="auto"/>
    </w:pPr>
    <w:rPr>
      <w:rFonts w:ascii="Times New Roman" w:eastAsia="Times New Roman" w:hAnsi="Times New Roman" w:cs="Times New Roman"/>
      <w:sz w:val="24"/>
      <w:szCs w:val="24"/>
    </w:rPr>
  </w:style>
  <w:style w:type="paragraph" w:styleId="FootnoteText">
    <w:name w:val="footnote text"/>
    <w:aliases w:val="ALTS FOOTNOTE,Char,Char2,Char3,Char4,Footnote Text - Preamble,Footnote Text - Preamble1,Footnote Text Char Char,Footnote Text Char Char Char Char,Footnote Text Char Char1,Footnote Text Char1 Char Char,MC-PRE,MC-PRE Footnote Text,f,fn,fn1"/>
    <w:basedOn w:val="Normal"/>
    <w:link w:val="FootnoteTextChar"/>
    <w:uiPriority w:val="99"/>
    <w:unhideWhenUsed/>
    <w:qFormat/>
    <w:rsid w:val="00C61E11"/>
    <w:rPr>
      <w:szCs w:val="20"/>
    </w:rPr>
  </w:style>
  <w:style w:type="character" w:customStyle="1" w:styleId="FootnoteTextChar">
    <w:name w:val="Footnote Text Char"/>
    <w:aliases w:val="ALTS FOOTNOTE Char,Char Char,Char2 Char,Char4 Char,Footnote Text Char Char Char,Footnote Text Char Char Char Char Char,Footnote Text Char Char1 Char,Footnote Text Char1 Char Char Char,MC-PRE Char,MC-PRE Footnote Text Char,fn Char"/>
    <w:basedOn w:val="DefaultParagraphFont"/>
    <w:link w:val="FootnoteText"/>
    <w:uiPriority w:val="99"/>
    <w:rsid w:val="00C61E11"/>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61E11"/>
    <w:rPr>
      <w:color w:val="808080"/>
      <w:shd w:val="clear" w:color="auto" w:fill="E6E6E6"/>
    </w:rPr>
  </w:style>
  <w:style w:type="character" w:styleId="FollowedHyperlink">
    <w:name w:val="FollowedHyperlink"/>
    <w:basedOn w:val="DefaultParagraphFont"/>
    <w:uiPriority w:val="99"/>
    <w:semiHidden/>
    <w:unhideWhenUsed/>
    <w:rsid w:val="00C61E11"/>
    <w:rPr>
      <w:color w:val="954F72" w:themeColor="followedHyperlink"/>
      <w:u w:val="single"/>
    </w:rPr>
  </w:style>
  <w:style w:type="character" w:customStyle="1" w:styleId="normaltextrun1">
    <w:name w:val="normaltextrun1"/>
    <w:basedOn w:val="DefaultParagraphFont"/>
    <w:rsid w:val="005B2185"/>
  </w:style>
  <w:style w:type="character" w:styleId="SubtleEmphasis">
    <w:name w:val="Subtle Emphasis"/>
    <w:basedOn w:val="DefaultParagraphFont"/>
    <w:uiPriority w:val="19"/>
    <w:qFormat/>
    <w:rsid w:val="003F24B0"/>
    <w:rPr>
      <w:i/>
      <w:iCs/>
      <w:color w:val="404040" w:themeColor="text1" w:themeTint="BF"/>
    </w:rPr>
  </w:style>
  <w:style w:type="character" w:customStyle="1" w:styleId="normaltextrun">
    <w:name w:val="normaltextrun"/>
    <w:basedOn w:val="DefaultParagraphFont"/>
    <w:rsid w:val="004E7D70"/>
  </w:style>
  <w:style w:type="character" w:styleId="UnresolvedMention">
    <w:name w:val="Unresolved Mention"/>
    <w:basedOn w:val="DefaultParagraphFont"/>
    <w:uiPriority w:val="99"/>
    <w:unhideWhenUsed/>
    <w:rsid w:val="0000367D"/>
    <w:rPr>
      <w:color w:val="605E5C"/>
      <w:shd w:val="clear" w:color="auto" w:fill="E1DFDD"/>
    </w:rPr>
  </w:style>
  <w:style w:type="paragraph" w:styleId="Caption">
    <w:name w:val="caption"/>
    <w:basedOn w:val="Normal"/>
    <w:next w:val="Normal"/>
    <w:uiPriority w:val="35"/>
    <w:unhideWhenUsed/>
    <w:qFormat/>
    <w:rsid w:val="00ED55E2"/>
    <w:pPr>
      <w:spacing w:after="200"/>
    </w:pPr>
    <w:rPr>
      <w:i/>
      <w:iCs/>
      <w:color w:val="44546A" w:themeColor="text2"/>
      <w:sz w:val="18"/>
      <w:szCs w:val="18"/>
    </w:rPr>
  </w:style>
  <w:style w:type="table" w:customStyle="1" w:styleId="TableGridLight1">
    <w:name w:val="Table Grid Light1"/>
    <w:basedOn w:val="TableNormal"/>
    <w:uiPriority w:val="40"/>
    <w:rsid w:val="00A765B2"/>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Normal"/>
    <w:link w:val="Style1Char"/>
    <w:qFormat/>
    <w:rsid w:val="00A765B2"/>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pPr>
    <w:rPr>
      <w:sz w:val="22"/>
      <w:szCs w:val="22"/>
      <w:vertAlign w:val="superscript"/>
    </w:rPr>
  </w:style>
  <w:style w:type="character" w:customStyle="1" w:styleId="Style1Char">
    <w:name w:val="Style1 Char"/>
    <w:basedOn w:val="DefaultParagraphFont"/>
    <w:link w:val="Style1"/>
    <w:rsid w:val="00A765B2"/>
    <w:rPr>
      <w:rFonts w:ascii="Times New Roman" w:eastAsia="Times New Roman" w:hAnsi="Times New Roman" w:cs="Times New Roman"/>
      <w:vertAlign w:val="superscript"/>
    </w:rPr>
  </w:style>
  <w:style w:type="character" w:styleId="Mention">
    <w:name w:val="Mention"/>
    <w:basedOn w:val="DefaultParagraphFont"/>
    <w:uiPriority w:val="99"/>
    <w:unhideWhenUsed/>
    <w:rsid w:val="007D6E0D"/>
    <w:rPr>
      <w:color w:val="2B579A"/>
      <w:shd w:val="clear" w:color="auto" w:fill="E1DFDD"/>
    </w:rPr>
  </w:style>
  <w:style w:type="paragraph" w:styleId="NormalWeb">
    <w:name w:val="Normal (Web)"/>
    <w:basedOn w:val="Normal"/>
    <w:uiPriority w:val="99"/>
    <w:semiHidden/>
    <w:unhideWhenUsed/>
    <w:rsid w:val="0092074E"/>
    <w:pPr>
      <w:widowControl/>
      <w:adjustRightInd/>
      <w:spacing w:before="100" w:beforeAutospacing="1" w:after="100" w:afterAutospacing="1"/>
    </w:pPr>
    <w:rPr>
      <w:sz w:val="24"/>
    </w:rPr>
  </w:style>
  <w:style w:type="character" w:customStyle="1" w:styleId="eop">
    <w:name w:val="eop"/>
    <w:basedOn w:val="DefaultParagraphFont"/>
    <w:rsid w:val="00E319FF"/>
  </w:style>
  <w:style w:type="paragraph" w:customStyle="1" w:styleId="Default">
    <w:name w:val="Default"/>
    <w:rsid w:val="0095205C"/>
    <w:pPr>
      <w:autoSpaceDE w:val="0"/>
      <w:autoSpaceDN w:val="0"/>
      <w:adjustRightInd w:val="0"/>
      <w:spacing w:after="0" w:line="240" w:lineRule="auto"/>
    </w:pPr>
    <w:rPr>
      <w:rFonts w:ascii="Calibri" w:hAnsi="Calibri" w:cs="Calibri"/>
      <w:color w:val="000000"/>
      <w:sz w:val="24"/>
      <w:szCs w:val="24"/>
    </w:rPr>
  </w:style>
  <w:style w:type="paragraph" w:styleId="TOC2">
    <w:name w:val="toc 2"/>
    <w:basedOn w:val="Default"/>
    <w:next w:val="Default"/>
    <w:autoRedefine/>
    <w:uiPriority w:val="39"/>
    <w:unhideWhenUsed/>
    <w:qFormat/>
    <w:rsid w:val="00F45483"/>
    <w:pPr>
      <w:tabs>
        <w:tab w:val="right" w:leader="dot" w:pos="9970"/>
      </w:tabs>
      <w:autoSpaceDE/>
      <w:autoSpaceDN/>
      <w:adjustRightInd/>
    </w:pPr>
    <w:rPr>
      <w:rFonts w:ascii="Times New Roman" w:hAnsi="Times New Roman" w:cs="Times New Roman"/>
      <w:noProof/>
      <w:color w:val="auto"/>
      <w:sz w:val="20"/>
      <w:szCs w:val="20"/>
    </w:rPr>
  </w:style>
  <w:style w:type="character" w:styleId="Strong">
    <w:name w:val="Strong"/>
    <w:uiPriority w:val="22"/>
    <w:qFormat/>
    <w:rsid w:val="00F7037A"/>
    <w:rPr>
      <w:b/>
      <w:bCs/>
    </w:rPr>
  </w:style>
  <w:style w:type="paragraph" w:styleId="TOC4">
    <w:name w:val="toc 4"/>
    <w:basedOn w:val="Normal"/>
    <w:next w:val="Normal"/>
    <w:autoRedefine/>
    <w:uiPriority w:val="39"/>
    <w:unhideWhenUsed/>
    <w:rsid w:val="00A37CF8"/>
    <w:pPr>
      <w:spacing w:after="100"/>
    </w:pPr>
    <w:rPr>
      <w:sz w:val="22"/>
      <w:szCs w:val="22"/>
    </w:rPr>
  </w:style>
  <w:style w:type="paragraph" w:styleId="BodyText">
    <w:name w:val="Body Text"/>
    <w:link w:val="BodyTextChar"/>
    <w:uiPriority w:val="99"/>
    <w:qFormat/>
    <w:rsid w:val="00E84131"/>
    <w:pPr>
      <w:tabs>
        <w:tab w:val="left" w:pos="720"/>
        <w:tab w:val="left" w:pos="1627"/>
        <w:tab w:val="left" w:pos="2160"/>
        <w:tab w:val="left" w:pos="2880"/>
      </w:tabs>
      <w:spacing w:after="0" w:line="48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E841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news.release/ecec.nr0.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2022/may/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2/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ff851fb3-1a43-4650-9573-f8d09a594f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9BAA98A669448AA00C14375F7321B" ma:contentTypeVersion="15" ma:contentTypeDescription="Create a new document." ma:contentTypeScope="" ma:versionID="6377b63d2e2bc69f49bc7688d7855657">
  <xsd:schema xmlns:xsd="http://www.w3.org/2001/XMLSchema" xmlns:xs="http://www.w3.org/2001/XMLSchema" xmlns:p="http://schemas.microsoft.com/office/2006/metadata/properties" xmlns:ns2="ff851fb3-1a43-4650-9573-f8d09a594f92" xmlns:ns3="90c7abac-10f6-40f3-a610-cd5cf5fdbda6" xmlns:ns4="fa6a9aea-fb0f-4ddd-aff8-712634b7d5fe" targetNamespace="http://schemas.microsoft.com/office/2006/metadata/properties" ma:root="true" ma:fieldsID="bfa0c1aa019d22123f34e5e3fdb2968c" ns2:_="" ns3:_="" ns4:_="">
    <xsd:import namespace="ff851fb3-1a43-4650-9573-f8d09a594f92"/>
    <xsd:import namespace="90c7abac-10f6-40f3-a610-cd5cf5fdbda6"/>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1fb3-1a43-4650-9573-f8d09a594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c7abac-10f6-40f3-a610-cd5cf5fdbd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f34bee8-7dde-405f-afd1-9dc1249e06dc}" ma:internalName="TaxCatchAll" ma:showField="CatchAllData" ma:web="90c7abac-10f6-40f3-a610-cd5cf5fdb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60997-1EF9-42E1-8890-8FCA26C76FC6}">
  <ds:schemaRefs>
    <ds:schemaRef ds:uri="http://schemas.microsoft.com/office/2006/metadata/properties"/>
    <ds:schemaRef ds:uri="http://schemas.microsoft.com/office/infopath/2007/PartnerControls"/>
    <ds:schemaRef ds:uri="fa6a9aea-fb0f-4ddd-aff8-712634b7d5fe"/>
    <ds:schemaRef ds:uri="ff851fb3-1a43-4650-9573-f8d09a594f92"/>
  </ds:schemaRefs>
</ds:datastoreItem>
</file>

<file path=customXml/itemProps2.xml><?xml version="1.0" encoding="utf-8"?>
<ds:datastoreItem xmlns:ds="http://schemas.openxmlformats.org/officeDocument/2006/customXml" ds:itemID="{D1E7F268-3AA1-4A01-81A7-8208B3408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1fb3-1a43-4650-9573-f8d09a594f92"/>
    <ds:schemaRef ds:uri="90c7abac-10f6-40f3-a610-cd5cf5fdbda6"/>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1557DE-FCD4-4EAE-A6A3-3DC813B2662E}">
  <ds:schemaRefs>
    <ds:schemaRef ds:uri="http://schemas.microsoft.com/sharepoint/v3/contenttype/forms"/>
  </ds:schemaRefs>
</ds:datastoreItem>
</file>

<file path=customXml/itemProps4.xml><?xml version="1.0" encoding="utf-8"?>
<ds:datastoreItem xmlns:ds="http://schemas.openxmlformats.org/officeDocument/2006/customXml" ds:itemID="{AE393028-A7FC-441F-BB78-5575DC4C9A15}">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120</TotalTime>
  <Pages>26</Pages>
  <Words>10125</Words>
  <Characters>57375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Haffner, Clare</dc:creator>
  <cp:lastModifiedBy>McGrath, Daniel (he/him/his)</cp:lastModifiedBy>
  <cp:revision>9</cp:revision>
  <cp:lastPrinted>2022-02-19T02:37:00Z</cp:lastPrinted>
  <dcterms:created xsi:type="dcterms:W3CDTF">2024-07-10T20:13:00Z</dcterms:created>
  <dcterms:modified xsi:type="dcterms:W3CDTF">2024-07-25T18:47:00Z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0x0101008829BAA98A669448AA00C14375F7321B</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GrammarlyDocumentId">
    <vt:lpwstr>acebc1268babd114e63290355d1b057495b687d9e33917a7e772780fc46130a0</vt:lpwstr>
  </property>
  <property fmtid="{D5CDD505-2E9C-101B-9397-08002B2CF9AE}" pid="8" name="MediaServiceImageTags">
    <vt:lpwstr/>
  </property>
  <property fmtid="{D5CDD505-2E9C-101B-9397-08002B2CF9AE}" pid="9" name="TaxKeyword">
    <vt:lpwstr/>
  </property>
</Properties>
</file>